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43FB8" w14:textId="77777777" w:rsidR="002B0621" w:rsidRDefault="002B0621" w:rsidP="002A4BF2">
      <w:pPr>
        <w:spacing w:line="240" w:lineRule="auto"/>
        <w:ind w:left="993" w:right="474"/>
        <w:jc w:val="center"/>
        <w:rPr>
          <w:rFonts w:ascii="Garamond" w:hAnsi="Garamond"/>
          <w:b/>
          <w:sz w:val="24"/>
          <w:szCs w:val="24"/>
        </w:rPr>
      </w:pPr>
    </w:p>
    <w:p w14:paraId="32DD55AE" w14:textId="77777777" w:rsidR="002B0621" w:rsidRDefault="002B0621" w:rsidP="002A4BF2">
      <w:pPr>
        <w:spacing w:line="240" w:lineRule="auto"/>
        <w:ind w:left="993" w:right="474"/>
        <w:jc w:val="center"/>
        <w:rPr>
          <w:rFonts w:ascii="Garamond" w:hAnsi="Garamond"/>
          <w:b/>
          <w:sz w:val="24"/>
          <w:szCs w:val="24"/>
        </w:rPr>
      </w:pPr>
    </w:p>
    <w:p w14:paraId="702CB3E6" w14:textId="77777777" w:rsidR="00CA3E14" w:rsidRDefault="00CA3E14" w:rsidP="002A4BF2">
      <w:pPr>
        <w:spacing w:line="240" w:lineRule="auto"/>
        <w:ind w:left="993" w:right="474"/>
        <w:jc w:val="center"/>
        <w:rPr>
          <w:rFonts w:ascii="Garamond" w:hAnsi="Garamond"/>
          <w:b/>
          <w:sz w:val="24"/>
          <w:szCs w:val="24"/>
        </w:rPr>
      </w:pPr>
      <w:r>
        <w:rPr>
          <w:rFonts w:ascii="Garamond" w:hAnsi="Garamond"/>
          <w:b/>
          <w:sz w:val="24"/>
          <w:szCs w:val="24"/>
        </w:rPr>
        <w:t>ALCALDÍA LOCAL DE ANTONIO NARIÑO</w:t>
      </w:r>
    </w:p>
    <w:p w14:paraId="7DFE6787" w14:textId="77777777" w:rsidR="00CA3E14" w:rsidRDefault="00CA3E14" w:rsidP="002A4BF2">
      <w:pPr>
        <w:spacing w:line="240" w:lineRule="auto"/>
        <w:ind w:left="993" w:right="474"/>
        <w:jc w:val="center"/>
        <w:rPr>
          <w:rFonts w:ascii="Garamond" w:hAnsi="Garamond"/>
          <w:b/>
          <w:sz w:val="24"/>
          <w:szCs w:val="24"/>
        </w:rPr>
      </w:pPr>
      <w:r>
        <w:rPr>
          <w:rFonts w:ascii="Garamond" w:hAnsi="Garamond"/>
          <w:b/>
          <w:sz w:val="24"/>
          <w:szCs w:val="24"/>
        </w:rPr>
        <w:t>OFICINA DE OBRAS E INFRAESTRUCTURA</w:t>
      </w:r>
    </w:p>
    <w:p w14:paraId="23D69251" w14:textId="77777777" w:rsidR="00CA3E14" w:rsidRDefault="00CA3E14" w:rsidP="002A4BF2">
      <w:pPr>
        <w:spacing w:line="240" w:lineRule="auto"/>
        <w:ind w:left="993" w:right="474"/>
        <w:jc w:val="center"/>
        <w:rPr>
          <w:rFonts w:ascii="Garamond" w:hAnsi="Garamond"/>
          <w:b/>
          <w:sz w:val="24"/>
          <w:szCs w:val="24"/>
        </w:rPr>
      </w:pPr>
    </w:p>
    <w:p w14:paraId="20F3704C" w14:textId="4DA75940" w:rsidR="00CA3E14" w:rsidRDefault="00CA3E14" w:rsidP="002A4BF2">
      <w:pPr>
        <w:spacing w:line="240" w:lineRule="auto"/>
        <w:ind w:left="993" w:right="474"/>
        <w:jc w:val="center"/>
        <w:rPr>
          <w:rFonts w:ascii="Garamond" w:hAnsi="Garamond"/>
          <w:b/>
          <w:sz w:val="24"/>
          <w:szCs w:val="24"/>
        </w:rPr>
      </w:pPr>
    </w:p>
    <w:p w14:paraId="2817CAE3" w14:textId="33CF29C0" w:rsidR="00037B06" w:rsidRDefault="00037B06" w:rsidP="002A4BF2">
      <w:pPr>
        <w:spacing w:line="240" w:lineRule="auto"/>
        <w:ind w:left="993" w:right="474"/>
        <w:jc w:val="center"/>
        <w:rPr>
          <w:rFonts w:ascii="Garamond" w:hAnsi="Garamond"/>
          <w:b/>
          <w:sz w:val="24"/>
          <w:szCs w:val="24"/>
        </w:rPr>
      </w:pPr>
    </w:p>
    <w:p w14:paraId="2D8188F0" w14:textId="77777777" w:rsidR="00037B06" w:rsidRDefault="00037B06" w:rsidP="002A4BF2">
      <w:pPr>
        <w:spacing w:line="240" w:lineRule="auto"/>
        <w:ind w:left="993" w:right="474"/>
        <w:jc w:val="center"/>
        <w:rPr>
          <w:rFonts w:ascii="Garamond" w:hAnsi="Garamond"/>
          <w:b/>
          <w:sz w:val="24"/>
          <w:szCs w:val="24"/>
        </w:rPr>
      </w:pPr>
    </w:p>
    <w:p w14:paraId="3627C6C9" w14:textId="77777777" w:rsidR="00CA3E14" w:rsidRDefault="00CA3E14" w:rsidP="002A4BF2">
      <w:pPr>
        <w:spacing w:line="240" w:lineRule="auto"/>
        <w:ind w:left="993" w:right="474"/>
        <w:jc w:val="center"/>
        <w:rPr>
          <w:rFonts w:ascii="Garamond" w:hAnsi="Garamond"/>
          <w:b/>
          <w:sz w:val="24"/>
          <w:szCs w:val="24"/>
        </w:rPr>
      </w:pPr>
    </w:p>
    <w:p w14:paraId="3B24542F" w14:textId="6B51F6B3" w:rsidR="002B0621" w:rsidRDefault="002C6BA9" w:rsidP="002A4BF2">
      <w:pPr>
        <w:spacing w:line="240" w:lineRule="auto"/>
        <w:ind w:left="993" w:right="474"/>
        <w:jc w:val="center"/>
        <w:rPr>
          <w:rFonts w:ascii="Garamond" w:hAnsi="Garamond"/>
          <w:b/>
          <w:sz w:val="24"/>
          <w:szCs w:val="24"/>
        </w:rPr>
      </w:pPr>
      <w:r>
        <w:rPr>
          <w:rFonts w:ascii="Garamond" w:hAnsi="Garamond"/>
          <w:b/>
          <w:sz w:val="24"/>
          <w:szCs w:val="24"/>
        </w:rPr>
        <w:t xml:space="preserve">ANEXO 2 - </w:t>
      </w:r>
      <w:r w:rsidR="002B0621" w:rsidRPr="002B0621">
        <w:rPr>
          <w:rFonts w:ascii="Garamond" w:hAnsi="Garamond"/>
          <w:b/>
          <w:sz w:val="24"/>
          <w:szCs w:val="24"/>
        </w:rPr>
        <w:t>ESTUDIO DE SECTOR</w:t>
      </w:r>
      <w:r>
        <w:rPr>
          <w:rFonts w:ascii="Garamond" w:hAnsi="Garamond"/>
          <w:b/>
          <w:sz w:val="24"/>
          <w:szCs w:val="24"/>
        </w:rPr>
        <w:t xml:space="preserve"> Y DE LOS OFERENTES</w:t>
      </w:r>
    </w:p>
    <w:p w14:paraId="7BBE60BE" w14:textId="77777777" w:rsidR="002B0621" w:rsidRDefault="002B0621" w:rsidP="002A4BF2">
      <w:pPr>
        <w:spacing w:line="240" w:lineRule="auto"/>
        <w:ind w:left="993" w:right="474"/>
        <w:jc w:val="center"/>
        <w:rPr>
          <w:rFonts w:ascii="Garamond" w:hAnsi="Garamond"/>
          <w:b/>
          <w:sz w:val="24"/>
          <w:szCs w:val="24"/>
        </w:rPr>
      </w:pPr>
    </w:p>
    <w:p w14:paraId="76649897" w14:textId="17C02C41" w:rsidR="00CA3E14" w:rsidRDefault="00CA3E14" w:rsidP="002A4BF2">
      <w:pPr>
        <w:spacing w:line="240" w:lineRule="auto"/>
        <w:ind w:left="993" w:right="474"/>
        <w:jc w:val="center"/>
        <w:rPr>
          <w:rFonts w:ascii="Garamond" w:hAnsi="Garamond"/>
          <w:b/>
          <w:sz w:val="24"/>
          <w:szCs w:val="24"/>
        </w:rPr>
      </w:pPr>
    </w:p>
    <w:p w14:paraId="426E6778" w14:textId="208446BB" w:rsidR="00037B06" w:rsidRDefault="00037B06" w:rsidP="002A4BF2">
      <w:pPr>
        <w:spacing w:line="240" w:lineRule="auto"/>
        <w:ind w:left="993" w:right="474"/>
        <w:jc w:val="center"/>
        <w:rPr>
          <w:rFonts w:ascii="Garamond" w:hAnsi="Garamond"/>
          <w:b/>
          <w:sz w:val="24"/>
          <w:szCs w:val="24"/>
        </w:rPr>
      </w:pPr>
    </w:p>
    <w:p w14:paraId="0D9A2923" w14:textId="77777777" w:rsidR="00037B06" w:rsidRDefault="00037B06" w:rsidP="002A4BF2">
      <w:pPr>
        <w:spacing w:line="240" w:lineRule="auto"/>
        <w:ind w:left="993" w:right="474"/>
        <w:jc w:val="center"/>
        <w:rPr>
          <w:rFonts w:ascii="Garamond" w:hAnsi="Garamond"/>
          <w:b/>
          <w:sz w:val="24"/>
          <w:szCs w:val="24"/>
        </w:rPr>
      </w:pPr>
    </w:p>
    <w:p w14:paraId="6108D268" w14:textId="5D6F1F06" w:rsidR="00CA3E14" w:rsidRDefault="002B0621" w:rsidP="00B128A3">
      <w:pPr>
        <w:spacing w:line="240" w:lineRule="auto"/>
        <w:ind w:left="993" w:right="474"/>
        <w:jc w:val="both"/>
        <w:rPr>
          <w:rFonts w:ascii="Garamond" w:hAnsi="Garamond"/>
          <w:b/>
          <w:sz w:val="24"/>
          <w:szCs w:val="24"/>
        </w:rPr>
      </w:pPr>
      <w:r>
        <w:rPr>
          <w:rFonts w:ascii="Garamond" w:hAnsi="Garamond"/>
          <w:b/>
          <w:sz w:val="24"/>
          <w:szCs w:val="24"/>
        </w:rPr>
        <w:t xml:space="preserve">OBJETO: </w:t>
      </w:r>
      <w:r w:rsidR="00323E62" w:rsidRPr="00323E62">
        <w:rPr>
          <w:rFonts w:ascii="Garamond" w:hAnsi="Garamond"/>
          <w:b/>
          <w:sz w:val="24"/>
          <w:szCs w:val="24"/>
        </w:rPr>
        <w:t>“CONTRATAR LAS OBRAS DE MITIGACIÓN DEL RIESGO EN CUMPLIMIENTO A ORDEN JUDICIAL DEL JUZGADO 12 ADMINISTRATIVO SECCIÓN SEGUNDA ORAL BOGOTÁ AL INMUEBLE DENOMINADO CED CENTENARIO PARA LA ATENCIÓN PARCIAL - SEGUNDA ETAPA - DE PRIMEROS AUXILIOS EN VIRTUD DE ACCIÓN POPULAR No. 110013335012-2022-00150-00”</w:t>
      </w:r>
    </w:p>
    <w:p w14:paraId="2A7CC10A" w14:textId="52F6B381" w:rsidR="00CA3E14" w:rsidRDefault="00CA3E14" w:rsidP="002A4BF2">
      <w:pPr>
        <w:spacing w:line="240" w:lineRule="auto"/>
        <w:ind w:left="993" w:right="474"/>
        <w:jc w:val="center"/>
        <w:rPr>
          <w:rFonts w:ascii="Garamond" w:hAnsi="Garamond"/>
          <w:b/>
          <w:sz w:val="24"/>
          <w:szCs w:val="24"/>
        </w:rPr>
      </w:pPr>
    </w:p>
    <w:p w14:paraId="5D513A92" w14:textId="1040E3A9" w:rsidR="00037B06" w:rsidRDefault="00037B06" w:rsidP="002A4BF2">
      <w:pPr>
        <w:spacing w:line="240" w:lineRule="auto"/>
        <w:ind w:left="993" w:right="474"/>
        <w:jc w:val="center"/>
        <w:rPr>
          <w:rFonts w:ascii="Garamond" w:hAnsi="Garamond"/>
          <w:b/>
          <w:sz w:val="24"/>
          <w:szCs w:val="24"/>
        </w:rPr>
      </w:pPr>
    </w:p>
    <w:p w14:paraId="246A7E19" w14:textId="2474454C" w:rsidR="00037B06" w:rsidRDefault="00037B06" w:rsidP="002A4BF2">
      <w:pPr>
        <w:spacing w:line="240" w:lineRule="auto"/>
        <w:ind w:left="993" w:right="474"/>
        <w:jc w:val="center"/>
        <w:rPr>
          <w:rFonts w:ascii="Garamond" w:hAnsi="Garamond"/>
          <w:b/>
          <w:sz w:val="24"/>
          <w:szCs w:val="24"/>
        </w:rPr>
      </w:pPr>
    </w:p>
    <w:p w14:paraId="1B9341A3" w14:textId="7B49D990" w:rsidR="00037B06" w:rsidRDefault="00037B06" w:rsidP="002A4BF2">
      <w:pPr>
        <w:spacing w:line="240" w:lineRule="auto"/>
        <w:ind w:left="993" w:right="474"/>
        <w:jc w:val="center"/>
        <w:rPr>
          <w:rFonts w:ascii="Garamond" w:hAnsi="Garamond"/>
          <w:b/>
          <w:sz w:val="24"/>
          <w:szCs w:val="24"/>
        </w:rPr>
      </w:pPr>
    </w:p>
    <w:p w14:paraId="5B2C50DD" w14:textId="4E270953" w:rsidR="00037B06" w:rsidRDefault="00037B06" w:rsidP="002A4BF2">
      <w:pPr>
        <w:spacing w:line="240" w:lineRule="auto"/>
        <w:ind w:left="993" w:right="474"/>
        <w:jc w:val="center"/>
        <w:rPr>
          <w:rFonts w:ascii="Garamond" w:hAnsi="Garamond"/>
          <w:b/>
          <w:sz w:val="24"/>
          <w:szCs w:val="24"/>
        </w:rPr>
      </w:pPr>
    </w:p>
    <w:p w14:paraId="4A9D833A" w14:textId="77777777" w:rsidR="00037B06" w:rsidRDefault="00037B06" w:rsidP="002A4BF2">
      <w:pPr>
        <w:spacing w:line="240" w:lineRule="auto"/>
        <w:ind w:left="993" w:right="474"/>
        <w:jc w:val="center"/>
        <w:rPr>
          <w:rFonts w:ascii="Garamond" w:hAnsi="Garamond"/>
          <w:b/>
          <w:sz w:val="24"/>
          <w:szCs w:val="24"/>
        </w:rPr>
      </w:pPr>
    </w:p>
    <w:p w14:paraId="0F066DA2" w14:textId="6CFB1855" w:rsidR="00CA3E14" w:rsidRDefault="00CA3E14" w:rsidP="002A4BF2">
      <w:pPr>
        <w:spacing w:line="240" w:lineRule="auto"/>
        <w:ind w:left="993" w:right="474"/>
        <w:jc w:val="center"/>
        <w:rPr>
          <w:rFonts w:ascii="Garamond" w:hAnsi="Garamond"/>
          <w:b/>
          <w:sz w:val="24"/>
          <w:szCs w:val="24"/>
        </w:rPr>
      </w:pPr>
    </w:p>
    <w:p w14:paraId="77E1628D" w14:textId="77777777" w:rsidR="002A4BF2" w:rsidRDefault="002A4BF2" w:rsidP="002A4BF2">
      <w:pPr>
        <w:spacing w:line="240" w:lineRule="auto"/>
        <w:ind w:left="993" w:right="474"/>
        <w:jc w:val="center"/>
        <w:rPr>
          <w:rFonts w:ascii="Garamond" w:hAnsi="Garamond"/>
          <w:b/>
          <w:sz w:val="24"/>
          <w:szCs w:val="24"/>
        </w:rPr>
      </w:pPr>
    </w:p>
    <w:p w14:paraId="04A8A0E5" w14:textId="53E688B5" w:rsidR="00CA3E14" w:rsidRDefault="00B128A3" w:rsidP="009C66AF">
      <w:pPr>
        <w:spacing w:line="240" w:lineRule="auto"/>
        <w:ind w:left="1416" w:right="474" w:hanging="423"/>
        <w:jc w:val="center"/>
        <w:rPr>
          <w:rFonts w:ascii="Garamond" w:hAnsi="Garamond"/>
          <w:b/>
          <w:sz w:val="24"/>
          <w:szCs w:val="24"/>
        </w:rPr>
      </w:pPr>
      <w:r>
        <w:rPr>
          <w:rFonts w:ascii="Garamond" w:hAnsi="Garamond"/>
          <w:b/>
          <w:sz w:val="24"/>
          <w:szCs w:val="24"/>
        </w:rPr>
        <w:t>13</w:t>
      </w:r>
      <w:r w:rsidR="00323E62">
        <w:rPr>
          <w:rFonts w:ascii="Garamond" w:hAnsi="Garamond"/>
          <w:b/>
          <w:sz w:val="24"/>
          <w:szCs w:val="24"/>
        </w:rPr>
        <w:t xml:space="preserve"> </w:t>
      </w:r>
      <w:r w:rsidR="00CA3E14">
        <w:rPr>
          <w:rFonts w:ascii="Garamond" w:hAnsi="Garamond"/>
          <w:b/>
          <w:sz w:val="24"/>
          <w:szCs w:val="24"/>
        </w:rPr>
        <w:t xml:space="preserve">DE </w:t>
      </w:r>
      <w:r>
        <w:rPr>
          <w:rFonts w:ascii="Garamond" w:hAnsi="Garamond"/>
          <w:b/>
          <w:sz w:val="24"/>
          <w:szCs w:val="24"/>
        </w:rPr>
        <w:t>NOVIEMBRE</w:t>
      </w:r>
      <w:r w:rsidR="00CA3E14">
        <w:rPr>
          <w:rFonts w:ascii="Garamond" w:hAnsi="Garamond"/>
          <w:b/>
          <w:sz w:val="24"/>
          <w:szCs w:val="24"/>
        </w:rPr>
        <w:t xml:space="preserve"> DE 2025</w:t>
      </w:r>
    </w:p>
    <w:p w14:paraId="6573A823" w14:textId="1C8EC05F" w:rsidR="00CA6979" w:rsidRDefault="00CA3E14" w:rsidP="002A4BF2">
      <w:pPr>
        <w:spacing w:line="240" w:lineRule="auto"/>
        <w:ind w:left="993" w:right="474"/>
        <w:jc w:val="center"/>
        <w:rPr>
          <w:rFonts w:ascii="Garamond" w:hAnsi="Garamond"/>
          <w:b/>
          <w:sz w:val="24"/>
          <w:szCs w:val="24"/>
        </w:rPr>
      </w:pPr>
      <w:r>
        <w:rPr>
          <w:rFonts w:ascii="Garamond" w:hAnsi="Garamond"/>
          <w:b/>
          <w:sz w:val="24"/>
          <w:szCs w:val="24"/>
        </w:rPr>
        <w:t>BOGOTÁ D.C.</w:t>
      </w:r>
    </w:p>
    <w:p w14:paraId="2B76CDCF" w14:textId="77777777" w:rsidR="002A4BF2" w:rsidRDefault="002A4BF2" w:rsidP="002A4BF2">
      <w:pPr>
        <w:spacing w:line="240" w:lineRule="auto"/>
        <w:ind w:left="993" w:right="474"/>
        <w:jc w:val="center"/>
        <w:rPr>
          <w:rFonts w:ascii="Garamond" w:hAnsi="Garamond"/>
          <w:b/>
          <w:sz w:val="24"/>
          <w:szCs w:val="24"/>
        </w:rPr>
      </w:pPr>
    </w:p>
    <w:p w14:paraId="210637B5" w14:textId="77777777" w:rsidR="00CA6979" w:rsidRDefault="00CA6979" w:rsidP="002A4BF2">
      <w:pPr>
        <w:spacing w:line="240" w:lineRule="auto"/>
        <w:ind w:left="993" w:right="474"/>
        <w:jc w:val="center"/>
        <w:rPr>
          <w:rFonts w:ascii="Garamond" w:hAnsi="Garamond"/>
          <w:b/>
          <w:sz w:val="24"/>
          <w:szCs w:val="24"/>
        </w:rPr>
      </w:pPr>
    </w:p>
    <w:p w14:paraId="0693F14D" w14:textId="77777777" w:rsidR="00CA6979" w:rsidRPr="00CA6979" w:rsidRDefault="00CA6979" w:rsidP="002A4BF2">
      <w:pPr>
        <w:pStyle w:val="Prrafodelista"/>
        <w:spacing w:line="240" w:lineRule="auto"/>
        <w:ind w:left="993" w:right="474"/>
        <w:jc w:val="both"/>
        <w:rPr>
          <w:rFonts w:ascii="Garamond" w:hAnsi="Garamond" w:cs="Arial"/>
          <w:b/>
        </w:rPr>
      </w:pPr>
    </w:p>
    <w:p w14:paraId="749CC294" w14:textId="77777777" w:rsidR="00415197" w:rsidRPr="00415197" w:rsidRDefault="00415197" w:rsidP="003A1825">
      <w:pPr>
        <w:pStyle w:val="Prrafodelista"/>
        <w:numPr>
          <w:ilvl w:val="0"/>
          <w:numId w:val="1"/>
        </w:numPr>
        <w:spacing w:line="240" w:lineRule="auto"/>
        <w:ind w:left="993" w:right="474"/>
        <w:jc w:val="both"/>
        <w:rPr>
          <w:rFonts w:ascii="Garamond" w:hAnsi="Garamond" w:cs="Arial"/>
          <w:b/>
        </w:rPr>
      </w:pPr>
      <w:r>
        <w:rPr>
          <w:rFonts w:ascii="Garamond" w:hAnsi="Garamond" w:cs="Arial"/>
          <w:b/>
          <w:sz w:val="24"/>
          <w:szCs w:val="24"/>
        </w:rPr>
        <w:lastRenderedPageBreak/>
        <w:t>INTRODUCCIÓN</w:t>
      </w:r>
    </w:p>
    <w:p w14:paraId="3CE19D07" w14:textId="77777777" w:rsidR="00415197" w:rsidRDefault="00415197" w:rsidP="002A4BF2">
      <w:pPr>
        <w:pStyle w:val="Prrafodelista"/>
        <w:spacing w:after="0" w:line="240" w:lineRule="auto"/>
        <w:ind w:left="993" w:right="474"/>
        <w:jc w:val="both"/>
        <w:rPr>
          <w:rFonts w:ascii="Garamond" w:hAnsi="Garamond" w:cs="Arial"/>
          <w:b/>
        </w:rPr>
      </w:pPr>
    </w:p>
    <w:p w14:paraId="04CD5840" w14:textId="77777777" w:rsidR="005725B4" w:rsidRDefault="005725B4" w:rsidP="002A4BF2">
      <w:pPr>
        <w:pStyle w:val="Standard"/>
        <w:autoSpaceDE w:val="0"/>
        <w:ind w:left="993" w:right="474"/>
        <w:jc w:val="both"/>
        <w:rPr>
          <w:rFonts w:ascii="Garamond" w:hAnsi="Garamond" w:cs="Arial"/>
          <w:bCs/>
          <w:color w:val="000000"/>
          <w:sz w:val="24"/>
          <w:szCs w:val="24"/>
        </w:rPr>
      </w:pPr>
      <w:r w:rsidRPr="005725B4">
        <w:rPr>
          <w:rFonts w:ascii="Garamond" w:hAnsi="Garamond" w:cs="Arial"/>
          <w:bCs/>
          <w:color w:val="000000"/>
          <w:sz w:val="24"/>
          <w:szCs w:val="24"/>
        </w:rPr>
        <w:t>El presente documento tiene como propósito dar cumplimiento a lo definido en el Decreto 1082 de 2015, el cual en la subsección 6 textualmente expresa: “</w:t>
      </w:r>
      <w:r w:rsidRPr="005725B4">
        <w:rPr>
          <w:rFonts w:ascii="Garamond" w:hAnsi="Garamond" w:cs="Arial"/>
          <w:bCs/>
          <w:i/>
          <w:color w:val="000000"/>
          <w:sz w:val="24"/>
          <w:szCs w:val="24"/>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469280B6" w14:textId="77777777" w:rsidR="005725B4" w:rsidRDefault="005725B4" w:rsidP="002A4BF2">
      <w:pPr>
        <w:pStyle w:val="Standard"/>
        <w:autoSpaceDE w:val="0"/>
        <w:ind w:left="993" w:right="474"/>
        <w:jc w:val="both"/>
        <w:rPr>
          <w:rFonts w:ascii="Garamond" w:hAnsi="Garamond" w:cs="Arial"/>
          <w:bCs/>
          <w:color w:val="000000"/>
          <w:sz w:val="24"/>
          <w:szCs w:val="24"/>
        </w:rPr>
      </w:pPr>
    </w:p>
    <w:p w14:paraId="02E7F148" w14:textId="77777777" w:rsidR="005725B4" w:rsidRDefault="005725B4" w:rsidP="002A4BF2">
      <w:pPr>
        <w:pStyle w:val="Standard"/>
        <w:autoSpaceDE w:val="0"/>
        <w:ind w:left="993" w:right="474"/>
        <w:jc w:val="both"/>
        <w:rPr>
          <w:rFonts w:ascii="Garamond" w:hAnsi="Garamond" w:cs="Arial"/>
          <w:bCs/>
          <w:color w:val="000000"/>
          <w:sz w:val="24"/>
          <w:szCs w:val="24"/>
        </w:rPr>
      </w:pPr>
      <w:r w:rsidRPr="00DC3046">
        <w:rPr>
          <w:rFonts w:ascii="Garamond" w:hAnsi="Garamond" w:cs="Arial"/>
          <w:bCs/>
          <w:color w:val="000000"/>
          <w:sz w:val="24"/>
          <w:szCs w:val="24"/>
        </w:rPr>
        <w:t xml:space="preserve">De conformidad con el </w:t>
      </w:r>
      <w:r w:rsidRPr="00DC3046">
        <w:rPr>
          <w:rFonts w:ascii="Garamond" w:hAnsi="Garamond" w:cs="Arial"/>
          <w:color w:val="000000"/>
          <w:sz w:val="24"/>
          <w:szCs w:val="24"/>
        </w:rPr>
        <w:t>Artículo</w:t>
      </w:r>
      <w:bookmarkStart w:id="0" w:name="15"/>
      <w:bookmarkStart w:id="1" w:name="sp15"/>
      <w:bookmarkEnd w:id="0"/>
      <w:bookmarkEnd w:id="1"/>
      <w:r w:rsidRPr="00DC3046">
        <w:rPr>
          <w:rFonts w:ascii="Garamond" w:hAnsi="Garamond" w:cs="Arial"/>
          <w:color w:val="000000"/>
          <w:sz w:val="24"/>
          <w:szCs w:val="24"/>
        </w:rPr>
        <w:t xml:space="preserve"> 15 del Acuerdo Distrital 637 de 2016 el cual modifica el artículo 52 del Acuerdo Distrital 257 de 2006</w:t>
      </w:r>
      <w:r w:rsidRPr="00DC3046">
        <w:rPr>
          <w:rFonts w:ascii="Garamond" w:hAnsi="Garamond" w:cs="Arial"/>
          <w:bCs/>
          <w:color w:val="000000"/>
          <w:sz w:val="24"/>
          <w:szCs w:val="24"/>
        </w:rPr>
        <w:t xml:space="preserve">, que a su tenor literal nos indica </w:t>
      </w:r>
      <w:r w:rsidRPr="00DC3046">
        <w:rPr>
          <w:rFonts w:ascii="Garamond" w:hAnsi="Garamond" w:cs="Arial"/>
          <w:bCs/>
          <w:i/>
          <w:color w:val="000000"/>
          <w:sz w:val="24"/>
          <w:szCs w:val="24"/>
        </w:rPr>
        <w:t>“La Secretaría Distrital de Gobierno es un organismo del Sector Central con autonomía administrativa y financiera que tiene por objeto orientar y liderar la formulación y seguimiento de las políticas encaminadas al fortalecimiento de la gobernabilidad democrática en el ámbito distrital y local, mediante la garantía de los derechos humanos y constitucionales, la convivencia pacífica, el ejercicio de la ciudadanía, la promoción de la paz y la cultura democrática, el uso del espacio público, la promoción de la organización y de la participación ciudadana y la coordinación de las relaciones políticas de la Administración Distrital en sus distintos niveles.”</w:t>
      </w:r>
    </w:p>
    <w:p w14:paraId="4505265A" w14:textId="77777777" w:rsidR="005725B4" w:rsidRDefault="005725B4" w:rsidP="002A4BF2">
      <w:pPr>
        <w:pStyle w:val="Standard"/>
        <w:autoSpaceDE w:val="0"/>
        <w:ind w:left="993" w:right="474"/>
        <w:jc w:val="both"/>
        <w:rPr>
          <w:rFonts w:ascii="Garamond" w:hAnsi="Garamond" w:cs="Arial"/>
          <w:bCs/>
          <w:color w:val="000000"/>
          <w:sz w:val="24"/>
          <w:szCs w:val="24"/>
        </w:rPr>
      </w:pPr>
    </w:p>
    <w:p w14:paraId="768F7A55" w14:textId="77777777" w:rsidR="005725B4" w:rsidRDefault="005725B4" w:rsidP="002A4BF2">
      <w:pPr>
        <w:pStyle w:val="Standard"/>
        <w:autoSpaceDE w:val="0"/>
        <w:ind w:left="993" w:right="474"/>
        <w:jc w:val="both"/>
        <w:rPr>
          <w:rFonts w:ascii="Garamond" w:hAnsi="Garamond" w:cs="Arial"/>
          <w:bCs/>
          <w:color w:val="000000"/>
          <w:sz w:val="24"/>
          <w:szCs w:val="24"/>
        </w:rPr>
      </w:pPr>
      <w:r w:rsidRPr="006D4438">
        <w:rPr>
          <w:rFonts w:ascii="Garamond" w:hAnsi="Garamond" w:cs="Arial"/>
          <w:bCs/>
          <w:i/>
          <w:color w:val="000000"/>
          <w:sz w:val="24"/>
          <w:szCs w:val="24"/>
        </w:rPr>
        <w:t xml:space="preserve">Es así que la Alcaldía Local tiene como misión “ser una dependencia de la Secretaría Distrital de Gobierno responsable de apoyar la ejecución de las competencias asignadas a los Alcaldes o Alcaldesas Locales. En este sentido, deberán coordinar la acción del Distrito en las localidades y participar en la definición de las políticas de promoción y gestión del desarrollo de su territorio. Asimismo, fomentar la organización de las comunidades, la participación ciudadana en los procesos de la gestión pública, la promoción de la convivencia y la resolución de conflictos.”. </w:t>
      </w:r>
    </w:p>
    <w:p w14:paraId="4B9B738E" w14:textId="77777777" w:rsidR="005725B4" w:rsidRDefault="005725B4" w:rsidP="002A4BF2">
      <w:pPr>
        <w:pStyle w:val="Standard"/>
        <w:autoSpaceDE w:val="0"/>
        <w:ind w:left="993" w:right="474"/>
        <w:jc w:val="both"/>
        <w:rPr>
          <w:rFonts w:ascii="Garamond" w:hAnsi="Garamond" w:cs="Arial"/>
          <w:bCs/>
          <w:color w:val="000000"/>
          <w:sz w:val="24"/>
          <w:szCs w:val="24"/>
        </w:rPr>
      </w:pPr>
    </w:p>
    <w:p w14:paraId="6E2BD602" w14:textId="77777777" w:rsidR="005725B4" w:rsidRDefault="005725B4" w:rsidP="002A4BF2">
      <w:pPr>
        <w:pStyle w:val="Standard"/>
        <w:autoSpaceDE w:val="0"/>
        <w:ind w:left="993" w:right="474"/>
        <w:jc w:val="both"/>
        <w:rPr>
          <w:rFonts w:ascii="Garamond" w:hAnsi="Garamond" w:cs="Arial"/>
          <w:bCs/>
          <w:color w:val="000000"/>
          <w:sz w:val="24"/>
          <w:szCs w:val="24"/>
        </w:rPr>
      </w:pPr>
      <w:r w:rsidRPr="00DC3046">
        <w:rPr>
          <w:rFonts w:ascii="Garamond" w:hAnsi="Garamond" w:cs="Garamond"/>
          <w:sz w:val="24"/>
          <w:szCs w:val="24"/>
        </w:rPr>
        <w:t>Dentro de las funciones básicas de la Secretaría Distrital de Gobierno</w:t>
      </w:r>
      <w:r>
        <w:rPr>
          <w:rFonts w:ascii="Garamond" w:hAnsi="Garamond" w:cs="Garamond"/>
          <w:sz w:val="24"/>
          <w:szCs w:val="24"/>
        </w:rPr>
        <w:t xml:space="preserve"> </w:t>
      </w:r>
      <w:r w:rsidRPr="00DC3046">
        <w:rPr>
          <w:rFonts w:ascii="Garamond" w:hAnsi="Garamond" w:cs="Garamond"/>
          <w:sz w:val="24"/>
          <w:szCs w:val="24"/>
        </w:rPr>
        <w:t>se encuentran</w:t>
      </w:r>
      <w:r>
        <w:rPr>
          <w:rFonts w:ascii="Garamond" w:hAnsi="Garamond" w:cs="Garamond"/>
          <w:color w:val="808080" w:themeColor="background1" w:themeShade="80"/>
          <w:sz w:val="24"/>
          <w:szCs w:val="24"/>
        </w:rPr>
        <w:t>:</w:t>
      </w:r>
    </w:p>
    <w:p w14:paraId="6E79EC6E" w14:textId="77777777" w:rsidR="005725B4" w:rsidRDefault="005725B4" w:rsidP="002A4BF2">
      <w:pPr>
        <w:pStyle w:val="Standard"/>
        <w:autoSpaceDE w:val="0"/>
        <w:ind w:left="993" w:right="474"/>
        <w:jc w:val="both"/>
        <w:rPr>
          <w:rFonts w:ascii="Garamond" w:hAnsi="Garamond" w:cstheme="minorHAnsi"/>
          <w:i/>
          <w:iCs/>
          <w:sz w:val="24"/>
          <w:szCs w:val="24"/>
        </w:rPr>
      </w:pPr>
    </w:p>
    <w:p w14:paraId="073CC3AE" w14:textId="77777777" w:rsidR="005725B4" w:rsidRDefault="005725B4" w:rsidP="003A1825">
      <w:pPr>
        <w:pStyle w:val="Standard"/>
        <w:numPr>
          <w:ilvl w:val="0"/>
          <w:numId w:val="4"/>
        </w:numPr>
        <w:autoSpaceDE w:val="0"/>
        <w:ind w:right="474"/>
        <w:jc w:val="both"/>
        <w:rPr>
          <w:rFonts w:ascii="Garamond" w:hAnsi="Garamond" w:cs="Arial"/>
          <w:bCs/>
          <w:color w:val="000000"/>
          <w:sz w:val="24"/>
          <w:szCs w:val="24"/>
        </w:rPr>
      </w:pPr>
      <w:r w:rsidRPr="0034234E">
        <w:rPr>
          <w:rFonts w:ascii="Garamond" w:hAnsi="Garamond" w:cstheme="minorHAnsi"/>
          <w:i/>
          <w:iCs/>
          <w:sz w:val="24"/>
          <w:szCs w:val="24"/>
        </w:rPr>
        <w:t xml:space="preserve">Liderar, orientar y coordinar la formulación, adopción y ejecución de políticas, planes, programas y proyectos dirigidos a garantizar el respeto de los derechos humanos y la convivencia pacífica en la ciudad. </w:t>
      </w:r>
    </w:p>
    <w:p w14:paraId="19152735" w14:textId="77777777" w:rsidR="005725B4" w:rsidRDefault="005725B4" w:rsidP="003A1825">
      <w:pPr>
        <w:pStyle w:val="Standard"/>
        <w:numPr>
          <w:ilvl w:val="0"/>
          <w:numId w:val="4"/>
        </w:numPr>
        <w:autoSpaceDE w:val="0"/>
        <w:ind w:right="474"/>
        <w:jc w:val="both"/>
        <w:rPr>
          <w:rFonts w:ascii="Garamond" w:hAnsi="Garamond" w:cs="Arial"/>
          <w:bCs/>
          <w:color w:val="000000"/>
          <w:sz w:val="24"/>
          <w:szCs w:val="24"/>
        </w:rPr>
      </w:pPr>
      <w:r w:rsidRPr="005725B4">
        <w:rPr>
          <w:rFonts w:ascii="Garamond" w:hAnsi="Garamond" w:cstheme="minorHAnsi"/>
          <w:i/>
          <w:iCs/>
          <w:sz w:val="24"/>
          <w:szCs w:val="24"/>
        </w:rPr>
        <w:t>Liderar, orientar y coordinar la formulación, adopción y ejecución de políticas, planes, programas y proyectos necesarios para el mejoramiento de la gestión pública local y la consolidación de los procesos de la gobernabilidad local.</w:t>
      </w:r>
    </w:p>
    <w:p w14:paraId="1A47D33C" w14:textId="77777777" w:rsidR="005725B4" w:rsidRDefault="005725B4" w:rsidP="003A1825">
      <w:pPr>
        <w:pStyle w:val="Standard"/>
        <w:numPr>
          <w:ilvl w:val="0"/>
          <w:numId w:val="4"/>
        </w:numPr>
        <w:autoSpaceDE w:val="0"/>
        <w:ind w:right="474"/>
        <w:jc w:val="both"/>
        <w:rPr>
          <w:rFonts w:ascii="Garamond" w:hAnsi="Garamond" w:cs="Arial"/>
          <w:bCs/>
          <w:color w:val="000000"/>
          <w:sz w:val="24"/>
          <w:szCs w:val="24"/>
        </w:rPr>
      </w:pPr>
      <w:r w:rsidRPr="005725B4">
        <w:rPr>
          <w:rFonts w:ascii="Garamond" w:hAnsi="Garamond" w:cstheme="minorHAnsi"/>
          <w:i/>
          <w:iCs/>
          <w:sz w:val="24"/>
          <w:szCs w:val="24"/>
        </w:rPr>
        <w:t xml:space="preserve">Liderar, orientar y coordinar la formulación, adopción y ejecución de políticas, planes programas y proyectos dirigidos a la promoción, desarrollo y organización de las iniciativas y procesos ciudadanos solidarios para la atención de las poblaciones vulnerables desde la perspectiva de la garantía de derechos. Coordinar las relaciones políticas de la Administración Distrital con las corporaciones públicas de elección popular y los gobiernos en los niveles local, distrital, regional y nacional. </w:t>
      </w:r>
    </w:p>
    <w:p w14:paraId="3B9B2241" w14:textId="77777777" w:rsidR="005725B4" w:rsidRDefault="005725B4" w:rsidP="003A1825">
      <w:pPr>
        <w:pStyle w:val="Standard"/>
        <w:numPr>
          <w:ilvl w:val="0"/>
          <w:numId w:val="4"/>
        </w:numPr>
        <w:autoSpaceDE w:val="0"/>
        <w:ind w:right="474"/>
        <w:jc w:val="both"/>
        <w:rPr>
          <w:rFonts w:ascii="Garamond" w:hAnsi="Garamond" w:cs="Arial"/>
          <w:bCs/>
          <w:color w:val="000000"/>
          <w:sz w:val="24"/>
          <w:szCs w:val="24"/>
        </w:rPr>
      </w:pPr>
      <w:r w:rsidRPr="005725B4">
        <w:rPr>
          <w:rFonts w:ascii="Garamond" w:hAnsi="Garamond" w:cstheme="minorHAnsi"/>
          <w:i/>
          <w:iCs/>
          <w:sz w:val="24"/>
          <w:szCs w:val="24"/>
        </w:rPr>
        <w:t xml:space="preserve">Liderar, orientar y coordinar la formulación, adopción y ejecución de políticas, planes, programas y proyectos orientados a la promoción y garantía de los derechos, deberes y libertades individuales y colectivas de las comunidades étnicas residentes en Bogotá D.C. </w:t>
      </w:r>
    </w:p>
    <w:p w14:paraId="3BE3A7FE" w14:textId="091EF63C" w:rsidR="005725B4" w:rsidRPr="005725B4" w:rsidRDefault="005725B4" w:rsidP="003A1825">
      <w:pPr>
        <w:pStyle w:val="Standard"/>
        <w:numPr>
          <w:ilvl w:val="0"/>
          <w:numId w:val="4"/>
        </w:numPr>
        <w:autoSpaceDE w:val="0"/>
        <w:ind w:right="474"/>
        <w:jc w:val="both"/>
        <w:rPr>
          <w:rFonts w:ascii="Garamond" w:hAnsi="Garamond" w:cs="Arial"/>
          <w:bCs/>
          <w:color w:val="000000"/>
          <w:sz w:val="24"/>
          <w:szCs w:val="24"/>
        </w:rPr>
      </w:pPr>
      <w:r w:rsidRPr="005725B4">
        <w:rPr>
          <w:rFonts w:ascii="Garamond" w:hAnsi="Garamond" w:cstheme="minorHAnsi"/>
          <w:i/>
          <w:iCs/>
          <w:sz w:val="24"/>
          <w:szCs w:val="24"/>
        </w:rPr>
        <w:t>Liderar, orientar y vigilar la defensa y protección de los derechos constitucionales de los ciudadanos en todo el territorio distrital. Coordinar con las Secretarías del Distrito y las Alcaldías Locales la formulación y adopción de políticas, planes, programas y proyectos de acuerdo con sus funciones.</w:t>
      </w:r>
    </w:p>
    <w:p w14:paraId="27B09C02" w14:textId="77777777" w:rsidR="005725B4" w:rsidRDefault="005725B4" w:rsidP="002A4BF2">
      <w:pPr>
        <w:pStyle w:val="Standard"/>
        <w:autoSpaceDE w:val="0"/>
        <w:jc w:val="both"/>
        <w:rPr>
          <w:rFonts w:ascii="Garamond" w:hAnsi="Garamond" w:cstheme="minorHAnsi"/>
          <w:i/>
          <w:iCs/>
          <w:sz w:val="24"/>
          <w:szCs w:val="24"/>
        </w:rPr>
      </w:pPr>
    </w:p>
    <w:p w14:paraId="7742B766" w14:textId="77777777" w:rsidR="00037B06" w:rsidRPr="002C58C2" w:rsidRDefault="00037B06" w:rsidP="00304DB4">
      <w:pPr>
        <w:pStyle w:val="Standard"/>
        <w:ind w:left="993" w:right="375"/>
        <w:jc w:val="both"/>
        <w:rPr>
          <w:rFonts w:ascii="Garamond" w:hAnsi="Garamond" w:cs="Segoe UI"/>
          <w:color w:val="121212"/>
          <w:sz w:val="24"/>
          <w:szCs w:val="24"/>
          <w:shd w:val="clear" w:color="auto" w:fill="FFFFFF"/>
        </w:rPr>
      </w:pPr>
      <w:r w:rsidRPr="00DC3046">
        <w:rPr>
          <w:rFonts w:ascii="Garamond" w:hAnsi="Garamond" w:cs="Arial"/>
          <w:color w:val="000000"/>
          <w:sz w:val="24"/>
          <w:szCs w:val="24"/>
        </w:rPr>
        <w:t xml:space="preserve">Que el Plan de Desarrollo Económico, Social, Ambiental y de Obras </w:t>
      </w:r>
      <w:r w:rsidRPr="00AB6CF4">
        <w:rPr>
          <w:rFonts w:ascii="Garamond" w:hAnsi="Garamond" w:cs="Arial"/>
          <w:sz w:val="24"/>
          <w:szCs w:val="24"/>
        </w:rPr>
        <w:t xml:space="preserve">Públicas </w:t>
      </w:r>
      <w:r>
        <w:rPr>
          <w:rFonts w:ascii="Garamond" w:hAnsi="Garamond" w:cs="Arial"/>
          <w:color w:val="000000"/>
          <w:sz w:val="24"/>
          <w:szCs w:val="24"/>
        </w:rPr>
        <w:t>del Distrito capital 2024 - 2027</w:t>
      </w:r>
      <w:r w:rsidRPr="00DC3046">
        <w:rPr>
          <w:rFonts w:ascii="Garamond" w:hAnsi="Garamond" w:cs="Arial"/>
          <w:color w:val="000000"/>
          <w:sz w:val="24"/>
          <w:szCs w:val="24"/>
        </w:rPr>
        <w:t xml:space="preserve"> “</w:t>
      </w:r>
      <w:r w:rsidRPr="00AB6CF4">
        <w:rPr>
          <w:rFonts w:ascii="Garamond" w:hAnsi="Garamond" w:cs="Arial"/>
          <w:i/>
          <w:color w:val="000000"/>
          <w:sz w:val="24"/>
          <w:szCs w:val="24"/>
        </w:rPr>
        <w:t>Bogotá Camina Segura</w:t>
      </w:r>
      <w:r w:rsidRPr="00DC3046">
        <w:rPr>
          <w:rFonts w:ascii="Garamond" w:hAnsi="Garamond" w:cs="Arial"/>
          <w:color w:val="000000"/>
          <w:sz w:val="24"/>
          <w:szCs w:val="24"/>
        </w:rPr>
        <w:t>” como política pública referente de las acciones de la Administración Distrital en el cuatrienio q</w:t>
      </w:r>
      <w:r>
        <w:rPr>
          <w:rFonts w:ascii="Garamond" w:hAnsi="Garamond" w:cs="Arial"/>
          <w:color w:val="000000"/>
          <w:sz w:val="24"/>
          <w:szCs w:val="24"/>
        </w:rPr>
        <w:t>ue comprende desde junio de 2024 hasta junio de 2027</w:t>
      </w:r>
      <w:r w:rsidRPr="00DC3046">
        <w:rPr>
          <w:rFonts w:ascii="Garamond" w:hAnsi="Garamond" w:cs="Arial"/>
          <w:color w:val="000000"/>
          <w:sz w:val="24"/>
          <w:szCs w:val="24"/>
        </w:rPr>
        <w:t>, contempla dentro de</w:t>
      </w:r>
      <w:r w:rsidRPr="002C58C2">
        <w:rPr>
          <w:rFonts w:ascii="Garamond" w:hAnsi="Garamond" w:cs="Segoe UI"/>
          <w:color w:val="121212"/>
          <w:sz w:val="24"/>
          <w:szCs w:val="24"/>
          <w:shd w:val="clear" w:color="auto" w:fill="FFFFFF"/>
        </w:rPr>
        <w:t xml:space="preserve"> su CAPIT</w:t>
      </w:r>
      <w:r>
        <w:rPr>
          <w:rFonts w:ascii="Garamond" w:hAnsi="Garamond" w:cs="Segoe UI"/>
          <w:color w:val="121212"/>
          <w:sz w:val="24"/>
          <w:szCs w:val="24"/>
          <w:shd w:val="clear" w:color="auto" w:fill="FFFFFF"/>
        </w:rPr>
        <w:t>ULO II BOGOTÁ CONFIA EN SU BIEN-</w:t>
      </w:r>
      <w:r w:rsidRPr="002C58C2">
        <w:rPr>
          <w:rFonts w:ascii="Garamond" w:hAnsi="Garamond" w:cs="Segoe UI"/>
          <w:color w:val="121212"/>
          <w:sz w:val="24"/>
          <w:szCs w:val="24"/>
          <w:shd w:val="clear" w:color="auto" w:fill="FFFFFF"/>
        </w:rPr>
        <w:t xml:space="preserve">ESTAR en su Artículo 41 </w:t>
      </w:r>
      <w:r w:rsidRPr="002C58C2">
        <w:rPr>
          <w:rFonts w:ascii="Garamond" w:hAnsi="Garamond" w:cs="Segoe UI"/>
          <w:i/>
          <w:color w:val="121212"/>
          <w:sz w:val="24"/>
          <w:szCs w:val="24"/>
          <w:shd w:val="clear" w:color="auto" w:fill="FFFFFF"/>
        </w:rPr>
        <w:t xml:space="preserve">Implementación y seguimiento de los Objetivos de Desarrollo Sostenible -ODS-, </w:t>
      </w:r>
      <w:r w:rsidRPr="002C58C2">
        <w:rPr>
          <w:rFonts w:ascii="Garamond" w:hAnsi="Garamond" w:cs="Segoe UI"/>
          <w:color w:val="121212"/>
          <w:sz w:val="24"/>
          <w:szCs w:val="24"/>
          <w:shd w:val="clear" w:color="auto" w:fill="FFFFFF"/>
        </w:rPr>
        <w:t xml:space="preserve">la </w:t>
      </w:r>
      <w:r>
        <w:rPr>
          <w:rFonts w:ascii="Garamond" w:hAnsi="Garamond" w:cs="Segoe UI"/>
          <w:color w:val="121212"/>
          <w:sz w:val="24"/>
          <w:szCs w:val="24"/>
          <w:shd w:val="clear" w:color="auto" w:fill="FFFFFF"/>
        </w:rPr>
        <w:t>visibilización de</w:t>
      </w:r>
      <w:r w:rsidRPr="002C58C2">
        <w:rPr>
          <w:rFonts w:ascii="Garamond" w:hAnsi="Garamond" w:cs="Segoe UI"/>
          <w:color w:val="121212"/>
          <w:sz w:val="24"/>
          <w:szCs w:val="24"/>
          <w:shd w:val="clear" w:color="auto" w:fill="FFFFFF"/>
        </w:rPr>
        <w:t xml:space="preserve"> los </w:t>
      </w:r>
      <w:r w:rsidRPr="002C58C2">
        <w:rPr>
          <w:rFonts w:ascii="Garamond" w:hAnsi="Garamond" w:cs="Segoe UI"/>
          <w:color w:val="121212"/>
          <w:sz w:val="24"/>
          <w:szCs w:val="24"/>
          <w:shd w:val="clear" w:color="auto" w:fill="FFFFFF"/>
        </w:rPr>
        <w:lastRenderedPageBreak/>
        <w:t>Objetivos de Desarrollo Sostenible proponiendo el cumplimiento de los lineamientos contenidos en el Documento CONPES 3918 en avance de la Agenda 2030 para el Desarrollo Sostenible.</w:t>
      </w:r>
    </w:p>
    <w:p w14:paraId="5582B006" w14:textId="77777777" w:rsidR="00037B06" w:rsidRDefault="00037B06" w:rsidP="00304DB4">
      <w:pPr>
        <w:pStyle w:val="Standard"/>
        <w:autoSpaceDE w:val="0"/>
        <w:ind w:left="993" w:right="375"/>
        <w:jc w:val="both"/>
        <w:rPr>
          <w:rFonts w:ascii="Garamond" w:hAnsi="Garamond" w:cs="Segoe UI"/>
          <w:color w:val="121212"/>
          <w:sz w:val="24"/>
          <w:szCs w:val="24"/>
          <w:shd w:val="clear" w:color="auto" w:fill="FFFFFF"/>
        </w:rPr>
      </w:pPr>
    </w:p>
    <w:p w14:paraId="11A7CCA5" w14:textId="77777777" w:rsidR="00037B06" w:rsidRDefault="00037B06" w:rsidP="00304DB4">
      <w:pPr>
        <w:pStyle w:val="Standard"/>
        <w:autoSpaceDE w:val="0"/>
        <w:ind w:left="993" w:right="375"/>
        <w:jc w:val="both"/>
        <w:rPr>
          <w:rFonts w:ascii="Garamond" w:hAnsi="Garamond" w:cs="Segoe UI"/>
          <w:color w:val="121212"/>
          <w:sz w:val="24"/>
          <w:szCs w:val="24"/>
          <w:shd w:val="clear" w:color="auto" w:fill="FFFFFF"/>
        </w:rPr>
      </w:pPr>
      <w:r w:rsidRPr="000910C2">
        <w:rPr>
          <w:rFonts w:ascii="Garamond" w:hAnsi="Garamond" w:cs="Segoe UI"/>
          <w:color w:val="121212"/>
          <w:sz w:val="24"/>
          <w:szCs w:val="24"/>
          <w:shd w:val="clear" w:color="auto" w:fill="FFFFFF"/>
        </w:rPr>
        <w:t xml:space="preserve">El </w:t>
      </w:r>
      <w:r w:rsidRPr="000910C2">
        <w:rPr>
          <w:rFonts w:ascii="Garamond" w:hAnsi="Garamond" w:cs="Segoe UI"/>
          <w:i/>
          <w:color w:val="121212"/>
          <w:sz w:val="24"/>
          <w:szCs w:val="24"/>
          <w:shd w:val="clear" w:color="auto" w:fill="FFFFFF"/>
        </w:rPr>
        <w:t>OBJETIVO ESTRATÉGICO “BOGOTÁ CONFÍA EN SU POTENCIAL</w:t>
      </w:r>
      <w:r w:rsidRPr="000910C2">
        <w:rPr>
          <w:rFonts w:ascii="Garamond" w:hAnsi="Garamond" w:cs="Segoe UI"/>
          <w:color w:val="121212"/>
          <w:sz w:val="24"/>
          <w:szCs w:val="24"/>
          <w:shd w:val="clear" w:color="auto" w:fill="FFFFFF"/>
        </w:rPr>
        <w:t>” coopera con el</w:t>
      </w:r>
      <w:r>
        <w:rPr>
          <w:rFonts w:ascii="Garamond" w:hAnsi="Garamond" w:cs="Segoe UI"/>
          <w:color w:val="121212"/>
          <w:sz w:val="24"/>
          <w:szCs w:val="24"/>
          <w:shd w:val="clear" w:color="auto" w:fill="FFFFFF"/>
        </w:rPr>
        <w:t xml:space="preserve"> cumplimiento </w:t>
      </w:r>
      <w:r w:rsidRPr="000910C2">
        <w:rPr>
          <w:rFonts w:ascii="Garamond" w:hAnsi="Garamond" w:cs="Segoe UI"/>
          <w:b/>
          <w:i/>
          <w:color w:val="121212"/>
          <w:sz w:val="24"/>
          <w:szCs w:val="24"/>
          <w:u w:val="single"/>
          <w:shd w:val="clear" w:color="auto" w:fill="FFFFFF"/>
        </w:rPr>
        <w:t>ODS 9. Construir infraestructuras resilientes,</w:t>
      </w:r>
      <w:r>
        <w:rPr>
          <w:rFonts w:ascii="Garamond" w:hAnsi="Garamond" w:cs="Segoe UI"/>
          <w:color w:val="121212"/>
          <w:sz w:val="24"/>
          <w:szCs w:val="24"/>
          <w:shd w:val="clear" w:color="auto" w:fill="FFFFFF"/>
        </w:rPr>
        <w:t xml:space="preserve"> </w:t>
      </w:r>
      <w:r w:rsidRPr="000910C2">
        <w:rPr>
          <w:rFonts w:ascii="Garamond" w:hAnsi="Garamond" w:cs="Segoe UI"/>
          <w:i/>
          <w:color w:val="121212"/>
          <w:sz w:val="24"/>
          <w:szCs w:val="24"/>
          <w:shd w:val="clear" w:color="auto" w:fill="FFFFFF"/>
        </w:rPr>
        <w:t>promover la industrialización inclusiva y sostenible y fomentar la innovación</w:t>
      </w:r>
      <w:r>
        <w:rPr>
          <w:rFonts w:ascii="Garamond" w:hAnsi="Garamond" w:cs="Segoe UI"/>
          <w:color w:val="121212"/>
          <w:sz w:val="24"/>
          <w:szCs w:val="24"/>
          <w:shd w:val="clear" w:color="auto" w:fill="FFFFFF"/>
        </w:rPr>
        <w:t>, y el cual encamina el presente proceso de contratación a cooperar con su cumplimiento de conformidad con lo requerido por</w:t>
      </w:r>
      <w:r w:rsidRPr="004A10E8">
        <w:rPr>
          <w:rFonts w:ascii="Garamond" w:hAnsi="Garamond" w:cs="Segoe UI"/>
          <w:color w:val="121212"/>
          <w:sz w:val="24"/>
          <w:szCs w:val="24"/>
          <w:shd w:val="clear" w:color="auto" w:fill="FFFFFF"/>
        </w:rPr>
        <w:t xml:space="preserve"> </w:t>
      </w:r>
      <w:r w:rsidRPr="002C58C2">
        <w:rPr>
          <w:rFonts w:ascii="Garamond" w:hAnsi="Garamond" w:cs="Segoe UI"/>
          <w:color w:val="121212"/>
          <w:sz w:val="24"/>
          <w:szCs w:val="24"/>
          <w:shd w:val="clear" w:color="auto" w:fill="FFFFFF"/>
        </w:rPr>
        <w:t>el Documento CONPES 3918</w:t>
      </w:r>
      <w:r>
        <w:rPr>
          <w:rFonts w:ascii="Garamond" w:hAnsi="Garamond" w:cs="Segoe UI"/>
          <w:color w:val="121212"/>
          <w:sz w:val="24"/>
          <w:szCs w:val="24"/>
          <w:shd w:val="clear" w:color="auto" w:fill="FFFFFF"/>
        </w:rPr>
        <w:t>.</w:t>
      </w:r>
    </w:p>
    <w:p w14:paraId="6D629015" w14:textId="77777777" w:rsidR="00037B06" w:rsidRPr="0034234E" w:rsidRDefault="00037B06" w:rsidP="00304DB4">
      <w:pPr>
        <w:pStyle w:val="Standard"/>
        <w:autoSpaceDE w:val="0"/>
        <w:ind w:left="993" w:right="375"/>
        <w:jc w:val="both"/>
        <w:rPr>
          <w:rFonts w:ascii="Garamond" w:hAnsi="Garamond" w:cstheme="minorHAnsi"/>
          <w:i/>
          <w:iCs/>
          <w:sz w:val="24"/>
          <w:szCs w:val="24"/>
        </w:rPr>
      </w:pPr>
    </w:p>
    <w:p w14:paraId="793E7408" w14:textId="77777777" w:rsidR="00037B06" w:rsidRPr="00037B06" w:rsidRDefault="00037B06" w:rsidP="00304DB4">
      <w:pPr>
        <w:pStyle w:val="Standard"/>
        <w:ind w:left="993" w:right="375"/>
        <w:jc w:val="both"/>
        <w:rPr>
          <w:rFonts w:ascii="Garamond" w:hAnsi="Garamond" w:cs="Garamond"/>
          <w:sz w:val="24"/>
          <w:szCs w:val="24"/>
        </w:rPr>
      </w:pPr>
      <w:r w:rsidRPr="0028774F">
        <w:rPr>
          <w:rFonts w:ascii="Garamond" w:hAnsi="Garamond" w:cs="Garamond"/>
          <w:sz w:val="24"/>
          <w:szCs w:val="24"/>
        </w:rPr>
        <w:t xml:space="preserve">En concordancia con el marco normativo de la planeación distrital, esta Entidad reconoce que el Plan </w:t>
      </w:r>
      <w:r w:rsidRPr="00037B06">
        <w:rPr>
          <w:rFonts w:ascii="Garamond" w:hAnsi="Garamond" w:cs="Garamond"/>
          <w:sz w:val="24"/>
          <w:szCs w:val="24"/>
        </w:rPr>
        <w:t>de Desarrollo Distrital “</w:t>
      </w:r>
      <w:r w:rsidRPr="00037B06">
        <w:rPr>
          <w:rFonts w:ascii="Garamond" w:hAnsi="Garamond" w:cs="Garamond"/>
          <w:i/>
          <w:sz w:val="24"/>
          <w:szCs w:val="24"/>
        </w:rPr>
        <w:t>Bogotá Camina Segura</w:t>
      </w:r>
      <w:r w:rsidRPr="00037B06">
        <w:rPr>
          <w:rFonts w:ascii="Garamond" w:hAnsi="Garamond" w:cs="Garamond"/>
          <w:sz w:val="24"/>
          <w:szCs w:val="24"/>
        </w:rPr>
        <w:t>”, adoptado mediante el Acuerdo 927 de 2024, constituye el instrumento de planeación de mayor jerarquía en el Distrito Capital, del cual derivan las políticas, programas, metas y estrategias que orientan la acción pública en los diferentes niveles territoriales, así como las metas que se ejecutarán mediante el presente proceso. En ese sentido, el Plan de Desarrollo Local de Antonio Nariño, adoptado mediante el Acuerdo Local 003 de 2024, se formula en armonía con dicho instrumento superior, asegurando la coherencia entre las metas locales y los objetivos distritales definidos en el PDD. Por lo tanto, las metas e inversiones locales que sustentan el presente proceso contractual derivan directamente del Plan de Desarrollo Distrital “</w:t>
      </w:r>
      <w:r w:rsidRPr="00037B06">
        <w:rPr>
          <w:rFonts w:ascii="Garamond" w:hAnsi="Garamond" w:cs="Garamond"/>
          <w:i/>
          <w:sz w:val="24"/>
          <w:szCs w:val="24"/>
        </w:rPr>
        <w:t>Bogotá Camina Segura</w:t>
      </w:r>
      <w:r w:rsidRPr="00037B06">
        <w:rPr>
          <w:rFonts w:ascii="Garamond" w:hAnsi="Garamond" w:cs="Garamond"/>
          <w:sz w:val="24"/>
          <w:szCs w:val="24"/>
        </w:rPr>
        <w:t xml:space="preserve">”, garantizando la articulación vertical del Sistema de Planeación Distrital y el cumplimiento del principio de coherencia previsto en el Decreto Distrital 612 de 2019 y demás normas aplicables en materia de planeación territorial y presupuestal. </w:t>
      </w:r>
    </w:p>
    <w:p w14:paraId="6BF6413A" w14:textId="77777777" w:rsidR="00037B06" w:rsidRPr="00037B06" w:rsidRDefault="00037B06" w:rsidP="00304DB4">
      <w:pPr>
        <w:pStyle w:val="Standard"/>
        <w:ind w:left="993" w:right="375"/>
        <w:jc w:val="both"/>
        <w:rPr>
          <w:rFonts w:ascii="Garamond" w:hAnsi="Garamond" w:cs="Garamond"/>
          <w:sz w:val="24"/>
          <w:szCs w:val="24"/>
        </w:rPr>
      </w:pPr>
    </w:p>
    <w:p w14:paraId="613144AE" w14:textId="77777777" w:rsidR="00037B06" w:rsidRPr="00037B06" w:rsidRDefault="00037B06" w:rsidP="00304DB4">
      <w:pPr>
        <w:spacing w:after="0" w:line="240" w:lineRule="auto"/>
        <w:ind w:left="993" w:right="375"/>
        <w:jc w:val="both"/>
        <w:rPr>
          <w:rFonts w:ascii="Garamond" w:hAnsi="Garamond" w:cs="Garamond"/>
          <w:sz w:val="24"/>
          <w:szCs w:val="24"/>
        </w:rPr>
      </w:pPr>
      <w:r w:rsidRPr="00037B06">
        <w:rPr>
          <w:rFonts w:ascii="Garamond" w:hAnsi="Garamond" w:cs="Garamond"/>
          <w:sz w:val="24"/>
          <w:szCs w:val="24"/>
        </w:rPr>
        <w:t>Que, el Plan de Desarrollo Local de Antonio Nariño, adoptado mediante el Acuerdo Local 003 de 2024, en concordancia con el Plan de Desarrollo Distrital “</w:t>
      </w:r>
      <w:r w:rsidRPr="00037B06">
        <w:rPr>
          <w:rFonts w:ascii="Garamond" w:hAnsi="Garamond" w:cs="Garamond"/>
          <w:i/>
          <w:sz w:val="24"/>
          <w:szCs w:val="24"/>
        </w:rPr>
        <w:t>Bogotá Camina Segura</w:t>
      </w:r>
      <w:r w:rsidRPr="00037B06">
        <w:rPr>
          <w:rFonts w:ascii="Garamond" w:hAnsi="Garamond" w:cs="Garamond"/>
          <w:sz w:val="24"/>
          <w:szCs w:val="24"/>
        </w:rPr>
        <w:t xml:space="preserve">”, busca mejorar la calidad de vida de los(as) habitantes de la Localidad Antonio Nariño a través de la garantía del ejercicio pleno de los derechos, mediante el fortalecimiento de la </w:t>
      </w:r>
      <w:r w:rsidRPr="00037B06">
        <w:rPr>
          <w:rFonts w:ascii="Garamond" w:hAnsi="Garamond" w:cs="Garamond"/>
          <w:b/>
          <w:sz w:val="24"/>
          <w:szCs w:val="24"/>
          <w:u w:val="single"/>
        </w:rPr>
        <w:t>seguridad</w:t>
      </w:r>
      <w:r w:rsidRPr="00037B06">
        <w:rPr>
          <w:rFonts w:ascii="Garamond" w:hAnsi="Garamond" w:cs="Garamond"/>
          <w:sz w:val="24"/>
          <w:szCs w:val="24"/>
        </w:rPr>
        <w:t>, el bienestar, el potencial, la ordenanza del territorio comprometida con la acción climática y la cohesión entre el gobierno local y la ciudadanía, en donde se tenga inclusión, libertad, igualdad de oportunidades, un acceso más justo a bienes y servicios públicos y un tejido social consolidado en la confianza y la colaboración.</w:t>
      </w:r>
    </w:p>
    <w:p w14:paraId="3A24B5BB" w14:textId="77777777" w:rsidR="00037B06" w:rsidRPr="00037B06" w:rsidRDefault="00037B06" w:rsidP="00304DB4">
      <w:pPr>
        <w:pStyle w:val="Standard"/>
        <w:ind w:left="993" w:right="375"/>
        <w:jc w:val="both"/>
        <w:rPr>
          <w:rFonts w:ascii="Garamond" w:hAnsi="Garamond" w:cs="Garamond"/>
          <w:sz w:val="24"/>
          <w:szCs w:val="24"/>
        </w:rPr>
      </w:pPr>
    </w:p>
    <w:p w14:paraId="2D5C9DB4" w14:textId="77777777" w:rsidR="00037B06" w:rsidRPr="00037B06" w:rsidRDefault="00037B06" w:rsidP="00304DB4">
      <w:pPr>
        <w:pStyle w:val="Standard"/>
        <w:ind w:left="993" w:right="375"/>
        <w:jc w:val="both"/>
        <w:rPr>
          <w:rFonts w:ascii="Garamond" w:hAnsi="Garamond" w:cs="Garamond"/>
          <w:color w:val="FF0000"/>
          <w:sz w:val="24"/>
          <w:szCs w:val="24"/>
        </w:rPr>
      </w:pPr>
      <w:r w:rsidRPr="00037B06">
        <w:rPr>
          <w:rFonts w:ascii="Garamond" w:hAnsi="Garamond" w:cs="Garamond"/>
          <w:sz w:val="24"/>
          <w:szCs w:val="24"/>
        </w:rPr>
        <w:t>Dentro de las funciones básicas de la Alcaldía Local de Antonio Nariño se encuentran:</w:t>
      </w:r>
    </w:p>
    <w:p w14:paraId="551AC2E7" w14:textId="77777777" w:rsidR="00037B06" w:rsidRPr="00037B06" w:rsidRDefault="00037B06" w:rsidP="00304DB4">
      <w:pPr>
        <w:pStyle w:val="Standard"/>
        <w:ind w:left="993" w:right="375"/>
        <w:jc w:val="both"/>
        <w:rPr>
          <w:rFonts w:ascii="Garamond" w:hAnsi="Garamond" w:cs="Garamond"/>
          <w:color w:val="FF0000"/>
          <w:sz w:val="24"/>
          <w:szCs w:val="24"/>
        </w:rPr>
      </w:pPr>
    </w:p>
    <w:p w14:paraId="7EB400D0"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Formular el Plan de Desarrollo Local en el marco de las orientaciones distritales. </w:t>
      </w:r>
    </w:p>
    <w:p w14:paraId="5A903727"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Promover la organización social y estimular la participación ciudadana en los procesos de la gestión pública local en el marco de las orientaciones distritales en la materia. </w:t>
      </w:r>
    </w:p>
    <w:p w14:paraId="69A0BC4A"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Coordinar la ejecución en el territorio de los planes programas y proyectos de las entidades y organismos Distritales que intervienen en la localidad, como complemento al Plan de Desarrollo local, conforme a los lineamientos y orientaciones distritales. </w:t>
      </w:r>
    </w:p>
    <w:p w14:paraId="56645D04"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Desarrollar los procesos asociados a la formulación, ejecución y seguimiento de los proyectos de inversión con cargo a los recursos de los Fondos de Desarrollo Local, cuando la delegación de la facultad de ejecución del gasto recaiga en el alcalde local. </w:t>
      </w:r>
    </w:p>
    <w:p w14:paraId="63513F23"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Promover los procesos y canales de interlocución entre la administración central y las Juntas Administradores (sic) Locales. </w:t>
      </w:r>
    </w:p>
    <w:p w14:paraId="3EF01601"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Coordinar el desarrollo de las acciones de policía de las autoridades locales que operan bajo la orientación control administrativo de la Secretaría Distrital de Gobierno como entidad competente.</w:t>
      </w:r>
    </w:p>
    <w:p w14:paraId="1B88FA9C"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Coordinar el desarrollo de los programas y acciones policivas, tendientes a disminuir y prevenir las contravenciones definidas en la Ley, así como en el trámite y desarrollo del proceso asociado a las infracciones en el ámbito local. </w:t>
      </w:r>
    </w:p>
    <w:p w14:paraId="7102E8C4"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lastRenderedPageBreak/>
        <w:t>Adelantar los trámites y acciones necesarios para el cumplimiento de las normas de policía vigentes sobre protección al consumidor, control de calidad, precios, pesas y medidas. </w:t>
      </w:r>
    </w:p>
    <w:p w14:paraId="17A8ACF4"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Efectuar el control policivo a los establecimientos de comercio conforme a las disposiciones vigentes en materia. </w:t>
      </w:r>
    </w:p>
    <w:p w14:paraId="3CFFC8F5"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Realizar el cobro persuasivo ele las sanciones económicas derivada de la acción policiva de las autoridades a cargo de la Secretaría Distrital de Gobierno y reportar la información a la Secretaría Distrital de Hacienda. </w:t>
      </w:r>
    </w:p>
    <w:p w14:paraId="3BCD414F"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Adelantar el estudio y registro de la personería jurídica de las Juntas de Acción Comunal, Juntas de Vivienda Comunitaria y Asociaciones Comunales de Juntas Domiciliadas en la localidad y demás formas sociales que le competa conforme a la Ley. </w:t>
      </w:r>
    </w:p>
    <w:p w14:paraId="4C4F5987"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Desarrollar los procesos y procedimientos requeridos para apoyar el cumplimiento de las funciones propias o delegadas en los alcaldes locales como autoridad Administrativa, Política y de Policía en lo Local. </w:t>
      </w:r>
    </w:p>
    <w:p w14:paraId="1B2A641D"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Difundir la información relacionada con la gestión local conforme los lineamientos, procesos y procedimientos definidos por la Secretaría. </w:t>
      </w:r>
    </w:p>
    <w:p w14:paraId="444F7EBB"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Atender las peticiones y requerimientos relacionados con asuntos de su competencia. </w:t>
      </w:r>
    </w:p>
    <w:p w14:paraId="38BDAFBD" w14:textId="77777777" w:rsidR="00037B06" w:rsidRPr="00037B06" w:rsidRDefault="00037B06" w:rsidP="003A1825">
      <w:pPr>
        <w:pStyle w:val="Standard"/>
        <w:numPr>
          <w:ilvl w:val="0"/>
          <w:numId w:val="5"/>
        </w:numPr>
        <w:autoSpaceDE w:val="0"/>
        <w:ind w:left="993" w:right="375" w:firstLine="0"/>
        <w:jc w:val="both"/>
        <w:rPr>
          <w:rFonts w:ascii="Garamond" w:hAnsi="Garamond" w:cstheme="minorHAnsi"/>
          <w:i/>
          <w:iCs/>
          <w:sz w:val="24"/>
          <w:szCs w:val="24"/>
        </w:rPr>
      </w:pPr>
      <w:r w:rsidRPr="00037B06">
        <w:rPr>
          <w:rFonts w:ascii="Garamond" w:hAnsi="Garamond" w:cstheme="minorHAnsi"/>
          <w:i/>
          <w:iCs/>
          <w:sz w:val="24"/>
          <w:szCs w:val="24"/>
        </w:rPr>
        <w:t>Las demás funciones asignadas por la ley que correspondan a su naturaleza.</w:t>
      </w:r>
    </w:p>
    <w:p w14:paraId="600BBD66" w14:textId="77777777" w:rsidR="00037B06" w:rsidRPr="00037B06" w:rsidRDefault="00037B06" w:rsidP="00304DB4">
      <w:pPr>
        <w:autoSpaceDE w:val="0"/>
        <w:spacing w:after="0" w:line="240" w:lineRule="auto"/>
        <w:ind w:left="993" w:right="375"/>
        <w:jc w:val="both"/>
        <w:rPr>
          <w:rFonts w:ascii="Garamond" w:hAnsi="Garamond" w:cs="Arial"/>
          <w:sz w:val="24"/>
          <w:szCs w:val="24"/>
        </w:rPr>
      </w:pPr>
    </w:p>
    <w:p w14:paraId="3D6DE6CB" w14:textId="77777777" w:rsidR="00037B06" w:rsidRPr="00037B06" w:rsidRDefault="00037B06" w:rsidP="00304DB4">
      <w:pPr>
        <w:pStyle w:val="Standard"/>
        <w:autoSpaceDE w:val="0"/>
        <w:ind w:left="993" w:right="375"/>
        <w:jc w:val="both"/>
        <w:rPr>
          <w:rFonts w:ascii="Garamond" w:hAnsi="Garamond" w:cstheme="minorHAnsi"/>
          <w:i/>
          <w:iCs/>
          <w:sz w:val="24"/>
          <w:szCs w:val="24"/>
        </w:rPr>
      </w:pPr>
      <w:r w:rsidRPr="00037B06">
        <w:rPr>
          <w:rFonts w:ascii="Garamond" w:hAnsi="Garamond" w:cstheme="minorHAnsi"/>
          <w:sz w:val="24"/>
          <w:szCs w:val="24"/>
        </w:rPr>
        <w:t>Es así como la Alcaldía Local tiene como misión</w:t>
      </w:r>
      <w:r w:rsidRPr="00037B06">
        <w:rPr>
          <w:rFonts w:ascii="Garamond" w:hAnsi="Garamond" w:cstheme="minorHAnsi"/>
          <w:i/>
          <w:iCs/>
          <w:sz w:val="24"/>
          <w:szCs w:val="24"/>
        </w:rPr>
        <w:t xml:space="preserve"> “ser una dependencia de la Secretaría Distrital de Gobierno responsable de apoyar la ejecución de las competencias asignadas a los alcaldes o alcaldesas locales. En este sentido, deberán coordinar la acción del Distrito en las localidades y participar en la definición de las políticas de promoción y gestión del desarrollo de su territorio. Asimismo, fomentar la organización de las comunidades, la participación ciudadana en los procesos de la gestión pública, la promoción de la convivencia y la resolución de conflictos.”. </w:t>
      </w:r>
    </w:p>
    <w:p w14:paraId="3C3BD370" w14:textId="77777777" w:rsidR="00037B06" w:rsidRPr="00037B06" w:rsidRDefault="00037B06" w:rsidP="00304DB4">
      <w:pPr>
        <w:pStyle w:val="Standard"/>
        <w:autoSpaceDE w:val="0"/>
        <w:ind w:left="993" w:right="375"/>
        <w:jc w:val="both"/>
        <w:rPr>
          <w:rFonts w:ascii="Garamond" w:hAnsi="Garamond" w:cs="Arial"/>
          <w:sz w:val="24"/>
          <w:szCs w:val="24"/>
        </w:rPr>
      </w:pPr>
    </w:p>
    <w:p w14:paraId="5E2B336C" w14:textId="677EF101" w:rsidR="00037B06" w:rsidRDefault="00037B06" w:rsidP="00304DB4">
      <w:pPr>
        <w:autoSpaceDE w:val="0"/>
        <w:spacing w:after="0" w:line="240" w:lineRule="auto"/>
        <w:ind w:left="993" w:right="375"/>
        <w:jc w:val="both"/>
        <w:rPr>
          <w:rFonts w:ascii="Garamond" w:hAnsi="Garamond" w:cs="Arial"/>
          <w:i/>
          <w:sz w:val="24"/>
          <w:szCs w:val="24"/>
        </w:rPr>
      </w:pPr>
      <w:r w:rsidRPr="00037B06">
        <w:rPr>
          <w:rFonts w:ascii="Garamond" w:hAnsi="Garamond" w:cs="Arial"/>
          <w:sz w:val="24"/>
          <w:szCs w:val="24"/>
        </w:rPr>
        <w:t>En complemento a lo anterior, el artículo 4° del Decreto Distrital 768 del 2019 “</w:t>
      </w:r>
      <w:r w:rsidRPr="00037B06">
        <w:rPr>
          <w:rFonts w:ascii="Garamond" w:hAnsi="Garamond" w:cs="Arial"/>
          <w:i/>
          <w:sz w:val="24"/>
          <w:szCs w:val="24"/>
        </w:rPr>
        <w:t>por medio del cual se reglamenta el Acuerdo 740 de 2019 y se dictan otras disposiciones”,</w:t>
      </w:r>
      <w:r w:rsidRPr="00037B06">
        <w:rPr>
          <w:rFonts w:ascii="Garamond" w:hAnsi="Garamond" w:cs="Arial"/>
          <w:sz w:val="24"/>
          <w:szCs w:val="24"/>
        </w:rPr>
        <w:t xml:space="preserve"> dispone que “</w:t>
      </w:r>
      <w:r w:rsidRPr="00037B06">
        <w:rPr>
          <w:rFonts w:ascii="Garamond" w:hAnsi="Garamond" w:cs="Arial"/>
          <w:i/>
          <w:sz w:val="24"/>
          <w:szCs w:val="24"/>
        </w:rPr>
        <w:t>la Alcaldía Local es la responsable de formular, ejecutar y hacer seguimiento a los proyectos de inversión en el marco del Plan de Desarrollo Local con cargo a los recursos del respectivo FDL, a través de la elaboración y ejecución del presupuesto, la gestión de proyectos de inversión y procesos contractuales; así como, la ordenación de gastos y pagos, y la administración de bienes de propiedad del fondo”.</w:t>
      </w:r>
    </w:p>
    <w:p w14:paraId="0BF0B25F" w14:textId="77777777" w:rsidR="00442988" w:rsidRPr="00037B06" w:rsidRDefault="00442988" w:rsidP="00304DB4">
      <w:pPr>
        <w:autoSpaceDE w:val="0"/>
        <w:spacing w:after="0" w:line="240" w:lineRule="auto"/>
        <w:ind w:left="993" w:right="375"/>
        <w:jc w:val="both"/>
        <w:rPr>
          <w:rFonts w:ascii="Garamond" w:hAnsi="Garamond" w:cs="Arial"/>
          <w:color w:val="FF0000"/>
          <w:sz w:val="24"/>
          <w:szCs w:val="24"/>
        </w:rPr>
      </w:pPr>
    </w:p>
    <w:p w14:paraId="28591196" w14:textId="2BF7956B" w:rsidR="00037B06" w:rsidRDefault="00037B06" w:rsidP="00304DB4">
      <w:pPr>
        <w:autoSpaceDE w:val="0"/>
        <w:spacing w:after="0" w:line="240" w:lineRule="auto"/>
        <w:ind w:left="993" w:right="375"/>
        <w:jc w:val="both"/>
        <w:rPr>
          <w:rFonts w:ascii="Garamond" w:hAnsi="Garamond" w:cs="Arial"/>
          <w:sz w:val="24"/>
          <w:szCs w:val="24"/>
        </w:rPr>
      </w:pPr>
      <w:r w:rsidRPr="00037B06">
        <w:rPr>
          <w:rFonts w:ascii="Garamond" w:hAnsi="Garamond" w:cs="Arial"/>
          <w:sz w:val="24"/>
          <w:szCs w:val="24"/>
        </w:rPr>
        <w:t>De igual manera, las Alcaldías Locales en cumplimiento de sus atribuciones previstas en el artículo 86 del Decreto Ley 1421 de 1993 (modificado por la ley 2116 de 2021) y la facultad de contratación que</w:t>
      </w:r>
      <w:r>
        <w:rPr>
          <w:rFonts w:ascii="Garamond" w:hAnsi="Garamond" w:cs="Arial"/>
          <w:sz w:val="24"/>
          <w:szCs w:val="24"/>
        </w:rPr>
        <w:t xml:space="preserve"> </w:t>
      </w:r>
      <w:r w:rsidRPr="00037B06">
        <w:rPr>
          <w:rFonts w:ascii="Garamond" w:hAnsi="Garamond" w:cs="Arial"/>
          <w:sz w:val="24"/>
          <w:szCs w:val="24"/>
        </w:rPr>
        <w:t>les fue delegada a los Alcaldes Locales en el artículo 6 del Decreto 768 de 2019 y el artículo 1 del Decreto 374 de 2019, la cual los faculta para contratar, ordenar los gastos y pagos con cargo al presupuesto de los Fondos de Desarrollo Local, se conformidad con las disposiciones que regulan las inversiones y gasto con cargo a los Fondos.</w:t>
      </w:r>
    </w:p>
    <w:p w14:paraId="542BF878" w14:textId="77777777" w:rsidR="00442988" w:rsidRPr="00037B06" w:rsidRDefault="00442988" w:rsidP="00304DB4">
      <w:pPr>
        <w:autoSpaceDE w:val="0"/>
        <w:spacing w:after="0" w:line="240" w:lineRule="auto"/>
        <w:ind w:left="993" w:right="375"/>
        <w:jc w:val="both"/>
        <w:rPr>
          <w:rFonts w:ascii="Garamond" w:hAnsi="Garamond" w:cs="Arial"/>
          <w:sz w:val="24"/>
          <w:szCs w:val="24"/>
        </w:rPr>
      </w:pPr>
    </w:p>
    <w:p w14:paraId="529D9A2A" w14:textId="35E80230" w:rsidR="00037B06" w:rsidRDefault="00037B06" w:rsidP="00304DB4">
      <w:pPr>
        <w:autoSpaceDE w:val="0"/>
        <w:spacing w:after="0" w:line="240" w:lineRule="auto"/>
        <w:ind w:left="993" w:right="375"/>
        <w:jc w:val="both"/>
        <w:rPr>
          <w:rFonts w:ascii="Garamond" w:hAnsi="Garamond" w:cs="Arial"/>
          <w:sz w:val="24"/>
          <w:szCs w:val="24"/>
        </w:rPr>
      </w:pPr>
      <w:r w:rsidRPr="00037B06">
        <w:rPr>
          <w:rFonts w:ascii="Garamond" w:hAnsi="Garamond" w:cs="Arial"/>
          <w:sz w:val="24"/>
          <w:szCs w:val="24"/>
        </w:rPr>
        <w:t>Así mismo, el artículo 5° del mencionado Acuerdo 740 de 2019, dispone, entre otras, las siguientes competencias para el alcalde local en consonancia con los principios de concurrencia, subsidiariedad, complementariedad y coordinación, que se ajustan y corresponden igualmente a la satisfacción de la necesidad suscitada, en el desarrollo del ámbito local:</w:t>
      </w:r>
    </w:p>
    <w:p w14:paraId="20A8C92D" w14:textId="77777777" w:rsidR="00442988" w:rsidRPr="00037B06" w:rsidRDefault="00442988" w:rsidP="00304DB4">
      <w:pPr>
        <w:autoSpaceDE w:val="0"/>
        <w:spacing w:after="0" w:line="240" w:lineRule="auto"/>
        <w:ind w:left="993" w:right="375"/>
        <w:jc w:val="both"/>
        <w:rPr>
          <w:rFonts w:ascii="Garamond" w:hAnsi="Garamond" w:cs="Arial"/>
          <w:sz w:val="24"/>
          <w:szCs w:val="24"/>
        </w:rPr>
      </w:pPr>
    </w:p>
    <w:p w14:paraId="03301C0C" w14:textId="77777777" w:rsidR="00037B06" w:rsidRPr="00037B06" w:rsidRDefault="00037B06" w:rsidP="003A1825">
      <w:pPr>
        <w:pStyle w:val="Prrafodelista"/>
        <w:numPr>
          <w:ilvl w:val="0"/>
          <w:numId w:val="2"/>
        </w:numPr>
        <w:autoSpaceDE w:val="0"/>
        <w:spacing w:after="0" w:line="240" w:lineRule="auto"/>
        <w:ind w:left="1560" w:right="375" w:hanging="284"/>
        <w:jc w:val="both"/>
        <w:rPr>
          <w:rFonts w:ascii="Garamond" w:hAnsi="Garamond" w:cs="Arial"/>
          <w:sz w:val="24"/>
          <w:szCs w:val="24"/>
        </w:rPr>
      </w:pPr>
      <w:r w:rsidRPr="00037B06">
        <w:rPr>
          <w:rFonts w:ascii="Garamond" w:hAnsi="Garamond" w:cs="Arial"/>
          <w:sz w:val="24"/>
          <w:szCs w:val="24"/>
        </w:rPr>
        <w:t>Administrar las alcaldías locales y los Fondos de Desarrollo Local.</w:t>
      </w:r>
    </w:p>
    <w:p w14:paraId="67B0A337" w14:textId="77777777" w:rsidR="00037B06" w:rsidRPr="00037B06" w:rsidRDefault="00037B06" w:rsidP="003A1825">
      <w:pPr>
        <w:pStyle w:val="Prrafodelista"/>
        <w:numPr>
          <w:ilvl w:val="0"/>
          <w:numId w:val="2"/>
        </w:numPr>
        <w:autoSpaceDE w:val="0"/>
        <w:spacing w:after="0" w:line="240" w:lineRule="auto"/>
        <w:ind w:left="1560" w:right="375" w:hanging="284"/>
        <w:jc w:val="both"/>
        <w:rPr>
          <w:rFonts w:ascii="Garamond" w:hAnsi="Garamond" w:cs="Arial"/>
          <w:b/>
          <w:sz w:val="24"/>
          <w:szCs w:val="24"/>
          <w:u w:val="single"/>
        </w:rPr>
      </w:pPr>
      <w:r w:rsidRPr="00037B06">
        <w:rPr>
          <w:rFonts w:ascii="Garamond" w:hAnsi="Garamond" w:cs="Arial"/>
          <w:b/>
          <w:sz w:val="24"/>
          <w:szCs w:val="24"/>
          <w:u w:val="single"/>
        </w:rPr>
        <w:t>Realizar inversiones complementarias a las realizadas por el sector en la prestación de servicios culturales, recreativos y deportivos locales.</w:t>
      </w:r>
    </w:p>
    <w:p w14:paraId="7E727149" w14:textId="77777777" w:rsidR="00037B06" w:rsidRPr="00037B06" w:rsidRDefault="00037B06" w:rsidP="003A1825">
      <w:pPr>
        <w:pStyle w:val="Prrafodelista"/>
        <w:numPr>
          <w:ilvl w:val="0"/>
          <w:numId w:val="2"/>
        </w:numPr>
        <w:autoSpaceDE w:val="0"/>
        <w:spacing w:after="0" w:line="240" w:lineRule="auto"/>
        <w:ind w:left="1560" w:right="375" w:hanging="284"/>
        <w:jc w:val="both"/>
        <w:rPr>
          <w:rFonts w:ascii="Garamond" w:hAnsi="Garamond" w:cs="Arial"/>
          <w:sz w:val="24"/>
          <w:szCs w:val="24"/>
        </w:rPr>
      </w:pPr>
      <w:r w:rsidRPr="00037B06">
        <w:rPr>
          <w:rFonts w:ascii="Garamond" w:hAnsi="Garamond" w:cs="Arial"/>
          <w:sz w:val="24"/>
          <w:szCs w:val="24"/>
        </w:rPr>
        <w:t>Desarrollar acciones que promuevan los derechos de las mujeres, desde los enfoques de género, de derechos, diferencial y territorial.</w:t>
      </w:r>
    </w:p>
    <w:p w14:paraId="0770FB7A" w14:textId="77777777" w:rsidR="00037B06" w:rsidRPr="00037B06" w:rsidRDefault="00037B06" w:rsidP="003A1825">
      <w:pPr>
        <w:pStyle w:val="Prrafodelista"/>
        <w:numPr>
          <w:ilvl w:val="0"/>
          <w:numId w:val="2"/>
        </w:numPr>
        <w:autoSpaceDE w:val="0"/>
        <w:spacing w:after="0" w:line="240" w:lineRule="auto"/>
        <w:ind w:left="1560" w:right="375" w:hanging="284"/>
        <w:jc w:val="both"/>
        <w:rPr>
          <w:rFonts w:ascii="Garamond" w:hAnsi="Garamond" w:cs="Arial"/>
          <w:sz w:val="24"/>
          <w:szCs w:val="24"/>
        </w:rPr>
      </w:pPr>
      <w:r w:rsidRPr="00037B06">
        <w:rPr>
          <w:rFonts w:ascii="Garamond" w:hAnsi="Garamond" w:cs="Arial"/>
          <w:sz w:val="24"/>
          <w:szCs w:val="24"/>
        </w:rPr>
        <w:t>Promover la seguridad y convivencia ciudadanas.</w:t>
      </w:r>
    </w:p>
    <w:p w14:paraId="146C37D6" w14:textId="063A7FBE" w:rsidR="00037B06" w:rsidRDefault="00037B06" w:rsidP="003A1825">
      <w:pPr>
        <w:pStyle w:val="Prrafodelista"/>
        <w:numPr>
          <w:ilvl w:val="0"/>
          <w:numId w:val="2"/>
        </w:numPr>
        <w:autoSpaceDE w:val="0"/>
        <w:spacing w:after="0" w:line="240" w:lineRule="auto"/>
        <w:ind w:left="1560" w:right="375" w:hanging="284"/>
        <w:jc w:val="both"/>
        <w:rPr>
          <w:rFonts w:ascii="Garamond" w:hAnsi="Garamond" w:cs="Arial"/>
          <w:sz w:val="24"/>
          <w:szCs w:val="24"/>
        </w:rPr>
      </w:pPr>
      <w:r w:rsidRPr="00037B06">
        <w:rPr>
          <w:rFonts w:ascii="Garamond" w:hAnsi="Garamond" w:cs="Arial"/>
          <w:sz w:val="24"/>
          <w:szCs w:val="24"/>
        </w:rPr>
        <w:t>Fomentar la participación ciudadana.</w:t>
      </w:r>
    </w:p>
    <w:p w14:paraId="16A6CF48" w14:textId="77777777" w:rsidR="00037B06" w:rsidRPr="00037B06" w:rsidRDefault="00037B06" w:rsidP="003A1825">
      <w:pPr>
        <w:pStyle w:val="Prrafodelista"/>
        <w:numPr>
          <w:ilvl w:val="0"/>
          <w:numId w:val="2"/>
        </w:numPr>
        <w:autoSpaceDE w:val="0"/>
        <w:spacing w:after="0" w:line="240" w:lineRule="auto"/>
        <w:ind w:left="1560" w:right="375" w:hanging="284"/>
        <w:jc w:val="both"/>
        <w:rPr>
          <w:rFonts w:ascii="Garamond" w:hAnsi="Garamond" w:cs="Arial"/>
          <w:sz w:val="24"/>
          <w:szCs w:val="24"/>
        </w:rPr>
      </w:pPr>
      <w:r w:rsidRPr="00037B06">
        <w:rPr>
          <w:rFonts w:ascii="Garamond" w:hAnsi="Garamond" w:cs="Arial"/>
          <w:sz w:val="24"/>
          <w:szCs w:val="24"/>
        </w:rPr>
        <w:lastRenderedPageBreak/>
        <w:t>Realizar inversiones complementarias a los programas y proyectos de la Administración Distrital en los sectores de Salud, Integración Social, Educación, Mujer, poblaciones, ruralidad, de conformidad con la reglamentación que se expida para el efecto.</w:t>
      </w:r>
    </w:p>
    <w:p w14:paraId="186ABC06" w14:textId="71C325A8" w:rsidR="00037B06" w:rsidRDefault="00037B06" w:rsidP="003A1825">
      <w:pPr>
        <w:pStyle w:val="Prrafodelista"/>
        <w:numPr>
          <w:ilvl w:val="0"/>
          <w:numId w:val="2"/>
        </w:numPr>
        <w:autoSpaceDE w:val="0"/>
        <w:spacing w:after="0" w:line="240" w:lineRule="auto"/>
        <w:ind w:left="1560" w:right="375" w:hanging="284"/>
        <w:jc w:val="both"/>
        <w:rPr>
          <w:rFonts w:ascii="Garamond" w:hAnsi="Garamond" w:cs="Arial"/>
          <w:sz w:val="24"/>
          <w:szCs w:val="24"/>
        </w:rPr>
      </w:pPr>
      <w:r w:rsidRPr="00037B06">
        <w:rPr>
          <w:rFonts w:ascii="Garamond" w:hAnsi="Garamond" w:cs="Arial"/>
          <w:sz w:val="24"/>
          <w:szCs w:val="24"/>
        </w:rPr>
        <w:t>Corresponde a la Administración de las alcaldías locales y de los Fondos de Desarrollo Local la ejecución de las inversiones contenidas en el Plan de Desarrollo Local en concurrencia con el Plan Distrital de Desarrollo, las cuales deben responder a los principios administrativos de concurrencia, subsidiariedad, complementariedad y de coordinación del nivel central con el local.</w:t>
      </w:r>
    </w:p>
    <w:p w14:paraId="668880A3" w14:textId="77777777" w:rsidR="00442988" w:rsidRPr="00037B06" w:rsidRDefault="00442988" w:rsidP="00304DB4">
      <w:pPr>
        <w:pStyle w:val="Prrafodelista"/>
        <w:autoSpaceDE w:val="0"/>
        <w:spacing w:after="0" w:line="240" w:lineRule="auto"/>
        <w:ind w:left="993" w:right="375"/>
        <w:jc w:val="both"/>
        <w:rPr>
          <w:rFonts w:ascii="Garamond" w:hAnsi="Garamond" w:cs="Arial"/>
          <w:sz w:val="24"/>
          <w:szCs w:val="24"/>
        </w:rPr>
      </w:pPr>
    </w:p>
    <w:p w14:paraId="51BBF4DD" w14:textId="77777777" w:rsidR="00037B06" w:rsidRPr="00037B06" w:rsidRDefault="00037B06" w:rsidP="00304DB4">
      <w:pPr>
        <w:pStyle w:val="Standard"/>
        <w:autoSpaceDE w:val="0"/>
        <w:ind w:left="993" w:right="375"/>
        <w:jc w:val="both"/>
        <w:rPr>
          <w:rFonts w:ascii="Garamond" w:hAnsi="Garamond" w:cs="Segoe UI"/>
          <w:color w:val="121212"/>
          <w:sz w:val="24"/>
          <w:szCs w:val="24"/>
          <w:shd w:val="clear" w:color="auto" w:fill="FFFFFF"/>
        </w:rPr>
      </w:pPr>
      <w:r w:rsidRPr="00037B06">
        <w:rPr>
          <w:rFonts w:ascii="Garamond" w:hAnsi="Garamond" w:cs="Segoe UI"/>
          <w:color w:val="121212"/>
          <w:sz w:val="24"/>
          <w:szCs w:val="24"/>
          <w:shd w:val="clear" w:color="auto" w:fill="FFFFFF"/>
        </w:rPr>
        <w:t>Que el Plan de Desarrollo Económico, Social, Ambiental y de Obras Públicas para la localidad de Antonio Nariño 2025 - 2028 “</w:t>
      </w:r>
      <w:r w:rsidRPr="00037B06">
        <w:rPr>
          <w:rFonts w:ascii="Garamond" w:hAnsi="Garamond" w:cs="Segoe UI"/>
          <w:i/>
          <w:color w:val="121212"/>
          <w:sz w:val="24"/>
          <w:szCs w:val="24"/>
          <w:shd w:val="clear" w:color="auto" w:fill="FFFFFF"/>
        </w:rPr>
        <w:t>Antonio Nariño Camina Segura</w:t>
      </w:r>
      <w:r w:rsidRPr="00037B06">
        <w:rPr>
          <w:rFonts w:ascii="Garamond" w:hAnsi="Garamond" w:cs="Segoe UI"/>
          <w:color w:val="121212"/>
          <w:sz w:val="24"/>
          <w:szCs w:val="24"/>
          <w:shd w:val="clear" w:color="auto" w:fill="FFFFFF"/>
        </w:rPr>
        <w:t>”, adoptado mediante Acuerdo Local No. 003 del 29 de agosto de 2024, como política pública referente de las acciones de la Administración Distrital en el cuatrienio que comprende desde septiembre de 2024 hasta septiembre de 2028, tiene como visión para el año 2028, que la localidad de Antonio Nariño sea una localidad diversa, segura y justa, donde todos(as) sus habitantes tengan la posibilidad de ser y hacer. Esta localidad incluyente, productiva e innovadora hará de la ciudadanía la protagonista de un proyecto de desarrollo sostenible que nos una, comprometido con la acción climática y la justicia ambiental.</w:t>
      </w:r>
    </w:p>
    <w:p w14:paraId="32ADB573" w14:textId="77777777" w:rsidR="00037B06" w:rsidRPr="00037B06" w:rsidRDefault="00037B06" w:rsidP="00304DB4">
      <w:pPr>
        <w:pStyle w:val="Standard"/>
        <w:ind w:left="993" w:right="375"/>
        <w:jc w:val="both"/>
        <w:rPr>
          <w:rFonts w:ascii="Garamond" w:hAnsi="Garamond" w:cs="Arial"/>
          <w:sz w:val="24"/>
          <w:szCs w:val="24"/>
        </w:rPr>
      </w:pPr>
    </w:p>
    <w:p w14:paraId="4D16DD96" w14:textId="1CAE46FB" w:rsidR="00037B06" w:rsidRDefault="00037B06" w:rsidP="00304DB4">
      <w:pPr>
        <w:tabs>
          <w:tab w:val="left" w:pos="38"/>
        </w:tabs>
        <w:spacing w:after="0" w:line="240" w:lineRule="auto"/>
        <w:ind w:left="993" w:right="375"/>
        <w:jc w:val="both"/>
        <w:rPr>
          <w:rFonts w:ascii="Garamond" w:hAnsi="Garamond" w:cs="Arial"/>
          <w:sz w:val="24"/>
          <w:szCs w:val="24"/>
        </w:rPr>
      </w:pPr>
      <w:r w:rsidRPr="00037B06">
        <w:rPr>
          <w:rFonts w:ascii="Garamond" w:hAnsi="Garamond" w:cs="Arial"/>
          <w:sz w:val="24"/>
          <w:szCs w:val="24"/>
        </w:rPr>
        <w:t>Que, los objetivos estratégicos del Plan de Desarrollo Antonio Nariño 2025 - 2028 “</w:t>
      </w:r>
      <w:r w:rsidRPr="00037B06">
        <w:rPr>
          <w:rFonts w:ascii="Garamond" w:hAnsi="Garamond" w:cs="Arial"/>
          <w:i/>
          <w:sz w:val="24"/>
          <w:szCs w:val="24"/>
        </w:rPr>
        <w:t>Antonio Nariño Camina Segura</w:t>
      </w:r>
      <w:r w:rsidRPr="00037B06">
        <w:rPr>
          <w:rFonts w:ascii="Garamond" w:hAnsi="Garamond" w:cs="Arial"/>
          <w:sz w:val="24"/>
          <w:szCs w:val="24"/>
        </w:rPr>
        <w:t xml:space="preserve">”, se constituyen en los elementos estructurantes, que permitirán visibilizar los resultados que espera alcanzar en la ciudad, y en cada Plan de Desarrollo Local se contribuye a lograr estos objetivos a nivel territorial, contribuyendo a su vez con los objetivos del Plan de Desarrollo Distrital al cumplimiento de los Objetivos de Desarrollo Sostenible – ODS. </w:t>
      </w:r>
    </w:p>
    <w:p w14:paraId="64E5C361" w14:textId="77777777" w:rsidR="00442988" w:rsidRPr="00037B06" w:rsidRDefault="00442988" w:rsidP="00304DB4">
      <w:pPr>
        <w:tabs>
          <w:tab w:val="left" w:pos="38"/>
        </w:tabs>
        <w:spacing w:after="0" w:line="240" w:lineRule="auto"/>
        <w:ind w:left="993" w:right="375"/>
        <w:jc w:val="both"/>
        <w:rPr>
          <w:rFonts w:ascii="Garamond" w:hAnsi="Garamond" w:cs="Arial"/>
          <w:sz w:val="24"/>
          <w:szCs w:val="24"/>
        </w:rPr>
      </w:pPr>
    </w:p>
    <w:p w14:paraId="7EAC2CC2" w14:textId="5D8542EB" w:rsidR="00037B06" w:rsidRDefault="00037B06" w:rsidP="00304DB4">
      <w:pPr>
        <w:tabs>
          <w:tab w:val="left" w:pos="38"/>
        </w:tabs>
        <w:spacing w:after="0" w:line="240" w:lineRule="auto"/>
        <w:ind w:left="993" w:right="375"/>
        <w:jc w:val="both"/>
        <w:rPr>
          <w:rFonts w:ascii="Garamond" w:hAnsi="Garamond" w:cs="Arial"/>
          <w:sz w:val="24"/>
          <w:szCs w:val="24"/>
        </w:rPr>
      </w:pPr>
      <w:r w:rsidRPr="00037B06">
        <w:rPr>
          <w:rFonts w:ascii="Garamond" w:hAnsi="Garamond" w:cs="Arial"/>
          <w:sz w:val="24"/>
          <w:szCs w:val="24"/>
        </w:rPr>
        <w:t>Los objetivos estratégicos son los siguientes:</w:t>
      </w:r>
    </w:p>
    <w:p w14:paraId="5C6513AD" w14:textId="77777777" w:rsidR="00442988" w:rsidRPr="00037B06" w:rsidRDefault="00442988" w:rsidP="00304DB4">
      <w:pPr>
        <w:tabs>
          <w:tab w:val="left" w:pos="38"/>
        </w:tabs>
        <w:spacing w:after="0" w:line="240" w:lineRule="auto"/>
        <w:ind w:left="993" w:right="375"/>
        <w:jc w:val="both"/>
        <w:rPr>
          <w:rFonts w:ascii="Garamond" w:hAnsi="Garamond" w:cs="Arial"/>
          <w:sz w:val="24"/>
          <w:szCs w:val="24"/>
        </w:rPr>
      </w:pPr>
    </w:p>
    <w:p w14:paraId="1B81609F" w14:textId="77777777" w:rsidR="00037B06" w:rsidRPr="00037B06" w:rsidRDefault="00037B06" w:rsidP="003A1825">
      <w:pPr>
        <w:pStyle w:val="Prrafodelista"/>
        <w:numPr>
          <w:ilvl w:val="0"/>
          <w:numId w:val="6"/>
        </w:numPr>
        <w:tabs>
          <w:tab w:val="left" w:pos="38"/>
        </w:tabs>
        <w:spacing w:after="0" w:line="240" w:lineRule="auto"/>
        <w:ind w:left="993" w:right="375" w:firstLine="0"/>
        <w:jc w:val="both"/>
        <w:rPr>
          <w:rFonts w:ascii="Garamond" w:hAnsi="Garamond" w:cs="Arial"/>
          <w:sz w:val="24"/>
          <w:szCs w:val="24"/>
        </w:rPr>
      </w:pPr>
      <w:r w:rsidRPr="00037B06">
        <w:rPr>
          <w:rFonts w:ascii="Garamond" w:hAnsi="Garamond" w:cs="Arial"/>
          <w:sz w:val="24"/>
          <w:szCs w:val="24"/>
        </w:rPr>
        <w:t>Antonio Nariño avanza en seguridad.</w:t>
      </w:r>
    </w:p>
    <w:p w14:paraId="4D648788" w14:textId="77777777" w:rsidR="00037B06" w:rsidRPr="00037B06" w:rsidRDefault="00037B06" w:rsidP="003A1825">
      <w:pPr>
        <w:pStyle w:val="Prrafodelista"/>
        <w:numPr>
          <w:ilvl w:val="0"/>
          <w:numId w:val="6"/>
        </w:numPr>
        <w:tabs>
          <w:tab w:val="left" w:pos="38"/>
        </w:tabs>
        <w:spacing w:after="0" w:line="240" w:lineRule="auto"/>
        <w:ind w:left="993" w:right="375" w:firstLine="0"/>
        <w:jc w:val="both"/>
        <w:rPr>
          <w:rFonts w:ascii="Garamond" w:hAnsi="Garamond" w:cs="Arial"/>
          <w:sz w:val="24"/>
          <w:szCs w:val="24"/>
        </w:rPr>
      </w:pPr>
      <w:r w:rsidRPr="00037B06">
        <w:rPr>
          <w:rFonts w:ascii="Garamond" w:hAnsi="Garamond" w:cs="Arial"/>
          <w:sz w:val="24"/>
          <w:szCs w:val="24"/>
        </w:rPr>
        <w:t>Antonio Nariño confía en su bienestar.</w:t>
      </w:r>
    </w:p>
    <w:p w14:paraId="24B04918" w14:textId="77777777" w:rsidR="00037B06" w:rsidRPr="00037B06" w:rsidRDefault="00037B06" w:rsidP="003A1825">
      <w:pPr>
        <w:pStyle w:val="Prrafodelista"/>
        <w:numPr>
          <w:ilvl w:val="0"/>
          <w:numId w:val="6"/>
        </w:numPr>
        <w:tabs>
          <w:tab w:val="left" w:pos="38"/>
        </w:tabs>
        <w:spacing w:after="0" w:line="240" w:lineRule="auto"/>
        <w:ind w:left="993" w:right="375" w:firstLine="0"/>
        <w:jc w:val="both"/>
        <w:rPr>
          <w:rFonts w:ascii="Garamond" w:hAnsi="Garamond" w:cs="Arial"/>
          <w:sz w:val="24"/>
          <w:szCs w:val="24"/>
        </w:rPr>
      </w:pPr>
      <w:r w:rsidRPr="00037B06">
        <w:rPr>
          <w:rFonts w:ascii="Garamond" w:hAnsi="Garamond" w:cs="Arial"/>
          <w:sz w:val="24"/>
          <w:szCs w:val="24"/>
        </w:rPr>
        <w:t>Antonio Nariño confía en su potencial</w:t>
      </w:r>
    </w:p>
    <w:p w14:paraId="19F0EBA6" w14:textId="77777777" w:rsidR="00037B06" w:rsidRPr="00037B06" w:rsidRDefault="00037B06" w:rsidP="003A1825">
      <w:pPr>
        <w:pStyle w:val="Prrafodelista"/>
        <w:numPr>
          <w:ilvl w:val="0"/>
          <w:numId w:val="6"/>
        </w:numPr>
        <w:tabs>
          <w:tab w:val="left" w:pos="38"/>
        </w:tabs>
        <w:spacing w:after="0" w:line="240" w:lineRule="auto"/>
        <w:ind w:left="993" w:right="375" w:firstLine="0"/>
        <w:jc w:val="both"/>
        <w:rPr>
          <w:rFonts w:ascii="Garamond" w:hAnsi="Garamond" w:cs="Arial"/>
          <w:b/>
          <w:sz w:val="24"/>
          <w:szCs w:val="24"/>
          <w:u w:val="single"/>
        </w:rPr>
      </w:pPr>
      <w:r w:rsidRPr="00037B06">
        <w:rPr>
          <w:rFonts w:ascii="Garamond" w:hAnsi="Garamond" w:cs="Arial"/>
          <w:b/>
          <w:sz w:val="24"/>
          <w:szCs w:val="24"/>
          <w:u w:val="single"/>
        </w:rPr>
        <w:t>Antonio Nariño ordena su territorio y avanza en su acción climática</w:t>
      </w:r>
    </w:p>
    <w:p w14:paraId="4A8CEF2F" w14:textId="77777777" w:rsidR="00037B06" w:rsidRPr="00037B06" w:rsidRDefault="00037B06" w:rsidP="003A1825">
      <w:pPr>
        <w:pStyle w:val="Prrafodelista"/>
        <w:numPr>
          <w:ilvl w:val="0"/>
          <w:numId w:val="6"/>
        </w:numPr>
        <w:tabs>
          <w:tab w:val="left" w:pos="38"/>
        </w:tabs>
        <w:spacing w:after="0" w:line="240" w:lineRule="auto"/>
        <w:ind w:left="993" w:right="375" w:firstLine="0"/>
        <w:jc w:val="both"/>
        <w:rPr>
          <w:rFonts w:ascii="Garamond" w:hAnsi="Garamond" w:cs="Arial"/>
          <w:sz w:val="24"/>
          <w:szCs w:val="24"/>
        </w:rPr>
      </w:pPr>
      <w:r w:rsidRPr="00037B06">
        <w:rPr>
          <w:rFonts w:ascii="Garamond" w:hAnsi="Garamond" w:cs="Arial"/>
          <w:sz w:val="24"/>
          <w:szCs w:val="24"/>
        </w:rPr>
        <w:t>Antonio Nariño confía en su gobierno.</w:t>
      </w:r>
    </w:p>
    <w:p w14:paraId="1BC0BA8A" w14:textId="77777777" w:rsidR="00037B06" w:rsidRPr="00037B06" w:rsidRDefault="00037B06" w:rsidP="00304DB4">
      <w:pPr>
        <w:pStyle w:val="Standard"/>
        <w:ind w:left="993" w:right="375"/>
        <w:jc w:val="both"/>
        <w:rPr>
          <w:rFonts w:ascii="Garamond" w:hAnsi="Garamond" w:cs="Arial"/>
          <w:sz w:val="24"/>
          <w:szCs w:val="24"/>
        </w:rPr>
      </w:pPr>
    </w:p>
    <w:p w14:paraId="4BC0F927" w14:textId="77777777" w:rsidR="00037B06" w:rsidRPr="00037B06" w:rsidRDefault="00037B06" w:rsidP="00304DB4">
      <w:pPr>
        <w:tabs>
          <w:tab w:val="left" w:pos="38"/>
        </w:tabs>
        <w:spacing w:after="0" w:line="240" w:lineRule="auto"/>
        <w:ind w:left="993" w:right="375"/>
        <w:jc w:val="both"/>
        <w:rPr>
          <w:rFonts w:ascii="Garamond" w:hAnsi="Garamond" w:cs="Arial"/>
          <w:sz w:val="24"/>
          <w:szCs w:val="24"/>
        </w:rPr>
      </w:pPr>
      <w:r w:rsidRPr="00037B06">
        <w:rPr>
          <w:rFonts w:ascii="Garamond" w:hAnsi="Garamond" w:cs="Arial"/>
          <w:sz w:val="24"/>
          <w:szCs w:val="24"/>
        </w:rPr>
        <w:t xml:space="preserve">Que, el FDLAN, en uso de sus facultades, y en la búsqueda de proteger el derecho a la vida de los hogares y ciudadanos de la localidad, incluyó en su </w:t>
      </w:r>
      <w:r w:rsidRPr="00037B06">
        <w:rPr>
          <w:rFonts w:ascii="Garamond" w:hAnsi="Garamond" w:cs="Segoe UI"/>
          <w:i/>
          <w:color w:val="121212"/>
          <w:sz w:val="24"/>
          <w:szCs w:val="24"/>
          <w:shd w:val="clear" w:color="auto" w:fill="FFFFFF"/>
        </w:rPr>
        <w:t xml:space="preserve">OBJETIVO ESTRATÉGICO “ANTONIO NARIÑO ORDENA SU TERRITORIO Y AVANZA EN SU ACCIÓN CLIMÁTICA”, </w:t>
      </w:r>
      <w:r w:rsidRPr="00037B06">
        <w:rPr>
          <w:rFonts w:ascii="Garamond" w:hAnsi="Garamond" w:cs="Segoe UI"/>
          <w:color w:val="121212"/>
          <w:sz w:val="24"/>
          <w:szCs w:val="24"/>
          <w:shd w:val="clear" w:color="auto" w:fill="FFFFFF"/>
        </w:rPr>
        <w:t xml:space="preserve">el </w:t>
      </w:r>
      <w:r w:rsidRPr="00037B06">
        <w:rPr>
          <w:rFonts w:ascii="Garamond" w:hAnsi="Garamond" w:cs="Segoe UI"/>
          <w:b/>
          <w:color w:val="121212"/>
          <w:sz w:val="24"/>
          <w:szCs w:val="24"/>
          <w:shd w:val="clear" w:color="auto" w:fill="FFFFFF"/>
        </w:rPr>
        <w:t xml:space="preserve">ARTICULO 49 PROGRAMA 27. Gestión del Riesgo de Desastres para un territorio Seguro, </w:t>
      </w:r>
      <w:r w:rsidRPr="00037B06">
        <w:rPr>
          <w:rFonts w:ascii="Garamond" w:hAnsi="Garamond" w:cs="Segoe UI"/>
          <w:color w:val="121212"/>
          <w:sz w:val="24"/>
          <w:szCs w:val="24"/>
          <w:shd w:val="clear" w:color="auto" w:fill="FFFFFF"/>
        </w:rPr>
        <w:t>el cual tiene como objetivo</w:t>
      </w:r>
      <w:r w:rsidRPr="00037B06">
        <w:rPr>
          <w:sz w:val="24"/>
          <w:szCs w:val="24"/>
        </w:rPr>
        <w:t xml:space="preserve"> </w:t>
      </w:r>
      <w:r w:rsidRPr="00037B06">
        <w:rPr>
          <w:rFonts w:ascii="Garamond" w:hAnsi="Garamond" w:cs="Segoe UI"/>
          <w:color w:val="121212"/>
          <w:sz w:val="24"/>
          <w:szCs w:val="24"/>
          <w:shd w:val="clear" w:color="auto" w:fill="FFFFFF"/>
        </w:rPr>
        <w:t>fortalecer la preparación y respuesta ante eventos adversos, enfocándose en la identificación y mitigación de riesgos naturales y antrópicos, y promoviendo la resiliencia comunitaria mediante planes de contingencia, capacitación en primeros auxilios y simulacros de evacuación. Que otros de los propósitos del programa incluyen implementar acciones orientadas al conocimiento del riesgo de desastres y los efectos del cambio climático, así como llevar a cabo estudios de diseño para nuevas obras de mitigación. (…) “</w:t>
      </w:r>
      <w:r w:rsidRPr="00037B06">
        <w:rPr>
          <w:rFonts w:ascii="Garamond" w:hAnsi="Garamond" w:cs="Segoe UI"/>
          <w:b/>
          <w:i/>
          <w:color w:val="121212"/>
          <w:sz w:val="24"/>
          <w:szCs w:val="24"/>
          <w:u w:val="single"/>
          <w:shd w:val="clear" w:color="auto" w:fill="FFFFFF"/>
        </w:rPr>
        <w:t>Se realizarán acciones efectivas para fortalecer las capacidades locales en torno a la gestión del riesgo, asegurando así una respuesta eficiente y coordinada ante cualquier situación de emergencia que afecte a la comunidad.” (…)</w:t>
      </w:r>
    </w:p>
    <w:p w14:paraId="45232FC6" w14:textId="77777777" w:rsidR="00037B06" w:rsidRPr="00037B06" w:rsidRDefault="00037B06" w:rsidP="00304DB4">
      <w:pPr>
        <w:pStyle w:val="Standard"/>
        <w:ind w:left="993" w:right="375"/>
        <w:jc w:val="both"/>
        <w:rPr>
          <w:rFonts w:ascii="Garamond" w:hAnsi="Garamond" w:cs="Arial"/>
          <w:sz w:val="24"/>
          <w:szCs w:val="24"/>
        </w:rPr>
      </w:pPr>
    </w:p>
    <w:p w14:paraId="66DD3683" w14:textId="2462D792" w:rsidR="00037B06" w:rsidRDefault="00037B06" w:rsidP="00304DB4">
      <w:pPr>
        <w:tabs>
          <w:tab w:val="left" w:pos="38"/>
        </w:tabs>
        <w:spacing w:after="0" w:line="240" w:lineRule="auto"/>
        <w:ind w:left="993" w:right="375"/>
        <w:jc w:val="both"/>
        <w:rPr>
          <w:rFonts w:ascii="Garamond" w:hAnsi="Garamond" w:cs="Arial"/>
          <w:b/>
          <w:u w:val="single"/>
        </w:rPr>
      </w:pPr>
      <w:r w:rsidRPr="00037B06">
        <w:rPr>
          <w:rFonts w:ascii="Garamond" w:hAnsi="Garamond" w:cs="Arial"/>
          <w:sz w:val="24"/>
          <w:szCs w:val="24"/>
        </w:rPr>
        <w:lastRenderedPageBreak/>
        <w:t xml:space="preserve">Que </w:t>
      </w:r>
      <w:r w:rsidRPr="00037B06">
        <w:rPr>
          <w:rFonts w:ascii="Garamond" w:hAnsi="Garamond" w:cs="Garamond"/>
          <w:sz w:val="24"/>
          <w:szCs w:val="24"/>
        </w:rPr>
        <w:t>el Fondo de Desarrollo Local de Antonio Nariño,</w:t>
      </w:r>
      <w:r w:rsidRPr="00037B06">
        <w:rPr>
          <w:rFonts w:ascii="Garamond" w:hAnsi="Garamond" w:cs="Arial"/>
          <w:sz w:val="24"/>
          <w:szCs w:val="24"/>
        </w:rPr>
        <w:t xml:space="preserve"> cuenta con el proyecto de inversión registrado en el Banco de Proyectos de Inversión del Distrito, </w:t>
      </w:r>
      <w:r w:rsidRPr="00037B06">
        <w:rPr>
          <w:rFonts w:ascii="Garamond" w:hAnsi="Garamond" w:cs="Garamond"/>
          <w:sz w:val="24"/>
          <w:szCs w:val="24"/>
        </w:rPr>
        <w:t xml:space="preserve">No. </w:t>
      </w:r>
      <w:r w:rsidRPr="00037B06">
        <w:rPr>
          <w:rFonts w:ascii="Garamond" w:hAnsi="Garamond" w:cs="Garamond"/>
          <w:b/>
          <w:sz w:val="24"/>
          <w:szCs w:val="24"/>
        </w:rPr>
        <w:t>2472</w:t>
      </w:r>
      <w:r w:rsidRPr="00037B06">
        <w:rPr>
          <w:rFonts w:ascii="Garamond" w:hAnsi="Garamond" w:cs="Garamond"/>
          <w:sz w:val="24"/>
          <w:szCs w:val="24"/>
        </w:rPr>
        <w:t>,</w:t>
      </w:r>
      <w:r w:rsidRPr="00037B06">
        <w:rPr>
          <w:rFonts w:ascii="Garamond" w:hAnsi="Garamond" w:cs="Arial"/>
          <w:sz w:val="24"/>
          <w:szCs w:val="24"/>
        </w:rPr>
        <w:t xml:space="preserve"> cuyo objeto es “</w:t>
      </w:r>
      <w:r w:rsidRPr="00037B06">
        <w:rPr>
          <w:rFonts w:ascii="Garamond" w:hAnsi="Garamond" w:cs="Arial"/>
          <w:i/>
          <w:sz w:val="24"/>
          <w:szCs w:val="24"/>
        </w:rPr>
        <w:t>Acciones de resiliencia hogares seguros y comunidades fortalecidas”</w:t>
      </w:r>
      <w:r w:rsidRPr="00037B06">
        <w:rPr>
          <w:rFonts w:ascii="Garamond" w:hAnsi="Garamond" w:cs="Arial"/>
          <w:sz w:val="24"/>
          <w:szCs w:val="24"/>
        </w:rPr>
        <w:t xml:space="preserve">, dentro del cual se encuentra la meta de </w:t>
      </w:r>
      <w:r w:rsidRPr="00037B06">
        <w:rPr>
          <w:rFonts w:ascii="Garamond" w:hAnsi="Garamond" w:cs="Arial"/>
          <w:b/>
          <w:sz w:val="24"/>
          <w:szCs w:val="24"/>
          <w:u w:val="single"/>
        </w:rPr>
        <w:t>“Realizar 1 obra de mitigación y/u obras de mitigación existentes con mantenimiento”</w:t>
      </w:r>
    </w:p>
    <w:p w14:paraId="2026BA1E" w14:textId="77777777" w:rsidR="00037B06" w:rsidRDefault="00037B06" w:rsidP="00304DB4">
      <w:pPr>
        <w:tabs>
          <w:tab w:val="left" w:pos="38"/>
        </w:tabs>
        <w:spacing w:after="0" w:line="240" w:lineRule="auto"/>
        <w:ind w:left="993" w:right="375"/>
        <w:jc w:val="center"/>
        <w:rPr>
          <w:rFonts w:ascii="Garamond" w:hAnsi="Garamond"/>
          <w:sz w:val="18"/>
          <w:szCs w:val="18"/>
        </w:rPr>
      </w:pPr>
    </w:p>
    <w:p w14:paraId="11D92E0B" w14:textId="77777777" w:rsidR="00037B06" w:rsidRDefault="00037B06" w:rsidP="00304DB4">
      <w:pPr>
        <w:tabs>
          <w:tab w:val="left" w:pos="38"/>
        </w:tabs>
        <w:spacing w:after="0" w:line="240" w:lineRule="auto"/>
        <w:ind w:right="375"/>
        <w:jc w:val="both"/>
        <w:rPr>
          <w:rFonts w:ascii="Garamond" w:hAnsi="Garamond" w:cs="Arial"/>
          <w:b/>
          <w:u w:val="single"/>
        </w:rPr>
      </w:pPr>
    </w:p>
    <w:tbl>
      <w:tblPr>
        <w:tblStyle w:val="Tablaconcuadrcula"/>
        <w:tblW w:w="9406" w:type="dxa"/>
        <w:tblInd w:w="795" w:type="dxa"/>
        <w:tblLayout w:type="fixed"/>
        <w:tblLook w:val="04A0" w:firstRow="1" w:lastRow="0" w:firstColumn="1" w:lastColumn="0" w:noHBand="0" w:noVBand="1"/>
      </w:tblPr>
      <w:tblGrid>
        <w:gridCol w:w="2035"/>
        <w:gridCol w:w="1560"/>
        <w:gridCol w:w="2268"/>
        <w:gridCol w:w="1417"/>
        <w:gridCol w:w="2126"/>
      </w:tblGrid>
      <w:tr w:rsidR="00037B06" w:rsidRPr="00CF318A" w14:paraId="7AF846E6" w14:textId="77777777" w:rsidTr="001D5327">
        <w:trPr>
          <w:trHeight w:val="915"/>
        </w:trPr>
        <w:tc>
          <w:tcPr>
            <w:tcW w:w="2035" w:type="dxa"/>
            <w:hideMark/>
          </w:tcPr>
          <w:p w14:paraId="53C8105F" w14:textId="77777777" w:rsidR="00037B06" w:rsidRPr="00CF318A" w:rsidRDefault="00037B06" w:rsidP="00304DB4">
            <w:pPr>
              <w:ind w:left="75" w:right="375"/>
              <w:jc w:val="center"/>
              <w:rPr>
                <w:rFonts w:ascii="Garamond" w:hAnsi="Garamond" w:cs="Arial"/>
                <w:b/>
                <w:bCs/>
                <w:sz w:val="18"/>
                <w:szCs w:val="18"/>
              </w:rPr>
            </w:pPr>
            <w:r w:rsidRPr="00CF318A">
              <w:rPr>
                <w:rFonts w:ascii="Garamond" w:hAnsi="Garamond" w:cs="Arial"/>
                <w:b/>
                <w:bCs/>
                <w:sz w:val="18"/>
                <w:szCs w:val="18"/>
              </w:rPr>
              <w:t>TIPO DE PROCESO</w:t>
            </w:r>
          </w:p>
        </w:tc>
        <w:tc>
          <w:tcPr>
            <w:tcW w:w="1560" w:type="dxa"/>
            <w:hideMark/>
          </w:tcPr>
          <w:p w14:paraId="3D28E514" w14:textId="77777777" w:rsidR="00037B06" w:rsidRPr="00CF318A" w:rsidRDefault="00037B06" w:rsidP="00304DB4">
            <w:pPr>
              <w:ind w:left="75" w:right="375"/>
              <w:jc w:val="center"/>
              <w:rPr>
                <w:rFonts w:ascii="Garamond" w:hAnsi="Garamond" w:cs="Arial"/>
                <w:b/>
                <w:bCs/>
                <w:sz w:val="18"/>
                <w:szCs w:val="18"/>
              </w:rPr>
            </w:pPr>
            <w:r w:rsidRPr="00CF318A">
              <w:rPr>
                <w:rFonts w:ascii="Garamond" w:hAnsi="Garamond" w:cs="Arial"/>
                <w:b/>
                <w:bCs/>
                <w:sz w:val="18"/>
                <w:szCs w:val="18"/>
              </w:rPr>
              <w:t>PROYECTO</w:t>
            </w:r>
          </w:p>
        </w:tc>
        <w:tc>
          <w:tcPr>
            <w:tcW w:w="2268" w:type="dxa"/>
            <w:hideMark/>
          </w:tcPr>
          <w:p w14:paraId="64E8FE90" w14:textId="77777777" w:rsidR="00037B06" w:rsidRPr="00CF318A" w:rsidRDefault="00037B06" w:rsidP="00304DB4">
            <w:pPr>
              <w:ind w:left="75" w:right="375"/>
              <w:jc w:val="center"/>
              <w:rPr>
                <w:rFonts w:ascii="Garamond" w:hAnsi="Garamond" w:cs="Arial"/>
                <w:b/>
                <w:bCs/>
                <w:sz w:val="18"/>
                <w:szCs w:val="18"/>
              </w:rPr>
            </w:pPr>
            <w:r w:rsidRPr="00CF318A">
              <w:rPr>
                <w:rFonts w:ascii="Garamond" w:hAnsi="Garamond" w:cs="Arial"/>
                <w:b/>
                <w:bCs/>
                <w:sz w:val="18"/>
                <w:szCs w:val="18"/>
              </w:rPr>
              <w:t>META</w:t>
            </w:r>
          </w:p>
        </w:tc>
        <w:tc>
          <w:tcPr>
            <w:tcW w:w="1417" w:type="dxa"/>
            <w:hideMark/>
          </w:tcPr>
          <w:p w14:paraId="597AD365" w14:textId="77777777" w:rsidR="00037B06" w:rsidRPr="00CF318A" w:rsidRDefault="00037B06" w:rsidP="001D5327">
            <w:pPr>
              <w:ind w:left="75" w:right="28"/>
              <w:jc w:val="center"/>
              <w:rPr>
                <w:rFonts w:ascii="Garamond" w:hAnsi="Garamond" w:cs="Arial"/>
                <w:b/>
                <w:bCs/>
                <w:sz w:val="18"/>
                <w:szCs w:val="18"/>
              </w:rPr>
            </w:pPr>
            <w:r w:rsidRPr="00CF318A">
              <w:rPr>
                <w:rFonts w:ascii="Garamond" w:hAnsi="Garamond" w:cs="Arial"/>
                <w:b/>
                <w:bCs/>
                <w:sz w:val="18"/>
                <w:szCs w:val="18"/>
              </w:rPr>
              <w:t>MAGNITUD 2025</w:t>
            </w:r>
          </w:p>
        </w:tc>
        <w:tc>
          <w:tcPr>
            <w:tcW w:w="2126" w:type="dxa"/>
            <w:hideMark/>
          </w:tcPr>
          <w:p w14:paraId="580CB7E9" w14:textId="77777777" w:rsidR="00037B06" w:rsidRPr="00CF318A" w:rsidRDefault="00037B06" w:rsidP="001D5327">
            <w:pPr>
              <w:tabs>
                <w:tab w:val="left" w:pos="1308"/>
                <w:tab w:val="left" w:pos="1367"/>
              </w:tabs>
              <w:ind w:left="75" w:right="375"/>
              <w:rPr>
                <w:rFonts w:ascii="Garamond" w:hAnsi="Garamond" w:cs="Arial"/>
                <w:b/>
                <w:bCs/>
                <w:sz w:val="18"/>
                <w:szCs w:val="18"/>
              </w:rPr>
            </w:pPr>
            <w:r w:rsidRPr="00CF318A">
              <w:rPr>
                <w:rFonts w:ascii="Garamond" w:hAnsi="Garamond" w:cs="Arial"/>
                <w:b/>
                <w:bCs/>
                <w:sz w:val="18"/>
                <w:szCs w:val="18"/>
              </w:rPr>
              <w:t>PRESUPUESTO</w:t>
            </w:r>
          </w:p>
        </w:tc>
      </w:tr>
      <w:tr w:rsidR="00037B06" w:rsidRPr="00CF318A" w14:paraId="3B6AB449" w14:textId="77777777" w:rsidTr="001D5327">
        <w:trPr>
          <w:trHeight w:val="557"/>
        </w:trPr>
        <w:tc>
          <w:tcPr>
            <w:tcW w:w="2035" w:type="dxa"/>
          </w:tcPr>
          <w:p w14:paraId="21C4DCEB" w14:textId="77777777" w:rsidR="00037B06" w:rsidRDefault="00037B06" w:rsidP="00304DB4">
            <w:pPr>
              <w:ind w:right="375"/>
              <w:jc w:val="center"/>
              <w:rPr>
                <w:rFonts w:ascii="Garamond" w:hAnsi="Garamond" w:cs="Arial"/>
                <w:i/>
                <w:color w:val="000000"/>
                <w:sz w:val="18"/>
                <w:szCs w:val="18"/>
                <w:lang w:eastAsia="es-CO"/>
              </w:rPr>
            </w:pPr>
            <w:r>
              <w:rPr>
                <w:rFonts w:ascii="Garamond" w:hAnsi="Garamond" w:cs="Arial"/>
                <w:i/>
                <w:color w:val="000000"/>
                <w:sz w:val="18"/>
                <w:szCs w:val="18"/>
                <w:lang w:eastAsia="es-CO"/>
              </w:rPr>
              <w:t>NO DEFINIDO</w:t>
            </w:r>
          </w:p>
        </w:tc>
        <w:tc>
          <w:tcPr>
            <w:tcW w:w="1560" w:type="dxa"/>
            <w:vMerge w:val="restart"/>
          </w:tcPr>
          <w:p w14:paraId="185BE47D" w14:textId="77777777" w:rsidR="00037B06" w:rsidRDefault="00037B06" w:rsidP="00304DB4">
            <w:pPr>
              <w:ind w:right="375"/>
              <w:jc w:val="center"/>
              <w:rPr>
                <w:rFonts w:ascii="Garamond" w:hAnsi="Garamond" w:cs="Arial"/>
                <w:b/>
                <w:bCs/>
                <w:i/>
                <w:color w:val="000000"/>
                <w:lang w:eastAsia="es-CO"/>
              </w:rPr>
            </w:pPr>
          </w:p>
          <w:p w14:paraId="18593CF8" w14:textId="77777777" w:rsidR="00037B06" w:rsidRDefault="00037B06" w:rsidP="00304DB4">
            <w:pPr>
              <w:ind w:right="375"/>
              <w:jc w:val="center"/>
              <w:rPr>
                <w:rFonts w:ascii="Garamond" w:hAnsi="Garamond" w:cs="Arial"/>
                <w:b/>
                <w:bCs/>
                <w:i/>
                <w:color w:val="000000"/>
                <w:lang w:eastAsia="es-CO"/>
              </w:rPr>
            </w:pPr>
          </w:p>
          <w:p w14:paraId="3284BA5B" w14:textId="77777777" w:rsidR="00037B06" w:rsidRDefault="00037B06" w:rsidP="00304DB4">
            <w:pPr>
              <w:ind w:right="375"/>
              <w:jc w:val="center"/>
              <w:rPr>
                <w:rFonts w:ascii="Garamond" w:hAnsi="Garamond" w:cs="Arial"/>
                <w:b/>
                <w:bCs/>
                <w:i/>
                <w:color w:val="000000"/>
                <w:lang w:eastAsia="es-CO"/>
              </w:rPr>
            </w:pPr>
          </w:p>
          <w:p w14:paraId="28EDFABE" w14:textId="77777777" w:rsidR="00037B06" w:rsidRDefault="00037B06" w:rsidP="00304DB4">
            <w:pPr>
              <w:ind w:right="375"/>
              <w:jc w:val="center"/>
              <w:rPr>
                <w:rFonts w:ascii="Garamond" w:hAnsi="Garamond" w:cs="Arial"/>
                <w:b/>
                <w:bCs/>
                <w:i/>
                <w:color w:val="000000"/>
                <w:lang w:eastAsia="es-CO"/>
              </w:rPr>
            </w:pPr>
            <w:r>
              <w:rPr>
                <w:rFonts w:ascii="Garamond" w:hAnsi="Garamond" w:cs="Arial"/>
                <w:b/>
                <w:bCs/>
                <w:i/>
                <w:color w:val="000000"/>
                <w:lang w:eastAsia="es-CO"/>
              </w:rPr>
              <w:t>2472</w:t>
            </w:r>
            <w:r w:rsidRPr="00CF318A">
              <w:rPr>
                <w:rFonts w:ascii="Garamond" w:hAnsi="Garamond" w:cs="Arial"/>
                <w:i/>
                <w:color w:val="000000"/>
                <w:lang w:eastAsia="es-CO"/>
              </w:rPr>
              <w:br/>
            </w:r>
            <w:r w:rsidRPr="000A6A15">
              <w:rPr>
                <w:rFonts w:ascii="Garamond" w:hAnsi="Garamond" w:cs="Arial"/>
                <w:i/>
                <w:color w:val="000000"/>
                <w:lang w:eastAsia="es-CO"/>
              </w:rPr>
              <w:t>Acciones de resiliencia hogares seguros y comunidades fortalecidas</w:t>
            </w:r>
          </w:p>
        </w:tc>
        <w:tc>
          <w:tcPr>
            <w:tcW w:w="2268" w:type="dxa"/>
          </w:tcPr>
          <w:p w14:paraId="4CB92204" w14:textId="77777777" w:rsidR="00037B06" w:rsidRDefault="00037B06" w:rsidP="00304DB4">
            <w:pPr>
              <w:ind w:right="375"/>
              <w:jc w:val="center"/>
              <w:rPr>
                <w:rFonts w:ascii="Garamond" w:hAnsi="Garamond" w:cs="Arial"/>
                <w:i/>
                <w:color w:val="000000"/>
                <w:lang w:eastAsia="es-CO"/>
              </w:rPr>
            </w:pPr>
            <w:r>
              <w:rPr>
                <w:rFonts w:ascii="Garamond" w:hAnsi="Garamond" w:cs="Arial"/>
                <w:i/>
                <w:color w:val="000000"/>
                <w:lang w:eastAsia="es-CO"/>
              </w:rPr>
              <w:t>“Realizar 4 acciones efectivas para el fortalecimiento de las capacidades locales en torno a la gestión del riesgo”</w:t>
            </w:r>
          </w:p>
        </w:tc>
        <w:tc>
          <w:tcPr>
            <w:tcW w:w="1417" w:type="dxa"/>
            <w:tcBorders>
              <w:top w:val="single" w:sz="8" w:space="0" w:color="auto"/>
              <w:left w:val="nil"/>
              <w:bottom w:val="single" w:sz="8" w:space="0" w:color="auto"/>
              <w:right w:val="single" w:sz="8" w:space="0" w:color="auto"/>
            </w:tcBorders>
            <w:shd w:val="clear" w:color="auto" w:fill="auto"/>
            <w:vAlign w:val="center"/>
          </w:tcPr>
          <w:p w14:paraId="755AC8DE" w14:textId="77777777" w:rsidR="00037B06" w:rsidRPr="00CF318A" w:rsidRDefault="00037B06" w:rsidP="00304DB4">
            <w:pPr>
              <w:ind w:right="375"/>
              <w:jc w:val="center"/>
              <w:rPr>
                <w:rFonts w:ascii="Garamond" w:hAnsi="Garamond"/>
                <w:b/>
                <w:color w:val="000000"/>
              </w:rPr>
            </w:pPr>
            <w:r>
              <w:rPr>
                <w:rFonts w:ascii="Garamond" w:hAnsi="Garamond"/>
                <w:b/>
                <w:color w:val="000000"/>
              </w:rPr>
              <w:t>1</w:t>
            </w:r>
          </w:p>
        </w:tc>
        <w:tc>
          <w:tcPr>
            <w:tcW w:w="2126" w:type="dxa"/>
            <w:vMerge w:val="restart"/>
            <w:tcBorders>
              <w:top w:val="single" w:sz="8" w:space="0" w:color="auto"/>
              <w:left w:val="nil"/>
              <w:right w:val="single" w:sz="8" w:space="0" w:color="auto"/>
            </w:tcBorders>
            <w:shd w:val="clear" w:color="auto" w:fill="auto"/>
            <w:vAlign w:val="center"/>
          </w:tcPr>
          <w:p w14:paraId="36D8EF8D" w14:textId="6655D49B" w:rsidR="00037B06" w:rsidRDefault="00037B06" w:rsidP="001D5327">
            <w:pPr>
              <w:ind w:right="375"/>
              <w:rPr>
                <w:rFonts w:ascii="Garamond" w:hAnsi="Garamond"/>
                <w:b/>
                <w:color w:val="000000"/>
              </w:rPr>
            </w:pPr>
            <w:r>
              <w:rPr>
                <w:rFonts w:ascii="Garamond" w:hAnsi="Garamond"/>
                <w:b/>
                <w:color w:val="000000"/>
              </w:rPr>
              <w:t>$</w:t>
            </w:r>
            <w:r w:rsidR="001D5327">
              <w:rPr>
                <w:rFonts w:ascii="Garamond" w:hAnsi="Garamond"/>
                <w:b/>
                <w:color w:val="000000"/>
              </w:rPr>
              <w:t xml:space="preserve"> </w:t>
            </w:r>
            <w:r>
              <w:rPr>
                <w:rFonts w:ascii="Garamond" w:hAnsi="Garamond"/>
                <w:b/>
                <w:color w:val="000000"/>
              </w:rPr>
              <w:t>165.946.000,00</w:t>
            </w:r>
          </w:p>
        </w:tc>
      </w:tr>
      <w:tr w:rsidR="00037B06" w:rsidRPr="00CF318A" w14:paraId="2B1BF2D4" w14:textId="77777777" w:rsidTr="001D5327">
        <w:trPr>
          <w:trHeight w:val="557"/>
        </w:trPr>
        <w:tc>
          <w:tcPr>
            <w:tcW w:w="2035" w:type="dxa"/>
          </w:tcPr>
          <w:p w14:paraId="079339FA" w14:textId="77777777" w:rsidR="00037B06" w:rsidRPr="00CF318A" w:rsidRDefault="00037B06" w:rsidP="00304DB4">
            <w:pPr>
              <w:ind w:right="375"/>
              <w:jc w:val="center"/>
              <w:rPr>
                <w:rFonts w:ascii="Garamond" w:hAnsi="Garamond" w:cs="Arial"/>
                <w:i/>
                <w:color w:val="000000"/>
                <w:sz w:val="18"/>
                <w:szCs w:val="18"/>
                <w:lang w:eastAsia="es-CO"/>
              </w:rPr>
            </w:pPr>
            <w:r>
              <w:rPr>
                <w:rFonts w:ascii="Garamond" w:hAnsi="Garamond" w:cs="Arial"/>
                <w:i/>
                <w:color w:val="000000"/>
                <w:sz w:val="18"/>
                <w:szCs w:val="18"/>
                <w:lang w:eastAsia="es-CO"/>
              </w:rPr>
              <w:t>SELECCIÓN ABREVIADA DE MENOR CUANTÍA - SAMC</w:t>
            </w:r>
          </w:p>
        </w:tc>
        <w:tc>
          <w:tcPr>
            <w:tcW w:w="1560" w:type="dxa"/>
            <w:vMerge/>
          </w:tcPr>
          <w:p w14:paraId="3623DD0D" w14:textId="77777777" w:rsidR="00037B06" w:rsidRPr="00CF318A" w:rsidRDefault="00037B06" w:rsidP="00304DB4">
            <w:pPr>
              <w:ind w:right="375"/>
              <w:jc w:val="center"/>
              <w:rPr>
                <w:rFonts w:ascii="Garamond" w:hAnsi="Garamond"/>
                <w:b/>
                <w:bCs/>
                <w:color w:val="000000"/>
              </w:rPr>
            </w:pPr>
          </w:p>
        </w:tc>
        <w:tc>
          <w:tcPr>
            <w:tcW w:w="2268" w:type="dxa"/>
          </w:tcPr>
          <w:p w14:paraId="18E3FC2A" w14:textId="77777777" w:rsidR="00037B06" w:rsidRPr="00CF318A" w:rsidRDefault="00037B06" w:rsidP="00304DB4">
            <w:pPr>
              <w:ind w:right="375"/>
              <w:jc w:val="center"/>
              <w:rPr>
                <w:rFonts w:ascii="Garamond" w:hAnsi="Garamond"/>
                <w:b/>
                <w:i/>
                <w:color w:val="000000"/>
                <w:u w:val="single"/>
              </w:rPr>
            </w:pPr>
            <w:r>
              <w:rPr>
                <w:rFonts w:ascii="Garamond" w:hAnsi="Garamond" w:cs="Arial"/>
                <w:i/>
                <w:color w:val="000000"/>
                <w:lang w:eastAsia="es-CO"/>
              </w:rPr>
              <w:t>“</w:t>
            </w:r>
            <w:r w:rsidRPr="000A6A15">
              <w:rPr>
                <w:rFonts w:ascii="Garamond" w:hAnsi="Garamond" w:cs="Arial"/>
                <w:i/>
                <w:color w:val="000000"/>
                <w:lang w:eastAsia="es-CO"/>
              </w:rPr>
              <w:t>Realizar 1 obra de mitigación y/u obras de mitigación existentes con mantenimiento”</w:t>
            </w:r>
          </w:p>
        </w:tc>
        <w:tc>
          <w:tcPr>
            <w:tcW w:w="1417" w:type="dxa"/>
            <w:tcBorders>
              <w:top w:val="single" w:sz="8" w:space="0" w:color="auto"/>
              <w:left w:val="nil"/>
              <w:bottom w:val="single" w:sz="8" w:space="0" w:color="auto"/>
              <w:right w:val="single" w:sz="8" w:space="0" w:color="auto"/>
            </w:tcBorders>
            <w:shd w:val="clear" w:color="auto" w:fill="auto"/>
            <w:vAlign w:val="center"/>
          </w:tcPr>
          <w:p w14:paraId="7D4D92D3" w14:textId="77777777" w:rsidR="00037B06" w:rsidRPr="00CF318A" w:rsidRDefault="00037B06" w:rsidP="00304DB4">
            <w:pPr>
              <w:ind w:right="375"/>
              <w:jc w:val="center"/>
              <w:rPr>
                <w:rFonts w:ascii="Garamond" w:hAnsi="Garamond"/>
                <w:b/>
                <w:color w:val="000000"/>
              </w:rPr>
            </w:pPr>
            <w:r w:rsidRPr="00CF318A">
              <w:rPr>
                <w:rFonts w:ascii="Garamond" w:hAnsi="Garamond"/>
                <w:b/>
                <w:color w:val="000000"/>
              </w:rPr>
              <w:t>1</w:t>
            </w:r>
          </w:p>
        </w:tc>
        <w:tc>
          <w:tcPr>
            <w:tcW w:w="2126" w:type="dxa"/>
            <w:vMerge/>
            <w:tcBorders>
              <w:left w:val="nil"/>
              <w:bottom w:val="single" w:sz="8" w:space="0" w:color="auto"/>
              <w:right w:val="single" w:sz="8" w:space="0" w:color="auto"/>
            </w:tcBorders>
            <w:shd w:val="clear" w:color="auto" w:fill="auto"/>
            <w:vAlign w:val="center"/>
          </w:tcPr>
          <w:p w14:paraId="24069201" w14:textId="77777777" w:rsidR="00037B06" w:rsidRPr="00CF318A" w:rsidRDefault="00037B06" w:rsidP="00304DB4">
            <w:pPr>
              <w:ind w:right="375"/>
              <w:jc w:val="center"/>
              <w:rPr>
                <w:rFonts w:ascii="Garamond" w:hAnsi="Garamond"/>
                <w:b/>
                <w:color w:val="000000"/>
              </w:rPr>
            </w:pPr>
          </w:p>
        </w:tc>
      </w:tr>
    </w:tbl>
    <w:p w14:paraId="44860C56" w14:textId="77777777" w:rsidR="00037B06" w:rsidRPr="00037B06" w:rsidRDefault="00037B06" w:rsidP="00304DB4">
      <w:pPr>
        <w:tabs>
          <w:tab w:val="left" w:pos="38"/>
        </w:tabs>
        <w:spacing w:after="0" w:line="240" w:lineRule="auto"/>
        <w:ind w:right="375"/>
        <w:jc w:val="center"/>
        <w:rPr>
          <w:rFonts w:ascii="Garamond" w:hAnsi="Garamond" w:cs="Arial"/>
          <w:sz w:val="20"/>
          <w:szCs w:val="20"/>
        </w:rPr>
      </w:pPr>
      <w:r w:rsidRPr="00037B06">
        <w:rPr>
          <w:rFonts w:ascii="Garamond" w:hAnsi="Garamond" w:cs="Arial"/>
          <w:sz w:val="20"/>
          <w:szCs w:val="20"/>
        </w:rPr>
        <w:t>Tabla 1. Proyecto de inversión No. 2472</w:t>
      </w:r>
    </w:p>
    <w:p w14:paraId="1D5BE5D1" w14:textId="46CD1406" w:rsidR="00037B06" w:rsidRPr="00037B06" w:rsidRDefault="00037B06" w:rsidP="00304DB4">
      <w:pPr>
        <w:tabs>
          <w:tab w:val="left" w:pos="38"/>
        </w:tabs>
        <w:spacing w:after="0" w:line="240" w:lineRule="auto"/>
        <w:ind w:right="375"/>
        <w:jc w:val="center"/>
        <w:rPr>
          <w:rFonts w:ascii="Garamond" w:hAnsi="Garamond" w:cs="Arial"/>
          <w:color w:val="A6A6A6"/>
          <w:sz w:val="20"/>
          <w:szCs w:val="20"/>
        </w:rPr>
      </w:pPr>
      <w:r w:rsidRPr="00037B06">
        <w:rPr>
          <w:rFonts w:ascii="Garamond" w:hAnsi="Garamond"/>
          <w:sz w:val="20"/>
          <w:szCs w:val="20"/>
        </w:rPr>
        <w:t>Fuente: Oficina de Planeación, Alcaldía Local de Antonio Nariño</w:t>
      </w:r>
    </w:p>
    <w:p w14:paraId="19A00720" w14:textId="77777777" w:rsidR="00037B06" w:rsidRDefault="00037B06" w:rsidP="00304DB4">
      <w:pPr>
        <w:tabs>
          <w:tab w:val="left" w:pos="38"/>
        </w:tabs>
        <w:spacing w:after="0" w:line="240" w:lineRule="auto"/>
        <w:ind w:left="993" w:right="375"/>
        <w:jc w:val="center"/>
        <w:rPr>
          <w:rFonts w:ascii="Garamond" w:hAnsi="Garamond"/>
          <w:sz w:val="18"/>
          <w:szCs w:val="18"/>
        </w:rPr>
      </w:pPr>
    </w:p>
    <w:p w14:paraId="2574A881" w14:textId="37798203" w:rsidR="00037B06" w:rsidRDefault="00037B06" w:rsidP="00304DB4">
      <w:pPr>
        <w:spacing w:after="0" w:line="240" w:lineRule="auto"/>
        <w:ind w:left="993" w:right="375"/>
        <w:jc w:val="both"/>
        <w:rPr>
          <w:rFonts w:ascii="Garamond" w:hAnsi="Garamond" w:cs="Arial"/>
          <w:sz w:val="24"/>
          <w:szCs w:val="24"/>
        </w:rPr>
      </w:pPr>
      <w:r w:rsidRPr="00037B06">
        <w:rPr>
          <w:rFonts w:ascii="Garamond" w:hAnsi="Garamond" w:cs="Arial"/>
          <w:sz w:val="24"/>
          <w:szCs w:val="24"/>
        </w:rPr>
        <w:t>La contratación pretendida resulta conveniente porque es la que más se ajusta para atender las necesidades contempladas en Plan de Desarrollo Local 2025 - 2028 “</w:t>
      </w:r>
      <w:r w:rsidRPr="00037B06">
        <w:rPr>
          <w:rFonts w:ascii="Garamond" w:hAnsi="Garamond" w:cs="Arial"/>
          <w:i/>
          <w:sz w:val="24"/>
          <w:szCs w:val="24"/>
        </w:rPr>
        <w:t>Antonio Nariño Camina Segura</w:t>
      </w:r>
      <w:r w:rsidRPr="00037B06">
        <w:rPr>
          <w:rFonts w:ascii="Garamond" w:hAnsi="Garamond" w:cs="Arial"/>
          <w:sz w:val="24"/>
          <w:szCs w:val="24"/>
        </w:rPr>
        <w:t>”, adoptado mediante Acuerdo Local No. 003 del 29 de agosto de 2024, relacionadas con fortalecer la preparación y respuesta ante eventos adversos, enfocándose en la identificación y mitigación de riesgos naturales y antrópicos, y promoviendo la resiliencia comunitaria mediante planes de contingencia, capacitación en primeros auxilios y simulacros de evacuación.</w:t>
      </w:r>
    </w:p>
    <w:p w14:paraId="4B7D735F" w14:textId="77777777" w:rsidR="00BC4825" w:rsidRPr="00037B06" w:rsidRDefault="00BC4825" w:rsidP="00304DB4">
      <w:pPr>
        <w:spacing w:after="0" w:line="240" w:lineRule="auto"/>
        <w:ind w:left="993" w:right="375"/>
        <w:jc w:val="both"/>
        <w:rPr>
          <w:rFonts w:ascii="Garamond" w:hAnsi="Garamond" w:cs="Arial"/>
          <w:color w:val="808080" w:themeColor="background1" w:themeShade="80"/>
          <w:sz w:val="24"/>
          <w:szCs w:val="24"/>
        </w:rPr>
      </w:pPr>
    </w:p>
    <w:p w14:paraId="077114D7" w14:textId="77777777" w:rsidR="00037B06" w:rsidRPr="00037B06" w:rsidRDefault="00037B06" w:rsidP="00304DB4">
      <w:pPr>
        <w:spacing w:after="0" w:line="240" w:lineRule="auto"/>
        <w:ind w:left="993" w:right="375"/>
        <w:jc w:val="both"/>
        <w:rPr>
          <w:rFonts w:ascii="Garamond" w:hAnsi="Garamond" w:cs="Arial"/>
          <w:sz w:val="24"/>
          <w:szCs w:val="24"/>
        </w:rPr>
      </w:pPr>
      <w:r w:rsidRPr="00037B06">
        <w:rPr>
          <w:rFonts w:ascii="Garamond" w:hAnsi="Garamond" w:cs="Arial"/>
          <w:sz w:val="24"/>
          <w:szCs w:val="24"/>
        </w:rPr>
        <w:t>La Ficha EBI No. 2472 en su versión 4, específicamente apunta a dos objetivos primordiales:</w:t>
      </w:r>
    </w:p>
    <w:p w14:paraId="63146D9F" w14:textId="77777777" w:rsidR="00037B06" w:rsidRPr="00037B06" w:rsidRDefault="00037B06" w:rsidP="003A1825">
      <w:pPr>
        <w:pStyle w:val="Prrafodelista"/>
        <w:numPr>
          <w:ilvl w:val="0"/>
          <w:numId w:val="2"/>
        </w:numPr>
        <w:spacing w:after="0" w:line="240" w:lineRule="auto"/>
        <w:ind w:left="993" w:right="375" w:firstLine="0"/>
        <w:jc w:val="both"/>
        <w:rPr>
          <w:rFonts w:ascii="Garamond" w:hAnsi="Garamond" w:cs="Arial"/>
          <w:i/>
          <w:sz w:val="24"/>
          <w:szCs w:val="24"/>
        </w:rPr>
      </w:pPr>
      <w:r w:rsidRPr="00037B06">
        <w:rPr>
          <w:rFonts w:ascii="Garamond" w:hAnsi="Garamond" w:cs="Arial"/>
          <w:i/>
          <w:sz w:val="24"/>
          <w:szCs w:val="24"/>
        </w:rPr>
        <w:t>“Realizar 4 acciones efectivas para el fortalecimiento de las capacidades locales en torno a la gestión del riesgo”</w:t>
      </w:r>
    </w:p>
    <w:p w14:paraId="21BE5178" w14:textId="77777777" w:rsidR="00037B06" w:rsidRPr="00037B06" w:rsidRDefault="00037B06" w:rsidP="003A1825">
      <w:pPr>
        <w:pStyle w:val="Prrafodelista"/>
        <w:numPr>
          <w:ilvl w:val="0"/>
          <w:numId w:val="2"/>
        </w:numPr>
        <w:spacing w:after="0" w:line="240" w:lineRule="auto"/>
        <w:ind w:left="993" w:right="375" w:firstLine="0"/>
        <w:jc w:val="both"/>
        <w:rPr>
          <w:rFonts w:ascii="Garamond" w:hAnsi="Garamond" w:cs="Arial"/>
          <w:b/>
          <w:i/>
          <w:sz w:val="24"/>
          <w:szCs w:val="24"/>
        </w:rPr>
      </w:pPr>
      <w:r w:rsidRPr="00037B06">
        <w:rPr>
          <w:rFonts w:ascii="Garamond" w:hAnsi="Garamond" w:cs="Arial"/>
          <w:b/>
          <w:i/>
          <w:sz w:val="24"/>
          <w:szCs w:val="24"/>
        </w:rPr>
        <w:t>“Realizar 1 obra de mitigación y/u obras de mitigación existentes con mantenimiento”</w:t>
      </w:r>
    </w:p>
    <w:p w14:paraId="715C0987" w14:textId="500726D6" w:rsidR="00037B06" w:rsidRDefault="00037B06" w:rsidP="00304DB4">
      <w:pPr>
        <w:spacing w:after="0" w:line="240" w:lineRule="auto"/>
        <w:ind w:left="993" w:right="375"/>
        <w:jc w:val="both"/>
        <w:rPr>
          <w:rFonts w:ascii="Garamond" w:hAnsi="Garamond" w:cs="Arial"/>
          <w:sz w:val="24"/>
          <w:szCs w:val="24"/>
        </w:rPr>
      </w:pPr>
      <w:r w:rsidRPr="00037B06">
        <w:rPr>
          <w:rFonts w:ascii="Garamond" w:hAnsi="Garamond" w:cs="Arial"/>
          <w:sz w:val="24"/>
          <w:szCs w:val="24"/>
        </w:rPr>
        <w:t xml:space="preserve">Que, mediante la ejecución del presente contrato, se dará un avance del </w:t>
      </w:r>
      <w:r w:rsidRPr="00037B06">
        <w:rPr>
          <w:rFonts w:ascii="Garamond" w:hAnsi="Garamond" w:cs="Arial"/>
          <w:b/>
          <w:sz w:val="24"/>
          <w:szCs w:val="24"/>
          <w:u w:val="single"/>
        </w:rPr>
        <w:t>CIEN PORCIENTO (100%)</w:t>
      </w:r>
      <w:r w:rsidRPr="00037B06">
        <w:rPr>
          <w:rFonts w:ascii="Garamond" w:hAnsi="Garamond" w:cs="Arial"/>
          <w:sz w:val="24"/>
          <w:szCs w:val="24"/>
        </w:rPr>
        <w:t xml:space="preserve"> del cumplimiento de la meta del cuatrienio “</w:t>
      </w:r>
      <w:r w:rsidRPr="00037B06">
        <w:rPr>
          <w:rFonts w:ascii="Garamond" w:hAnsi="Garamond" w:cs="Arial"/>
          <w:i/>
          <w:sz w:val="24"/>
          <w:szCs w:val="24"/>
        </w:rPr>
        <w:t>Realizar 1 obra de mitigación y/u obras de mitigación existentes con mantenimiento</w:t>
      </w:r>
      <w:r w:rsidRPr="00037B06">
        <w:rPr>
          <w:rFonts w:ascii="Garamond" w:hAnsi="Garamond" w:cs="Arial"/>
          <w:sz w:val="24"/>
          <w:szCs w:val="24"/>
        </w:rPr>
        <w:t>”.</w:t>
      </w:r>
    </w:p>
    <w:p w14:paraId="3D69B550" w14:textId="77777777" w:rsidR="00C645A7" w:rsidRPr="00037B06" w:rsidRDefault="00C645A7" w:rsidP="002A4BF2">
      <w:pPr>
        <w:spacing w:after="0" w:line="240" w:lineRule="auto"/>
        <w:ind w:left="993"/>
        <w:jc w:val="both"/>
        <w:rPr>
          <w:rFonts w:ascii="Garamond" w:hAnsi="Garamond" w:cs="Arial"/>
          <w:sz w:val="24"/>
          <w:szCs w:val="24"/>
        </w:rPr>
      </w:pPr>
    </w:p>
    <w:p w14:paraId="2FB733D7" w14:textId="58CAF5F1" w:rsidR="001B262C" w:rsidRDefault="001B262C" w:rsidP="002A4BF2">
      <w:pPr>
        <w:tabs>
          <w:tab w:val="left" w:pos="38"/>
        </w:tabs>
        <w:spacing w:after="0" w:line="240" w:lineRule="auto"/>
        <w:ind w:left="993" w:right="474"/>
        <w:jc w:val="both"/>
        <w:rPr>
          <w:rFonts w:ascii="Garamond" w:hAnsi="Garamond" w:cs="Arial"/>
          <w:sz w:val="24"/>
          <w:szCs w:val="24"/>
        </w:rPr>
      </w:pPr>
      <w:r w:rsidRPr="00037B06">
        <w:rPr>
          <w:rFonts w:ascii="Garamond" w:hAnsi="Garamond" w:cs="Arial"/>
          <w:sz w:val="24"/>
          <w:szCs w:val="24"/>
        </w:rPr>
        <w:t xml:space="preserve">Que, dentro de la jurisdicción territorial de la localidad de Antonio Nariño en el barrio Restrepo, se encuentra ubicado el inmueble </w:t>
      </w:r>
      <w:r w:rsidRPr="00037B06">
        <w:rPr>
          <w:rFonts w:ascii="Garamond" w:hAnsi="Garamond" w:cs="Arial"/>
          <w:b/>
          <w:sz w:val="24"/>
          <w:szCs w:val="24"/>
        </w:rPr>
        <w:t>C.E.D El Centenario</w:t>
      </w:r>
      <w:r w:rsidRPr="00037B06">
        <w:rPr>
          <w:rFonts w:ascii="Garamond" w:hAnsi="Garamond" w:cs="Arial"/>
          <w:sz w:val="24"/>
          <w:szCs w:val="24"/>
        </w:rPr>
        <w:t>, Bien de interés cultural del ámbito distrital clasificado en el nivel de intervención uno (N1),</w:t>
      </w:r>
      <w:r>
        <w:rPr>
          <w:rFonts w:ascii="Garamond" w:hAnsi="Garamond" w:cs="Arial"/>
          <w:sz w:val="24"/>
          <w:szCs w:val="24"/>
        </w:rPr>
        <w:t xml:space="preserve"> construido en el año 1936 por el Arquitecto Carlos Martínez Jiménez dentro del proyecto denominado Urbanización Carlos E Restrepo, como sala cuna y Centro de salud No. 1 del barrio Restrepo (Antiguo barrio Centenario) y después consolidado como Centro Educativo Distrital, del cual surge su nombre actual.</w:t>
      </w:r>
    </w:p>
    <w:p w14:paraId="7D4A0D4B" w14:textId="77777777" w:rsidR="00BC4825" w:rsidRDefault="00BC4825" w:rsidP="002A4BF2">
      <w:pPr>
        <w:tabs>
          <w:tab w:val="left" w:pos="38"/>
        </w:tabs>
        <w:spacing w:after="0" w:line="240" w:lineRule="auto"/>
        <w:ind w:left="993" w:right="474"/>
        <w:jc w:val="both"/>
        <w:rPr>
          <w:rFonts w:ascii="Garamond" w:hAnsi="Garamond" w:cs="Arial"/>
          <w:sz w:val="24"/>
          <w:szCs w:val="24"/>
        </w:rPr>
      </w:pPr>
    </w:p>
    <w:p w14:paraId="224C8684" w14:textId="1CECE1EC" w:rsidR="00597F81" w:rsidRDefault="00597F81" w:rsidP="002A4BF2">
      <w:pPr>
        <w:tabs>
          <w:tab w:val="left" w:pos="38"/>
        </w:tabs>
        <w:spacing w:after="0" w:line="240" w:lineRule="auto"/>
        <w:ind w:left="993" w:right="474"/>
        <w:jc w:val="both"/>
        <w:rPr>
          <w:rFonts w:ascii="Garamond" w:hAnsi="Garamond" w:cs="Arial"/>
          <w:sz w:val="24"/>
          <w:szCs w:val="24"/>
        </w:rPr>
      </w:pPr>
      <w:r w:rsidRPr="00EA7B54">
        <w:rPr>
          <w:rFonts w:ascii="Garamond" w:hAnsi="Garamond" w:cs="Arial"/>
          <w:sz w:val="24"/>
          <w:szCs w:val="24"/>
        </w:rPr>
        <w:t xml:space="preserve">Mediante mecanismo judicial de acción popular No. </w:t>
      </w:r>
      <w:r>
        <w:rPr>
          <w:rFonts w:ascii="Garamond" w:hAnsi="Garamond" w:cs="Arial"/>
          <w:sz w:val="24"/>
          <w:szCs w:val="24"/>
        </w:rPr>
        <w:t xml:space="preserve">2022-00150 </w:t>
      </w:r>
      <w:r w:rsidRPr="00EA7B54">
        <w:rPr>
          <w:rFonts w:ascii="Garamond" w:hAnsi="Garamond" w:cs="Arial"/>
          <w:sz w:val="24"/>
          <w:szCs w:val="24"/>
        </w:rPr>
        <w:t>interpuesta por la señora ANYURY DANIELA VILLAMIL ARTEAGA, en contra del DISTRITO CAPITAL DE BOGOTÁ, del DEPARTAMENTO ADMINISTRATIVO DE LA DEFENSORÍA DEL ESPACIO PÚBLICO   - DADEP, del INSTITUTO PARA LA ECONOMÍA SOCIAL - IPES, del INSTITUTO DISTRITAL DE PATRIMONIO CULTURAL - IDPC y de la A</w:t>
      </w:r>
      <w:r>
        <w:rPr>
          <w:rFonts w:ascii="Garamond" w:hAnsi="Garamond" w:cs="Arial"/>
          <w:sz w:val="24"/>
          <w:szCs w:val="24"/>
        </w:rPr>
        <w:t xml:space="preserve">LCALDÍA </w:t>
      </w:r>
      <w:r>
        <w:rPr>
          <w:rFonts w:ascii="Garamond" w:hAnsi="Garamond" w:cs="Arial"/>
          <w:sz w:val="24"/>
          <w:szCs w:val="24"/>
        </w:rPr>
        <w:lastRenderedPageBreak/>
        <w:t xml:space="preserve">LOCAL DE ANTONIO NARIÑO, </w:t>
      </w:r>
      <w:r w:rsidRPr="00EA7B54">
        <w:rPr>
          <w:rFonts w:ascii="Garamond" w:hAnsi="Garamond" w:cs="Arial"/>
          <w:sz w:val="24"/>
          <w:szCs w:val="24"/>
        </w:rPr>
        <w:t>se inició proceso identificado con número 11001333501220220015000 de 2022 en el JUZGADO DOCE (12) ADMINISTRATIVO DE ORALIDAD DEL CIRCUI</w:t>
      </w:r>
      <w:r>
        <w:rPr>
          <w:rFonts w:ascii="Garamond" w:hAnsi="Garamond" w:cs="Arial"/>
          <w:sz w:val="24"/>
          <w:szCs w:val="24"/>
        </w:rPr>
        <w:t xml:space="preserve">TO DE BOGOTÁ, SECCIÓN SEGUNDA, </w:t>
      </w:r>
      <w:r w:rsidRPr="00EA7B54">
        <w:rPr>
          <w:rFonts w:ascii="Garamond" w:hAnsi="Garamond" w:cs="Arial"/>
          <w:sz w:val="24"/>
          <w:szCs w:val="24"/>
        </w:rPr>
        <w:t xml:space="preserve">mediante </w:t>
      </w:r>
      <w:r>
        <w:rPr>
          <w:rFonts w:ascii="Garamond" w:hAnsi="Garamond" w:cs="Arial"/>
          <w:sz w:val="24"/>
          <w:szCs w:val="24"/>
        </w:rPr>
        <w:t>el cual se realizaron las siguientes pretensiones:</w:t>
      </w:r>
    </w:p>
    <w:p w14:paraId="46A3CEF6" w14:textId="77777777" w:rsidR="00BC4825" w:rsidRDefault="00BC4825" w:rsidP="002A4BF2">
      <w:pPr>
        <w:tabs>
          <w:tab w:val="left" w:pos="38"/>
        </w:tabs>
        <w:spacing w:after="0" w:line="240" w:lineRule="auto"/>
        <w:ind w:left="993" w:right="474"/>
        <w:jc w:val="both"/>
        <w:rPr>
          <w:rFonts w:ascii="Garamond" w:hAnsi="Garamond" w:cs="Arial"/>
          <w:sz w:val="24"/>
          <w:szCs w:val="24"/>
        </w:rPr>
      </w:pPr>
    </w:p>
    <w:p w14:paraId="72B9762D" w14:textId="70D284F6" w:rsidR="00BC4825" w:rsidRDefault="00597F81" w:rsidP="002A4BF2">
      <w:pPr>
        <w:tabs>
          <w:tab w:val="left" w:pos="38"/>
        </w:tabs>
        <w:spacing w:after="0" w:line="240" w:lineRule="auto"/>
        <w:ind w:left="993" w:right="474"/>
        <w:jc w:val="both"/>
        <w:rPr>
          <w:rFonts w:ascii="Garamond" w:hAnsi="Garamond" w:cs="Arial"/>
          <w:i/>
          <w:sz w:val="24"/>
          <w:szCs w:val="24"/>
        </w:rPr>
      </w:pPr>
      <w:r w:rsidRPr="00A2580B">
        <w:rPr>
          <w:rFonts w:ascii="Garamond" w:hAnsi="Garamond" w:cs="Arial"/>
          <w:i/>
          <w:sz w:val="24"/>
          <w:szCs w:val="24"/>
        </w:rPr>
        <w:t xml:space="preserve">(…) “1. Se protejan los derechos colectivos a la DEFENSA DEL PATRIMONIO CULTURAL, </w:t>
      </w:r>
      <w:r>
        <w:rPr>
          <w:rFonts w:ascii="Garamond" w:hAnsi="Garamond" w:cs="Arial"/>
          <w:b/>
          <w:i/>
          <w:sz w:val="24"/>
          <w:szCs w:val="24"/>
        </w:rPr>
        <w:t>PREVENC</w:t>
      </w:r>
      <w:r w:rsidRPr="00A2580B">
        <w:rPr>
          <w:rFonts w:ascii="Garamond" w:hAnsi="Garamond" w:cs="Arial"/>
          <w:b/>
          <w:i/>
          <w:sz w:val="24"/>
          <w:szCs w:val="24"/>
        </w:rPr>
        <w:t>IÓN DE DESASTRES</w:t>
      </w:r>
      <w:r w:rsidRPr="00A2580B">
        <w:rPr>
          <w:rFonts w:ascii="Garamond" w:hAnsi="Garamond" w:cs="Arial"/>
          <w:i/>
          <w:sz w:val="24"/>
          <w:szCs w:val="24"/>
        </w:rPr>
        <w:t xml:space="preserve"> </w:t>
      </w:r>
      <w:r w:rsidRPr="00A2580B">
        <w:rPr>
          <w:rFonts w:ascii="Garamond" w:hAnsi="Garamond" w:cs="Arial"/>
          <w:b/>
          <w:i/>
          <w:sz w:val="24"/>
          <w:szCs w:val="24"/>
        </w:rPr>
        <w:t>PREVISIBLES</w:t>
      </w:r>
      <w:r w:rsidRPr="00A2580B">
        <w:rPr>
          <w:rFonts w:ascii="Garamond" w:hAnsi="Garamond" w:cs="Arial"/>
          <w:i/>
          <w:sz w:val="24"/>
          <w:szCs w:val="24"/>
        </w:rPr>
        <w:t xml:space="preserve"> Y DEFENSA DEL PATRIMONIO PÚBLICO.</w:t>
      </w:r>
    </w:p>
    <w:p w14:paraId="2FC78BC8" w14:textId="4FF794AF" w:rsidR="00597F81" w:rsidRDefault="00597F81" w:rsidP="002A4BF2">
      <w:pPr>
        <w:tabs>
          <w:tab w:val="left" w:pos="38"/>
        </w:tabs>
        <w:spacing w:after="0" w:line="240" w:lineRule="auto"/>
        <w:ind w:left="993" w:right="474"/>
        <w:jc w:val="both"/>
        <w:rPr>
          <w:rFonts w:ascii="Garamond" w:hAnsi="Garamond"/>
          <w:i/>
          <w:sz w:val="24"/>
          <w:szCs w:val="24"/>
        </w:rPr>
      </w:pPr>
      <w:r w:rsidRPr="00A2580B">
        <w:rPr>
          <w:rFonts w:ascii="Garamond" w:hAnsi="Garamond"/>
          <w:i/>
          <w:sz w:val="24"/>
          <w:szCs w:val="24"/>
        </w:rPr>
        <w:t>2. Que, como consecuencia de lo anterior, se ORDENE al DISTRITO CAPITAL</w:t>
      </w:r>
      <w:r>
        <w:rPr>
          <w:rFonts w:ascii="Garamond" w:hAnsi="Garamond"/>
          <w:i/>
          <w:sz w:val="24"/>
          <w:szCs w:val="24"/>
        </w:rPr>
        <w:t xml:space="preserve"> </w:t>
      </w:r>
      <w:r w:rsidRPr="00A2580B">
        <w:rPr>
          <w:rFonts w:ascii="Garamond" w:hAnsi="Garamond"/>
          <w:i/>
          <w:sz w:val="24"/>
          <w:szCs w:val="24"/>
        </w:rPr>
        <w:t>ALCALDIA MAYOR que a través de La entidad o entidades a las que les competa ya sea INSTITUTO PARA LA ECONOMIA SOCIAL (IPES), DEFENSORIA DEL ESPACIO PÚBLICO (DADEP), ALCALDIA LOCAL DE ANTONIO NARIÑO U OTRAS, realice la apropiación presupuestal para para la restauración de la escuela CED CENTENARIO, ubicada en la transversal 21ª #21ª-65 sur, barrio Restrepo.</w:t>
      </w:r>
      <w:r>
        <w:rPr>
          <w:rFonts w:ascii="Garamond" w:hAnsi="Garamond"/>
          <w:i/>
          <w:sz w:val="24"/>
          <w:szCs w:val="24"/>
        </w:rPr>
        <w:t>” (…)</w:t>
      </w:r>
    </w:p>
    <w:p w14:paraId="680FCC9F" w14:textId="77777777" w:rsidR="00BC4825" w:rsidRPr="00A2580B" w:rsidRDefault="00BC4825" w:rsidP="002A4BF2">
      <w:pPr>
        <w:tabs>
          <w:tab w:val="left" w:pos="38"/>
        </w:tabs>
        <w:spacing w:after="0" w:line="240" w:lineRule="auto"/>
        <w:ind w:left="993" w:right="474"/>
        <w:jc w:val="both"/>
        <w:rPr>
          <w:rFonts w:ascii="Garamond" w:hAnsi="Garamond" w:cs="Arial"/>
          <w:i/>
          <w:sz w:val="24"/>
          <w:szCs w:val="24"/>
        </w:rPr>
      </w:pPr>
    </w:p>
    <w:p w14:paraId="154A3686" w14:textId="5743D085" w:rsidR="00597F81" w:rsidRDefault="00597F81" w:rsidP="002A4BF2">
      <w:pPr>
        <w:tabs>
          <w:tab w:val="left" w:pos="38"/>
        </w:tabs>
        <w:spacing w:after="0" w:line="240" w:lineRule="auto"/>
        <w:ind w:left="993" w:right="474"/>
        <w:jc w:val="both"/>
        <w:rPr>
          <w:rFonts w:ascii="Garamond" w:hAnsi="Garamond" w:cs="Arial"/>
          <w:sz w:val="24"/>
          <w:szCs w:val="24"/>
        </w:rPr>
      </w:pPr>
      <w:r>
        <w:rPr>
          <w:rFonts w:ascii="Garamond" w:hAnsi="Garamond" w:cs="Arial"/>
          <w:sz w:val="24"/>
          <w:szCs w:val="24"/>
        </w:rPr>
        <w:t xml:space="preserve">Que, de conformidad con lo establecido en el </w:t>
      </w:r>
      <w:r w:rsidRPr="00EA7B54">
        <w:rPr>
          <w:rFonts w:ascii="Garamond" w:hAnsi="Garamond" w:cs="Arial"/>
          <w:sz w:val="24"/>
          <w:szCs w:val="24"/>
        </w:rPr>
        <w:t>acta de audiencia No. 073 del cuatro (</w:t>
      </w:r>
      <w:r>
        <w:rPr>
          <w:rFonts w:ascii="Garamond" w:hAnsi="Garamond" w:cs="Arial"/>
          <w:sz w:val="24"/>
          <w:szCs w:val="24"/>
        </w:rPr>
        <w:t xml:space="preserve">4) de abril de 2025 el despacho del </w:t>
      </w:r>
      <w:r w:rsidRPr="00EA7B54">
        <w:rPr>
          <w:rFonts w:ascii="Garamond" w:hAnsi="Garamond" w:cs="Arial"/>
          <w:sz w:val="24"/>
          <w:szCs w:val="24"/>
        </w:rPr>
        <w:t>JUZGADO DOCE (12) ADMINISTRATIVO DE ORALIDAD DEL CIRCUI</w:t>
      </w:r>
      <w:r>
        <w:rPr>
          <w:rFonts w:ascii="Garamond" w:hAnsi="Garamond" w:cs="Arial"/>
          <w:sz w:val="24"/>
          <w:szCs w:val="24"/>
        </w:rPr>
        <w:t>TO DE BOGOTÁ, SECCIÓN SEGUNDA, ordenó:</w:t>
      </w:r>
    </w:p>
    <w:p w14:paraId="5FA36198" w14:textId="77777777" w:rsidR="00BC4825" w:rsidRDefault="00BC4825" w:rsidP="002A4BF2">
      <w:pPr>
        <w:tabs>
          <w:tab w:val="left" w:pos="38"/>
        </w:tabs>
        <w:spacing w:after="0" w:line="240" w:lineRule="auto"/>
        <w:ind w:left="993" w:right="474"/>
        <w:jc w:val="both"/>
        <w:rPr>
          <w:rFonts w:ascii="Garamond" w:hAnsi="Garamond" w:cs="Arial"/>
          <w:sz w:val="24"/>
          <w:szCs w:val="24"/>
        </w:rPr>
      </w:pPr>
    </w:p>
    <w:p w14:paraId="5B1A755D" w14:textId="77777777" w:rsidR="00597F81" w:rsidRDefault="00597F81" w:rsidP="002A4BF2">
      <w:pPr>
        <w:spacing w:after="0" w:line="240" w:lineRule="auto"/>
        <w:ind w:left="993" w:right="474"/>
        <w:jc w:val="both"/>
        <w:rPr>
          <w:rFonts w:ascii="Garamond" w:hAnsi="Garamond"/>
          <w:sz w:val="24"/>
          <w:szCs w:val="24"/>
        </w:rPr>
      </w:pPr>
      <w:r w:rsidRPr="00EA7B54">
        <w:rPr>
          <w:rFonts w:ascii="Garamond" w:hAnsi="Garamond"/>
          <w:sz w:val="24"/>
          <w:szCs w:val="24"/>
        </w:rPr>
        <w:t xml:space="preserve">(…)  </w:t>
      </w:r>
      <w:r w:rsidRPr="00EA7B54">
        <w:rPr>
          <w:rFonts w:ascii="Garamond" w:hAnsi="Garamond"/>
          <w:i/>
          <w:sz w:val="24"/>
          <w:szCs w:val="24"/>
        </w:rPr>
        <w:t>Intervención del Despacho: El Despacho encuentra necesario decretar una medida cautelar para evitar un mayor deterioro del bien inmueble objeto de la presente acción. Sin embargo, considera que para adoptar tal decisión el Instituto para la Economía Social – IPES debe aportar los siguientes documentos:</w:t>
      </w:r>
      <w:r w:rsidRPr="00EA7B54">
        <w:rPr>
          <w:rFonts w:ascii="Garamond" w:hAnsi="Garamond"/>
          <w:sz w:val="24"/>
          <w:szCs w:val="24"/>
        </w:rPr>
        <w:t xml:space="preserve"> </w:t>
      </w:r>
    </w:p>
    <w:p w14:paraId="211563F4" w14:textId="77777777" w:rsidR="00597F81" w:rsidRPr="00EA7B54" w:rsidRDefault="00597F81" w:rsidP="002A4BF2">
      <w:pPr>
        <w:spacing w:after="0" w:line="240" w:lineRule="auto"/>
        <w:ind w:left="993" w:right="474"/>
        <w:jc w:val="both"/>
        <w:rPr>
          <w:rFonts w:ascii="Garamond" w:hAnsi="Garamond"/>
          <w:sz w:val="24"/>
          <w:szCs w:val="24"/>
        </w:rPr>
      </w:pPr>
      <w:r>
        <w:rPr>
          <w:rFonts w:ascii="Garamond" w:hAnsi="Garamond"/>
          <w:sz w:val="24"/>
          <w:szCs w:val="24"/>
        </w:rPr>
        <w:t xml:space="preserve">1. </w:t>
      </w:r>
      <w:r w:rsidRPr="00EA7B54">
        <w:rPr>
          <w:rFonts w:ascii="Garamond" w:hAnsi="Garamond"/>
          <w:i/>
          <w:sz w:val="24"/>
          <w:szCs w:val="24"/>
        </w:rPr>
        <w:t>Informe detallado de la visita técnica realizada al inmueble por parte de los funcionarios del IPES, incluyendo las recomendacione</w:t>
      </w:r>
      <w:r>
        <w:rPr>
          <w:rFonts w:ascii="Garamond" w:hAnsi="Garamond"/>
          <w:i/>
          <w:sz w:val="24"/>
          <w:szCs w:val="24"/>
        </w:rPr>
        <w:t>s y el estado actual del mismo.</w:t>
      </w:r>
    </w:p>
    <w:p w14:paraId="4CA84216" w14:textId="77777777" w:rsidR="00597F81" w:rsidRPr="00A2580B" w:rsidRDefault="00597F81" w:rsidP="002A4BF2">
      <w:pPr>
        <w:spacing w:after="0" w:line="240" w:lineRule="auto"/>
        <w:ind w:left="993" w:right="474"/>
        <w:jc w:val="both"/>
        <w:rPr>
          <w:rFonts w:ascii="Garamond" w:hAnsi="Garamond"/>
          <w:b/>
          <w:i/>
          <w:sz w:val="24"/>
          <w:szCs w:val="24"/>
          <w:u w:val="single"/>
        </w:rPr>
      </w:pPr>
      <w:r>
        <w:rPr>
          <w:rFonts w:ascii="Garamond" w:hAnsi="Garamond"/>
          <w:i/>
          <w:sz w:val="24"/>
          <w:szCs w:val="24"/>
        </w:rPr>
        <w:t xml:space="preserve">2. </w:t>
      </w:r>
      <w:r w:rsidRPr="00A2580B">
        <w:rPr>
          <w:rFonts w:ascii="Garamond" w:hAnsi="Garamond"/>
          <w:b/>
          <w:i/>
          <w:sz w:val="24"/>
          <w:szCs w:val="24"/>
          <w:u w:val="single"/>
        </w:rPr>
        <w:t>Elaborar y presentar una propuesta detallada de los primeros auxilios necesarios para evitar el colapso del inmueble, incluyendo el presupuesto estimado.</w:t>
      </w:r>
    </w:p>
    <w:p w14:paraId="6DFC138A" w14:textId="77777777" w:rsidR="00597F81" w:rsidRPr="00EA7B54" w:rsidRDefault="00597F81" w:rsidP="002A4BF2">
      <w:pPr>
        <w:spacing w:after="0" w:line="240" w:lineRule="auto"/>
        <w:ind w:left="993" w:right="474"/>
        <w:jc w:val="both"/>
        <w:rPr>
          <w:rFonts w:ascii="Garamond" w:hAnsi="Garamond"/>
          <w:i/>
          <w:sz w:val="24"/>
          <w:szCs w:val="24"/>
        </w:rPr>
      </w:pPr>
      <w:r>
        <w:rPr>
          <w:rFonts w:ascii="Garamond" w:hAnsi="Garamond"/>
          <w:i/>
          <w:sz w:val="24"/>
          <w:szCs w:val="24"/>
        </w:rPr>
        <w:t xml:space="preserve">3. </w:t>
      </w:r>
      <w:r w:rsidRPr="00EA7B54">
        <w:rPr>
          <w:rFonts w:ascii="Garamond" w:hAnsi="Garamond"/>
          <w:i/>
          <w:sz w:val="24"/>
          <w:szCs w:val="24"/>
        </w:rPr>
        <w:t>Informe detallado de las acciones de mantenimiento y vigilancia realizadas en el inmueble hasta la fecha.</w:t>
      </w:r>
    </w:p>
    <w:p w14:paraId="7A869542" w14:textId="19E3F7E9" w:rsidR="00597F81" w:rsidRDefault="00597F81" w:rsidP="002A4BF2">
      <w:pPr>
        <w:spacing w:after="0" w:line="240" w:lineRule="auto"/>
        <w:ind w:left="993" w:right="474"/>
        <w:jc w:val="both"/>
        <w:rPr>
          <w:rFonts w:ascii="Garamond" w:hAnsi="Garamond"/>
          <w:sz w:val="24"/>
          <w:szCs w:val="24"/>
        </w:rPr>
      </w:pPr>
      <w:r>
        <w:rPr>
          <w:rFonts w:ascii="Garamond" w:hAnsi="Garamond"/>
          <w:sz w:val="24"/>
          <w:szCs w:val="24"/>
        </w:rPr>
        <w:t>(…) “</w:t>
      </w:r>
      <w:r w:rsidRPr="00B61D3A">
        <w:rPr>
          <w:rFonts w:ascii="Garamond" w:hAnsi="Garamond"/>
          <w:i/>
          <w:sz w:val="24"/>
          <w:szCs w:val="24"/>
        </w:rPr>
        <w:t xml:space="preserve">Así mismo, corresponde al apoderado del Distrito Capital de Bogotá organizar una </w:t>
      </w:r>
      <w:r w:rsidRPr="00A149A6">
        <w:rPr>
          <w:rFonts w:ascii="Garamond" w:hAnsi="Garamond"/>
          <w:b/>
          <w:i/>
          <w:sz w:val="24"/>
          <w:szCs w:val="24"/>
          <w:u w:val="single"/>
        </w:rPr>
        <w:t>mesa de trabajo</w:t>
      </w:r>
      <w:r w:rsidRPr="00B61D3A">
        <w:rPr>
          <w:rFonts w:ascii="Garamond" w:hAnsi="Garamond"/>
          <w:i/>
          <w:sz w:val="24"/>
          <w:szCs w:val="24"/>
        </w:rPr>
        <w:t xml:space="preserve"> con las entidades del sector central y descentralizado para discutir y gestionar los recursos necesarios para los primeros auxilios del inmueble.”</w:t>
      </w:r>
      <w:r w:rsidRPr="00EA7B54">
        <w:rPr>
          <w:rFonts w:ascii="Garamond" w:hAnsi="Garamond"/>
          <w:sz w:val="24"/>
          <w:szCs w:val="24"/>
        </w:rPr>
        <w:t xml:space="preserve"> (…)</w:t>
      </w:r>
    </w:p>
    <w:p w14:paraId="59AA6A81" w14:textId="77777777" w:rsidR="00BC4825" w:rsidRDefault="00BC4825" w:rsidP="002A4BF2">
      <w:pPr>
        <w:spacing w:after="0" w:line="240" w:lineRule="auto"/>
        <w:ind w:left="993" w:right="474"/>
        <w:jc w:val="both"/>
        <w:rPr>
          <w:rFonts w:ascii="Garamond" w:hAnsi="Garamond"/>
          <w:sz w:val="24"/>
          <w:szCs w:val="24"/>
        </w:rPr>
      </w:pPr>
    </w:p>
    <w:p w14:paraId="1818F632" w14:textId="79C4ADED" w:rsidR="00621E65" w:rsidRDefault="00621E65" w:rsidP="002A4BF2">
      <w:pPr>
        <w:spacing w:after="0" w:line="240" w:lineRule="auto"/>
        <w:ind w:left="993" w:right="474"/>
        <w:jc w:val="both"/>
        <w:rPr>
          <w:rFonts w:ascii="Garamond" w:hAnsi="Garamond"/>
          <w:sz w:val="24"/>
          <w:szCs w:val="24"/>
        </w:rPr>
      </w:pPr>
      <w:r w:rsidRPr="00621E65">
        <w:rPr>
          <w:rFonts w:ascii="Garamond" w:hAnsi="Garamond"/>
          <w:sz w:val="24"/>
          <w:szCs w:val="24"/>
        </w:rPr>
        <w:t xml:space="preserve">Que, según el oficio en mención, el IPES hizo entrega al </w:t>
      </w:r>
      <w:r w:rsidRPr="00621E65">
        <w:rPr>
          <w:rFonts w:ascii="Garamond" w:hAnsi="Garamond" w:cs="Arial"/>
          <w:sz w:val="24"/>
          <w:szCs w:val="24"/>
        </w:rPr>
        <w:t xml:space="preserve">JUZGADO DOCE (12) ADMINISTRATIVO DE ORALIDAD DEL CIRCUITO DE BOGOTÁ, SECCIÓN SEGUNDA, </w:t>
      </w:r>
      <w:r w:rsidRPr="00621E65">
        <w:rPr>
          <w:rFonts w:ascii="Garamond" w:hAnsi="Garamond"/>
          <w:sz w:val="24"/>
          <w:szCs w:val="24"/>
        </w:rPr>
        <w:t>del informe denominado “</w:t>
      </w:r>
      <w:r w:rsidRPr="00621E65">
        <w:rPr>
          <w:rFonts w:ascii="Garamond" w:hAnsi="Garamond"/>
          <w:i/>
          <w:sz w:val="24"/>
          <w:szCs w:val="24"/>
        </w:rPr>
        <w:t>propuesta primeros auxilios</w:t>
      </w:r>
      <w:r w:rsidRPr="00621E65">
        <w:rPr>
          <w:rFonts w:ascii="Garamond" w:hAnsi="Garamond"/>
          <w:sz w:val="24"/>
          <w:szCs w:val="24"/>
        </w:rPr>
        <w:t xml:space="preserve">” como parte del auto pericial, donde se determina un valor estimado de </w:t>
      </w:r>
      <w:r w:rsidRPr="00621E65">
        <w:rPr>
          <w:rFonts w:ascii="Garamond" w:hAnsi="Garamond"/>
          <w:b/>
          <w:sz w:val="24"/>
          <w:szCs w:val="24"/>
        </w:rPr>
        <w:t xml:space="preserve">$ 143.375.773,00 </w:t>
      </w:r>
      <w:r w:rsidRPr="00621E65">
        <w:rPr>
          <w:rFonts w:ascii="Garamond" w:hAnsi="Garamond"/>
          <w:sz w:val="24"/>
          <w:szCs w:val="24"/>
        </w:rPr>
        <w:t xml:space="preserve">para atención a primeros auxilios del inmueble </w:t>
      </w:r>
      <w:r w:rsidRPr="00621E65">
        <w:rPr>
          <w:rFonts w:ascii="Garamond" w:hAnsi="Garamond"/>
          <w:b/>
          <w:sz w:val="24"/>
          <w:szCs w:val="24"/>
        </w:rPr>
        <w:t>C.E.D El Centenario</w:t>
      </w:r>
      <w:r w:rsidRPr="00621E65">
        <w:rPr>
          <w:rFonts w:ascii="Garamond" w:hAnsi="Garamond"/>
          <w:sz w:val="24"/>
          <w:szCs w:val="24"/>
        </w:rPr>
        <w:t>.</w:t>
      </w:r>
    </w:p>
    <w:p w14:paraId="09515FDA" w14:textId="77777777" w:rsidR="00BC4825" w:rsidRPr="00621E65" w:rsidRDefault="00BC4825" w:rsidP="002A4BF2">
      <w:pPr>
        <w:spacing w:after="0" w:line="240" w:lineRule="auto"/>
        <w:ind w:left="993" w:right="474"/>
        <w:jc w:val="both"/>
        <w:rPr>
          <w:rFonts w:ascii="Garamond" w:hAnsi="Garamond"/>
          <w:i/>
          <w:sz w:val="24"/>
          <w:szCs w:val="24"/>
        </w:rPr>
      </w:pPr>
    </w:p>
    <w:p w14:paraId="10A9A153" w14:textId="11D6E053" w:rsidR="00621E65" w:rsidRDefault="00621E65" w:rsidP="002A4BF2">
      <w:pPr>
        <w:spacing w:after="0" w:line="240" w:lineRule="auto"/>
        <w:ind w:left="993" w:right="474"/>
        <w:jc w:val="both"/>
        <w:rPr>
          <w:rFonts w:ascii="Garamond" w:hAnsi="Garamond"/>
          <w:b/>
          <w:sz w:val="24"/>
          <w:szCs w:val="24"/>
          <w:u w:val="single"/>
        </w:rPr>
      </w:pPr>
      <w:r w:rsidRPr="00621E65">
        <w:rPr>
          <w:rFonts w:ascii="Garamond" w:hAnsi="Garamond"/>
          <w:sz w:val="24"/>
          <w:szCs w:val="24"/>
          <w:u w:val="single"/>
        </w:rPr>
        <w:t>Que, de conformidad con lo indicado en las diferentes mesas de trabajo, así como en la</w:t>
      </w:r>
      <w:r w:rsidRPr="00621E65">
        <w:rPr>
          <w:rFonts w:ascii="Garamond" w:hAnsi="Garamond" w:cs="Arial"/>
          <w:sz w:val="24"/>
          <w:szCs w:val="24"/>
          <w:u w:val="single"/>
        </w:rPr>
        <w:t xml:space="preserve"> audiencia No. 073 del cuatro (4) de abril de 2025, el IPES no cuenta con el recurso total para la atención a primeros auxilios por valor de </w:t>
      </w:r>
      <w:r w:rsidRPr="00621E65">
        <w:rPr>
          <w:rFonts w:ascii="Garamond" w:hAnsi="Garamond"/>
          <w:b/>
          <w:sz w:val="24"/>
          <w:szCs w:val="24"/>
          <w:u w:val="single"/>
        </w:rPr>
        <w:t>$ 143.375.773,00.</w:t>
      </w:r>
    </w:p>
    <w:p w14:paraId="7B68977B" w14:textId="77777777" w:rsidR="00BC4825" w:rsidRPr="00621E65" w:rsidRDefault="00BC4825" w:rsidP="002A4BF2">
      <w:pPr>
        <w:spacing w:after="0" w:line="240" w:lineRule="auto"/>
        <w:ind w:left="993" w:right="474"/>
        <w:jc w:val="both"/>
        <w:rPr>
          <w:rFonts w:ascii="Garamond" w:hAnsi="Garamond"/>
          <w:i/>
          <w:sz w:val="24"/>
          <w:szCs w:val="24"/>
        </w:rPr>
      </w:pPr>
    </w:p>
    <w:p w14:paraId="569EB9BA" w14:textId="77777777" w:rsidR="00621E65" w:rsidRPr="009C393E" w:rsidRDefault="00621E65" w:rsidP="002A4BF2">
      <w:pPr>
        <w:pStyle w:val="Prrafodelista"/>
        <w:spacing w:after="0" w:line="240" w:lineRule="auto"/>
        <w:ind w:left="993" w:right="474"/>
        <w:rPr>
          <w:rFonts w:ascii="Garamond" w:hAnsi="Garamond"/>
          <w:i/>
          <w:sz w:val="24"/>
          <w:szCs w:val="24"/>
        </w:rPr>
      </w:pPr>
      <w:r w:rsidRPr="009C393E">
        <w:rPr>
          <w:rFonts w:ascii="Garamond" w:hAnsi="Garamond"/>
          <w:i/>
          <w:sz w:val="24"/>
          <w:szCs w:val="24"/>
        </w:rPr>
        <w:t xml:space="preserve">“Mesa de trabajo interinstitucional: </w:t>
      </w:r>
    </w:p>
    <w:p w14:paraId="224806D7" w14:textId="77777777" w:rsidR="00621E65" w:rsidRDefault="00621E65" w:rsidP="002A4BF2">
      <w:pPr>
        <w:pStyle w:val="Prrafodelista"/>
        <w:spacing w:after="0" w:line="240" w:lineRule="auto"/>
        <w:ind w:left="993" w:right="474"/>
        <w:rPr>
          <w:rFonts w:ascii="Garamond" w:hAnsi="Garamond"/>
          <w:i/>
          <w:sz w:val="24"/>
          <w:szCs w:val="24"/>
        </w:rPr>
      </w:pPr>
    </w:p>
    <w:p w14:paraId="403B19A8" w14:textId="77777777" w:rsidR="00621E65" w:rsidRPr="002B675E" w:rsidRDefault="00621E65" w:rsidP="002A4BF2">
      <w:pPr>
        <w:pStyle w:val="Prrafodelista"/>
        <w:spacing w:after="0" w:line="240" w:lineRule="auto"/>
        <w:ind w:left="993" w:right="474"/>
        <w:rPr>
          <w:rFonts w:ascii="Garamond" w:hAnsi="Garamond"/>
          <w:i/>
          <w:sz w:val="24"/>
          <w:szCs w:val="24"/>
        </w:rPr>
      </w:pPr>
      <w:r w:rsidRPr="002B675E">
        <w:rPr>
          <w:rFonts w:ascii="Garamond" w:hAnsi="Garamond"/>
          <w:i/>
          <w:sz w:val="24"/>
          <w:szCs w:val="24"/>
        </w:rPr>
        <w:t>El IPES asistió a la mesa de trabajo organizada por la Secretaría Jurídica Distrital el pasado 7 de mayo de 2025 a las 8:30 a. m., donde se llevaron a cabo las siguientes acciones:</w:t>
      </w:r>
    </w:p>
    <w:p w14:paraId="36541AAC" w14:textId="77777777" w:rsidR="00621E65" w:rsidRDefault="00621E65" w:rsidP="002A4BF2">
      <w:pPr>
        <w:pStyle w:val="Prrafodelista"/>
        <w:spacing w:after="0" w:line="240" w:lineRule="auto"/>
        <w:ind w:left="993" w:right="474"/>
        <w:rPr>
          <w:rFonts w:ascii="Garamond" w:hAnsi="Garamond"/>
          <w:i/>
          <w:sz w:val="24"/>
          <w:szCs w:val="24"/>
        </w:rPr>
      </w:pPr>
    </w:p>
    <w:p w14:paraId="53900DC0" w14:textId="77777777" w:rsidR="00621E65" w:rsidRPr="002B675E" w:rsidRDefault="00621E65" w:rsidP="003A1825">
      <w:pPr>
        <w:pStyle w:val="Prrafodelista"/>
        <w:numPr>
          <w:ilvl w:val="0"/>
          <w:numId w:val="2"/>
        </w:numPr>
        <w:spacing w:after="0" w:line="240" w:lineRule="auto"/>
        <w:ind w:left="993" w:right="474"/>
        <w:jc w:val="both"/>
        <w:rPr>
          <w:rFonts w:ascii="Garamond" w:hAnsi="Garamond"/>
          <w:i/>
          <w:sz w:val="24"/>
          <w:szCs w:val="24"/>
        </w:rPr>
      </w:pPr>
      <w:r w:rsidRPr="002B675E">
        <w:rPr>
          <w:rFonts w:ascii="Garamond" w:hAnsi="Garamond"/>
          <w:i/>
          <w:sz w:val="24"/>
          <w:szCs w:val="24"/>
        </w:rPr>
        <w:t xml:space="preserve">Se presentaron las actividades necesarias para la etapa de </w:t>
      </w:r>
      <w:r w:rsidRPr="002B675E">
        <w:rPr>
          <w:rFonts w:ascii="Garamond" w:hAnsi="Garamond"/>
          <w:b/>
          <w:i/>
          <w:sz w:val="24"/>
          <w:szCs w:val="24"/>
          <w:u w:val="single"/>
        </w:rPr>
        <w:t>primeros auxilios</w:t>
      </w:r>
      <w:r w:rsidRPr="002B675E">
        <w:rPr>
          <w:rFonts w:ascii="Garamond" w:hAnsi="Garamond"/>
          <w:i/>
          <w:sz w:val="24"/>
          <w:szCs w:val="24"/>
        </w:rPr>
        <w:t xml:space="preserve">, junto con un presupuesto estimado de </w:t>
      </w:r>
      <w:r w:rsidRPr="002B675E">
        <w:rPr>
          <w:rFonts w:ascii="Garamond" w:hAnsi="Garamond"/>
          <w:b/>
          <w:i/>
          <w:sz w:val="24"/>
          <w:szCs w:val="24"/>
        </w:rPr>
        <w:t>$143.375.773.</w:t>
      </w:r>
    </w:p>
    <w:p w14:paraId="586C73B6" w14:textId="77777777" w:rsidR="00621E65" w:rsidRDefault="00621E65" w:rsidP="003A1825">
      <w:pPr>
        <w:pStyle w:val="Prrafodelista"/>
        <w:numPr>
          <w:ilvl w:val="0"/>
          <w:numId w:val="2"/>
        </w:numPr>
        <w:spacing w:after="0" w:line="240" w:lineRule="auto"/>
        <w:ind w:left="993" w:right="474"/>
        <w:jc w:val="both"/>
        <w:rPr>
          <w:rFonts w:ascii="Garamond" w:hAnsi="Garamond"/>
          <w:i/>
          <w:sz w:val="24"/>
          <w:szCs w:val="24"/>
        </w:rPr>
      </w:pPr>
      <w:r w:rsidRPr="002B675E">
        <w:rPr>
          <w:rFonts w:ascii="Garamond" w:hAnsi="Garamond"/>
          <w:i/>
          <w:sz w:val="24"/>
          <w:szCs w:val="24"/>
        </w:rPr>
        <w:lastRenderedPageBreak/>
        <w:t>Se planteó a la Secretaría Distrital de Hacienda la posibilidad de obtener los $143.375.773 mediante una adición presupuestal al IPES.</w:t>
      </w:r>
    </w:p>
    <w:p w14:paraId="539FFBB6" w14:textId="768846E3" w:rsidR="00621E65" w:rsidRPr="00BC4825" w:rsidRDefault="00621E65" w:rsidP="003A1825">
      <w:pPr>
        <w:pStyle w:val="Prrafodelista"/>
        <w:numPr>
          <w:ilvl w:val="0"/>
          <w:numId w:val="2"/>
        </w:numPr>
        <w:spacing w:after="0" w:line="240" w:lineRule="auto"/>
        <w:ind w:left="993" w:right="474"/>
        <w:jc w:val="both"/>
        <w:rPr>
          <w:rFonts w:ascii="Garamond" w:hAnsi="Garamond"/>
          <w:sz w:val="24"/>
          <w:szCs w:val="24"/>
        </w:rPr>
      </w:pPr>
      <w:r w:rsidRPr="00621E65">
        <w:rPr>
          <w:rFonts w:ascii="Garamond" w:hAnsi="Garamond"/>
          <w:i/>
          <w:sz w:val="24"/>
          <w:szCs w:val="24"/>
        </w:rPr>
        <w:t xml:space="preserve">Se solicitó a las demás entidades participantes, como el IDPC, DADEP y la </w:t>
      </w:r>
      <w:r w:rsidRPr="00621E65">
        <w:rPr>
          <w:rFonts w:ascii="Garamond" w:hAnsi="Garamond"/>
          <w:b/>
          <w:i/>
          <w:sz w:val="24"/>
          <w:szCs w:val="24"/>
          <w:u w:val="single"/>
        </w:rPr>
        <w:t>Alcaldía Local de Antonio Nariño, considerar la realización de aportes para cubrir la totalidad de los recursos requeridos.</w:t>
      </w:r>
    </w:p>
    <w:p w14:paraId="65146062" w14:textId="77777777" w:rsidR="00BC4825" w:rsidRPr="00621E65" w:rsidRDefault="00BC4825" w:rsidP="002A4BF2">
      <w:pPr>
        <w:pStyle w:val="Prrafodelista"/>
        <w:spacing w:after="0" w:line="240" w:lineRule="auto"/>
        <w:ind w:left="993" w:right="474"/>
        <w:jc w:val="both"/>
        <w:rPr>
          <w:rFonts w:ascii="Garamond" w:hAnsi="Garamond"/>
          <w:sz w:val="24"/>
          <w:szCs w:val="24"/>
        </w:rPr>
      </w:pPr>
    </w:p>
    <w:p w14:paraId="3B8852DA" w14:textId="59C27B6C" w:rsidR="00597F81" w:rsidRDefault="00597F81" w:rsidP="002A4BF2">
      <w:pPr>
        <w:tabs>
          <w:tab w:val="left" w:pos="38"/>
        </w:tabs>
        <w:spacing w:after="0" w:line="240" w:lineRule="auto"/>
        <w:ind w:left="993" w:right="474"/>
        <w:jc w:val="both"/>
        <w:rPr>
          <w:rFonts w:ascii="Garamond" w:hAnsi="Garamond" w:cs="Arial"/>
          <w:sz w:val="24"/>
          <w:szCs w:val="24"/>
        </w:rPr>
      </w:pPr>
      <w:r w:rsidRPr="00DA6013">
        <w:rPr>
          <w:rFonts w:ascii="Garamond" w:hAnsi="Garamond" w:cs="Segoe UI"/>
          <w:color w:val="121212"/>
          <w:sz w:val="24"/>
          <w:szCs w:val="24"/>
          <w:shd w:val="clear" w:color="auto" w:fill="FFFFFF"/>
        </w:rPr>
        <w:t xml:space="preserve">Que, </w:t>
      </w:r>
      <w:r>
        <w:rPr>
          <w:rFonts w:ascii="Garamond" w:hAnsi="Garamond" w:cs="Segoe UI"/>
          <w:color w:val="121212"/>
          <w:sz w:val="24"/>
          <w:szCs w:val="24"/>
          <w:shd w:val="clear" w:color="auto" w:fill="FFFFFF"/>
        </w:rPr>
        <w:t xml:space="preserve">si bien, el inmueble </w:t>
      </w:r>
      <w:r w:rsidRPr="00297F75">
        <w:rPr>
          <w:rFonts w:ascii="Garamond" w:hAnsi="Garamond"/>
          <w:b/>
          <w:sz w:val="24"/>
          <w:szCs w:val="24"/>
        </w:rPr>
        <w:t>C.E.D El Centenario</w:t>
      </w:r>
      <w:r>
        <w:rPr>
          <w:rFonts w:ascii="Garamond" w:hAnsi="Garamond"/>
          <w:b/>
          <w:sz w:val="24"/>
          <w:szCs w:val="24"/>
        </w:rPr>
        <w:t xml:space="preserve">, </w:t>
      </w:r>
      <w:r>
        <w:rPr>
          <w:rFonts w:ascii="Garamond" w:hAnsi="Garamond"/>
          <w:sz w:val="24"/>
          <w:szCs w:val="24"/>
        </w:rPr>
        <w:t xml:space="preserve">se enmarca dentro del </w:t>
      </w:r>
      <w:r w:rsidRPr="002224CF">
        <w:rPr>
          <w:rFonts w:ascii="Garamond" w:hAnsi="Garamond"/>
          <w:sz w:val="24"/>
          <w:szCs w:val="24"/>
        </w:rPr>
        <w:t xml:space="preserve">CONVENIO </w:t>
      </w:r>
      <w:r w:rsidRPr="00597F81">
        <w:rPr>
          <w:rFonts w:ascii="Garamond" w:hAnsi="Garamond"/>
          <w:sz w:val="24"/>
          <w:szCs w:val="24"/>
        </w:rPr>
        <w:t xml:space="preserve">INTERADMINISTRATIVO No. 328-05 de 2005 del cuatro (4) de abril de 2005, entre el Departamento Administrativo de la Defensoría del Espacio Público – DADEP, y el FONDO DE VENTAS POPULARES (hoy INSTITUTO PARA LA ECONOMÍA SOCIAL - IPES), su estado actual y su concepto existente de amenaza de ruina por parte del IDIGER, representa una </w:t>
      </w:r>
      <w:r w:rsidRPr="00597F81">
        <w:rPr>
          <w:rFonts w:ascii="Garamond" w:hAnsi="Garamond"/>
          <w:b/>
          <w:sz w:val="24"/>
          <w:szCs w:val="24"/>
          <w:u w:val="single"/>
        </w:rPr>
        <w:t>necesidad</w:t>
      </w:r>
      <w:r w:rsidRPr="00597F81">
        <w:rPr>
          <w:rFonts w:ascii="Garamond" w:hAnsi="Garamond"/>
          <w:sz w:val="24"/>
          <w:szCs w:val="24"/>
        </w:rPr>
        <w:t xml:space="preserve"> inmediata frente al cumplimiento del </w:t>
      </w:r>
      <w:r w:rsidRPr="00597F81">
        <w:rPr>
          <w:rFonts w:ascii="Garamond" w:hAnsi="Garamond"/>
          <w:i/>
          <w:sz w:val="24"/>
          <w:szCs w:val="24"/>
        </w:rPr>
        <w:t>OBJETIVO ESTRATEGICO</w:t>
      </w:r>
      <w:r w:rsidRPr="00597F81">
        <w:rPr>
          <w:rFonts w:ascii="Garamond" w:hAnsi="Garamond"/>
          <w:sz w:val="24"/>
          <w:szCs w:val="24"/>
        </w:rPr>
        <w:t xml:space="preserve"> </w:t>
      </w:r>
      <w:r w:rsidRPr="00597F81">
        <w:rPr>
          <w:rFonts w:ascii="Garamond" w:hAnsi="Garamond" w:cs="Segoe UI"/>
          <w:i/>
          <w:color w:val="121212"/>
          <w:sz w:val="24"/>
          <w:szCs w:val="24"/>
          <w:shd w:val="clear" w:color="auto" w:fill="FFFFFF"/>
        </w:rPr>
        <w:t>BOGOTÁ ORDENA SU TERRITORIO Y AVANZA EN SU ACCIÓN CLIMÁTICA</w:t>
      </w:r>
      <w:r w:rsidRPr="00597F81">
        <w:rPr>
          <w:rFonts w:ascii="Garamond" w:hAnsi="Garamond" w:cs="Segoe UI"/>
          <w:color w:val="121212"/>
          <w:sz w:val="24"/>
          <w:szCs w:val="24"/>
          <w:shd w:val="clear" w:color="auto" w:fill="FFFFFF"/>
        </w:rPr>
        <w:t xml:space="preserve">”, </w:t>
      </w:r>
      <w:r w:rsidRPr="00597F81">
        <w:rPr>
          <w:rFonts w:ascii="Garamond" w:hAnsi="Garamond"/>
          <w:sz w:val="24"/>
          <w:szCs w:val="24"/>
        </w:rPr>
        <w:t xml:space="preserve">del Plan </w:t>
      </w:r>
      <w:r w:rsidRPr="00597F81">
        <w:rPr>
          <w:rFonts w:ascii="Garamond" w:hAnsi="Garamond" w:cs="Arial"/>
          <w:sz w:val="24"/>
          <w:szCs w:val="24"/>
        </w:rPr>
        <w:t xml:space="preserve">de Desarrollo Distrital </w:t>
      </w:r>
      <w:r w:rsidRPr="00597F81">
        <w:rPr>
          <w:rFonts w:ascii="Garamond" w:hAnsi="Garamond" w:cs="Arial"/>
          <w:i/>
          <w:sz w:val="24"/>
          <w:szCs w:val="24"/>
        </w:rPr>
        <w:t>“Bogotá Camina Segura</w:t>
      </w:r>
      <w:r w:rsidRPr="00597F81">
        <w:rPr>
          <w:rFonts w:ascii="Garamond" w:hAnsi="Garamond" w:cs="Arial"/>
          <w:sz w:val="24"/>
          <w:szCs w:val="24"/>
        </w:rPr>
        <w:t>”, así como de los objetivos del Plan de Desarrollo Antonio Nariño 2025 - 2028 “</w:t>
      </w:r>
      <w:r w:rsidRPr="00597F81">
        <w:rPr>
          <w:rFonts w:ascii="Garamond" w:hAnsi="Garamond" w:cs="Arial"/>
          <w:i/>
          <w:sz w:val="24"/>
          <w:szCs w:val="24"/>
        </w:rPr>
        <w:t>Antonio Nariño Camina Segura</w:t>
      </w:r>
      <w:r w:rsidRPr="00597F81">
        <w:rPr>
          <w:rFonts w:ascii="Garamond" w:hAnsi="Garamond" w:cs="Arial"/>
          <w:sz w:val="24"/>
          <w:szCs w:val="24"/>
        </w:rPr>
        <w:t>”; ligados a proteger el derecho de la vida, incluyendo la reducción del riesgo, la gobernanza del riesgo y la adaptación al cambio climático, así como el manejo de emergencias y desastres.</w:t>
      </w:r>
    </w:p>
    <w:p w14:paraId="1505C6B0" w14:textId="77777777" w:rsidR="00BC4825" w:rsidRDefault="00BC4825" w:rsidP="002A4BF2">
      <w:pPr>
        <w:tabs>
          <w:tab w:val="left" w:pos="38"/>
        </w:tabs>
        <w:spacing w:after="0" w:line="240" w:lineRule="auto"/>
        <w:ind w:left="993" w:right="474"/>
        <w:jc w:val="both"/>
        <w:rPr>
          <w:rFonts w:ascii="Garamond" w:hAnsi="Garamond" w:cs="Arial"/>
          <w:sz w:val="24"/>
          <w:szCs w:val="24"/>
        </w:rPr>
      </w:pPr>
    </w:p>
    <w:p w14:paraId="77DF57F3" w14:textId="19A4095C" w:rsidR="00621E65" w:rsidRDefault="00621E65" w:rsidP="002A4BF2">
      <w:pPr>
        <w:spacing w:after="0" w:line="240" w:lineRule="auto"/>
        <w:ind w:left="993" w:right="474"/>
        <w:jc w:val="both"/>
        <w:rPr>
          <w:rFonts w:ascii="Garamond" w:hAnsi="Garamond" w:cstheme="minorHAnsi"/>
          <w:b/>
          <w:bCs/>
          <w:sz w:val="24"/>
          <w:szCs w:val="24"/>
          <w:u w:val="single"/>
        </w:rPr>
      </w:pPr>
      <w:r w:rsidRPr="0034234E">
        <w:rPr>
          <w:rFonts w:ascii="Garamond" w:hAnsi="Garamond" w:cstheme="minorHAnsi"/>
          <w:bCs/>
          <w:sz w:val="24"/>
          <w:szCs w:val="24"/>
        </w:rPr>
        <w:t xml:space="preserve">Que el Plan de Desarrollo Económico, Social, Ambiental y de Obras Públicas del Distrito Capital 2024-2027 </w:t>
      </w:r>
      <w:r w:rsidRPr="0034234E">
        <w:rPr>
          <w:rFonts w:ascii="Garamond" w:hAnsi="Garamond" w:cstheme="minorHAnsi"/>
          <w:bCs/>
          <w:i/>
          <w:iCs/>
          <w:sz w:val="24"/>
          <w:szCs w:val="24"/>
        </w:rPr>
        <w:t xml:space="preserve">“Bogotá Camina Segura” en el objetivo estratégico 05. Bogotá confía en su gobierno estableció "Una ciudad pujante, en la que se quiera vivir, requiere un Gobierno que atienda las necesidades, garantice los derechos de las personas, especialmente de los niños, niñas y adolescentes, y brinde un servicio amable, ágil y oportuno en todo el territorio, con un gasto eficiente. Un Gobierno en el que la ciudadanía crea y confíe. Lograr un Gobierno con este talante es un trabajo de todas y todos: de las entidades del sector público y de la ciudadanía. </w:t>
      </w:r>
      <w:r w:rsidRPr="0034234E">
        <w:rPr>
          <w:rFonts w:ascii="Garamond" w:hAnsi="Garamond" w:cstheme="minorHAnsi"/>
          <w:b/>
          <w:bCs/>
          <w:i/>
          <w:iCs/>
          <w:sz w:val="24"/>
          <w:szCs w:val="24"/>
          <w:u w:val="single"/>
        </w:rPr>
        <w:t>Sin embargo, cinco sectores en especial deben trabajar articuladamente para generar las condiciones con tal propósito: Gobierno, Gestión Pública, Gestión Jurídica, Planeación y Hacienda.”</w:t>
      </w:r>
      <w:r w:rsidRPr="0034234E">
        <w:rPr>
          <w:rFonts w:ascii="Garamond" w:hAnsi="Garamond" w:cstheme="minorHAnsi"/>
          <w:b/>
          <w:bCs/>
          <w:sz w:val="24"/>
          <w:szCs w:val="24"/>
          <w:u w:val="single"/>
        </w:rPr>
        <w:t xml:space="preserve"> </w:t>
      </w:r>
    </w:p>
    <w:p w14:paraId="4507C379" w14:textId="77777777" w:rsidR="00BC4825" w:rsidRDefault="00BC4825" w:rsidP="002A4BF2">
      <w:pPr>
        <w:spacing w:after="0" w:line="240" w:lineRule="auto"/>
        <w:ind w:left="993" w:right="474"/>
        <w:jc w:val="both"/>
        <w:rPr>
          <w:rFonts w:ascii="Garamond" w:hAnsi="Garamond" w:cstheme="minorHAnsi"/>
          <w:b/>
          <w:bCs/>
          <w:sz w:val="24"/>
          <w:szCs w:val="24"/>
          <w:u w:val="single"/>
        </w:rPr>
      </w:pPr>
    </w:p>
    <w:p w14:paraId="4E3DEE8D" w14:textId="429804D7" w:rsidR="00621E65" w:rsidRDefault="00621E65" w:rsidP="002A4BF2">
      <w:pPr>
        <w:spacing w:after="0" w:line="240" w:lineRule="auto"/>
        <w:ind w:left="993" w:right="474"/>
        <w:jc w:val="both"/>
        <w:rPr>
          <w:rFonts w:ascii="Garamond" w:hAnsi="Garamond" w:cstheme="minorHAnsi"/>
          <w:bCs/>
          <w:sz w:val="24"/>
          <w:szCs w:val="24"/>
        </w:rPr>
      </w:pPr>
      <w:r w:rsidRPr="0034234E">
        <w:rPr>
          <w:rFonts w:ascii="Garamond" w:hAnsi="Garamond" w:cstheme="minorHAnsi"/>
          <w:bCs/>
          <w:sz w:val="24"/>
          <w:szCs w:val="24"/>
        </w:rPr>
        <w:t>Que este objetivo estratégico exige que estos sectores deban trabajar de manera coordinada con todas las entidades distritales, buscando fortalecer la confianza entre el Gobierno y la ciudadanía que habita Bogotá y transita por ella, a partir de una relación fundamentada en el diálogo, el respeto, la participación y la cor</w:t>
      </w:r>
      <w:r>
        <w:rPr>
          <w:rFonts w:ascii="Garamond" w:hAnsi="Garamond" w:cstheme="minorHAnsi"/>
          <w:bCs/>
          <w:sz w:val="24"/>
          <w:szCs w:val="24"/>
        </w:rPr>
        <w:t xml:space="preserve">responsabilidad. </w:t>
      </w:r>
    </w:p>
    <w:p w14:paraId="5CFE8EDC" w14:textId="2CBB7733" w:rsidR="00BC4825" w:rsidRDefault="00BC4825" w:rsidP="002A4BF2">
      <w:pPr>
        <w:spacing w:after="0" w:line="240" w:lineRule="auto"/>
        <w:ind w:left="993" w:right="474"/>
        <w:jc w:val="both"/>
        <w:rPr>
          <w:rFonts w:ascii="Garamond" w:hAnsi="Garamond" w:cstheme="minorHAnsi"/>
          <w:bCs/>
          <w:sz w:val="24"/>
          <w:szCs w:val="24"/>
        </w:rPr>
      </w:pPr>
    </w:p>
    <w:p w14:paraId="46BA3175" w14:textId="77777777" w:rsidR="00BC4825" w:rsidRDefault="00BC4825" w:rsidP="002A4BF2">
      <w:pPr>
        <w:spacing w:after="0" w:line="240" w:lineRule="auto"/>
        <w:ind w:left="993" w:right="474"/>
        <w:jc w:val="both"/>
        <w:rPr>
          <w:rFonts w:ascii="Garamond" w:hAnsi="Garamond" w:cstheme="minorHAnsi"/>
          <w:bCs/>
          <w:sz w:val="24"/>
          <w:szCs w:val="24"/>
        </w:rPr>
      </w:pPr>
      <w:r w:rsidRPr="00442988">
        <w:rPr>
          <w:rFonts w:ascii="Garamond" w:hAnsi="Garamond" w:cstheme="minorHAnsi"/>
          <w:bCs/>
          <w:sz w:val="24"/>
          <w:szCs w:val="24"/>
        </w:rPr>
        <w:t>Por lo anterior, y teniendo en cuenta que el FDLAN, al ser una dependencia de la Secretaría Distrital de Gobierno, es “r</w:t>
      </w:r>
      <w:r w:rsidRPr="00442988">
        <w:rPr>
          <w:rFonts w:ascii="Garamond" w:hAnsi="Garamond" w:cstheme="minorHAnsi"/>
          <w:bCs/>
          <w:i/>
          <w:sz w:val="24"/>
          <w:szCs w:val="24"/>
        </w:rPr>
        <w:t>esponsable de apoyar la ejecución de las competencias asignadas a los Alcaldes o Alcaldesas Locales. En este sentido, deberán coordinar la acción del Distrito en las localidades y participar en la definición de las políticas de promoción y gestión del desarrollo de su territorio</w:t>
      </w:r>
      <w:r w:rsidRPr="00442988">
        <w:rPr>
          <w:rFonts w:ascii="Garamond" w:hAnsi="Garamond" w:cstheme="minorHAnsi"/>
          <w:bCs/>
          <w:sz w:val="24"/>
          <w:szCs w:val="24"/>
        </w:rPr>
        <w:t>.” (…), es deber del FDLAN coordinar entre el Distrito y sus entidades las soluciones a las problemáticas locales para mitigar el riesgo y garantizar el derecho a la vida de la comunidad.</w:t>
      </w:r>
    </w:p>
    <w:p w14:paraId="659ED04B" w14:textId="77777777" w:rsidR="00BC4825" w:rsidRDefault="00BC4825" w:rsidP="002A4BF2">
      <w:pPr>
        <w:spacing w:after="0" w:line="240" w:lineRule="auto"/>
        <w:ind w:left="993" w:right="474"/>
        <w:jc w:val="both"/>
        <w:rPr>
          <w:rFonts w:ascii="Garamond" w:hAnsi="Garamond" w:cstheme="minorHAnsi"/>
          <w:bCs/>
          <w:sz w:val="24"/>
          <w:szCs w:val="24"/>
        </w:rPr>
      </w:pPr>
    </w:p>
    <w:p w14:paraId="4C57E873" w14:textId="0360C7EA" w:rsidR="00442988" w:rsidRDefault="008B69F4" w:rsidP="002A4BF2">
      <w:pPr>
        <w:spacing w:after="0" w:line="240" w:lineRule="auto"/>
        <w:ind w:left="993" w:right="474"/>
        <w:jc w:val="both"/>
        <w:rPr>
          <w:rFonts w:ascii="Garamond" w:hAnsi="Garamond" w:cstheme="minorHAnsi"/>
          <w:bCs/>
          <w:sz w:val="24"/>
          <w:szCs w:val="24"/>
        </w:rPr>
      </w:pPr>
      <w:r w:rsidRPr="008B69F4">
        <w:rPr>
          <w:rFonts w:ascii="Garamond" w:hAnsi="Garamond" w:cstheme="minorHAnsi"/>
          <w:bCs/>
          <w:sz w:val="24"/>
          <w:szCs w:val="24"/>
        </w:rPr>
        <w:t xml:space="preserve">Que, el inmueble C.E.D El Centenario, se encuentra ubicado en el predio fiscal distinguido con la nomenclatura Diagonal 19 Sur No 20-66 del Barrio Restrepo Occidental, jurisdicción territorial de la localidad de Antonio Nariño, y si bien aún cuenta con el CONVENIO INTERADMINISTRATIVO No. 328-05 de 2005 del cuatro (4) de abril de 2005 aun en vigencia, donde se otorga el uso, costumbre y goce al FONDO DE VENTAS POPULARES (hoy IPES), el inmueble C.E.D El Centenario fue catalogado como edificación en amenaza de ruina, dentro del oficio respuesta radicado IDIGER No. RO-154701 con asunto “Respuesta al radicado IDIGER 2025ER9770 (radicados SDG 20256520061251) “Solicitud de información sobre zonas con requerimientos de intervención para mitigación de riesgos en la localidad de Antonio Nariño”, </w:t>
      </w:r>
      <w:r w:rsidRPr="008B69F4">
        <w:rPr>
          <w:rFonts w:ascii="Garamond" w:hAnsi="Garamond" w:cstheme="minorHAnsi"/>
          <w:bCs/>
          <w:sz w:val="24"/>
          <w:szCs w:val="24"/>
        </w:rPr>
        <w:lastRenderedPageBreak/>
        <w:t>y donde se solicita: (…) “A partir de la emisión de estos conceptos, el IDIGER come autoridad técnica en la gestión del riesgo del Distrito Capital imparte recomendaciones dirigidas hacia la autoridad local, las entidades públicas y privadas y los responsables de los predios, con el propósito de que se adelanten según las competencias, funciones y responsabilidades de cada actor, las acciones de intervención integral a que haya lugar sobre la infraestructura evaluada, (mantenimiento preventivo y/o correctivo, reparación, reforzamiento, demolición, entre otras), para garantizar óptimas condiciones de servicio de la infraestructura evaluada, junto con el cumplimiento de la norma sismo resistente vigente, y con el acompañamiento de personal idóneo” (…)</w:t>
      </w:r>
    </w:p>
    <w:p w14:paraId="32E20F56" w14:textId="77777777" w:rsidR="00BC4825" w:rsidRDefault="00BC4825" w:rsidP="002A4BF2">
      <w:pPr>
        <w:spacing w:after="0" w:line="240" w:lineRule="auto"/>
        <w:ind w:left="993" w:right="474"/>
        <w:jc w:val="both"/>
        <w:rPr>
          <w:rFonts w:ascii="Garamond" w:hAnsi="Garamond" w:cstheme="minorHAnsi"/>
          <w:bCs/>
          <w:sz w:val="24"/>
          <w:szCs w:val="24"/>
        </w:rPr>
      </w:pPr>
    </w:p>
    <w:p w14:paraId="5CBED7AE" w14:textId="23E4DBA6" w:rsidR="00442988" w:rsidRDefault="00442988" w:rsidP="002A4BF2">
      <w:pPr>
        <w:spacing w:after="0" w:line="240" w:lineRule="auto"/>
        <w:ind w:left="993" w:right="474"/>
        <w:jc w:val="both"/>
        <w:rPr>
          <w:rFonts w:ascii="Garamond" w:hAnsi="Garamond" w:cstheme="minorHAnsi"/>
          <w:bCs/>
          <w:sz w:val="24"/>
          <w:szCs w:val="24"/>
        </w:rPr>
      </w:pPr>
      <w:r w:rsidRPr="00442988">
        <w:rPr>
          <w:rFonts w:ascii="Garamond" w:hAnsi="Garamond" w:cstheme="minorHAnsi"/>
          <w:bCs/>
          <w:sz w:val="24"/>
          <w:szCs w:val="24"/>
        </w:rPr>
        <w:t>De conformidad con los antecedentes técnicos, jurídicos, institucionales, sociales y económicos expuestos</w:t>
      </w:r>
      <w:r>
        <w:rPr>
          <w:rFonts w:ascii="Garamond" w:hAnsi="Garamond" w:cstheme="minorHAnsi"/>
          <w:bCs/>
          <w:sz w:val="24"/>
          <w:szCs w:val="24"/>
        </w:rPr>
        <w:t xml:space="preserve"> en Estudio Previo GCO-GCI-f007_v6</w:t>
      </w:r>
      <w:r w:rsidRPr="00442988">
        <w:rPr>
          <w:rFonts w:ascii="Garamond" w:hAnsi="Garamond" w:cstheme="minorHAnsi"/>
          <w:bCs/>
          <w:sz w:val="24"/>
          <w:szCs w:val="24"/>
        </w:rPr>
        <w:t>, se concluye que la contratación propuesta resulta plenamente conveniente, necesaria y ajustada a los fines esenciales de la función administrativa consagrados en el artículo 209 de la Constitución Política, en tanto busca garantizar la protección del derecho colectivo a la seguridad y la preservación del patrimonio arquitectónico, mediante la ejecución de obras de mitigación del riesgo y primeros auxilios estructurales en el inmueble C.E.D. El Centenario, declarado Bien de Interés Cultural.</w:t>
      </w:r>
    </w:p>
    <w:p w14:paraId="1DCB2D33" w14:textId="77777777" w:rsidR="00BC4825" w:rsidRPr="00BC4825" w:rsidRDefault="00BC4825" w:rsidP="002A4BF2">
      <w:pPr>
        <w:spacing w:after="0" w:line="240" w:lineRule="auto"/>
        <w:ind w:left="993" w:right="474"/>
        <w:jc w:val="both"/>
        <w:rPr>
          <w:rFonts w:ascii="Garamond" w:hAnsi="Garamond" w:cstheme="minorHAnsi"/>
          <w:b/>
          <w:bCs/>
          <w:sz w:val="24"/>
          <w:szCs w:val="24"/>
        </w:rPr>
      </w:pPr>
    </w:p>
    <w:p w14:paraId="59CC625E" w14:textId="526647A6" w:rsidR="00C645A7" w:rsidRPr="00C645A7" w:rsidRDefault="00BC4825" w:rsidP="002A4BF2">
      <w:pPr>
        <w:spacing w:after="0" w:line="240" w:lineRule="auto"/>
        <w:ind w:left="993" w:right="474"/>
        <w:jc w:val="both"/>
        <w:rPr>
          <w:rFonts w:ascii="Garamond" w:hAnsi="Garamond" w:cstheme="minorHAnsi"/>
          <w:bCs/>
          <w:sz w:val="24"/>
          <w:szCs w:val="24"/>
        </w:rPr>
      </w:pPr>
      <w:r w:rsidRPr="00BC4825">
        <w:rPr>
          <w:rFonts w:ascii="Garamond" w:hAnsi="Garamond" w:cstheme="minorHAnsi"/>
          <w:b/>
          <w:bCs/>
          <w:sz w:val="24"/>
          <w:szCs w:val="24"/>
        </w:rPr>
        <w:t>MODALIDAD</w:t>
      </w:r>
      <w:r>
        <w:rPr>
          <w:rFonts w:ascii="Garamond" w:hAnsi="Garamond" w:cstheme="minorHAnsi"/>
          <w:b/>
          <w:bCs/>
          <w:sz w:val="24"/>
          <w:szCs w:val="24"/>
        </w:rPr>
        <w:t xml:space="preserve"> DE CONTRATACIÓN</w:t>
      </w:r>
      <w:r w:rsidRPr="00BC4825">
        <w:rPr>
          <w:rFonts w:ascii="Garamond" w:hAnsi="Garamond" w:cstheme="minorHAnsi"/>
          <w:b/>
          <w:bCs/>
          <w:sz w:val="24"/>
          <w:szCs w:val="24"/>
        </w:rPr>
        <w:t>:</w:t>
      </w:r>
      <w:r>
        <w:rPr>
          <w:rFonts w:ascii="Garamond" w:hAnsi="Garamond" w:cstheme="minorHAnsi"/>
          <w:bCs/>
          <w:sz w:val="24"/>
          <w:szCs w:val="24"/>
        </w:rPr>
        <w:t xml:space="preserve"> </w:t>
      </w:r>
      <w:r w:rsidR="00C645A7" w:rsidRPr="00C645A7">
        <w:rPr>
          <w:rFonts w:ascii="Garamond" w:hAnsi="Garamond" w:cstheme="minorHAnsi"/>
          <w:bCs/>
          <w:sz w:val="24"/>
          <w:szCs w:val="24"/>
        </w:rPr>
        <w:t xml:space="preserve">En cumplimiento de los principios de transparencia, economía, responsabilidad y planeación establecidos en el artículo 24 de la Ley 80 de 1993, así como de las disposiciones del artículo 87 de la Ley 1474 de 2011, esta Entidad ha estructurado el presente proceso de </w:t>
      </w:r>
      <w:r w:rsidR="00C645A7" w:rsidRPr="00C645A7">
        <w:rPr>
          <w:rFonts w:ascii="Garamond" w:hAnsi="Garamond" w:cstheme="minorHAnsi"/>
          <w:b/>
          <w:bCs/>
          <w:sz w:val="24"/>
          <w:szCs w:val="24"/>
          <w:u w:val="single"/>
        </w:rPr>
        <w:t>Selección Abreviada de Menor Cuantía</w:t>
      </w:r>
      <w:r w:rsidR="00C645A7" w:rsidRPr="00C645A7">
        <w:rPr>
          <w:rFonts w:ascii="Garamond" w:hAnsi="Garamond" w:cstheme="minorHAnsi"/>
          <w:bCs/>
          <w:sz w:val="24"/>
          <w:szCs w:val="24"/>
        </w:rPr>
        <w:t xml:space="preserve"> garantizando que todas las actuaciones contractuales se fundamenten en criterios objetivos, verificables y orientados al interés general. En virtud de dichos preceptos, el análisis de la presente necesidad y conveniencia del contrato se soporta en la identificación técnica y presupuestal de las condiciones que justifican la priorización, selección y ejecución de las obras de infraestructura, procurando el cumplimiento del principio de planeación, mediante la elaboración de estudios previos completos y coherentes con las políticas sectoriales y territoriales vigentes. Así mismo, se asegura la observancia de los principios de eficiencia, economía y selección objetiva, mediante la definición de requisitos claros, proporcionales y acordes con el objeto contractual, que permiten garantizar la escogencia de la propuesta más favorable a la entidad y al interés público.</w:t>
      </w:r>
    </w:p>
    <w:p w14:paraId="773D0119" w14:textId="77777777" w:rsidR="00C645A7" w:rsidRDefault="00C645A7" w:rsidP="002A4BF2">
      <w:pPr>
        <w:spacing w:after="0" w:line="240" w:lineRule="auto"/>
        <w:ind w:left="993" w:right="474"/>
        <w:jc w:val="both"/>
        <w:rPr>
          <w:rFonts w:ascii="Garamond" w:hAnsi="Garamond" w:cstheme="minorHAnsi"/>
          <w:bCs/>
          <w:sz w:val="24"/>
          <w:szCs w:val="24"/>
        </w:rPr>
      </w:pPr>
    </w:p>
    <w:p w14:paraId="616893F6" w14:textId="10E689B1" w:rsidR="00442988" w:rsidRDefault="00442988" w:rsidP="002A4BF2">
      <w:pPr>
        <w:spacing w:after="0" w:line="240" w:lineRule="auto"/>
        <w:ind w:left="993" w:right="474"/>
        <w:jc w:val="both"/>
        <w:rPr>
          <w:rFonts w:ascii="Garamond" w:hAnsi="Garamond" w:cstheme="minorHAnsi"/>
          <w:bCs/>
          <w:sz w:val="24"/>
          <w:szCs w:val="24"/>
        </w:rPr>
      </w:pPr>
      <w:r w:rsidRPr="00442988">
        <w:rPr>
          <w:rFonts w:ascii="Garamond" w:hAnsi="Garamond" w:cstheme="minorHAnsi"/>
          <w:bCs/>
          <w:sz w:val="24"/>
          <w:szCs w:val="24"/>
        </w:rPr>
        <w:t>En atención a lo dispuesto en el artículo 25 de la Ley 80 de 1993, la Entidad adelantó un proceso de planeación integral que comprende el diagnóstico de necesidad, la definición de las especificaciones técnicas y permisos necesarios, la estructuración presupuestal y la identificación de riesgos. A su vez, el proceso se desarrolla bajo el marco de los principios de economía, transparencia, responsabilidad y selección objetiva, procurando la utilización eficiente de los recursos públicos y la escogencia de la propuesta más favorable al interés general.</w:t>
      </w:r>
    </w:p>
    <w:p w14:paraId="3CC7E835" w14:textId="77777777" w:rsidR="00442988" w:rsidRDefault="00442988" w:rsidP="002A4BF2">
      <w:pPr>
        <w:spacing w:after="0" w:line="240" w:lineRule="auto"/>
        <w:ind w:left="993" w:right="474"/>
        <w:jc w:val="both"/>
        <w:rPr>
          <w:rFonts w:ascii="Garamond" w:hAnsi="Garamond" w:cstheme="minorHAnsi"/>
          <w:bCs/>
          <w:sz w:val="24"/>
          <w:szCs w:val="24"/>
        </w:rPr>
      </w:pPr>
    </w:p>
    <w:p w14:paraId="77288C2C" w14:textId="0401312B" w:rsidR="00442988" w:rsidRPr="00442988" w:rsidRDefault="00442988" w:rsidP="002A4BF2">
      <w:pPr>
        <w:spacing w:after="0" w:line="240" w:lineRule="auto"/>
        <w:ind w:left="993" w:right="474"/>
        <w:jc w:val="both"/>
        <w:rPr>
          <w:rFonts w:ascii="Garamond" w:hAnsi="Garamond" w:cstheme="minorHAnsi"/>
          <w:bCs/>
          <w:sz w:val="24"/>
          <w:szCs w:val="24"/>
        </w:rPr>
      </w:pPr>
      <w:r w:rsidRPr="00442988">
        <w:rPr>
          <w:rFonts w:ascii="Garamond" w:hAnsi="Garamond" w:cstheme="minorHAnsi"/>
          <w:bCs/>
          <w:sz w:val="24"/>
          <w:szCs w:val="24"/>
        </w:rPr>
        <w:t xml:space="preserve">En el marco de lo establecido por el artículo 2 literal b) de la Ley 1150 de 2007 y el artículo 2.2.1.2.1.2.2 del Decreto 1082 de 2015, el presente proceso se tramitará bajo la modalidad de </w:t>
      </w:r>
      <w:r w:rsidRPr="00BC4825">
        <w:rPr>
          <w:rFonts w:ascii="Garamond" w:hAnsi="Garamond" w:cstheme="minorHAnsi"/>
          <w:b/>
          <w:bCs/>
          <w:sz w:val="24"/>
          <w:szCs w:val="24"/>
          <w:u w:val="single"/>
        </w:rPr>
        <w:t>Selección Abreviada de Menor Cuantía – SAMC,</w:t>
      </w:r>
      <w:r w:rsidRPr="00442988">
        <w:rPr>
          <w:rFonts w:ascii="Garamond" w:hAnsi="Garamond" w:cstheme="minorHAnsi"/>
          <w:bCs/>
          <w:sz w:val="24"/>
          <w:szCs w:val="24"/>
        </w:rPr>
        <w:t xml:space="preserve"> por cuanto su valor corresponde al rango definido para contratos de obra cuyo presupuesto oficial no supera el diez por ciento (10%) de la menor cuantía determinada por el presupuesto anual del Fondo de Desarrollo Local de Antonio Nariño.</w:t>
      </w:r>
    </w:p>
    <w:p w14:paraId="69966F64" w14:textId="77777777" w:rsidR="00442988" w:rsidRPr="00442988" w:rsidRDefault="00442988" w:rsidP="002A4BF2">
      <w:pPr>
        <w:spacing w:after="0" w:line="240" w:lineRule="auto"/>
        <w:ind w:left="993" w:right="474"/>
        <w:jc w:val="both"/>
        <w:rPr>
          <w:rFonts w:ascii="Garamond" w:hAnsi="Garamond" w:cstheme="minorHAnsi"/>
          <w:bCs/>
          <w:sz w:val="24"/>
          <w:szCs w:val="24"/>
        </w:rPr>
      </w:pPr>
    </w:p>
    <w:p w14:paraId="5EF59D6E" w14:textId="1691B25B" w:rsidR="00442988" w:rsidRDefault="00442988" w:rsidP="002A4BF2">
      <w:pPr>
        <w:spacing w:after="0" w:line="240" w:lineRule="auto"/>
        <w:ind w:left="993" w:right="474"/>
        <w:jc w:val="both"/>
        <w:rPr>
          <w:rFonts w:ascii="Garamond" w:hAnsi="Garamond" w:cstheme="minorHAnsi"/>
          <w:bCs/>
          <w:sz w:val="24"/>
          <w:szCs w:val="24"/>
        </w:rPr>
      </w:pPr>
      <w:r w:rsidRPr="00442988">
        <w:rPr>
          <w:rFonts w:ascii="Garamond" w:hAnsi="Garamond" w:cstheme="minorHAnsi"/>
          <w:bCs/>
          <w:sz w:val="24"/>
          <w:szCs w:val="24"/>
        </w:rPr>
        <w:t xml:space="preserve">Esta modalidad permite garantizar agilidad y eficiencia en la selección del contratista, en consonancia con la naturaleza urgente y prioritaria del objeto contractual derivado de una orden </w:t>
      </w:r>
      <w:r w:rsidRPr="00442988">
        <w:rPr>
          <w:rFonts w:ascii="Garamond" w:hAnsi="Garamond" w:cstheme="minorHAnsi"/>
          <w:bCs/>
          <w:sz w:val="24"/>
          <w:szCs w:val="24"/>
        </w:rPr>
        <w:lastRenderedPageBreak/>
        <w:t>judicial de cumplimiento obligatorio, expedida por el JUZGADO 12 ADMINISTRATIVO DE ORALIDAD DEL CIRCUITO DE BOGOTÁ – SECCIÓN SEGUNDA, dentro del proceso de Acción Popular No. 110013335012-2022-00150-00.</w:t>
      </w:r>
    </w:p>
    <w:p w14:paraId="6E7402B4" w14:textId="77777777" w:rsidR="00BC4825" w:rsidRPr="00442988" w:rsidRDefault="00BC4825" w:rsidP="002A4BF2">
      <w:pPr>
        <w:spacing w:after="0" w:line="240" w:lineRule="auto"/>
        <w:ind w:left="993" w:right="474"/>
        <w:jc w:val="both"/>
        <w:rPr>
          <w:rFonts w:ascii="Garamond" w:hAnsi="Garamond" w:cstheme="minorHAnsi"/>
          <w:bCs/>
          <w:sz w:val="24"/>
          <w:szCs w:val="24"/>
        </w:rPr>
      </w:pPr>
    </w:p>
    <w:p w14:paraId="52E0AFD9" w14:textId="30AD1EF0" w:rsidR="00C645A7" w:rsidRDefault="00442988" w:rsidP="002A4BF2">
      <w:pPr>
        <w:spacing w:line="240" w:lineRule="auto"/>
        <w:ind w:left="993" w:right="474"/>
        <w:jc w:val="both"/>
        <w:rPr>
          <w:rFonts w:ascii="Garamond" w:hAnsi="Garamond" w:cstheme="minorHAnsi"/>
          <w:bCs/>
          <w:sz w:val="24"/>
          <w:szCs w:val="24"/>
        </w:rPr>
      </w:pPr>
      <w:r w:rsidRPr="00442988">
        <w:rPr>
          <w:rFonts w:ascii="Garamond" w:hAnsi="Garamond" w:cstheme="minorHAnsi"/>
          <w:bCs/>
          <w:sz w:val="24"/>
          <w:szCs w:val="24"/>
        </w:rPr>
        <w:t xml:space="preserve">Así mismo, en virtud del Convenio Interadministrativo </w:t>
      </w:r>
      <w:r w:rsidRPr="00A354D3">
        <w:rPr>
          <w:rFonts w:ascii="Garamond" w:hAnsi="Garamond" w:cstheme="minorHAnsi"/>
          <w:bCs/>
          <w:sz w:val="24"/>
          <w:szCs w:val="24"/>
        </w:rPr>
        <w:t xml:space="preserve">No. </w:t>
      </w:r>
      <w:r w:rsidR="00A354D3" w:rsidRPr="00A354D3">
        <w:rPr>
          <w:rFonts w:ascii="Garamond" w:hAnsi="Garamond" w:cstheme="minorHAnsi"/>
          <w:bCs/>
          <w:sz w:val="24"/>
          <w:szCs w:val="24"/>
        </w:rPr>
        <w:t>FDLAN-CIA-004-2025</w:t>
      </w:r>
      <w:r w:rsidRPr="00A354D3">
        <w:rPr>
          <w:rFonts w:ascii="Garamond" w:hAnsi="Garamond" w:cstheme="minorHAnsi"/>
          <w:bCs/>
          <w:sz w:val="24"/>
          <w:szCs w:val="24"/>
        </w:rPr>
        <w:t xml:space="preserve"> </w:t>
      </w:r>
      <w:r w:rsidRPr="00442988">
        <w:rPr>
          <w:rFonts w:ascii="Garamond" w:hAnsi="Garamond" w:cstheme="minorHAnsi"/>
          <w:bCs/>
          <w:sz w:val="24"/>
          <w:szCs w:val="24"/>
        </w:rPr>
        <w:t>suscrito entre el IPES y el FDLAN, se delegó el uso y autorización temporal para la ejecución de las obras en el inmueble objeto de intervención, garantizando la articulación institucional entre la entidad administradora del bien (IPES) y la entidad ejecutora de las obras (FDLAN). Este instrumento jurídico actúa como soporte habilitante y de cooperación interinstitucional que viabiliza la ejecución material del proyecto, en cumplimiento de las competencias asignadas al FDLAN conforme al Decreto 768 de 2019 y al Decreto 168 de 2021, relacionados con la gestión de proyectos de inversión y la administración de recursos del Fondo.</w:t>
      </w:r>
    </w:p>
    <w:p w14:paraId="6F51851C" w14:textId="7A01DF0E" w:rsid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
          <w:bCs/>
          <w:sz w:val="24"/>
          <w:szCs w:val="24"/>
        </w:rPr>
        <w:t>VALOR:</w:t>
      </w:r>
      <w:r>
        <w:rPr>
          <w:rFonts w:ascii="Garamond" w:hAnsi="Garamond" w:cstheme="minorHAnsi"/>
          <w:bCs/>
          <w:sz w:val="24"/>
          <w:szCs w:val="24"/>
        </w:rPr>
        <w:t xml:space="preserve"> </w:t>
      </w:r>
      <w:r w:rsidRPr="00C645A7">
        <w:rPr>
          <w:rFonts w:ascii="Garamond" w:hAnsi="Garamond" w:cstheme="minorHAnsi"/>
          <w:bCs/>
          <w:sz w:val="24"/>
          <w:szCs w:val="24"/>
        </w:rPr>
        <w:t xml:space="preserve">El valor del contrato será de </w:t>
      </w:r>
      <w:r w:rsidR="00F42E17" w:rsidRPr="00F42E17">
        <w:rPr>
          <w:rFonts w:ascii="Garamond" w:hAnsi="Garamond" w:cstheme="minorHAnsi"/>
          <w:b/>
          <w:bCs/>
          <w:sz w:val="24"/>
          <w:szCs w:val="24"/>
        </w:rPr>
        <w:t>CINCUENTA Y NUEVE MILLONES NOVECIENTOS NOVENTA Y OCHO MIL NOVECIENTOS CUARENTA Y SIETE</w:t>
      </w:r>
      <w:r w:rsidR="00F42E17">
        <w:rPr>
          <w:rFonts w:ascii="Garamond" w:hAnsi="Garamond" w:cstheme="minorHAnsi"/>
          <w:b/>
          <w:bCs/>
          <w:sz w:val="24"/>
          <w:szCs w:val="24"/>
        </w:rPr>
        <w:t xml:space="preserve"> PESOS ($ 59.998.947,00 M/CTE), </w:t>
      </w:r>
      <w:r w:rsidRPr="00C645A7">
        <w:rPr>
          <w:rFonts w:ascii="Garamond" w:hAnsi="Garamond" w:cstheme="minorHAnsi"/>
          <w:bCs/>
          <w:sz w:val="24"/>
          <w:szCs w:val="24"/>
        </w:rPr>
        <w:t>incluido AIU y demás impuestos aplicables.</w:t>
      </w:r>
    </w:p>
    <w:p w14:paraId="36C85B17" w14:textId="71C78E0B" w:rsid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 xml:space="preserve">De conformidad con lo anterior, y teniendo en cuenta la necesidad evidenciada por el Fondo en cuanto a la ejecución de la segunda fase de primeros auxilios en el inmueble C.E.D. El Centenario, se realizó un análisis presupuestal detallado de las actividades contempladas en el presente proceso, estableciendo como presupuesto oficial la suma de </w:t>
      </w:r>
      <w:r w:rsidR="00F42E17" w:rsidRPr="00F42E17">
        <w:rPr>
          <w:rFonts w:ascii="Garamond" w:hAnsi="Garamond" w:cstheme="minorHAnsi"/>
          <w:b/>
          <w:bCs/>
          <w:sz w:val="24"/>
          <w:szCs w:val="24"/>
        </w:rPr>
        <w:t>CINCUENTA Y NUEVE MILLONES NOVECIENTOS NOVENTA Y OCHO MIL NOVECIENTOS CUARENTA Y SIETE</w:t>
      </w:r>
      <w:r w:rsidR="00F42E17">
        <w:rPr>
          <w:rFonts w:ascii="Garamond" w:hAnsi="Garamond" w:cstheme="minorHAnsi"/>
          <w:b/>
          <w:bCs/>
          <w:sz w:val="24"/>
          <w:szCs w:val="24"/>
        </w:rPr>
        <w:t xml:space="preserve"> PESOS ($ 59.998.947,00 M/CTE). </w:t>
      </w:r>
      <w:r w:rsidRPr="00C645A7">
        <w:rPr>
          <w:rFonts w:ascii="Garamond" w:hAnsi="Garamond" w:cstheme="minorHAnsi"/>
          <w:bCs/>
          <w:sz w:val="24"/>
          <w:szCs w:val="24"/>
        </w:rPr>
        <w:t>Dicho monto se considera técnica y financieramente viable, conforme al estudio de precios de referencia del Instituto Distrital de Recreación y Deporte – IDRD (Análisis de Precios Unitarios a marzo de 2025) y a cotizaciones de mercado, lo cual asegura la razonabilidad y correspondencia de los valores unitarios con las condiciones actuales del sector.</w:t>
      </w:r>
    </w:p>
    <w:p w14:paraId="709B2B9E" w14:textId="77777777" w:rsidR="00061F42" w:rsidRDefault="00C645A7" w:rsidP="002A4BF2">
      <w:pPr>
        <w:spacing w:line="240" w:lineRule="auto"/>
        <w:ind w:left="993" w:right="474"/>
        <w:jc w:val="both"/>
        <w:rPr>
          <w:rFonts w:ascii="Garamond" w:hAnsi="Garamond" w:cstheme="minorHAnsi"/>
          <w:bCs/>
          <w:sz w:val="24"/>
          <w:szCs w:val="24"/>
        </w:rPr>
      </w:pPr>
      <w:r>
        <w:rPr>
          <w:rFonts w:ascii="Garamond" w:hAnsi="Garamond" w:cstheme="minorHAnsi"/>
          <w:b/>
          <w:bCs/>
          <w:sz w:val="24"/>
          <w:szCs w:val="24"/>
        </w:rPr>
        <w:t>FORMA DE PAGO:</w:t>
      </w:r>
      <w:r>
        <w:rPr>
          <w:rFonts w:ascii="Garamond" w:hAnsi="Garamond" w:cstheme="minorHAnsi"/>
          <w:bCs/>
          <w:sz w:val="24"/>
          <w:szCs w:val="24"/>
        </w:rPr>
        <w:t xml:space="preserve"> </w:t>
      </w:r>
      <w:r w:rsidR="00061F42" w:rsidRPr="00061F42">
        <w:rPr>
          <w:rFonts w:ascii="Garamond" w:hAnsi="Garamond" w:cstheme="minorHAnsi"/>
          <w:bCs/>
          <w:sz w:val="24"/>
          <w:szCs w:val="24"/>
        </w:rPr>
        <w:t>Para el presente proceso de contratación, la forma de pago adoptada corresponde a la modalidad de pago a precios unitarios, en atención a la naturaleza del objeto contractual. Esta modalidad resulta la más adecuada, dado que permite reconocer al contratista los valores efectivamente ejecutados conforme a las cantidades de obra verificadas en el sitio de intervención, garantizando transparencia, control y trazabilidad en el uso de los recursos públicos.</w:t>
      </w:r>
    </w:p>
    <w:p w14:paraId="4922F040" w14:textId="1C8D379C"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El valor del contrato se pagará así:</w:t>
      </w:r>
    </w:p>
    <w:p w14:paraId="0D626F21" w14:textId="77777777"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La forma de pago establecida para el presente proceso será del CIEN POR CIENTO (100 %) contra entrega del producto terminado, de conformidad con las condiciones técnicas y contractuales definidas en el Anexo 1 – Anexo Técnico y el cronograma de ejecución aprobado por la Entidad. El pago se efectuará una vez finalizadas las obras y verificadas a satisfacción por la supervisión o interventoría designada, previa presentación por parte del contratista de los siguientes documentos:</w:t>
      </w:r>
    </w:p>
    <w:p w14:paraId="0C8432F4" w14:textId="77777777" w:rsidR="00C645A7" w:rsidRPr="00C645A7" w:rsidRDefault="00C645A7" w:rsidP="002A4BF2">
      <w:pPr>
        <w:tabs>
          <w:tab w:val="left" w:pos="1418"/>
          <w:tab w:val="left" w:pos="1985"/>
        </w:tabs>
        <w:spacing w:after="0" w:line="240" w:lineRule="auto"/>
        <w:ind w:left="1701" w:right="474" w:hanging="425"/>
        <w:jc w:val="both"/>
        <w:rPr>
          <w:rFonts w:ascii="Garamond" w:hAnsi="Garamond" w:cstheme="minorHAnsi"/>
          <w:bCs/>
          <w:sz w:val="24"/>
          <w:szCs w:val="24"/>
        </w:rPr>
      </w:pPr>
      <w:r w:rsidRPr="00C645A7">
        <w:rPr>
          <w:rFonts w:ascii="Garamond" w:hAnsi="Garamond" w:cstheme="minorHAnsi"/>
          <w:bCs/>
          <w:sz w:val="24"/>
          <w:szCs w:val="24"/>
        </w:rPr>
        <w:t>1.</w:t>
      </w:r>
      <w:r w:rsidRPr="00C645A7">
        <w:rPr>
          <w:rFonts w:ascii="Garamond" w:hAnsi="Garamond" w:cstheme="minorHAnsi"/>
          <w:bCs/>
          <w:sz w:val="24"/>
          <w:szCs w:val="24"/>
        </w:rPr>
        <w:tab/>
        <w:t>Informe de actividades debidamente firmado por el supervisor de contrato, el apoyo a la supervisión (si aplica) y el contratista</w:t>
      </w:r>
    </w:p>
    <w:p w14:paraId="46A36041" w14:textId="77777777" w:rsidR="00C645A7" w:rsidRPr="00C645A7" w:rsidRDefault="00C645A7" w:rsidP="002A4BF2">
      <w:pPr>
        <w:tabs>
          <w:tab w:val="left" w:pos="1418"/>
          <w:tab w:val="left" w:pos="1985"/>
        </w:tabs>
        <w:spacing w:after="0" w:line="240" w:lineRule="auto"/>
        <w:ind w:left="1701" w:right="474" w:hanging="425"/>
        <w:jc w:val="both"/>
        <w:rPr>
          <w:rFonts w:ascii="Garamond" w:hAnsi="Garamond" w:cstheme="minorHAnsi"/>
          <w:bCs/>
          <w:sz w:val="24"/>
          <w:szCs w:val="24"/>
        </w:rPr>
      </w:pPr>
      <w:r w:rsidRPr="00C645A7">
        <w:rPr>
          <w:rFonts w:ascii="Garamond" w:hAnsi="Garamond" w:cstheme="minorHAnsi"/>
          <w:bCs/>
          <w:sz w:val="24"/>
          <w:szCs w:val="24"/>
        </w:rPr>
        <w:t>2.</w:t>
      </w:r>
      <w:r w:rsidRPr="00C645A7">
        <w:rPr>
          <w:rFonts w:ascii="Garamond" w:hAnsi="Garamond" w:cstheme="minorHAnsi"/>
          <w:bCs/>
          <w:sz w:val="24"/>
          <w:szCs w:val="24"/>
        </w:rPr>
        <w:tab/>
        <w:t>Certificado de cumplimiento o acta de recibo a satisfacción expedido por el supervisor del contrato.</w:t>
      </w:r>
    </w:p>
    <w:p w14:paraId="04B07E80" w14:textId="77777777" w:rsidR="00C645A7" w:rsidRPr="00C645A7" w:rsidRDefault="00C645A7" w:rsidP="002A4BF2">
      <w:pPr>
        <w:tabs>
          <w:tab w:val="left" w:pos="1418"/>
          <w:tab w:val="left" w:pos="1985"/>
        </w:tabs>
        <w:spacing w:after="0" w:line="240" w:lineRule="auto"/>
        <w:ind w:left="1701" w:right="474" w:hanging="425"/>
        <w:jc w:val="both"/>
        <w:rPr>
          <w:rFonts w:ascii="Garamond" w:hAnsi="Garamond" w:cstheme="minorHAnsi"/>
          <w:bCs/>
          <w:sz w:val="24"/>
          <w:szCs w:val="24"/>
        </w:rPr>
      </w:pPr>
      <w:r w:rsidRPr="00C645A7">
        <w:rPr>
          <w:rFonts w:ascii="Garamond" w:hAnsi="Garamond" w:cstheme="minorHAnsi"/>
          <w:bCs/>
          <w:sz w:val="24"/>
          <w:szCs w:val="24"/>
        </w:rPr>
        <w:t>3.</w:t>
      </w:r>
      <w:r w:rsidRPr="00C645A7">
        <w:rPr>
          <w:rFonts w:ascii="Garamond" w:hAnsi="Garamond" w:cstheme="minorHAnsi"/>
          <w:bCs/>
          <w:sz w:val="24"/>
          <w:szCs w:val="24"/>
        </w:rPr>
        <w:tab/>
        <w:t>Informe jurídico, GCO-GCI-F133 Informe de supervisión para los contratos con proveedores persona jurídica, debidamente revisado, avalado y firmado por el supervisor de contrato, el apoyo a la supervisión (si aplica), de conformidad con los lineamientos del Manual de Supervisión e Interventoría de la SDG.</w:t>
      </w:r>
    </w:p>
    <w:p w14:paraId="01F1A2A9" w14:textId="77777777" w:rsidR="00C645A7" w:rsidRPr="00C645A7" w:rsidRDefault="00C645A7" w:rsidP="002A4BF2">
      <w:pPr>
        <w:tabs>
          <w:tab w:val="left" w:pos="1418"/>
          <w:tab w:val="left" w:pos="1985"/>
        </w:tabs>
        <w:spacing w:after="0" w:line="240" w:lineRule="auto"/>
        <w:ind w:left="1701" w:right="474" w:hanging="425"/>
        <w:jc w:val="both"/>
        <w:rPr>
          <w:rFonts w:ascii="Garamond" w:hAnsi="Garamond" w:cstheme="minorHAnsi"/>
          <w:bCs/>
          <w:sz w:val="24"/>
          <w:szCs w:val="24"/>
        </w:rPr>
      </w:pPr>
      <w:r w:rsidRPr="00C645A7">
        <w:rPr>
          <w:rFonts w:ascii="Garamond" w:hAnsi="Garamond" w:cstheme="minorHAnsi"/>
          <w:bCs/>
          <w:sz w:val="24"/>
          <w:szCs w:val="24"/>
        </w:rPr>
        <w:lastRenderedPageBreak/>
        <w:t>4.</w:t>
      </w:r>
      <w:r w:rsidRPr="00C645A7">
        <w:rPr>
          <w:rFonts w:ascii="Garamond" w:hAnsi="Garamond" w:cstheme="minorHAnsi"/>
          <w:bCs/>
          <w:sz w:val="24"/>
          <w:szCs w:val="24"/>
        </w:rPr>
        <w:tab/>
        <w:t>Acta de ingreso de los bienes al almacén (cuando aplique)</w:t>
      </w:r>
    </w:p>
    <w:p w14:paraId="2DF9DCAD" w14:textId="77777777" w:rsidR="00C645A7" w:rsidRPr="00C645A7" w:rsidRDefault="00C645A7" w:rsidP="002A4BF2">
      <w:pPr>
        <w:tabs>
          <w:tab w:val="left" w:pos="1418"/>
          <w:tab w:val="left" w:pos="1985"/>
        </w:tabs>
        <w:spacing w:after="0" w:line="240" w:lineRule="auto"/>
        <w:ind w:left="1701" w:right="474" w:hanging="425"/>
        <w:jc w:val="both"/>
        <w:rPr>
          <w:rFonts w:ascii="Garamond" w:hAnsi="Garamond" w:cstheme="minorHAnsi"/>
          <w:bCs/>
          <w:sz w:val="24"/>
          <w:szCs w:val="24"/>
        </w:rPr>
      </w:pPr>
      <w:r w:rsidRPr="00C645A7">
        <w:rPr>
          <w:rFonts w:ascii="Garamond" w:hAnsi="Garamond" w:cstheme="minorHAnsi"/>
          <w:bCs/>
          <w:sz w:val="24"/>
          <w:szCs w:val="24"/>
        </w:rPr>
        <w:t>5.</w:t>
      </w:r>
      <w:r w:rsidRPr="00C645A7">
        <w:rPr>
          <w:rFonts w:ascii="Garamond" w:hAnsi="Garamond" w:cstheme="minorHAnsi"/>
          <w:bCs/>
          <w:sz w:val="24"/>
          <w:szCs w:val="24"/>
        </w:rPr>
        <w:tab/>
        <w:t>Factura en las condiciones establecidas en la normatividad vigente. (cuando aplique)</w:t>
      </w:r>
    </w:p>
    <w:p w14:paraId="6593A3ED" w14:textId="77777777" w:rsidR="00C645A7" w:rsidRPr="00C645A7" w:rsidRDefault="00C645A7" w:rsidP="002A4BF2">
      <w:pPr>
        <w:tabs>
          <w:tab w:val="left" w:pos="1418"/>
          <w:tab w:val="left" w:pos="1985"/>
        </w:tabs>
        <w:spacing w:after="0" w:line="240" w:lineRule="auto"/>
        <w:ind w:left="1701" w:right="474" w:hanging="425"/>
        <w:jc w:val="both"/>
        <w:rPr>
          <w:rFonts w:ascii="Garamond" w:hAnsi="Garamond" w:cstheme="minorHAnsi"/>
          <w:bCs/>
          <w:sz w:val="24"/>
          <w:szCs w:val="24"/>
        </w:rPr>
      </w:pPr>
      <w:r w:rsidRPr="00C645A7">
        <w:rPr>
          <w:rFonts w:ascii="Garamond" w:hAnsi="Garamond" w:cstheme="minorHAnsi"/>
          <w:bCs/>
          <w:sz w:val="24"/>
          <w:szCs w:val="24"/>
        </w:rPr>
        <w:t>6.</w:t>
      </w:r>
      <w:r w:rsidRPr="00C645A7">
        <w:rPr>
          <w:rFonts w:ascii="Garamond" w:hAnsi="Garamond" w:cstheme="minorHAnsi"/>
          <w:bCs/>
          <w:sz w:val="24"/>
          <w:szCs w:val="24"/>
        </w:rPr>
        <w:tab/>
        <w:t>Copia de la planilla de pago de los aportes al régimen de seguridad social, para el periodo cobrado, en proporción al valor mensual del contrato, cuando se trate de personas naturales</w:t>
      </w:r>
    </w:p>
    <w:p w14:paraId="6C04AC16" w14:textId="77777777" w:rsidR="00C645A7" w:rsidRPr="00C645A7" w:rsidRDefault="00C645A7" w:rsidP="002A4BF2">
      <w:pPr>
        <w:tabs>
          <w:tab w:val="left" w:pos="1418"/>
          <w:tab w:val="left" w:pos="1985"/>
        </w:tabs>
        <w:spacing w:after="0" w:line="240" w:lineRule="auto"/>
        <w:ind w:left="1701" w:right="474" w:hanging="425"/>
        <w:jc w:val="both"/>
        <w:rPr>
          <w:rFonts w:ascii="Garamond" w:hAnsi="Garamond" w:cstheme="minorHAnsi"/>
          <w:bCs/>
          <w:sz w:val="24"/>
          <w:szCs w:val="24"/>
        </w:rPr>
      </w:pPr>
      <w:r w:rsidRPr="00C645A7">
        <w:rPr>
          <w:rFonts w:ascii="Garamond" w:hAnsi="Garamond" w:cstheme="minorHAnsi"/>
          <w:bCs/>
          <w:sz w:val="24"/>
          <w:szCs w:val="24"/>
        </w:rPr>
        <w:t>7.</w:t>
      </w:r>
      <w:r w:rsidRPr="00C645A7">
        <w:rPr>
          <w:rFonts w:ascii="Garamond" w:hAnsi="Garamond" w:cstheme="minorHAnsi"/>
          <w:bCs/>
          <w:sz w:val="24"/>
          <w:szCs w:val="24"/>
        </w:rPr>
        <w:tab/>
        <w:t>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764ECE97" w14:textId="77777777" w:rsidR="00C645A7" w:rsidRDefault="00C645A7" w:rsidP="002A4BF2">
      <w:pPr>
        <w:spacing w:line="240" w:lineRule="auto"/>
        <w:ind w:left="993" w:right="474"/>
        <w:jc w:val="both"/>
        <w:rPr>
          <w:rFonts w:ascii="Garamond" w:hAnsi="Garamond" w:cstheme="minorHAnsi"/>
          <w:bCs/>
          <w:sz w:val="24"/>
          <w:szCs w:val="24"/>
        </w:rPr>
      </w:pPr>
    </w:p>
    <w:p w14:paraId="71707D99" w14:textId="2F735348"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 xml:space="preserve">En caso de que el Contratista esté obligado a facturar electrónicamente, la Entidad contratante incluirá la obligación de presentar la factura electrónica validada previamente por la DIAN, como requisito necesario para el pago, conforme con las disposiciones señaladas en el Decreto 358 de 2020, en concordancia con la Resolución 0042 de 2020 y demás normas que los modifiquen, complementen o sustituyan”. </w:t>
      </w:r>
    </w:p>
    <w:p w14:paraId="038F52D1" w14:textId="77777777"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Nota: (Sólo aplica para régimen común)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05322E91" w14:textId="3249421F"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El 100% del valor del contrato, se distribuirá en UN (1) solo pago de acuerdo con el avance de las</w:t>
      </w:r>
      <w:r>
        <w:rPr>
          <w:rFonts w:ascii="Garamond" w:hAnsi="Garamond" w:cstheme="minorHAnsi"/>
          <w:bCs/>
          <w:sz w:val="24"/>
          <w:szCs w:val="24"/>
        </w:rPr>
        <w:t xml:space="preserve"> </w:t>
      </w:r>
      <w:r w:rsidRPr="00C645A7">
        <w:rPr>
          <w:rFonts w:ascii="Garamond" w:hAnsi="Garamond" w:cstheme="minorHAnsi"/>
          <w:bCs/>
          <w:sz w:val="24"/>
          <w:szCs w:val="24"/>
        </w:rPr>
        <w:t xml:space="preserve">obras, una vez cumplidas las siguientes exigencias: </w:t>
      </w:r>
    </w:p>
    <w:p w14:paraId="027EBDCA" w14:textId="4858641A" w:rsidR="00C645A7" w:rsidRPr="00C645A7" w:rsidRDefault="00C645A7" w:rsidP="002A4BF2">
      <w:pPr>
        <w:spacing w:after="0" w:line="240" w:lineRule="auto"/>
        <w:ind w:left="1701" w:right="474" w:hanging="708"/>
        <w:jc w:val="both"/>
        <w:rPr>
          <w:rFonts w:ascii="Garamond" w:hAnsi="Garamond" w:cstheme="minorHAnsi"/>
          <w:bCs/>
          <w:sz w:val="24"/>
          <w:szCs w:val="24"/>
        </w:rPr>
      </w:pPr>
      <w:r w:rsidRPr="00C645A7">
        <w:rPr>
          <w:rFonts w:ascii="Garamond" w:hAnsi="Garamond" w:cstheme="minorHAnsi"/>
          <w:bCs/>
          <w:sz w:val="24"/>
          <w:szCs w:val="24"/>
        </w:rPr>
        <w:t xml:space="preserve"> 1.</w:t>
      </w:r>
      <w:r w:rsidRPr="00C645A7">
        <w:rPr>
          <w:rFonts w:ascii="Garamond" w:hAnsi="Garamond" w:cstheme="minorHAnsi"/>
          <w:bCs/>
          <w:sz w:val="24"/>
          <w:szCs w:val="24"/>
        </w:rPr>
        <w:tab/>
        <w:t xml:space="preserve">Presentación de actas totales de obra suscritas por el contratista y el apoyo a la supervisión designada del FDLAN.  </w:t>
      </w:r>
    </w:p>
    <w:p w14:paraId="53438F93" w14:textId="77777777" w:rsidR="00C645A7" w:rsidRPr="00C645A7" w:rsidRDefault="00C645A7" w:rsidP="002A4BF2">
      <w:pPr>
        <w:spacing w:after="0" w:line="240" w:lineRule="auto"/>
        <w:ind w:left="1701" w:right="474" w:hanging="708"/>
        <w:jc w:val="both"/>
        <w:rPr>
          <w:rFonts w:ascii="Garamond" w:hAnsi="Garamond" w:cstheme="minorHAnsi"/>
          <w:bCs/>
          <w:sz w:val="24"/>
          <w:szCs w:val="24"/>
        </w:rPr>
      </w:pPr>
      <w:r w:rsidRPr="00C645A7">
        <w:rPr>
          <w:rFonts w:ascii="Garamond" w:hAnsi="Garamond" w:cstheme="minorHAnsi"/>
          <w:bCs/>
          <w:sz w:val="24"/>
          <w:szCs w:val="24"/>
        </w:rPr>
        <w:t>2.</w:t>
      </w:r>
      <w:r w:rsidRPr="00C645A7">
        <w:rPr>
          <w:rFonts w:ascii="Garamond" w:hAnsi="Garamond" w:cstheme="minorHAnsi"/>
          <w:bCs/>
          <w:sz w:val="24"/>
          <w:szCs w:val="24"/>
        </w:rPr>
        <w:tab/>
        <w:t xml:space="preserve">Informe completo de avance de ejecución avalado por la interventoría y/o supervisión. In-cluye formato informe único de actividades. </w:t>
      </w:r>
    </w:p>
    <w:p w14:paraId="61E7E626" w14:textId="77777777" w:rsidR="00C645A7" w:rsidRPr="00C645A7" w:rsidRDefault="00C645A7" w:rsidP="002A4BF2">
      <w:pPr>
        <w:spacing w:after="0" w:line="240" w:lineRule="auto"/>
        <w:ind w:left="1701" w:right="474" w:hanging="708"/>
        <w:jc w:val="both"/>
        <w:rPr>
          <w:rFonts w:ascii="Garamond" w:hAnsi="Garamond" w:cstheme="minorHAnsi"/>
          <w:bCs/>
          <w:sz w:val="24"/>
          <w:szCs w:val="24"/>
        </w:rPr>
      </w:pPr>
      <w:r w:rsidRPr="00C645A7">
        <w:rPr>
          <w:rFonts w:ascii="Garamond" w:hAnsi="Garamond" w:cstheme="minorHAnsi"/>
          <w:bCs/>
          <w:sz w:val="24"/>
          <w:szCs w:val="24"/>
        </w:rPr>
        <w:t>3.</w:t>
      </w:r>
      <w:r w:rsidRPr="00C645A7">
        <w:rPr>
          <w:rFonts w:ascii="Garamond" w:hAnsi="Garamond" w:cstheme="minorHAnsi"/>
          <w:bCs/>
          <w:sz w:val="24"/>
          <w:szCs w:val="24"/>
        </w:rPr>
        <w:tab/>
        <w:t xml:space="preserve">Soportes documentales y estado administrativo, financiero, avance físico y programático del contrato suscrito por el ejecutor de obra. </w:t>
      </w:r>
    </w:p>
    <w:p w14:paraId="1875384B" w14:textId="77777777" w:rsidR="00C645A7" w:rsidRPr="00C645A7" w:rsidRDefault="00C645A7" w:rsidP="002A4BF2">
      <w:pPr>
        <w:spacing w:line="240" w:lineRule="auto"/>
        <w:ind w:left="993" w:right="474"/>
        <w:jc w:val="both"/>
        <w:rPr>
          <w:rFonts w:ascii="Garamond" w:hAnsi="Garamond" w:cstheme="minorHAnsi"/>
          <w:bCs/>
          <w:sz w:val="24"/>
          <w:szCs w:val="24"/>
        </w:rPr>
      </w:pPr>
    </w:p>
    <w:p w14:paraId="074EADB6" w14:textId="45FFBABB"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 xml:space="preserve">Debe incluir entre otros aspectos:  </w:t>
      </w:r>
    </w:p>
    <w:p w14:paraId="706AC6C0" w14:textId="77777777" w:rsidR="00C645A7" w:rsidRPr="00C645A7" w:rsidRDefault="00C645A7" w:rsidP="002A4BF2">
      <w:pPr>
        <w:spacing w:after="0" w:line="240" w:lineRule="auto"/>
        <w:ind w:left="1843" w:right="474" w:hanging="425"/>
        <w:jc w:val="both"/>
        <w:rPr>
          <w:rFonts w:ascii="Garamond" w:hAnsi="Garamond" w:cstheme="minorHAnsi"/>
          <w:bCs/>
          <w:sz w:val="24"/>
          <w:szCs w:val="24"/>
        </w:rPr>
      </w:pPr>
      <w:r w:rsidRPr="00C645A7">
        <w:rPr>
          <w:rFonts w:ascii="Garamond" w:hAnsi="Garamond" w:cstheme="minorHAnsi"/>
          <w:bCs/>
          <w:sz w:val="24"/>
          <w:szCs w:val="24"/>
        </w:rPr>
        <w:t>1.</w:t>
      </w:r>
      <w:r w:rsidRPr="00C645A7">
        <w:rPr>
          <w:rFonts w:ascii="Garamond" w:hAnsi="Garamond" w:cstheme="minorHAnsi"/>
          <w:bCs/>
          <w:sz w:val="24"/>
          <w:szCs w:val="24"/>
        </w:rPr>
        <w:tab/>
        <w:t>Acta de terminación suscrita entre el contratista, el supervisor y el apoyo a la supervisión designado.</w:t>
      </w:r>
    </w:p>
    <w:p w14:paraId="4B57B753" w14:textId="77777777" w:rsidR="00C645A7" w:rsidRPr="00C645A7" w:rsidRDefault="00C645A7" w:rsidP="002A4BF2">
      <w:pPr>
        <w:spacing w:after="0" w:line="240" w:lineRule="auto"/>
        <w:ind w:left="1843" w:right="474" w:hanging="425"/>
        <w:jc w:val="both"/>
        <w:rPr>
          <w:rFonts w:ascii="Garamond" w:hAnsi="Garamond" w:cstheme="minorHAnsi"/>
          <w:bCs/>
          <w:sz w:val="24"/>
          <w:szCs w:val="24"/>
        </w:rPr>
      </w:pPr>
      <w:r w:rsidRPr="00C645A7">
        <w:rPr>
          <w:rFonts w:ascii="Garamond" w:hAnsi="Garamond" w:cstheme="minorHAnsi"/>
          <w:bCs/>
          <w:sz w:val="24"/>
          <w:szCs w:val="24"/>
        </w:rPr>
        <w:t>2.</w:t>
      </w:r>
      <w:r w:rsidRPr="00C645A7">
        <w:rPr>
          <w:rFonts w:ascii="Garamond" w:hAnsi="Garamond" w:cstheme="minorHAnsi"/>
          <w:bCs/>
          <w:sz w:val="24"/>
          <w:szCs w:val="24"/>
        </w:rPr>
        <w:tab/>
        <w:t>Acta de recibo final suscrita entre el contratista, el supervisor y el apoyo a la supervisión designado.</w:t>
      </w:r>
    </w:p>
    <w:p w14:paraId="7F20C37D" w14:textId="77777777" w:rsidR="00C645A7" w:rsidRPr="00C645A7" w:rsidRDefault="00C645A7" w:rsidP="002A4BF2">
      <w:pPr>
        <w:spacing w:after="0" w:line="240" w:lineRule="auto"/>
        <w:ind w:left="1843" w:right="474" w:hanging="425"/>
        <w:jc w:val="both"/>
        <w:rPr>
          <w:rFonts w:ascii="Garamond" w:hAnsi="Garamond" w:cstheme="minorHAnsi"/>
          <w:bCs/>
          <w:sz w:val="24"/>
          <w:szCs w:val="24"/>
        </w:rPr>
      </w:pPr>
      <w:r w:rsidRPr="00C645A7">
        <w:rPr>
          <w:rFonts w:ascii="Garamond" w:hAnsi="Garamond" w:cstheme="minorHAnsi"/>
          <w:bCs/>
          <w:sz w:val="24"/>
          <w:szCs w:val="24"/>
        </w:rPr>
        <w:t>3.</w:t>
      </w:r>
      <w:r w:rsidRPr="00C645A7">
        <w:rPr>
          <w:rFonts w:ascii="Garamond" w:hAnsi="Garamond" w:cstheme="minorHAnsi"/>
          <w:bCs/>
          <w:sz w:val="24"/>
          <w:szCs w:val="24"/>
        </w:rPr>
        <w:tab/>
        <w:t xml:space="preserve">Aprobación jurídica de las garantías finales. </w:t>
      </w:r>
    </w:p>
    <w:p w14:paraId="26F89889" w14:textId="77777777" w:rsidR="00C645A7" w:rsidRPr="00C645A7" w:rsidRDefault="00C645A7" w:rsidP="002A4BF2">
      <w:pPr>
        <w:spacing w:after="0" w:line="240" w:lineRule="auto"/>
        <w:ind w:left="1843" w:right="474" w:hanging="425"/>
        <w:jc w:val="both"/>
        <w:rPr>
          <w:rFonts w:ascii="Garamond" w:hAnsi="Garamond" w:cstheme="minorHAnsi"/>
          <w:bCs/>
          <w:sz w:val="24"/>
          <w:szCs w:val="24"/>
        </w:rPr>
      </w:pPr>
      <w:r w:rsidRPr="00C645A7">
        <w:rPr>
          <w:rFonts w:ascii="Garamond" w:hAnsi="Garamond" w:cstheme="minorHAnsi"/>
          <w:bCs/>
          <w:sz w:val="24"/>
          <w:szCs w:val="24"/>
        </w:rPr>
        <w:t>4.</w:t>
      </w:r>
      <w:r w:rsidRPr="00C645A7">
        <w:rPr>
          <w:rFonts w:ascii="Garamond" w:hAnsi="Garamond" w:cstheme="minorHAnsi"/>
          <w:bCs/>
          <w:sz w:val="24"/>
          <w:szCs w:val="24"/>
        </w:rPr>
        <w:tab/>
        <w:t xml:space="preserve">Balance final: Informe que incorpore todos los aspectos y componentes derivados del con-trato por proyecto de inversión.   </w:t>
      </w:r>
    </w:p>
    <w:p w14:paraId="2A0078A4" w14:textId="77777777" w:rsidR="00C645A7" w:rsidRPr="00C645A7" w:rsidRDefault="00C645A7" w:rsidP="002A4BF2">
      <w:pPr>
        <w:spacing w:after="0" w:line="240" w:lineRule="auto"/>
        <w:ind w:left="1843" w:right="474" w:hanging="425"/>
        <w:jc w:val="both"/>
        <w:rPr>
          <w:rFonts w:ascii="Garamond" w:hAnsi="Garamond" w:cstheme="minorHAnsi"/>
          <w:bCs/>
          <w:sz w:val="24"/>
          <w:szCs w:val="24"/>
        </w:rPr>
      </w:pPr>
      <w:r w:rsidRPr="00C645A7">
        <w:rPr>
          <w:rFonts w:ascii="Garamond" w:hAnsi="Garamond" w:cstheme="minorHAnsi"/>
          <w:bCs/>
          <w:sz w:val="24"/>
          <w:szCs w:val="24"/>
        </w:rPr>
        <w:t>5.</w:t>
      </w:r>
      <w:r w:rsidRPr="00C645A7">
        <w:rPr>
          <w:rFonts w:ascii="Garamond" w:hAnsi="Garamond" w:cstheme="minorHAnsi"/>
          <w:bCs/>
          <w:sz w:val="24"/>
          <w:szCs w:val="24"/>
        </w:rPr>
        <w:tab/>
        <w:t xml:space="preserve">Paz y salvos por concepto de subcontratos con la comunidad local. (si aplica)  </w:t>
      </w:r>
    </w:p>
    <w:p w14:paraId="6F21003F" w14:textId="77777777" w:rsidR="00C645A7" w:rsidRPr="00C645A7" w:rsidRDefault="00C645A7" w:rsidP="002A4BF2">
      <w:pPr>
        <w:spacing w:line="240" w:lineRule="auto"/>
        <w:ind w:left="993" w:right="474"/>
        <w:jc w:val="both"/>
        <w:rPr>
          <w:rFonts w:ascii="Garamond" w:hAnsi="Garamond" w:cstheme="minorHAnsi"/>
          <w:bCs/>
          <w:sz w:val="24"/>
          <w:szCs w:val="24"/>
        </w:rPr>
      </w:pPr>
    </w:p>
    <w:p w14:paraId="609C4281" w14:textId="4A7BC799"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lastRenderedPageBreak/>
        <w:t xml:space="preserve">Así mismo y para efectos de liquidación del contrato será necesaria la obtención de paz y salvos de cada una de las empresas de servicios públicos. (Si aplica) </w:t>
      </w:r>
    </w:p>
    <w:p w14:paraId="3344257C" w14:textId="09A514AC"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 xml:space="preserve">Recibo a satisfacción, de la interventoría y/o supervisión, de la totalidad de los trabajos ejecutados dentro del marco del contrato de obra por proyecto de inversión. </w:t>
      </w:r>
    </w:p>
    <w:p w14:paraId="49138C68" w14:textId="1D16C707"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Documento donde se certifique el cargue de los soportes del PIN ambiental del proyecto. (si aplica)</w:t>
      </w:r>
    </w:p>
    <w:p w14:paraId="6F9F44D2" w14:textId="0DDE2865"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 xml:space="preserve">Nota: Adicionalmente, para el pago, se deberá presentar RUT, RIT y certificación bancaria vigente, en caso de no reposar en la carpeta del proceso. </w:t>
      </w:r>
    </w:p>
    <w:p w14:paraId="4C20120B" w14:textId="77777777"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 xml:space="preserve">Nota: Reglas comunes a todas las opciones: </w:t>
      </w:r>
    </w:p>
    <w:p w14:paraId="59BCC644" w14:textId="2F368280"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6BB7FA49" w14:textId="54DB09F0"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 xml:space="preserve">La Entidad hará las retenciones a que haya lugar sobre cada pago, de acuerdo con las disposiciones legales vigentes sobre la materia.  </w:t>
      </w:r>
    </w:p>
    <w:p w14:paraId="6E2565B8" w14:textId="0C09B9BC" w:rsidR="00C645A7" w:rsidRPr="00C645A7" w:rsidRDefault="00C645A7" w:rsidP="002A4BF2">
      <w:pPr>
        <w:spacing w:line="240" w:lineRule="auto"/>
        <w:ind w:left="993" w:right="474"/>
        <w:jc w:val="both"/>
        <w:rPr>
          <w:rFonts w:ascii="Garamond" w:hAnsi="Garamond" w:cstheme="minorHAnsi"/>
          <w:bCs/>
          <w:sz w:val="24"/>
          <w:szCs w:val="24"/>
        </w:rPr>
      </w:pPr>
      <w:r w:rsidRPr="00C645A7">
        <w:rPr>
          <w:rFonts w:ascii="Garamond" w:hAnsi="Garamond" w:cstheme="minorHAnsi"/>
          <w:bCs/>
          <w:sz w:val="24"/>
          <w:szCs w:val="24"/>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0A5E189" w14:textId="5A1ECC7C" w:rsidR="00C645A7" w:rsidRDefault="00C645A7" w:rsidP="002A4BF2">
      <w:pPr>
        <w:spacing w:before="100" w:beforeAutospacing="1" w:after="100" w:afterAutospacing="1" w:line="240" w:lineRule="auto"/>
        <w:ind w:left="993" w:right="474"/>
        <w:jc w:val="both"/>
        <w:rPr>
          <w:rFonts w:ascii="Garamond" w:hAnsi="Garamond"/>
          <w:sz w:val="24"/>
          <w:szCs w:val="24"/>
          <w:lang w:eastAsia="es-CO"/>
        </w:rPr>
      </w:pPr>
      <w:r w:rsidRPr="00C645A7">
        <w:rPr>
          <w:rFonts w:ascii="Garamond" w:hAnsi="Garamond"/>
          <w:b/>
          <w:sz w:val="24"/>
          <w:szCs w:val="24"/>
          <w:lang w:eastAsia="es-CO"/>
        </w:rPr>
        <w:t>PLAZO:</w:t>
      </w:r>
      <w:r>
        <w:rPr>
          <w:rFonts w:ascii="Garamond" w:hAnsi="Garamond"/>
          <w:sz w:val="24"/>
          <w:szCs w:val="24"/>
          <w:lang w:eastAsia="es-CO"/>
        </w:rPr>
        <w:t xml:space="preserve"> </w:t>
      </w:r>
      <w:r w:rsidRPr="00C645A7">
        <w:rPr>
          <w:rFonts w:ascii="Garamond" w:hAnsi="Garamond"/>
          <w:sz w:val="24"/>
          <w:szCs w:val="24"/>
          <w:lang w:eastAsia="es-CO"/>
        </w:rPr>
        <w:t xml:space="preserve">El plazo del contrato es de </w:t>
      </w:r>
      <w:r w:rsidRPr="00C645A7">
        <w:rPr>
          <w:rFonts w:ascii="Garamond" w:hAnsi="Garamond"/>
          <w:b/>
          <w:sz w:val="24"/>
          <w:szCs w:val="24"/>
          <w:lang w:eastAsia="es-CO"/>
        </w:rPr>
        <w:t>UN (1) MES y QUINCE (15) DÍAS</w:t>
      </w:r>
    </w:p>
    <w:p w14:paraId="67596409" w14:textId="46CA013D" w:rsidR="008B69F4" w:rsidRDefault="008B69F4" w:rsidP="002A4BF2">
      <w:pPr>
        <w:spacing w:before="100" w:beforeAutospacing="1" w:after="100" w:afterAutospacing="1" w:line="240" w:lineRule="auto"/>
        <w:ind w:left="993" w:right="474"/>
        <w:jc w:val="both"/>
        <w:rPr>
          <w:rFonts w:ascii="Garamond" w:hAnsi="Garamond"/>
          <w:sz w:val="24"/>
          <w:szCs w:val="24"/>
          <w:lang w:eastAsia="es-CO"/>
        </w:rPr>
      </w:pPr>
      <w:r w:rsidRPr="008B69F4">
        <w:rPr>
          <w:rFonts w:ascii="Garamond" w:hAnsi="Garamond"/>
          <w:sz w:val="24"/>
          <w:szCs w:val="24"/>
          <w:lang w:eastAsia="es-CO"/>
        </w:rPr>
        <w:t xml:space="preserve">De acuerdo con lo anteriormente expuesto, existe la necesidad de adelantar un proceso de contratación para la ejecución de las medidas impuestas por el JUZGADO DOCE (12) ADMINISTRATIVO DE ORALIDAD DEL CIRCUITO DE BOGOTÁ, SECCIÓN SEGUNDA, que ordenan </w:t>
      </w:r>
      <w:r w:rsidRPr="00442988">
        <w:rPr>
          <w:rFonts w:ascii="Garamond" w:hAnsi="Garamond"/>
          <w:i/>
          <w:sz w:val="24"/>
          <w:szCs w:val="24"/>
          <w:lang w:eastAsia="es-CO"/>
        </w:rPr>
        <w:t>“1. Se protejan los derechos colectivos a la DEFENSA DEL PATRIMONIO CULTURAL, PREVENCIÓN DE DESASTRES PREVISIBLES Y DEFENSA DEL PATRIMONIO PÚBLICO” (…) “2. Se ORDENE al DISTRITO CAPITAL ALCALDIA MAYOR que a través de La entidad o entidades a las que les competa ya sea INSTITUTO PARA LA ECONOMIA SOCIAL (IPES), DEFENSORIA DEL ESPACIO PÚBLICO (DADEP), ALCALDIA LOCAL DE ANTONIO NARIÑO U OTRAS, realice la apropiación presupuestal para para la restauración de la escuela CED CENTENARIO, ubicada en la transversal 21ª #21ª-65 sur, barrio Restrepo.</w:t>
      </w:r>
      <w:r w:rsidRPr="008B69F4">
        <w:rPr>
          <w:rFonts w:ascii="Garamond" w:hAnsi="Garamond"/>
          <w:sz w:val="24"/>
          <w:szCs w:val="24"/>
          <w:lang w:eastAsia="es-CO"/>
        </w:rPr>
        <w:t>” (…); para atender parcialmente – en su segunda etapa - las medidas de primeros auxilios y/o de emergencia del inmueble C.E.D. El Centenario, cuyo objeto sea: “</w:t>
      </w:r>
      <w:r w:rsidRPr="00BC4825">
        <w:rPr>
          <w:rFonts w:ascii="Garamond" w:hAnsi="Garamond"/>
          <w:b/>
          <w:sz w:val="24"/>
          <w:szCs w:val="24"/>
          <w:lang w:eastAsia="es-CO"/>
        </w:rPr>
        <w:t>CONTRATAR LAS OBRAS DE MITIGACIÓN DEL RIESGO EN CUMPLIMIENTO A ORDEN JUDICIAL DEL JUZGADO 12 ADMINISTRATIVO SECCIÓN SEGUNDA ORAL BOGOTÁ AL INMUEBLE DENOMINADO CED CENTENARIO PARA LA ATENCIÓN PARCIAL - SEGUNDA ETAPA - DE PRIMEROS AUXILIOS EN VIRTUD DE ACCIÓN POPULAR No. 110013335012-2022-00150-00</w:t>
      </w:r>
      <w:r w:rsidRPr="008B69F4">
        <w:rPr>
          <w:rFonts w:ascii="Garamond" w:hAnsi="Garamond"/>
          <w:sz w:val="24"/>
          <w:szCs w:val="24"/>
          <w:lang w:eastAsia="es-CO"/>
        </w:rPr>
        <w:t>”, el cual se ejecutará con cargo a los rubros presupuestales 2472, cuyo objeto es “Acciones de resiliencia hogares seguros y comunidades fortalecidas”.</w:t>
      </w:r>
    </w:p>
    <w:p w14:paraId="171AFAD9" w14:textId="0BB98614" w:rsidR="001B262C" w:rsidRPr="00597F81" w:rsidRDefault="001B262C" w:rsidP="002A4BF2">
      <w:pPr>
        <w:spacing w:before="100" w:beforeAutospacing="1" w:after="100" w:afterAutospacing="1" w:line="240" w:lineRule="auto"/>
        <w:ind w:left="993" w:right="474"/>
        <w:jc w:val="both"/>
        <w:rPr>
          <w:rFonts w:ascii="Garamond" w:hAnsi="Garamond" w:cs="Arial"/>
          <w:sz w:val="24"/>
          <w:szCs w:val="24"/>
        </w:rPr>
      </w:pPr>
      <w:r w:rsidRPr="00597F81">
        <w:rPr>
          <w:rFonts w:ascii="Garamond" w:hAnsi="Garamond" w:cs="Arial"/>
          <w:sz w:val="24"/>
          <w:szCs w:val="24"/>
        </w:rPr>
        <w:t>Siguiendo los parámetros establecidos en materia de contratación pública, según el marco normativo dispuesto en el Decreto 1082 de 2015, en especial el artículo 2.2.1.2.5.2, que nos remite a la Guía para la</w:t>
      </w:r>
      <w:r w:rsidRPr="00597F81">
        <w:rPr>
          <w:rFonts w:ascii="Times New Roman" w:hAnsi="Times New Roman" w:cs="Times New Roman"/>
          <w:sz w:val="24"/>
          <w:szCs w:val="24"/>
        </w:rPr>
        <w:t> </w:t>
      </w:r>
      <w:r w:rsidRPr="00597F81">
        <w:rPr>
          <w:rFonts w:ascii="Garamond" w:hAnsi="Garamond" w:cs="Arial"/>
          <w:sz w:val="24"/>
          <w:szCs w:val="24"/>
        </w:rPr>
        <w:t>Elaboraci</w:t>
      </w:r>
      <w:r w:rsidRPr="00597F81">
        <w:rPr>
          <w:rFonts w:ascii="Garamond" w:hAnsi="Garamond" w:cs="Garamond"/>
          <w:sz w:val="24"/>
          <w:szCs w:val="24"/>
        </w:rPr>
        <w:t>ó</w:t>
      </w:r>
      <w:r w:rsidRPr="00597F81">
        <w:rPr>
          <w:rFonts w:ascii="Garamond" w:hAnsi="Garamond" w:cs="Arial"/>
          <w:sz w:val="24"/>
          <w:szCs w:val="24"/>
        </w:rPr>
        <w:t>n de</w:t>
      </w:r>
      <w:r w:rsidRPr="00597F81">
        <w:rPr>
          <w:rFonts w:ascii="Times New Roman" w:hAnsi="Times New Roman" w:cs="Times New Roman"/>
          <w:sz w:val="24"/>
          <w:szCs w:val="24"/>
        </w:rPr>
        <w:t> </w:t>
      </w:r>
      <w:r w:rsidRPr="00597F81">
        <w:rPr>
          <w:rFonts w:ascii="Garamond" w:hAnsi="Garamond" w:cs="Arial"/>
          <w:sz w:val="24"/>
          <w:szCs w:val="24"/>
        </w:rPr>
        <w:t>Estudios de Sector G-EES-02 expedida por Colombia Compra Eficiente, el presente análisis del sector cubrirá las siguientes tres áreas:</w:t>
      </w:r>
      <w:r w:rsidRPr="00597F81">
        <w:rPr>
          <w:rFonts w:ascii="Times New Roman" w:hAnsi="Times New Roman" w:cs="Times New Roman"/>
          <w:sz w:val="24"/>
          <w:szCs w:val="24"/>
        </w:rPr>
        <w:t>  </w:t>
      </w:r>
    </w:p>
    <w:p w14:paraId="01162669" w14:textId="77777777" w:rsidR="001B262C" w:rsidRPr="00597F81" w:rsidRDefault="001B262C" w:rsidP="002A4BF2">
      <w:pPr>
        <w:pStyle w:val="Prrafodelista"/>
        <w:spacing w:line="240" w:lineRule="auto"/>
        <w:ind w:left="993" w:right="474"/>
        <w:jc w:val="both"/>
        <w:rPr>
          <w:rFonts w:ascii="Garamond" w:hAnsi="Garamond" w:cs="Arial"/>
          <w:sz w:val="24"/>
          <w:szCs w:val="24"/>
        </w:rPr>
      </w:pPr>
      <w:r w:rsidRPr="00597F81">
        <w:rPr>
          <w:rFonts w:ascii="Garamond" w:hAnsi="Garamond" w:cs="Arial"/>
          <w:sz w:val="24"/>
          <w:szCs w:val="24"/>
        </w:rPr>
        <w:lastRenderedPageBreak/>
        <w:t>a)</w:t>
      </w:r>
      <w:r w:rsidRPr="00597F81">
        <w:rPr>
          <w:rFonts w:ascii="Garamond" w:hAnsi="Garamond" w:cs="Arial"/>
          <w:sz w:val="24"/>
          <w:szCs w:val="24"/>
        </w:rPr>
        <w:tab/>
        <w:t>Aspectos generales</w:t>
      </w:r>
      <w:r w:rsidRPr="00597F81">
        <w:rPr>
          <w:rFonts w:ascii="Times New Roman" w:hAnsi="Times New Roman" w:cs="Times New Roman"/>
          <w:sz w:val="24"/>
          <w:szCs w:val="24"/>
        </w:rPr>
        <w:t> </w:t>
      </w:r>
    </w:p>
    <w:p w14:paraId="49CC39E0" w14:textId="68E6866D" w:rsidR="001B262C" w:rsidRPr="00597F81" w:rsidRDefault="001B262C" w:rsidP="002A4BF2">
      <w:pPr>
        <w:pStyle w:val="Prrafodelista"/>
        <w:spacing w:line="240" w:lineRule="auto"/>
        <w:ind w:left="993" w:right="474"/>
        <w:jc w:val="both"/>
        <w:rPr>
          <w:rFonts w:ascii="Garamond" w:hAnsi="Garamond" w:cs="Arial"/>
          <w:sz w:val="24"/>
          <w:szCs w:val="24"/>
        </w:rPr>
      </w:pPr>
      <w:r w:rsidRPr="00597F81">
        <w:rPr>
          <w:rFonts w:ascii="Garamond" w:hAnsi="Garamond" w:cs="Arial"/>
          <w:sz w:val="24"/>
          <w:szCs w:val="24"/>
        </w:rPr>
        <w:t>b)</w:t>
      </w:r>
      <w:r w:rsidRPr="00597F81">
        <w:rPr>
          <w:rFonts w:ascii="Garamond" w:hAnsi="Garamond" w:cs="Arial"/>
          <w:sz w:val="24"/>
          <w:szCs w:val="24"/>
        </w:rPr>
        <w:tab/>
      </w:r>
      <w:r w:rsidR="00171C33">
        <w:rPr>
          <w:rFonts w:ascii="Garamond" w:hAnsi="Garamond" w:cs="Arial"/>
          <w:sz w:val="24"/>
          <w:szCs w:val="24"/>
        </w:rPr>
        <w:t>Análisis</w:t>
      </w:r>
      <w:r w:rsidRPr="00597F81">
        <w:rPr>
          <w:rFonts w:ascii="Garamond" w:hAnsi="Garamond" w:cs="Arial"/>
          <w:sz w:val="24"/>
          <w:szCs w:val="24"/>
        </w:rPr>
        <w:t xml:space="preserve"> de la oferta</w:t>
      </w:r>
    </w:p>
    <w:p w14:paraId="3AD514E7" w14:textId="27D3E748" w:rsidR="001B262C" w:rsidRPr="00597F81" w:rsidRDefault="001B262C" w:rsidP="002A4BF2">
      <w:pPr>
        <w:pStyle w:val="Prrafodelista"/>
        <w:spacing w:line="240" w:lineRule="auto"/>
        <w:ind w:left="993" w:right="474"/>
        <w:jc w:val="both"/>
        <w:rPr>
          <w:rFonts w:ascii="Garamond" w:hAnsi="Garamond" w:cs="Arial"/>
          <w:sz w:val="24"/>
          <w:szCs w:val="24"/>
        </w:rPr>
      </w:pPr>
      <w:r w:rsidRPr="00597F81">
        <w:rPr>
          <w:rFonts w:ascii="Garamond" w:hAnsi="Garamond" w:cs="Arial"/>
          <w:sz w:val="24"/>
          <w:szCs w:val="24"/>
        </w:rPr>
        <w:t>c)</w:t>
      </w:r>
      <w:r w:rsidRPr="00597F81">
        <w:rPr>
          <w:rFonts w:ascii="Garamond" w:hAnsi="Garamond" w:cs="Arial"/>
          <w:sz w:val="24"/>
          <w:szCs w:val="24"/>
        </w:rPr>
        <w:tab/>
      </w:r>
      <w:r w:rsidR="00171C33">
        <w:rPr>
          <w:rFonts w:ascii="Garamond" w:hAnsi="Garamond" w:cs="Arial"/>
          <w:sz w:val="24"/>
          <w:szCs w:val="24"/>
        </w:rPr>
        <w:t>Análisis</w:t>
      </w:r>
      <w:r w:rsidRPr="00597F81">
        <w:rPr>
          <w:rFonts w:ascii="Garamond" w:hAnsi="Garamond" w:cs="Arial"/>
          <w:sz w:val="24"/>
          <w:szCs w:val="24"/>
        </w:rPr>
        <w:t xml:space="preserve"> de la demanda</w:t>
      </w:r>
    </w:p>
    <w:p w14:paraId="1B8FAEA6" w14:textId="77777777" w:rsidR="001B262C" w:rsidRDefault="001B262C" w:rsidP="002A4BF2">
      <w:pPr>
        <w:pStyle w:val="Prrafodelista"/>
        <w:spacing w:line="240" w:lineRule="auto"/>
        <w:ind w:left="993" w:right="474"/>
        <w:jc w:val="both"/>
        <w:rPr>
          <w:rFonts w:ascii="Garamond" w:hAnsi="Garamond" w:cs="Arial"/>
          <w:b/>
        </w:rPr>
      </w:pPr>
    </w:p>
    <w:p w14:paraId="722BC9C7" w14:textId="77777777" w:rsidR="00621E65" w:rsidRPr="001B262C" w:rsidRDefault="00621E65" w:rsidP="002A4BF2">
      <w:pPr>
        <w:pStyle w:val="Prrafodelista"/>
        <w:spacing w:line="240" w:lineRule="auto"/>
        <w:ind w:left="993" w:right="474"/>
        <w:jc w:val="both"/>
        <w:rPr>
          <w:rFonts w:ascii="Garamond" w:hAnsi="Garamond" w:cs="Arial"/>
          <w:b/>
        </w:rPr>
      </w:pPr>
    </w:p>
    <w:p w14:paraId="14E8CF55" w14:textId="77777777" w:rsidR="00415197" w:rsidRPr="00621E65" w:rsidRDefault="001B262C" w:rsidP="003A1825">
      <w:pPr>
        <w:pStyle w:val="Prrafodelista"/>
        <w:numPr>
          <w:ilvl w:val="0"/>
          <w:numId w:val="1"/>
        </w:numPr>
        <w:spacing w:line="240" w:lineRule="auto"/>
        <w:ind w:left="993" w:right="474"/>
        <w:jc w:val="both"/>
        <w:rPr>
          <w:rFonts w:ascii="Garamond" w:hAnsi="Garamond" w:cs="Arial"/>
          <w:b/>
        </w:rPr>
      </w:pPr>
      <w:r w:rsidRPr="00621E65">
        <w:rPr>
          <w:rFonts w:ascii="Garamond" w:hAnsi="Garamond" w:cs="Arial"/>
          <w:b/>
        </w:rPr>
        <w:t>ASPECTOS GENERALES</w:t>
      </w:r>
    </w:p>
    <w:p w14:paraId="4266A30E" w14:textId="77777777" w:rsidR="002A7F4C" w:rsidRPr="002A7F4C" w:rsidRDefault="002A7F4C" w:rsidP="002A4BF2">
      <w:pPr>
        <w:spacing w:line="240" w:lineRule="auto"/>
        <w:ind w:left="993" w:right="474"/>
        <w:jc w:val="both"/>
        <w:rPr>
          <w:rFonts w:ascii="Garamond" w:hAnsi="Garamond" w:cs="Arial"/>
          <w:sz w:val="24"/>
          <w:szCs w:val="24"/>
        </w:rPr>
      </w:pPr>
      <w:r w:rsidRPr="002A7F4C">
        <w:rPr>
          <w:rFonts w:ascii="Garamond" w:hAnsi="Garamond" w:cs="Arial"/>
          <w:sz w:val="24"/>
          <w:szCs w:val="24"/>
        </w:rPr>
        <w:t>El interés del FDLAN, es propender porque los recursos destinados para el fortalecimiento de las capacidades administrativas y técnicas, que son de responsabilidad de la Alcaldía Local de Antonio Nariño, no se vean interrumpidas bajo ningún criterio, por la falta o la carencia de insumos físicos y que garanticen la buena prestación de servicios por cada una de las dependencias y de aquellas que son adscritas o de la administración local o que pertenecen a la Alcaldía Local de Antonio Nariño.</w:t>
      </w:r>
    </w:p>
    <w:p w14:paraId="768A2C3F" w14:textId="77777777" w:rsidR="002A7F4C" w:rsidRPr="002A7F4C" w:rsidRDefault="002A7F4C" w:rsidP="002A4BF2">
      <w:pPr>
        <w:spacing w:line="240" w:lineRule="auto"/>
        <w:ind w:left="993" w:right="474"/>
        <w:jc w:val="both"/>
        <w:rPr>
          <w:rFonts w:ascii="Garamond" w:hAnsi="Garamond" w:cs="Arial"/>
          <w:sz w:val="24"/>
          <w:szCs w:val="24"/>
        </w:rPr>
      </w:pPr>
      <w:r w:rsidRPr="002A7F4C">
        <w:rPr>
          <w:rFonts w:ascii="Garamond" w:hAnsi="Garamond" w:cs="Arial"/>
          <w:sz w:val="24"/>
          <w:szCs w:val="24"/>
        </w:rPr>
        <w:t xml:space="preserve">En razón de lo anterior, la alcaldía local de Antonio Nariño busca el desarrollo de acciones que fortalezcan y consoliden buenas prácticas dentro de la administración pública, de forma tal que se propenda por la transparencia, la participación ciudadana, la lucha contra la corrupción y la gobernanza local, del mismo modo realizar acciones que permitan el fortalecimiento de la estructura física y dotacional y la promoción de la mejora de las condiciones de los funcionarios. </w:t>
      </w:r>
    </w:p>
    <w:p w14:paraId="2DD056C3" w14:textId="77777777" w:rsidR="002A7F4C" w:rsidRPr="002A7F4C" w:rsidRDefault="002A7F4C" w:rsidP="002A4BF2">
      <w:pPr>
        <w:spacing w:line="240" w:lineRule="auto"/>
        <w:ind w:left="993" w:right="474"/>
        <w:jc w:val="both"/>
        <w:rPr>
          <w:rFonts w:ascii="Garamond" w:hAnsi="Garamond" w:cs="Arial"/>
          <w:sz w:val="24"/>
          <w:szCs w:val="24"/>
        </w:rPr>
      </w:pPr>
      <w:r w:rsidRPr="002A7F4C">
        <w:rPr>
          <w:rFonts w:ascii="Garamond" w:hAnsi="Garamond" w:cs="Arial"/>
          <w:sz w:val="24"/>
          <w:szCs w:val="24"/>
        </w:rPr>
        <w:t>El análisis del sector hace parte de la planeación del proceso de contratación y materializa los principios de planeación, de responsabilidad y de transparencia consagrados en la Ley 80 de 1993. Por lo tanto, apunta a identificar fundamentalmente a los actores del nicho del mercado al cual se circunscribe el presente proceso de selección y el contrato que habrá de celebrarse para materializar las metas del Plan de Desarrollo “</w:t>
      </w:r>
      <w:r w:rsidRPr="005000D3">
        <w:rPr>
          <w:rFonts w:ascii="Garamond" w:hAnsi="Garamond" w:cs="Arial"/>
          <w:i/>
          <w:sz w:val="24"/>
          <w:szCs w:val="24"/>
        </w:rPr>
        <w:t>Bogotá Camina Segura”.</w:t>
      </w:r>
    </w:p>
    <w:p w14:paraId="2C9D43A5" w14:textId="77777777" w:rsidR="002A7F4C" w:rsidRPr="002A7F4C" w:rsidRDefault="002A7F4C" w:rsidP="002A4BF2">
      <w:pPr>
        <w:spacing w:line="240" w:lineRule="auto"/>
        <w:ind w:left="993" w:right="474"/>
        <w:jc w:val="both"/>
        <w:rPr>
          <w:rFonts w:ascii="Garamond" w:hAnsi="Garamond" w:cs="Arial"/>
          <w:sz w:val="24"/>
          <w:szCs w:val="24"/>
        </w:rPr>
      </w:pPr>
      <w:r w:rsidRPr="002A7F4C">
        <w:rPr>
          <w:rFonts w:ascii="Garamond" w:hAnsi="Garamond" w:cs="Arial"/>
          <w:sz w:val="24"/>
          <w:szCs w:val="24"/>
        </w:rPr>
        <w:t xml:space="preserve">Con respecto a la Guía para la Elaboración de Estudios de Sector versión G-EES-02, con el propósito de fortalecer las buenas prácticas en materia de promoción de la competencia en la contratación pública, “(…) </w:t>
      </w:r>
      <w:r w:rsidRPr="005000D3">
        <w:rPr>
          <w:rFonts w:ascii="Garamond" w:hAnsi="Garamond" w:cs="Arial"/>
          <w:i/>
          <w:sz w:val="24"/>
          <w:szCs w:val="24"/>
        </w:rPr>
        <w:t>La Entidad Estatal debe revisar los aspectos generales del mercado del bien, obra o servicio que sean relevantes en el Proceso de Contratación. Para el efecto, Colombia Compra Eficiente recomienda analizar, entre otros, los siguientes contextos, los cuales pueden tener un alcance local, regional, nacional o internacional, dependiendo del Proceso de Contratación</w:t>
      </w:r>
      <w:r w:rsidRPr="002A7F4C">
        <w:rPr>
          <w:rFonts w:ascii="Garamond" w:hAnsi="Garamond" w:cs="Arial"/>
          <w:sz w:val="24"/>
          <w:szCs w:val="24"/>
        </w:rPr>
        <w:t xml:space="preserve"> (…)”, se proyecta el presente documento:</w:t>
      </w:r>
    </w:p>
    <w:p w14:paraId="2838CB63" w14:textId="77777777" w:rsidR="002A7F4C" w:rsidRPr="002A7F4C" w:rsidRDefault="002A7F4C" w:rsidP="002A4BF2">
      <w:pPr>
        <w:spacing w:line="240" w:lineRule="auto"/>
        <w:ind w:left="993" w:right="474"/>
        <w:jc w:val="both"/>
        <w:rPr>
          <w:rFonts w:ascii="Garamond" w:hAnsi="Garamond" w:cs="Arial"/>
          <w:sz w:val="24"/>
          <w:szCs w:val="24"/>
        </w:rPr>
      </w:pPr>
      <w:r w:rsidRPr="002A7F4C">
        <w:rPr>
          <w:rFonts w:ascii="Garamond" w:hAnsi="Garamond" w:cs="Arial"/>
          <w:sz w:val="24"/>
          <w:szCs w:val="24"/>
        </w:rPr>
        <w:t>Así mismo, atendiendo a la implementación de la Directiva 001 del 22 de enero de 2021, de la Secretaría Jurídica Distrital con la socialización del documento único en contratación que permite facilitar la gestión y coordinación jurídica del Distrito en materia contractual y servir de guía para aquellas entidades que tienen un régimen especial en materia de contratación, sin perjuicio de las disposiciones que se mantienen vigentes sobre temáticas específicas o proferidas por varias autoridades y las que se adopten con posterioridad a la expedición de la Directiva. En referencia al Análisis del Sector, el documento recomienda tener en cuenta en su elaboración: las contrataciones de vigencias pasadas o de otras entidades, relacionadas con el objeto a contratar; los precios establecidos en revistas especializadas en la materia; Aspectos generales del mercado del bien, obra o servicio, como el contexto  económico, técnico y regulatorio; El Estudio de la oferta debe responder a la inquietud sobre ¿quién vende? y la dinámica de producción, distribución y entrega de bienes y/o servicios; El Estudio de la demanda, incluye el análisis frente a la forma de adquisición de bienes y/o servicios por parte de las Entidades; Fuentes de información como el Departamento Administrativo Nacional de Estadística - DANE, el Banco de la República, la Superintendencia de Industria y Comercio, el Departamento Nacional de Planeación — DNP, Colombia Compra Eficiente, Cámara de Comercio, Presidencia de la República, entre otras.</w:t>
      </w:r>
    </w:p>
    <w:p w14:paraId="0D19DC6A" w14:textId="77777777" w:rsidR="00255444" w:rsidRPr="00037B06" w:rsidRDefault="00255444" w:rsidP="001D5327">
      <w:pPr>
        <w:tabs>
          <w:tab w:val="left" w:pos="38"/>
        </w:tabs>
        <w:spacing w:after="0" w:line="240" w:lineRule="auto"/>
        <w:ind w:left="993" w:right="517"/>
        <w:jc w:val="both"/>
        <w:rPr>
          <w:rFonts w:ascii="Garamond" w:hAnsi="Garamond" w:cs="Arial"/>
          <w:b/>
          <w:sz w:val="24"/>
          <w:szCs w:val="24"/>
          <w:u w:val="single"/>
        </w:rPr>
      </w:pPr>
      <w:r w:rsidRPr="00037B06">
        <w:rPr>
          <w:rFonts w:ascii="Garamond" w:hAnsi="Garamond" w:cs="Arial"/>
          <w:sz w:val="24"/>
          <w:szCs w:val="24"/>
        </w:rPr>
        <w:lastRenderedPageBreak/>
        <w:t xml:space="preserve">Que </w:t>
      </w:r>
      <w:r w:rsidRPr="00037B06">
        <w:rPr>
          <w:rFonts w:ascii="Garamond" w:hAnsi="Garamond" w:cs="Garamond"/>
          <w:sz w:val="24"/>
          <w:szCs w:val="24"/>
        </w:rPr>
        <w:t>el Fondo de Desarrollo Local de Antonio Nariño,</w:t>
      </w:r>
      <w:r w:rsidRPr="00037B06">
        <w:rPr>
          <w:rFonts w:ascii="Garamond" w:hAnsi="Garamond" w:cs="Arial"/>
          <w:sz w:val="24"/>
          <w:szCs w:val="24"/>
        </w:rPr>
        <w:t xml:space="preserve"> cuenta con el proyecto de inversión registrado en el Banco de Proyectos de Inversión del Distrito, </w:t>
      </w:r>
      <w:r w:rsidRPr="00037B06">
        <w:rPr>
          <w:rFonts w:ascii="Garamond" w:hAnsi="Garamond" w:cs="Garamond"/>
          <w:sz w:val="24"/>
          <w:szCs w:val="24"/>
        </w:rPr>
        <w:t xml:space="preserve">No. </w:t>
      </w:r>
      <w:r w:rsidRPr="00037B06">
        <w:rPr>
          <w:rFonts w:ascii="Garamond" w:hAnsi="Garamond" w:cs="Garamond"/>
          <w:b/>
          <w:sz w:val="24"/>
          <w:szCs w:val="24"/>
        </w:rPr>
        <w:t>2472</w:t>
      </w:r>
      <w:r w:rsidRPr="00037B06">
        <w:rPr>
          <w:rFonts w:ascii="Garamond" w:hAnsi="Garamond" w:cs="Garamond"/>
          <w:sz w:val="24"/>
          <w:szCs w:val="24"/>
        </w:rPr>
        <w:t>,</w:t>
      </w:r>
      <w:r w:rsidRPr="00037B06">
        <w:rPr>
          <w:rFonts w:ascii="Garamond" w:hAnsi="Garamond" w:cs="Arial"/>
          <w:sz w:val="24"/>
          <w:szCs w:val="24"/>
        </w:rPr>
        <w:t xml:space="preserve"> cuyo objeto es “</w:t>
      </w:r>
      <w:r w:rsidRPr="00037B06">
        <w:rPr>
          <w:rFonts w:ascii="Garamond" w:hAnsi="Garamond" w:cs="Arial"/>
          <w:i/>
          <w:sz w:val="24"/>
          <w:szCs w:val="24"/>
        </w:rPr>
        <w:t>Acciones de resiliencia hogares seguros y comunidades fortalecidas”</w:t>
      </w:r>
      <w:r w:rsidRPr="00037B06">
        <w:rPr>
          <w:rFonts w:ascii="Garamond" w:hAnsi="Garamond" w:cs="Arial"/>
          <w:sz w:val="24"/>
          <w:szCs w:val="24"/>
        </w:rPr>
        <w:t xml:space="preserve">, dentro del cual se encuentra la meta de </w:t>
      </w:r>
      <w:r w:rsidRPr="00037B06">
        <w:rPr>
          <w:rFonts w:ascii="Garamond" w:hAnsi="Garamond" w:cs="Arial"/>
          <w:b/>
          <w:sz w:val="24"/>
          <w:szCs w:val="24"/>
          <w:u w:val="single"/>
        </w:rPr>
        <w:t>“Realizar 1 obra de mitigación y/u obras de mitigación existentes con mantenimiento”</w:t>
      </w:r>
    </w:p>
    <w:p w14:paraId="36C143A5" w14:textId="77777777" w:rsidR="00255444" w:rsidRDefault="00255444" w:rsidP="001D5327">
      <w:pPr>
        <w:tabs>
          <w:tab w:val="left" w:pos="38"/>
        </w:tabs>
        <w:spacing w:after="0" w:line="240" w:lineRule="auto"/>
        <w:ind w:left="993" w:right="517"/>
        <w:jc w:val="center"/>
        <w:rPr>
          <w:rFonts w:ascii="Garamond" w:hAnsi="Garamond"/>
          <w:sz w:val="18"/>
          <w:szCs w:val="18"/>
        </w:rPr>
      </w:pPr>
    </w:p>
    <w:p w14:paraId="2F4CD487" w14:textId="77777777" w:rsidR="00255444" w:rsidRDefault="00255444" w:rsidP="001D5327">
      <w:pPr>
        <w:tabs>
          <w:tab w:val="left" w:pos="38"/>
        </w:tabs>
        <w:spacing w:after="0" w:line="240" w:lineRule="auto"/>
        <w:ind w:right="517"/>
        <w:jc w:val="both"/>
        <w:rPr>
          <w:rFonts w:ascii="Garamond" w:hAnsi="Garamond" w:cs="Arial"/>
          <w:b/>
          <w:u w:val="single"/>
        </w:rPr>
      </w:pPr>
    </w:p>
    <w:tbl>
      <w:tblPr>
        <w:tblStyle w:val="Tablaconcuadrcula"/>
        <w:tblW w:w="9214" w:type="dxa"/>
        <w:tblInd w:w="795" w:type="dxa"/>
        <w:tblLayout w:type="fixed"/>
        <w:tblLook w:val="04A0" w:firstRow="1" w:lastRow="0" w:firstColumn="1" w:lastColumn="0" w:noHBand="0" w:noVBand="1"/>
      </w:tblPr>
      <w:tblGrid>
        <w:gridCol w:w="2268"/>
        <w:gridCol w:w="1701"/>
        <w:gridCol w:w="1559"/>
        <w:gridCol w:w="1560"/>
        <w:gridCol w:w="2126"/>
      </w:tblGrid>
      <w:tr w:rsidR="00255444" w:rsidRPr="00CF318A" w14:paraId="57ED87FA" w14:textId="77777777" w:rsidTr="003B4F74">
        <w:trPr>
          <w:trHeight w:val="915"/>
        </w:trPr>
        <w:tc>
          <w:tcPr>
            <w:tcW w:w="2268" w:type="dxa"/>
            <w:hideMark/>
          </w:tcPr>
          <w:p w14:paraId="318212BD" w14:textId="77777777" w:rsidR="00255444" w:rsidRPr="00CF318A" w:rsidRDefault="00255444" w:rsidP="002A4BF2">
            <w:pPr>
              <w:ind w:left="75"/>
              <w:jc w:val="center"/>
              <w:rPr>
                <w:rFonts w:ascii="Garamond" w:hAnsi="Garamond" w:cs="Arial"/>
                <w:b/>
                <w:bCs/>
                <w:sz w:val="18"/>
                <w:szCs w:val="18"/>
              </w:rPr>
            </w:pPr>
            <w:r w:rsidRPr="00CF318A">
              <w:rPr>
                <w:rFonts w:ascii="Garamond" w:hAnsi="Garamond" w:cs="Arial"/>
                <w:b/>
                <w:bCs/>
                <w:sz w:val="18"/>
                <w:szCs w:val="18"/>
              </w:rPr>
              <w:t>TIPO DE PROCESO</w:t>
            </w:r>
          </w:p>
        </w:tc>
        <w:tc>
          <w:tcPr>
            <w:tcW w:w="1701" w:type="dxa"/>
            <w:hideMark/>
          </w:tcPr>
          <w:p w14:paraId="6615B260" w14:textId="77777777" w:rsidR="00255444" w:rsidRPr="00CF318A" w:rsidRDefault="00255444" w:rsidP="002A4BF2">
            <w:pPr>
              <w:ind w:left="75"/>
              <w:jc w:val="center"/>
              <w:rPr>
                <w:rFonts w:ascii="Garamond" w:hAnsi="Garamond" w:cs="Arial"/>
                <w:b/>
                <w:bCs/>
                <w:sz w:val="18"/>
                <w:szCs w:val="18"/>
              </w:rPr>
            </w:pPr>
            <w:r w:rsidRPr="00CF318A">
              <w:rPr>
                <w:rFonts w:ascii="Garamond" w:hAnsi="Garamond" w:cs="Arial"/>
                <w:b/>
                <w:bCs/>
                <w:sz w:val="18"/>
                <w:szCs w:val="18"/>
              </w:rPr>
              <w:t>PROYECTO</w:t>
            </w:r>
          </w:p>
        </w:tc>
        <w:tc>
          <w:tcPr>
            <w:tcW w:w="1559" w:type="dxa"/>
            <w:hideMark/>
          </w:tcPr>
          <w:p w14:paraId="69690548" w14:textId="77777777" w:rsidR="00255444" w:rsidRPr="00CF318A" w:rsidRDefault="00255444" w:rsidP="002A4BF2">
            <w:pPr>
              <w:ind w:left="75"/>
              <w:jc w:val="center"/>
              <w:rPr>
                <w:rFonts w:ascii="Garamond" w:hAnsi="Garamond" w:cs="Arial"/>
                <w:b/>
                <w:bCs/>
                <w:sz w:val="18"/>
                <w:szCs w:val="18"/>
              </w:rPr>
            </w:pPr>
            <w:r w:rsidRPr="00CF318A">
              <w:rPr>
                <w:rFonts w:ascii="Garamond" w:hAnsi="Garamond" w:cs="Arial"/>
                <w:b/>
                <w:bCs/>
                <w:sz w:val="18"/>
                <w:szCs w:val="18"/>
              </w:rPr>
              <w:t>META</w:t>
            </w:r>
          </w:p>
        </w:tc>
        <w:tc>
          <w:tcPr>
            <w:tcW w:w="1560" w:type="dxa"/>
            <w:hideMark/>
          </w:tcPr>
          <w:p w14:paraId="7CFC9762" w14:textId="77777777" w:rsidR="00255444" w:rsidRPr="00CF318A" w:rsidRDefault="00255444" w:rsidP="002A4BF2">
            <w:pPr>
              <w:ind w:left="75"/>
              <w:jc w:val="center"/>
              <w:rPr>
                <w:rFonts w:ascii="Garamond" w:hAnsi="Garamond" w:cs="Arial"/>
                <w:b/>
                <w:bCs/>
                <w:sz w:val="18"/>
                <w:szCs w:val="18"/>
              </w:rPr>
            </w:pPr>
            <w:r w:rsidRPr="00CF318A">
              <w:rPr>
                <w:rFonts w:ascii="Garamond" w:hAnsi="Garamond" w:cs="Arial"/>
                <w:b/>
                <w:bCs/>
                <w:sz w:val="18"/>
                <w:szCs w:val="18"/>
              </w:rPr>
              <w:t>MAGNITUD 2025</w:t>
            </w:r>
          </w:p>
        </w:tc>
        <w:tc>
          <w:tcPr>
            <w:tcW w:w="2126" w:type="dxa"/>
            <w:hideMark/>
          </w:tcPr>
          <w:p w14:paraId="014890F4" w14:textId="77777777" w:rsidR="00255444" w:rsidRPr="00CF318A" w:rsidRDefault="00255444" w:rsidP="002A4BF2">
            <w:pPr>
              <w:ind w:left="75"/>
              <w:jc w:val="center"/>
              <w:rPr>
                <w:rFonts w:ascii="Garamond" w:hAnsi="Garamond" w:cs="Arial"/>
                <w:b/>
                <w:bCs/>
                <w:sz w:val="18"/>
                <w:szCs w:val="18"/>
              </w:rPr>
            </w:pPr>
            <w:r w:rsidRPr="00CF318A">
              <w:rPr>
                <w:rFonts w:ascii="Garamond" w:hAnsi="Garamond" w:cs="Arial"/>
                <w:b/>
                <w:bCs/>
                <w:sz w:val="18"/>
                <w:szCs w:val="18"/>
              </w:rPr>
              <w:t>PRESUPUESTO</w:t>
            </w:r>
          </w:p>
        </w:tc>
      </w:tr>
      <w:tr w:rsidR="00255444" w:rsidRPr="00CF318A" w14:paraId="7A226B8B" w14:textId="77777777" w:rsidTr="003B4F74">
        <w:trPr>
          <w:trHeight w:val="557"/>
        </w:trPr>
        <w:tc>
          <w:tcPr>
            <w:tcW w:w="2268" w:type="dxa"/>
          </w:tcPr>
          <w:p w14:paraId="4E866986" w14:textId="77777777" w:rsidR="00255444" w:rsidRDefault="00255444" w:rsidP="002A4BF2">
            <w:pPr>
              <w:jc w:val="center"/>
              <w:rPr>
                <w:rFonts w:ascii="Garamond" w:hAnsi="Garamond" w:cs="Arial"/>
                <w:i/>
                <w:color w:val="000000"/>
                <w:sz w:val="18"/>
                <w:szCs w:val="18"/>
                <w:lang w:eastAsia="es-CO"/>
              </w:rPr>
            </w:pPr>
            <w:r>
              <w:rPr>
                <w:rFonts w:ascii="Garamond" w:hAnsi="Garamond" w:cs="Arial"/>
                <w:i/>
                <w:color w:val="000000"/>
                <w:sz w:val="18"/>
                <w:szCs w:val="18"/>
                <w:lang w:eastAsia="es-CO"/>
              </w:rPr>
              <w:t>NO DEFINIDO</w:t>
            </w:r>
          </w:p>
        </w:tc>
        <w:tc>
          <w:tcPr>
            <w:tcW w:w="1701" w:type="dxa"/>
            <w:vMerge w:val="restart"/>
          </w:tcPr>
          <w:p w14:paraId="158B079C" w14:textId="77777777" w:rsidR="00255444" w:rsidRDefault="00255444" w:rsidP="002A4BF2">
            <w:pPr>
              <w:jc w:val="center"/>
              <w:rPr>
                <w:rFonts w:ascii="Garamond" w:hAnsi="Garamond" w:cs="Arial"/>
                <w:b/>
                <w:bCs/>
                <w:i/>
                <w:color w:val="000000"/>
                <w:lang w:eastAsia="es-CO"/>
              </w:rPr>
            </w:pPr>
          </w:p>
          <w:p w14:paraId="11AF9B8E" w14:textId="77777777" w:rsidR="00255444" w:rsidRDefault="00255444" w:rsidP="002A4BF2">
            <w:pPr>
              <w:jc w:val="center"/>
              <w:rPr>
                <w:rFonts w:ascii="Garamond" w:hAnsi="Garamond" w:cs="Arial"/>
                <w:b/>
                <w:bCs/>
                <w:i/>
                <w:color w:val="000000"/>
                <w:lang w:eastAsia="es-CO"/>
              </w:rPr>
            </w:pPr>
          </w:p>
          <w:p w14:paraId="18EF4CB0" w14:textId="77777777" w:rsidR="00255444" w:rsidRDefault="00255444" w:rsidP="002A4BF2">
            <w:pPr>
              <w:jc w:val="center"/>
              <w:rPr>
                <w:rFonts w:ascii="Garamond" w:hAnsi="Garamond" w:cs="Arial"/>
                <w:b/>
                <w:bCs/>
                <w:i/>
                <w:color w:val="000000"/>
                <w:lang w:eastAsia="es-CO"/>
              </w:rPr>
            </w:pPr>
          </w:p>
          <w:p w14:paraId="2F5DB4F6" w14:textId="77777777" w:rsidR="00255444" w:rsidRDefault="00255444" w:rsidP="002A4BF2">
            <w:pPr>
              <w:jc w:val="center"/>
              <w:rPr>
                <w:rFonts w:ascii="Garamond" w:hAnsi="Garamond" w:cs="Arial"/>
                <w:b/>
                <w:bCs/>
                <w:i/>
                <w:color w:val="000000"/>
                <w:lang w:eastAsia="es-CO"/>
              </w:rPr>
            </w:pPr>
            <w:r>
              <w:rPr>
                <w:rFonts w:ascii="Garamond" w:hAnsi="Garamond" w:cs="Arial"/>
                <w:b/>
                <w:bCs/>
                <w:i/>
                <w:color w:val="000000"/>
                <w:lang w:eastAsia="es-CO"/>
              </w:rPr>
              <w:t>2472</w:t>
            </w:r>
            <w:r w:rsidRPr="00CF318A">
              <w:rPr>
                <w:rFonts w:ascii="Garamond" w:hAnsi="Garamond" w:cs="Arial"/>
                <w:i/>
                <w:color w:val="000000"/>
                <w:lang w:eastAsia="es-CO"/>
              </w:rPr>
              <w:br/>
            </w:r>
            <w:r w:rsidRPr="000A6A15">
              <w:rPr>
                <w:rFonts w:ascii="Garamond" w:hAnsi="Garamond" w:cs="Arial"/>
                <w:i/>
                <w:color w:val="000000"/>
                <w:lang w:eastAsia="es-CO"/>
              </w:rPr>
              <w:t>Acciones de resiliencia hogares seguros y comunidades fortalecidas</w:t>
            </w:r>
          </w:p>
        </w:tc>
        <w:tc>
          <w:tcPr>
            <w:tcW w:w="1559" w:type="dxa"/>
          </w:tcPr>
          <w:p w14:paraId="38F3FD9C" w14:textId="77777777" w:rsidR="00255444" w:rsidRDefault="00255444" w:rsidP="002A4BF2">
            <w:pPr>
              <w:jc w:val="center"/>
              <w:rPr>
                <w:rFonts w:ascii="Garamond" w:hAnsi="Garamond" w:cs="Arial"/>
                <w:i/>
                <w:color w:val="000000"/>
                <w:lang w:eastAsia="es-CO"/>
              </w:rPr>
            </w:pPr>
            <w:r>
              <w:rPr>
                <w:rFonts w:ascii="Garamond" w:hAnsi="Garamond" w:cs="Arial"/>
                <w:i/>
                <w:color w:val="000000"/>
                <w:lang w:eastAsia="es-CO"/>
              </w:rPr>
              <w:t>“Realizar 4 acciones efectivas para el fortalecimiento de las capacidades locales en torno a la gestión del riesgo”</w:t>
            </w:r>
          </w:p>
        </w:tc>
        <w:tc>
          <w:tcPr>
            <w:tcW w:w="1560" w:type="dxa"/>
            <w:tcBorders>
              <w:top w:val="single" w:sz="8" w:space="0" w:color="auto"/>
              <w:left w:val="nil"/>
              <w:bottom w:val="single" w:sz="8" w:space="0" w:color="auto"/>
              <w:right w:val="single" w:sz="8" w:space="0" w:color="auto"/>
            </w:tcBorders>
            <w:shd w:val="clear" w:color="auto" w:fill="auto"/>
            <w:vAlign w:val="center"/>
          </w:tcPr>
          <w:p w14:paraId="03552503" w14:textId="77777777" w:rsidR="00255444" w:rsidRPr="00CF318A" w:rsidRDefault="00255444" w:rsidP="002A4BF2">
            <w:pPr>
              <w:jc w:val="center"/>
              <w:rPr>
                <w:rFonts w:ascii="Garamond" w:hAnsi="Garamond"/>
                <w:b/>
                <w:color w:val="000000"/>
              </w:rPr>
            </w:pPr>
            <w:r>
              <w:rPr>
                <w:rFonts w:ascii="Garamond" w:hAnsi="Garamond"/>
                <w:b/>
                <w:color w:val="000000"/>
              </w:rPr>
              <w:t>1</w:t>
            </w:r>
          </w:p>
        </w:tc>
        <w:tc>
          <w:tcPr>
            <w:tcW w:w="2126" w:type="dxa"/>
            <w:vMerge w:val="restart"/>
            <w:tcBorders>
              <w:top w:val="single" w:sz="8" w:space="0" w:color="auto"/>
              <w:left w:val="nil"/>
              <w:right w:val="single" w:sz="8" w:space="0" w:color="auto"/>
            </w:tcBorders>
            <w:shd w:val="clear" w:color="auto" w:fill="auto"/>
            <w:vAlign w:val="center"/>
          </w:tcPr>
          <w:p w14:paraId="7479A7AC" w14:textId="77777777" w:rsidR="00255444" w:rsidRDefault="00255444" w:rsidP="002A4BF2">
            <w:pPr>
              <w:jc w:val="center"/>
              <w:rPr>
                <w:rFonts w:ascii="Garamond" w:hAnsi="Garamond"/>
                <w:b/>
                <w:color w:val="000000"/>
              </w:rPr>
            </w:pPr>
            <w:r>
              <w:rPr>
                <w:rFonts w:ascii="Garamond" w:hAnsi="Garamond"/>
                <w:b/>
                <w:color w:val="000000"/>
              </w:rPr>
              <w:t>$ 165.946.000,00</w:t>
            </w:r>
          </w:p>
        </w:tc>
      </w:tr>
      <w:tr w:rsidR="00255444" w:rsidRPr="00CF318A" w14:paraId="529CA96A" w14:textId="77777777" w:rsidTr="003B4F74">
        <w:trPr>
          <w:trHeight w:val="557"/>
        </w:trPr>
        <w:tc>
          <w:tcPr>
            <w:tcW w:w="2268" w:type="dxa"/>
          </w:tcPr>
          <w:p w14:paraId="1584A038" w14:textId="77777777" w:rsidR="00255444" w:rsidRPr="00CF318A" w:rsidRDefault="00255444" w:rsidP="002A4BF2">
            <w:pPr>
              <w:jc w:val="center"/>
              <w:rPr>
                <w:rFonts w:ascii="Garamond" w:hAnsi="Garamond" w:cs="Arial"/>
                <w:i/>
                <w:color w:val="000000"/>
                <w:sz w:val="18"/>
                <w:szCs w:val="18"/>
                <w:lang w:eastAsia="es-CO"/>
              </w:rPr>
            </w:pPr>
            <w:r>
              <w:rPr>
                <w:rFonts w:ascii="Garamond" w:hAnsi="Garamond" w:cs="Arial"/>
                <w:i/>
                <w:color w:val="000000"/>
                <w:sz w:val="18"/>
                <w:szCs w:val="18"/>
                <w:lang w:eastAsia="es-CO"/>
              </w:rPr>
              <w:t>SELECCIÓN ABREVIADA DE MENOR CUANTÍA - SAMC</w:t>
            </w:r>
          </w:p>
        </w:tc>
        <w:tc>
          <w:tcPr>
            <w:tcW w:w="1701" w:type="dxa"/>
            <w:vMerge/>
          </w:tcPr>
          <w:p w14:paraId="1C034D67" w14:textId="77777777" w:rsidR="00255444" w:rsidRPr="00CF318A" w:rsidRDefault="00255444" w:rsidP="002A4BF2">
            <w:pPr>
              <w:jc w:val="center"/>
              <w:rPr>
                <w:rFonts w:ascii="Garamond" w:hAnsi="Garamond"/>
                <w:b/>
                <w:bCs/>
                <w:color w:val="000000"/>
              </w:rPr>
            </w:pPr>
          </w:p>
        </w:tc>
        <w:tc>
          <w:tcPr>
            <w:tcW w:w="1559" w:type="dxa"/>
          </w:tcPr>
          <w:p w14:paraId="45BD1FB7" w14:textId="77777777" w:rsidR="00255444" w:rsidRPr="00CF318A" w:rsidRDefault="00255444" w:rsidP="002A4BF2">
            <w:pPr>
              <w:jc w:val="center"/>
              <w:rPr>
                <w:rFonts w:ascii="Garamond" w:hAnsi="Garamond"/>
                <w:b/>
                <w:i/>
                <w:color w:val="000000"/>
                <w:u w:val="single"/>
              </w:rPr>
            </w:pPr>
            <w:r>
              <w:rPr>
                <w:rFonts w:ascii="Garamond" w:hAnsi="Garamond" w:cs="Arial"/>
                <w:i/>
                <w:color w:val="000000"/>
                <w:lang w:eastAsia="es-CO"/>
              </w:rPr>
              <w:t>“</w:t>
            </w:r>
            <w:r w:rsidRPr="000A6A15">
              <w:rPr>
                <w:rFonts w:ascii="Garamond" w:hAnsi="Garamond" w:cs="Arial"/>
                <w:i/>
                <w:color w:val="000000"/>
                <w:lang w:eastAsia="es-CO"/>
              </w:rPr>
              <w:t>Realizar 1 obra de mitigación y/u obras de mitigación existentes con mantenimiento”</w:t>
            </w:r>
          </w:p>
        </w:tc>
        <w:tc>
          <w:tcPr>
            <w:tcW w:w="1560" w:type="dxa"/>
            <w:tcBorders>
              <w:top w:val="single" w:sz="8" w:space="0" w:color="auto"/>
              <w:left w:val="nil"/>
              <w:bottom w:val="single" w:sz="8" w:space="0" w:color="auto"/>
              <w:right w:val="single" w:sz="8" w:space="0" w:color="auto"/>
            </w:tcBorders>
            <w:shd w:val="clear" w:color="auto" w:fill="auto"/>
            <w:vAlign w:val="center"/>
          </w:tcPr>
          <w:p w14:paraId="03768B46" w14:textId="77777777" w:rsidR="00255444" w:rsidRPr="00CF318A" w:rsidRDefault="00255444" w:rsidP="002A4BF2">
            <w:pPr>
              <w:jc w:val="center"/>
              <w:rPr>
                <w:rFonts w:ascii="Garamond" w:hAnsi="Garamond"/>
                <w:b/>
                <w:color w:val="000000"/>
              </w:rPr>
            </w:pPr>
            <w:r w:rsidRPr="00CF318A">
              <w:rPr>
                <w:rFonts w:ascii="Garamond" w:hAnsi="Garamond"/>
                <w:b/>
                <w:color w:val="000000"/>
              </w:rPr>
              <w:t>1</w:t>
            </w:r>
          </w:p>
        </w:tc>
        <w:tc>
          <w:tcPr>
            <w:tcW w:w="2126" w:type="dxa"/>
            <w:vMerge/>
            <w:tcBorders>
              <w:left w:val="nil"/>
              <w:bottom w:val="single" w:sz="8" w:space="0" w:color="auto"/>
              <w:right w:val="single" w:sz="8" w:space="0" w:color="auto"/>
            </w:tcBorders>
            <w:shd w:val="clear" w:color="auto" w:fill="auto"/>
            <w:vAlign w:val="center"/>
          </w:tcPr>
          <w:p w14:paraId="75C99D18" w14:textId="77777777" w:rsidR="00255444" w:rsidRPr="00CF318A" w:rsidRDefault="00255444" w:rsidP="002A4BF2">
            <w:pPr>
              <w:jc w:val="center"/>
              <w:rPr>
                <w:rFonts w:ascii="Garamond" w:hAnsi="Garamond"/>
                <w:b/>
                <w:color w:val="000000"/>
              </w:rPr>
            </w:pPr>
          </w:p>
        </w:tc>
      </w:tr>
    </w:tbl>
    <w:p w14:paraId="5F1C1F8C" w14:textId="77777777" w:rsidR="00255444" w:rsidRPr="00037B06" w:rsidRDefault="00255444" w:rsidP="002A4BF2">
      <w:pPr>
        <w:tabs>
          <w:tab w:val="left" w:pos="38"/>
        </w:tabs>
        <w:spacing w:after="0" w:line="240" w:lineRule="auto"/>
        <w:jc w:val="center"/>
        <w:rPr>
          <w:rFonts w:ascii="Garamond" w:hAnsi="Garamond" w:cs="Arial"/>
          <w:sz w:val="20"/>
          <w:szCs w:val="20"/>
        </w:rPr>
      </w:pPr>
      <w:r w:rsidRPr="00037B06">
        <w:rPr>
          <w:rFonts w:ascii="Garamond" w:hAnsi="Garamond" w:cs="Arial"/>
          <w:sz w:val="20"/>
          <w:szCs w:val="20"/>
        </w:rPr>
        <w:t>Tabla 1. Proyecto de inversión No. 2472</w:t>
      </w:r>
    </w:p>
    <w:p w14:paraId="54F3281B" w14:textId="77777777" w:rsidR="00255444" w:rsidRPr="00037B06" w:rsidRDefault="00255444" w:rsidP="002A4BF2">
      <w:pPr>
        <w:tabs>
          <w:tab w:val="left" w:pos="38"/>
        </w:tabs>
        <w:spacing w:after="0" w:line="240" w:lineRule="auto"/>
        <w:jc w:val="center"/>
        <w:rPr>
          <w:rFonts w:ascii="Garamond" w:hAnsi="Garamond" w:cs="Arial"/>
          <w:color w:val="A6A6A6"/>
          <w:sz w:val="20"/>
          <w:szCs w:val="20"/>
        </w:rPr>
      </w:pPr>
      <w:r w:rsidRPr="00037B06">
        <w:rPr>
          <w:rFonts w:ascii="Garamond" w:hAnsi="Garamond"/>
          <w:sz w:val="20"/>
          <w:szCs w:val="20"/>
        </w:rPr>
        <w:t>Fuente: Oficina de Planeación, Alcaldía Local de Antonio Nariño</w:t>
      </w:r>
    </w:p>
    <w:p w14:paraId="0F568361" w14:textId="77777777" w:rsidR="00255444" w:rsidRDefault="00255444" w:rsidP="002A4BF2">
      <w:pPr>
        <w:tabs>
          <w:tab w:val="left" w:pos="38"/>
        </w:tabs>
        <w:spacing w:after="0" w:line="240" w:lineRule="auto"/>
        <w:ind w:left="993"/>
        <w:jc w:val="center"/>
        <w:rPr>
          <w:rFonts w:ascii="Garamond" w:hAnsi="Garamond"/>
          <w:sz w:val="18"/>
          <w:szCs w:val="18"/>
        </w:rPr>
      </w:pPr>
    </w:p>
    <w:p w14:paraId="04FAE57A" w14:textId="77777777" w:rsidR="00255444" w:rsidRDefault="00255444" w:rsidP="001D5327">
      <w:pPr>
        <w:spacing w:after="0" w:line="240" w:lineRule="auto"/>
        <w:ind w:left="993" w:right="517"/>
        <w:jc w:val="both"/>
        <w:rPr>
          <w:rFonts w:ascii="Garamond" w:hAnsi="Garamond" w:cs="Arial"/>
          <w:sz w:val="24"/>
          <w:szCs w:val="24"/>
        </w:rPr>
      </w:pPr>
      <w:r w:rsidRPr="00037B06">
        <w:rPr>
          <w:rFonts w:ascii="Garamond" w:hAnsi="Garamond" w:cs="Arial"/>
          <w:sz w:val="24"/>
          <w:szCs w:val="24"/>
        </w:rPr>
        <w:t>La contratación pretendida resulta conveniente porque es la que más se ajusta para atender las necesidades contempladas en Plan de Desarrollo Local 2025 - 2028 “</w:t>
      </w:r>
      <w:r w:rsidRPr="00037B06">
        <w:rPr>
          <w:rFonts w:ascii="Garamond" w:hAnsi="Garamond" w:cs="Arial"/>
          <w:i/>
          <w:sz w:val="24"/>
          <w:szCs w:val="24"/>
        </w:rPr>
        <w:t>Antonio Nariño Camina Segura</w:t>
      </w:r>
      <w:r w:rsidRPr="00037B06">
        <w:rPr>
          <w:rFonts w:ascii="Garamond" w:hAnsi="Garamond" w:cs="Arial"/>
          <w:sz w:val="24"/>
          <w:szCs w:val="24"/>
        </w:rPr>
        <w:t>”, adoptado mediante Acuerdo Local No. 003 del 29 de agosto de 2024, relacionadas con fortalecer la preparación y respuesta ante eventos adversos, enfocándose en la identificación y mitigación de riesgos naturales y antrópicos, y promoviendo la resiliencia comunitaria mediante planes de contingencia, capacitación en primeros auxilios y simulacros de evacuación.</w:t>
      </w:r>
    </w:p>
    <w:p w14:paraId="28422681" w14:textId="77777777" w:rsidR="00255444" w:rsidRPr="00037B06" w:rsidRDefault="00255444" w:rsidP="002A4BF2">
      <w:pPr>
        <w:spacing w:after="0" w:line="240" w:lineRule="auto"/>
        <w:ind w:left="993"/>
        <w:jc w:val="both"/>
        <w:rPr>
          <w:rFonts w:ascii="Garamond" w:hAnsi="Garamond" w:cs="Arial"/>
          <w:color w:val="808080" w:themeColor="background1" w:themeShade="80"/>
          <w:sz w:val="24"/>
          <w:szCs w:val="24"/>
        </w:rPr>
      </w:pPr>
    </w:p>
    <w:p w14:paraId="0CCBEAA6" w14:textId="389F49B9" w:rsidR="00255444" w:rsidRDefault="00255444" w:rsidP="001D5327">
      <w:pPr>
        <w:spacing w:after="0" w:line="240" w:lineRule="auto"/>
        <w:ind w:left="993" w:right="517"/>
        <w:jc w:val="both"/>
        <w:rPr>
          <w:rFonts w:ascii="Garamond" w:hAnsi="Garamond" w:cs="Arial"/>
          <w:sz w:val="24"/>
          <w:szCs w:val="24"/>
        </w:rPr>
      </w:pPr>
      <w:r w:rsidRPr="00037B06">
        <w:rPr>
          <w:rFonts w:ascii="Garamond" w:hAnsi="Garamond" w:cs="Arial"/>
          <w:sz w:val="24"/>
          <w:szCs w:val="24"/>
        </w:rPr>
        <w:t>La Ficha EBI No. 2472 en su versión 4, específicamente apunta a dos objetivos primordiales:</w:t>
      </w:r>
    </w:p>
    <w:p w14:paraId="51DC1B31" w14:textId="77777777" w:rsidR="00255444" w:rsidRPr="00037B06" w:rsidRDefault="00255444" w:rsidP="001D5327">
      <w:pPr>
        <w:spacing w:after="0" w:line="240" w:lineRule="auto"/>
        <w:ind w:left="993" w:right="517"/>
        <w:jc w:val="both"/>
        <w:rPr>
          <w:rFonts w:ascii="Garamond" w:hAnsi="Garamond" w:cs="Arial"/>
          <w:sz w:val="24"/>
          <w:szCs w:val="24"/>
        </w:rPr>
      </w:pPr>
    </w:p>
    <w:p w14:paraId="05F5963C" w14:textId="77777777" w:rsidR="00255444" w:rsidRPr="00037B06" w:rsidRDefault="00255444" w:rsidP="003A1825">
      <w:pPr>
        <w:pStyle w:val="Prrafodelista"/>
        <w:numPr>
          <w:ilvl w:val="0"/>
          <w:numId w:val="2"/>
        </w:numPr>
        <w:spacing w:after="0" w:line="240" w:lineRule="auto"/>
        <w:ind w:left="993" w:right="517" w:firstLine="0"/>
        <w:jc w:val="both"/>
        <w:rPr>
          <w:rFonts w:ascii="Garamond" w:hAnsi="Garamond" w:cs="Arial"/>
          <w:i/>
          <w:sz w:val="24"/>
          <w:szCs w:val="24"/>
        </w:rPr>
      </w:pPr>
      <w:r w:rsidRPr="00037B06">
        <w:rPr>
          <w:rFonts w:ascii="Garamond" w:hAnsi="Garamond" w:cs="Arial"/>
          <w:i/>
          <w:sz w:val="24"/>
          <w:szCs w:val="24"/>
        </w:rPr>
        <w:t>“Realizar 4 acciones efectivas para el fortalecimiento de las capacidades locales en torno a la gestión del riesgo”</w:t>
      </w:r>
    </w:p>
    <w:p w14:paraId="39912A8E" w14:textId="77777777" w:rsidR="00255444" w:rsidRPr="00037B06" w:rsidRDefault="00255444" w:rsidP="003A1825">
      <w:pPr>
        <w:pStyle w:val="Prrafodelista"/>
        <w:numPr>
          <w:ilvl w:val="0"/>
          <w:numId w:val="2"/>
        </w:numPr>
        <w:spacing w:after="0" w:line="240" w:lineRule="auto"/>
        <w:ind w:left="993" w:right="517" w:firstLine="0"/>
        <w:jc w:val="both"/>
        <w:rPr>
          <w:rFonts w:ascii="Garamond" w:hAnsi="Garamond" w:cs="Arial"/>
          <w:b/>
          <w:i/>
          <w:sz w:val="24"/>
          <w:szCs w:val="24"/>
        </w:rPr>
      </w:pPr>
      <w:r w:rsidRPr="00037B06">
        <w:rPr>
          <w:rFonts w:ascii="Garamond" w:hAnsi="Garamond" w:cs="Arial"/>
          <w:b/>
          <w:i/>
          <w:sz w:val="24"/>
          <w:szCs w:val="24"/>
        </w:rPr>
        <w:t>“Realizar 1 obra de mitigación y/u obras de mitigación existentes con mantenimiento”</w:t>
      </w:r>
    </w:p>
    <w:p w14:paraId="111A4A41" w14:textId="040C109A" w:rsidR="00255444" w:rsidRDefault="00255444" w:rsidP="001D5327">
      <w:pPr>
        <w:spacing w:after="0" w:line="240" w:lineRule="auto"/>
        <w:ind w:left="993" w:right="517"/>
        <w:jc w:val="both"/>
        <w:rPr>
          <w:rFonts w:ascii="Garamond" w:hAnsi="Garamond" w:cs="Arial"/>
          <w:sz w:val="24"/>
          <w:szCs w:val="24"/>
        </w:rPr>
      </w:pPr>
      <w:r w:rsidRPr="00037B06">
        <w:rPr>
          <w:rFonts w:ascii="Garamond" w:hAnsi="Garamond" w:cs="Arial"/>
          <w:sz w:val="24"/>
          <w:szCs w:val="24"/>
        </w:rPr>
        <w:t xml:space="preserve">Que, mediante la ejecución del presente contrato, se dará un avance del </w:t>
      </w:r>
      <w:r w:rsidRPr="00037B06">
        <w:rPr>
          <w:rFonts w:ascii="Garamond" w:hAnsi="Garamond" w:cs="Arial"/>
          <w:b/>
          <w:sz w:val="24"/>
          <w:szCs w:val="24"/>
          <w:u w:val="single"/>
        </w:rPr>
        <w:t>CIEN PORCIENTO (100%)</w:t>
      </w:r>
      <w:r w:rsidRPr="00037B06">
        <w:rPr>
          <w:rFonts w:ascii="Garamond" w:hAnsi="Garamond" w:cs="Arial"/>
          <w:sz w:val="24"/>
          <w:szCs w:val="24"/>
        </w:rPr>
        <w:t xml:space="preserve"> del cumplimiento de la meta del cuatrienio “</w:t>
      </w:r>
      <w:r w:rsidRPr="00037B06">
        <w:rPr>
          <w:rFonts w:ascii="Garamond" w:hAnsi="Garamond" w:cs="Arial"/>
          <w:i/>
          <w:sz w:val="24"/>
          <w:szCs w:val="24"/>
        </w:rPr>
        <w:t>Realizar 1 obra de mitigación y/u obras de mitigación existentes con mantenimiento</w:t>
      </w:r>
      <w:r w:rsidRPr="00037B06">
        <w:rPr>
          <w:rFonts w:ascii="Garamond" w:hAnsi="Garamond" w:cs="Arial"/>
          <w:sz w:val="24"/>
          <w:szCs w:val="24"/>
        </w:rPr>
        <w:t>”.</w:t>
      </w:r>
    </w:p>
    <w:p w14:paraId="5DE5A9B4" w14:textId="77777777" w:rsidR="00255444" w:rsidRDefault="00255444" w:rsidP="002A4BF2">
      <w:pPr>
        <w:spacing w:after="0" w:line="240" w:lineRule="auto"/>
        <w:ind w:left="993"/>
        <w:jc w:val="both"/>
        <w:rPr>
          <w:rFonts w:ascii="Garamond" w:hAnsi="Garamond" w:cs="Arial"/>
          <w:sz w:val="24"/>
          <w:szCs w:val="24"/>
        </w:rPr>
      </w:pPr>
    </w:p>
    <w:p w14:paraId="4308AE5D" w14:textId="59BD434E" w:rsidR="00621E65" w:rsidRDefault="00621E65" w:rsidP="002A4BF2">
      <w:pPr>
        <w:spacing w:line="240" w:lineRule="auto"/>
        <w:ind w:left="993" w:right="474"/>
        <w:jc w:val="both"/>
        <w:rPr>
          <w:rFonts w:ascii="Garamond" w:hAnsi="Garamond" w:cs="Arial"/>
          <w:sz w:val="24"/>
          <w:szCs w:val="24"/>
        </w:rPr>
      </w:pPr>
      <w:r>
        <w:rPr>
          <w:rFonts w:ascii="Garamond" w:hAnsi="Garamond" w:cs="Arial"/>
          <w:sz w:val="24"/>
          <w:szCs w:val="24"/>
        </w:rPr>
        <w:t xml:space="preserve">La contratación del </w:t>
      </w:r>
      <w:r w:rsidR="00255444">
        <w:rPr>
          <w:rFonts w:ascii="Garamond" w:hAnsi="Garamond" w:cs="Arial"/>
          <w:sz w:val="24"/>
          <w:szCs w:val="24"/>
        </w:rPr>
        <w:t>contrato</w:t>
      </w:r>
      <w:r>
        <w:rPr>
          <w:rFonts w:ascii="Garamond" w:hAnsi="Garamond" w:cs="Arial"/>
          <w:sz w:val="24"/>
          <w:szCs w:val="24"/>
        </w:rPr>
        <w:t xml:space="preserve"> </w:t>
      </w:r>
      <w:r w:rsidRPr="00343606">
        <w:rPr>
          <w:rFonts w:ascii="Garamond" w:hAnsi="Garamond" w:cs="Arial"/>
          <w:sz w:val="24"/>
          <w:szCs w:val="24"/>
        </w:rPr>
        <w:t>beneficia la población en general, sin diferenciaciones de carácter social o de estrato; la infraestructura asociada a la ciudad beneficia de manera directa a los habitantes ubicados en la zona de</w:t>
      </w:r>
      <w:r>
        <w:rPr>
          <w:rFonts w:ascii="Garamond" w:hAnsi="Garamond" w:cs="Arial"/>
          <w:sz w:val="24"/>
          <w:szCs w:val="24"/>
        </w:rPr>
        <w:t xml:space="preserve"> influencia directa de los predios o inmuebles en riesgo</w:t>
      </w:r>
      <w:r w:rsidRPr="00343606">
        <w:rPr>
          <w:rFonts w:ascii="Garamond" w:hAnsi="Garamond" w:cs="Arial"/>
          <w:sz w:val="24"/>
          <w:szCs w:val="24"/>
        </w:rPr>
        <w:t>, pero también lo hacen con la totalidad de la población no solo local si no distrital, es pues un mecanismo de redistribución de los beneficios que facilita la</w:t>
      </w:r>
      <w:r w:rsidRPr="00343606">
        <w:rPr>
          <w:sz w:val="24"/>
          <w:szCs w:val="24"/>
        </w:rPr>
        <w:t xml:space="preserve"> </w:t>
      </w:r>
      <w:r w:rsidRPr="00343606">
        <w:rPr>
          <w:rFonts w:ascii="Garamond" w:hAnsi="Garamond" w:cs="Arial"/>
          <w:sz w:val="24"/>
          <w:szCs w:val="24"/>
        </w:rPr>
        <w:t>interacción social y mejora de manera sustancial</w:t>
      </w:r>
      <w:r>
        <w:rPr>
          <w:rFonts w:ascii="Garamond" w:hAnsi="Garamond" w:cs="Arial"/>
          <w:sz w:val="24"/>
          <w:szCs w:val="24"/>
        </w:rPr>
        <w:t xml:space="preserve"> de</w:t>
      </w:r>
      <w:r w:rsidRPr="00343606">
        <w:rPr>
          <w:rFonts w:ascii="Garamond" w:hAnsi="Garamond" w:cs="Arial"/>
          <w:sz w:val="24"/>
          <w:szCs w:val="24"/>
        </w:rPr>
        <w:t xml:space="preserve"> los barrios, tal como se contempla en el Plan de Desarrollo Local.</w:t>
      </w:r>
    </w:p>
    <w:p w14:paraId="4FB9EC9F" w14:textId="77777777" w:rsidR="00255444" w:rsidRDefault="002A7F4C" w:rsidP="002A4BF2">
      <w:pPr>
        <w:spacing w:line="240" w:lineRule="auto"/>
        <w:ind w:left="993" w:right="474"/>
        <w:jc w:val="both"/>
        <w:rPr>
          <w:rFonts w:ascii="Garamond" w:hAnsi="Garamond" w:cs="Arial"/>
          <w:sz w:val="24"/>
          <w:szCs w:val="24"/>
        </w:rPr>
      </w:pPr>
      <w:r>
        <w:rPr>
          <w:rFonts w:ascii="Garamond" w:hAnsi="Garamond" w:cs="Arial"/>
          <w:sz w:val="24"/>
          <w:szCs w:val="24"/>
        </w:rPr>
        <w:lastRenderedPageBreak/>
        <w:t xml:space="preserve">Que, como se mencionaba en los antecedentes y necesidad, </w:t>
      </w:r>
      <w:r w:rsidRPr="00873291">
        <w:rPr>
          <w:rFonts w:ascii="Garamond" w:hAnsi="Garamond" w:cs="Arial"/>
          <w:sz w:val="24"/>
          <w:szCs w:val="24"/>
        </w:rPr>
        <w:t>el IPES hizo entrega al JUZGADO DOCE (12) ADMINISTRATIVO DE ORALIDAD DEL CIRCUITO</w:t>
      </w:r>
      <w:r>
        <w:rPr>
          <w:rFonts w:ascii="Garamond" w:hAnsi="Garamond" w:cs="Arial"/>
          <w:sz w:val="24"/>
          <w:szCs w:val="24"/>
        </w:rPr>
        <w:t xml:space="preserve"> DE BOGOTÁ, SECCIÓN SEGUNDA, del</w:t>
      </w:r>
      <w:r w:rsidRPr="00873291">
        <w:rPr>
          <w:rFonts w:ascii="Garamond" w:hAnsi="Garamond" w:cs="Arial"/>
          <w:sz w:val="24"/>
          <w:szCs w:val="24"/>
        </w:rPr>
        <w:t xml:space="preserve"> informe denominado “</w:t>
      </w:r>
      <w:r w:rsidRPr="00873291">
        <w:rPr>
          <w:rFonts w:ascii="Garamond" w:hAnsi="Garamond" w:cs="Arial"/>
          <w:i/>
          <w:sz w:val="24"/>
          <w:szCs w:val="24"/>
        </w:rPr>
        <w:t>propuesta primeros auxilios</w:t>
      </w:r>
      <w:r w:rsidRPr="00873291">
        <w:rPr>
          <w:rFonts w:ascii="Garamond" w:hAnsi="Garamond" w:cs="Arial"/>
          <w:sz w:val="24"/>
          <w:szCs w:val="24"/>
        </w:rPr>
        <w:t xml:space="preserve">” como parte del auto pericial, donde se determina un valor estimado de </w:t>
      </w:r>
      <w:r w:rsidRPr="00873291">
        <w:rPr>
          <w:rFonts w:ascii="Garamond" w:hAnsi="Garamond" w:cs="Arial"/>
          <w:b/>
          <w:sz w:val="24"/>
          <w:szCs w:val="24"/>
        </w:rPr>
        <w:t>$ 143.375.773,00</w:t>
      </w:r>
      <w:r w:rsidRPr="00873291">
        <w:rPr>
          <w:rFonts w:ascii="Garamond" w:hAnsi="Garamond" w:cs="Arial"/>
          <w:sz w:val="24"/>
          <w:szCs w:val="24"/>
        </w:rPr>
        <w:t xml:space="preserve"> para atención a primeros auxilios del inmueble </w:t>
      </w:r>
      <w:r w:rsidRPr="00873291">
        <w:rPr>
          <w:rFonts w:ascii="Garamond" w:hAnsi="Garamond" w:cs="Arial"/>
          <w:b/>
          <w:sz w:val="24"/>
          <w:szCs w:val="24"/>
        </w:rPr>
        <w:t>C.E.D El Centenario.</w:t>
      </w:r>
      <w:r>
        <w:rPr>
          <w:rFonts w:ascii="Garamond" w:hAnsi="Garamond" w:cs="Arial"/>
          <w:b/>
          <w:sz w:val="24"/>
          <w:szCs w:val="24"/>
        </w:rPr>
        <w:t xml:space="preserve"> </w:t>
      </w:r>
    </w:p>
    <w:p w14:paraId="4A0BB94F" w14:textId="2AB77C69" w:rsidR="00255444" w:rsidRDefault="00255444" w:rsidP="002A4BF2">
      <w:pPr>
        <w:spacing w:line="240" w:lineRule="auto"/>
        <w:ind w:left="993" w:right="474"/>
        <w:jc w:val="both"/>
        <w:rPr>
          <w:rFonts w:ascii="Garamond" w:hAnsi="Garamond" w:cs="Garamond"/>
          <w:sz w:val="24"/>
          <w:szCs w:val="24"/>
        </w:rPr>
      </w:pPr>
      <w:r w:rsidRPr="00255444">
        <w:rPr>
          <w:rFonts w:ascii="Garamond" w:hAnsi="Garamond" w:cs="Arial"/>
          <w:sz w:val="24"/>
          <w:szCs w:val="24"/>
        </w:rPr>
        <w:t xml:space="preserve">Que, durante la audiencia celebrada el día siete (7) de julio de 2025 dentro del proceso judicial identificado con el número 11001333501220220015000, el FDLAN, entidad garante en la preservación al derecho de la vida de los ciudadanos, así como de contribuir a la resiliencia frente a la reducción del riesgo y el manejo de emergencias y desastres, en ejercicio y en cumplimiento de sus funciones administrativas, el FDLAN ha dispuesto en CONTRAPARTE (siendo una parte el IPES como administrador y la otra, el FDLAN como ejecutor físico) la suma de </w:t>
      </w:r>
      <w:r w:rsidRPr="00255444">
        <w:rPr>
          <w:rFonts w:ascii="Garamond" w:hAnsi="Garamond" w:cs="Arial"/>
          <w:b/>
          <w:sz w:val="24"/>
          <w:szCs w:val="24"/>
        </w:rPr>
        <w:t xml:space="preserve">SESENTA MILLONES DE PESOS ($60.000.000,00 M/CTE), </w:t>
      </w:r>
      <w:r w:rsidRPr="00255444">
        <w:rPr>
          <w:rFonts w:ascii="Garamond" w:hAnsi="Garamond" w:cs="Arial"/>
          <w:sz w:val="24"/>
          <w:szCs w:val="24"/>
        </w:rPr>
        <w:t>para completar el recurso de las obras de primeros auxilios y atender una necesidad prioritaria en la jurisdicción territorial.</w:t>
      </w:r>
    </w:p>
    <w:p w14:paraId="6DEC7E4D" w14:textId="77777777" w:rsidR="00255444" w:rsidRPr="00255444" w:rsidRDefault="002A7F4C" w:rsidP="002A4BF2">
      <w:pPr>
        <w:tabs>
          <w:tab w:val="left" w:pos="38"/>
        </w:tabs>
        <w:spacing w:line="240" w:lineRule="auto"/>
        <w:ind w:left="993" w:right="474"/>
        <w:jc w:val="both"/>
        <w:rPr>
          <w:rFonts w:ascii="Garamond" w:hAnsi="Garamond" w:cs="Segoe UI"/>
          <w:b/>
          <w:i/>
          <w:color w:val="121212"/>
          <w:sz w:val="24"/>
          <w:szCs w:val="24"/>
          <w:u w:val="single"/>
          <w:shd w:val="clear" w:color="auto" w:fill="FFFFFF"/>
        </w:rPr>
      </w:pPr>
      <w:r>
        <w:rPr>
          <w:rFonts w:ascii="Garamond" w:hAnsi="Garamond" w:cs="Arial"/>
          <w:sz w:val="24"/>
          <w:szCs w:val="24"/>
        </w:rPr>
        <w:t>Dicha</w:t>
      </w:r>
      <w:r w:rsidRPr="009414A7">
        <w:rPr>
          <w:rFonts w:ascii="Garamond" w:hAnsi="Garamond" w:cs="Arial"/>
          <w:sz w:val="24"/>
          <w:szCs w:val="24"/>
        </w:rPr>
        <w:t xml:space="preserve"> act</w:t>
      </w:r>
      <w:r>
        <w:rPr>
          <w:rFonts w:ascii="Garamond" w:hAnsi="Garamond" w:cs="Arial"/>
          <w:sz w:val="24"/>
          <w:szCs w:val="24"/>
        </w:rPr>
        <w:t xml:space="preserve">uación se enmarca dentro del </w:t>
      </w:r>
      <w:r w:rsidRPr="00440686">
        <w:rPr>
          <w:rFonts w:ascii="Garamond" w:hAnsi="Garamond" w:cs="Segoe UI"/>
          <w:i/>
          <w:color w:val="121212"/>
          <w:sz w:val="24"/>
          <w:szCs w:val="24"/>
          <w:shd w:val="clear" w:color="auto" w:fill="FFFFFF"/>
        </w:rPr>
        <w:t>OBJETIVO ESTRATÉGICO “ANTONIO NARIÑO ORDENA SU TERRITORIO Y AVANZA EN SU ACCIÓN CLIMÁTICA”</w:t>
      </w:r>
      <w:r>
        <w:rPr>
          <w:rFonts w:ascii="Garamond" w:hAnsi="Garamond" w:cs="Segoe UI"/>
          <w:i/>
          <w:color w:val="121212"/>
          <w:sz w:val="24"/>
          <w:szCs w:val="24"/>
          <w:shd w:val="clear" w:color="auto" w:fill="FFFFFF"/>
        </w:rPr>
        <w:t xml:space="preserve">, </w:t>
      </w:r>
      <w:r>
        <w:rPr>
          <w:rFonts w:ascii="Garamond" w:hAnsi="Garamond" w:cs="Segoe UI"/>
          <w:color w:val="121212"/>
          <w:sz w:val="24"/>
          <w:szCs w:val="24"/>
          <w:shd w:val="clear" w:color="auto" w:fill="FFFFFF"/>
        </w:rPr>
        <w:t xml:space="preserve">el </w:t>
      </w:r>
      <w:r w:rsidRPr="00A32259">
        <w:rPr>
          <w:rFonts w:ascii="Garamond" w:hAnsi="Garamond" w:cs="Segoe UI"/>
          <w:b/>
          <w:color w:val="121212"/>
          <w:sz w:val="24"/>
          <w:szCs w:val="24"/>
          <w:shd w:val="clear" w:color="auto" w:fill="FFFFFF"/>
        </w:rPr>
        <w:t>ARTICULO 49 PROGRAMA 27. Gestión del Riesgo de Desastres para un territorio Seguro,</w:t>
      </w:r>
      <w:r w:rsidRPr="00283810">
        <w:rPr>
          <w:rFonts w:ascii="Garamond" w:hAnsi="Garamond" w:cs="Segoe UI"/>
          <w:color w:val="121212"/>
          <w:sz w:val="24"/>
          <w:szCs w:val="24"/>
          <w:shd w:val="clear" w:color="auto" w:fill="FFFFFF"/>
        </w:rPr>
        <w:t xml:space="preserve"> </w:t>
      </w:r>
      <w:r>
        <w:rPr>
          <w:rFonts w:ascii="Garamond" w:hAnsi="Garamond" w:cs="Segoe UI"/>
          <w:color w:val="121212"/>
          <w:sz w:val="24"/>
          <w:szCs w:val="24"/>
          <w:shd w:val="clear" w:color="auto" w:fill="FFFFFF"/>
        </w:rPr>
        <w:t>el cual tiene como objetivo</w:t>
      </w:r>
      <w:r w:rsidRPr="00A32259">
        <w:t xml:space="preserve"> </w:t>
      </w:r>
      <w:r w:rsidRPr="00A32259">
        <w:rPr>
          <w:rFonts w:ascii="Garamond" w:hAnsi="Garamond" w:cs="Segoe UI"/>
          <w:color w:val="121212"/>
          <w:sz w:val="24"/>
          <w:szCs w:val="24"/>
          <w:shd w:val="clear" w:color="auto" w:fill="FFFFFF"/>
        </w:rPr>
        <w:t>fortalecer la preparación y respuesta ante eventos adversos, enfocándose en la identificación y mitigación de riesgos naturales y antrópicos, y promoviendo la resiliencia comunitaria mediante planes de contingencia, capacitación en primeros auxilios y simulacros de evacuación.</w:t>
      </w:r>
      <w:r>
        <w:rPr>
          <w:rFonts w:ascii="Garamond" w:hAnsi="Garamond" w:cs="Segoe UI"/>
          <w:color w:val="121212"/>
          <w:sz w:val="24"/>
          <w:szCs w:val="24"/>
          <w:shd w:val="clear" w:color="auto" w:fill="FFFFFF"/>
        </w:rPr>
        <w:t xml:space="preserve"> Que otros de los propósitos del programa incluyen implementar</w:t>
      </w:r>
      <w:r w:rsidRPr="00A32259">
        <w:rPr>
          <w:rFonts w:ascii="Garamond" w:hAnsi="Garamond" w:cs="Segoe UI"/>
          <w:color w:val="121212"/>
          <w:sz w:val="24"/>
          <w:szCs w:val="24"/>
          <w:shd w:val="clear" w:color="auto" w:fill="FFFFFF"/>
        </w:rPr>
        <w:t xml:space="preserve"> acciones orientadas al conocimiento del riesgo de desastres y los efectos del cambio climático</w:t>
      </w:r>
      <w:r>
        <w:rPr>
          <w:rFonts w:ascii="Garamond" w:hAnsi="Garamond" w:cs="Segoe UI"/>
          <w:color w:val="121212"/>
          <w:sz w:val="24"/>
          <w:szCs w:val="24"/>
          <w:shd w:val="clear" w:color="auto" w:fill="FFFFFF"/>
        </w:rPr>
        <w:t xml:space="preserve">, así como llevar </w:t>
      </w:r>
      <w:r w:rsidRPr="00A32259">
        <w:rPr>
          <w:rFonts w:ascii="Garamond" w:hAnsi="Garamond" w:cs="Segoe UI"/>
          <w:color w:val="121212"/>
          <w:sz w:val="24"/>
          <w:szCs w:val="24"/>
          <w:shd w:val="clear" w:color="auto" w:fill="FFFFFF"/>
        </w:rPr>
        <w:t>a cabo estudios de diseño para nuevas obras de mitigación</w:t>
      </w:r>
      <w:r>
        <w:rPr>
          <w:rFonts w:ascii="Garamond" w:hAnsi="Garamond" w:cs="Segoe UI"/>
          <w:color w:val="121212"/>
          <w:sz w:val="24"/>
          <w:szCs w:val="24"/>
          <w:shd w:val="clear" w:color="auto" w:fill="FFFFFF"/>
        </w:rPr>
        <w:t>. (…) “</w:t>
      </w:r>
      <w:r w:rsidRPr="00254020">
        <w:rPr>
          <w:rFonts w:ascii="Garamond" w:hAnsi="Garamond" w:cs="Segoe UI"/>
          <w:b/>
          <w:i/>
          <w:color w:val="121212"/>
          <w:sz w:val="24"/>
          <w:szCs w:val="24"/>
          <w:u w:val="single"/>
          <w:shd w:val="clear" w:color="auto" w:fill="FFFFFF"/>
        </w:rPr>
        <w:t>Se realizarán acciones efectivas para fortalecer las capacidades locales en torno a la gestión del riesgo, asegurando así una respuesta eficiente y coordinada ante cualquier situación de emergencia que afecte a la comunidad.”</w:t>
      </w:r>
      <w:r>
        <w:rPr>
          <w:rFonts w:ascii="Garamond" w:hAnsi="Garamond" w:cs="Segoe UI"/>
          <w:b/>
          <w:i/>
          <w:color w:val="121212"/>
          <w:sz w:val="24"/>
          <w:szCs w:val="24"/>
          <w:u w:val="single"/>
          <w:shd w:val="clear" w:color="auto" w:fill="FFFFFF"/>
        </w:rPr>
        <w:t xml:space="preserve"> </w:t>
      </w:r>
      <w:r w:rsidRPr="00255444">
        <w:rPr>
          <w:rFonts w:ascii="Garamond" w:hAnsi="Garamond" w:cs="Segoe UI"/>
          <w:b/>
          <w:i/>
          <w:color w:val="121212"/>
          <w:sz w:val="24"/>
          <w:szCs w:val="24"/>
          <w:u w:val="single"/>
          <w:shd w:val="clear" w:color="auto" w:fill="FFFFFF"/>
        </w:rPr>
        <w:t>(…)</w:t>
      </w:r>
    </w:p>
    <w:p w14:paraId="748B49D2" w14:textId="7850910D" w:rsidR="00255444" w:rsidRPr="00255444" w:rsidRDefault="00255444" w:rsidP="002A4BF2">
      <w:pPr>
        <w:tabs>
          <w:tab w:val="left" w:pos="38"/>
        </w:tabs>
        <w:spacing w:line="240" w:lineRule="auto"/>
        <w:ind w:left="993" w:right="474"/>
        <w:jc w:val="both"/>
        <w:rPr>
          <w:rFonts w:ascii="Garamond" w:hAnsi="Garamond" w:cs="Segoe UI"/>
          <w:b/>
          <w:i/>
          <w:color w:val="121212"/>
          <w:sz w:val="24"/>
          <w:szCs w:val="24"/>
          <w:u w:val="single"/>
          <w:shd w:val="clear" w:color="auto" w:fill="FFFFFF"/>
        </w:rPr>
      </w:pPr>
      <w:r w:rsidRPr="00255444">
        <w:rPr>
          <w:rFonts w:ascii="Garamond" w:hAnsi="Garamond" w:cs="Garamond"/>
          <w:sz w:val="24"/>
          <w:szCs w:val="24"/>
        </w:rPr>
        <w:t xml:space="preserve">Así mismo, en virtud del </w:t>
      </w:r>
      <w:r w:rsidR="00C0193C" w:rsidRPr="00C0193C">
        <w:rPr>
          <w:rFonts w:ascii="Garamond" w:hAnsi="Garamond" w:cs="Garamond"/>
          <w:sz w:val="24"/>
          <w:szCs w:val="24"/>
        </w:rPr>
        <w:t>Convenio Interadministrativo No. FDLAN-CIA-004-2025 del 07/11/2025, suscrito entre el IPES y el FDLAN</w:t>
      </w:r>
      <w:r w:rsidR="00C0193C">
        <w:rPr>
          <w:rFonts w:ascii="Garamond" w:hAnsi="Garamond" w:cs="Garamond"/>
          <w:sz w:val="24"/>
          <w:szCs w:val="24"/>
        </w:rPr>
        <w:t xml:space="preserve">, </w:t>
      </w:r>
      <w:r w:rsidRPr="00255444">
        <w:rPr>
          <w:rFonts w:ascii="Garamond" w:hAnsi="Garamond" w:cs="Garamond"/>
          <w:sz w:val="24"/>
          <w:szCs w:val="24"/>
        </w:rPr>
        <w:t>se delegó el uso y autorización temporal para la ejecución de las obras en el inmueble objeto de intervención, garantizando la articulación institucional entre la entidad administradora del bien (IPES) y la entidad ejecutora de las obras (FDLAN). Este instrumento jurídico actúa como soporte habilitante y de cooperación interinstitucional que viabiliza la ejecución material del proyecto, en cumplimiento de las competencias asignadas al FDLAN conforme al Decreto 768 de 2019 y al Decreto 168 de 2021, relacionados con la gestión de proyectos de inversión y la administración de recursos del Fondo.</w:t>
      </w:r>
    </w:p>
    <w:p w14:paraId="01E0E64F" w14:textId="0E86662B" w:rsidR="00255444" w:rsidRPr="00255444" w:rsidRDefault="00255444" w:rsidP="002A4BF2">
      <w:pPr>
        <w:tabs>
          <w:tab w:val="left" w:pos="38"/>
        </w:tabs>
        <w:spacing w:line="240" w:lineRule="auto"/>
        <w:ind w:left="993" w:right="474"/>
        <w:jc w:val="both"/>
        <w:rPr>
          <w:rFonts w:ascii="Garamond" w:hAnsi="Garamond" w:cs="Segoe UI"/>
          <w:b/>
          <w:i/>
          <w:color w:val="121212"/>
          <w:sz w:val="24"/>
          <w:szCs w:val="24"/>
          <w:u w:val="single"/>
          <w:shd w:val="clear" w:color="auto" w:fill="FFFFFF"/>
        </w:rPr>
      </w:pPr>
      <w:r w:rsidRPr="00255444">
        <w:rPr>
          <w:rFonts w:ascii="Garamond" w:hAnsi="Garamond" w:cs="Garamond"/>
          <w:sz w:val="24"/>
          <w:szCs w:val="24"/>
        </w:rPr>
        <w:t xml:space="preserve">De conformidad con lo anterior, y teniendo en cuenta la necesidad evidenciada por el Fondo en cuanto a la ejecución de la segunda fase de primeros auxilios en el inmueble C.E.D. El Centenario, se realizó un análisis presupuestal detallado de las actividades contempladas en el presente proceso, estableciendo como presupuesto oficial la suma de </w:t>
      </w:r>
      <w:r w:rsidR="00F42E17" w:rsidRPr="00F42E17">
        <w:rPr>
          <w:rFonts w:ascii="Garamond" w:hAnsi="Garamond" w:cstheme="minorHAnsi"/>
          <w:b/>
          <w:bCs/>
          <w:sz w:val="24"/>
          <w:szCs w:val="24"/>
        </w:rPr>
        <w:t>CINCUENTA Y NUEVE MILLONES NOVECIENTOS NOVENTA Y OCHO MIL NOVECIENTOS CUARENTA Y SIETE</w:t>
      </w:r>
      <w:r w:rsidR="00F42E17">
        <w:rPr>
          <w:rFonts w:ascii="Garamond" w:hAnsi="Garamond" w:cstheme="minorHAnsi"/>
          <w:b/>
          <w:bCs/>
          <w:sz w:val="24"/>
          <w:szCs w:val="24"/>
        </w:rPr>
        <w:t xml:space="preserve"> PESOS ($ 59.998.947,00 M/CTE). </w:t>
      </w:r>
      <w:r w:rsidRPr="00255444">
        <w:rPr>
          <w:rFonts w:ascii="Garamond" w:hAnsi="Garamond" w:cs="Garamond"/>
          <w:sz w:val="24"/>
          <w:szCs w:val="24"/>
        </w:rPr>
        <w:t>Dicho monto se considera técnica y financieramente viable, conforme al estudio de precios de referencia del Instituto Distrital de Recreación y Deporte – IDRD (Análisis de Precios Unitarios a marzo de 2025) y a cotizaciones de mercado, lo cual asegura la razonabilidad y correspondencia de los valores unitarios con las condiciones actuales del sector.</w:t>
      </w:r>
    </w:p>
    <w:p w14:paraId="3320E52E" w14:textId="2BF019FA" w:rsidR="00255444" w:rsidRDefault="00255444" w:rsidP="002A4BF2">
      <w:pPr>
        <w:tabs>
          <w:tab w:val="left" w:pos="38"/>
        </w:tabs>
        <w:spacing w:line="240" w:lineRule="auto"/>
        <w:ind w:left="993" w:right="474"/>
        <w:jc w:val="both"/>
        <w:rPr>
          <w:rFonts w:ascii="Garamond" w:hAnsi="Garamond" w:cs="Segoe UI"/>
          <w:b/>
          <w:i/>
          <w:color w:val="121212"/>
          <w:sz w:val="24"/>
          <w:szCs w:val="24"/>
          <w:u w:val="single"/>
          <w:shd w:val="clear" w:color="auto" w:fill="FFFFFF"/>
        </w:rPr>
      </w:pPr>
      <w:r w:rsidRPr="00255444">
        <w:rPr>
          <w:rFonts w:ascii="Garamond" w:hAnsi="Garamond" w:cs="Garamond"/>
          <w:sz w:val="24"/>
          <w:szCs w:val="24"/>
        </w:rPr>
        <w:t xml:space="preserve">En consecuencia, se concluye que el presente proceso cumple con los principios de planeación, eficiencia y economía, asegurando la pertinencia técnica, la viabilidad jurídica y la sostenibilidad presupuestal necesarias para su ejecución, garantizando así la materialización efectiva de la medida </w:t>
      </w:r>
      <w:r w:rsidRPr="00255444">
        <w:rPr>
          <w:rFonts w:ascii="Garamond" w:hAnsi="Garamond" w:cs="Garamond"/>
          <w:sz w:val="24"/>
          <w:szCs w:val="24"/>
        </w:rPr>
        <w:lastRenderedPageBreak/>
        <w:t>judicial de protección y la salvaguarda del patrimonio público y cultural de la localidad de Antonio Nariño.</w:t>
      </w:r>
    </w:p>
    <w:p w14:paraId="6100F9C7" w14:textId="77777777" w:rsidR="00415197" w:rsidRPr="00415197" w:rsidRDefault="00415197" w:rsidP="002A4BF2">
      <w:pPr>
        <w:pStyle w:val="Prrafodelista"/>
        <w:spacing w:line="240" w:lineRule="auto"/>
        <w:ind w:left="993" w:right="474"/>
        <w:jc w:val="both"/>
        <w:rPr>
          <w:rFonts w:ascii="Garamond" w:hAnsi="Garamond" w:cs="Arial"/>
          <w:b/>
        </w:rPr>
      </w:pPr>
    </w:p>
    <w:p w14:paraId="7D7B25C6" w14:textId="77777777" w:rsidR="00415197" w:rsidRPr="00C276E0" w:rsidRDefault="00C276E0" w:rsidP="003A1825">
      <w:pPr>
        <w:pStyle w:val="Prrafodelista"/>
        <w:numPr>
          <w:ilvl w:val="0"/>
          <w:numId w:val="1"/>
        </w:numPr>
        <w:spacing w:line="240" w:lineRule="auto"/>
        <w:ind w:left="993" w:right="474"/>
        <w:jc w:val="both"/>
        <w:rPr>
          <w:rFonts w:ascii="Garamond" w:hAnsi="Garamond" w:cs="Arial"/>
          <w:b/>
        </w:rPr>
      </w:pPr>
      <w:r>
        <w:rPr>
          <w:rFonts w:ascii="Garamond" w:hAnsi="Garamond" w:cs="Arial"/>
          <w:b/>
          <w:sz w:val="24"/>
          <w:szCs w:val="24"/>
        </w:rPr>
        <w:t>ANÁLISIS ECONOMICO</w:t>
      </w:r>
    </w:p>
    <w:p w14:paraId="78651F01" w14:textId="77777777" w:rsidR="00C276E0" w:rsidRDefault="00C276E0" w:rsidP="002A4BF2">
      <w:pPr>
        <w:pStyle w:val="Prrafodelista"/>
        <w:spacing w:line="240" w:lineRule="auto"/>
        <w:ind w:left="993" w:right="474"/>
        <w:jc w:val="both"/>
        <w:rPr>
          <w:rFonts w:ascii="Garamond" w:hAnsi="Garamond" w:cs="Arial"/>
          <w:b/>
          <w:sz w:val="24"/>
          <w:szCs w:val="24"/>
        </w:rPr>
      </w:pPr>
    </w:p>
    <w:p w14:paraId="5A634FCA" w14:textId="77777777" w:rsidR="00C276E0" w:rsidRPr="00415197" w:rsidRDefault="00C276E0" w:rsidP="003A1825">
      <w:pPr>
        <w:pStyle w:val="Prrafodelista"/>
        <w:numPr>
          <w:ilvl w:val="1"/>
          <w:numId w:val="1"/>
        </w:numPr>
        <w:spacing w:line="240" w:lineRule="auto"/>
        <w:ind w:left="993" w:right="474"/>
        <w:jc w:val="both"/>
        <w:rPr>
          <w:rFonts w:ascii="Garamond" w:hAnsi="Garamond" w:cs="Arial"/>
          <w:b/>
        </w:rPr>
      </w:pPr>
      <w:r>
        <w:rPr>
          <w:rFonts w:ascii="Garamond" w:hAnsi="Garamond" w:cs="Arial"/>
          <w:b/>
          <w:sz w:val="24"/>
          <w:szCs w:val="24"/>
        </w:rPr>
        <w:t>CODIGOS DE BIENES Y SERVICIOS UNSPSC</w:t>
      </w:r>
    </w:p>
    <w:p w14:paraId="2EF8DDE9" w14:textId="77777777" w:rsidR="00415197" w:rsidRPr="00926937" w:rsidRDefault="00415197" w:rsidP="002A4BF2">
      <w:pPr>
        <w:spacing w:line="240" w:lineRule="auto"/>
        <w:ind w:left="993" w:right="474"/>
        <w:jc w:val="both"/>
        <w:rPr>
          <w:rFonts w:ascii="Garamond" w:hAnsi="Garamond" w:cs="Arial"/>
          <w:bCs/>
          <w:sz w:val="24"/>
          <w:szCs w:val="24"/>
        </w:rPr>
      </w:pPr>
      <w:r w:rsidRPr="00926937">
        <w:rPr>
          <w:rFonts w:ascii="Garamond" w:hAnsi="Garamond" w:cs="Arial"/>
          <w:bCs/>
          <w:sz w:val="24"/>
          <w:szCs w:val="24"/>
        </w:rPr>
        <w:t xml:space="preserve">El objeto de este contrato está codificado en la clasificación que se describe a continuación: </w:t>
      </w:r>
    </w:p>
    <w:tbl>
      <w:tblPr>
        <w:tblW w:w="5028"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2"/>
        <w:gridCol w:w="3119"/>
        <w:gridCol w:w="2976"/>
        <w:gridCol w:w="2551"/>
      </w:tblGrid>
      <w:tr w:rsidR="00255444" w:rsidRPr="00653F01" w14:paraId="37475FB6" w14:textId="77777777" w:rsidTr="00255444">
        <w:trPr>
          <w:trHeight w:val="567"/>
        </w:trPr>
        <w:tc>
          <w:tcPr>
            <w:tcW w:w="878" w:type="pct"/>
            <w:shd w:val="clear" w:color="auto" w:fill="F2F2F2"/>
            <w:tcMar>
              <w:top w:w="0" w:type="dxa"/>
              <w:left w:w="70" w:type="dxa"/>
              <w:bottom w:w="0" w:type="dxa"/>
              <w:right w:w="70" w:type="dxa"/>
            </w:tcMar>
            <w:vAlign w:val="center"/>
            <w:hideMark/>
          </w:tcPr>
          <w:p w14:paraId="6D6C1014" w14:textId="77777777" w:rsidR="00255444" w:rsidRPr="0075342A" w:rsidRDefault="00255444" w:rsidP="002A4BF2">
            <w:pPr>
              <w:spacing w:line="240" w:lineRule="auto"/>
              <w:jc w:val="center"/>
              <w:rPr>
                <w:rFonts w:ascii="Garamond" w:hAnsi="Garamond" w:cs="Arial"/>
                <w:b/>
                <w:bCs/>
              </w:rPr>
            </w:pPr>
            <w:r w:rsidRPr="0075342A">
              <w:rPr>
                <w:rFonts w:ascii="Garamond" w:hAnsi="Garamond" w:cs="Arial"/>
                <w:b/>
                <w:bCs/>
              </w:rPr>
              <w:t>Clasificación UNSPSC</w:t>
            </w:r>
          </w:p>
        </w:tc>
        <w:tc>
          <w:tcPr>
            <w:tcW w:w="1487" w:type="pct"/>
            <w:shd w:val="clear" w:color="auto" w:fill="F2F2F2"/>
            <w:tcMar>
              <w:top w:w="0" w:type="dxa"/>
              <w:left w:w="70" w:type="dxa"/>
              <w:bottom w:w="0" w:type="dxa"/>
              <w:right w:w="70" w:type="dxa"/>
            </w:tcMar>
            <w:vAlign w:val="center"/>
            <w:hideMark/>
          </w:tcPr>
          <w:p w14:paraId="65B1BA43" w14:textId="77777777" w:rsidR="00255444" w:rsidRPr="0075342A" w:rsidRDefault="00255444" w:rsidP="002A4BF2">
            <w:pPr>
              <w:spacing w:line="240" w:lineRule="auto"/>
              <w:jc w:val="center"/>
              <w:rPr>
                <w:rFonts w:ascii="Garamond" w:hAnsi="Garamond" w:cs="Arial"/>
                <w:b/>
                <w:bCs/>
              </w:rPr>
            </w:pPr>
            <w:r w:rsidRPr="0075342A">
              <w:rPr>
                <w:rFonts w:ascii="Garamond" w:hAnsi="Garamond" w:cs="Arial"/>
                <w:b/>
                <w:bCs/>
              </w:rPr>
              <w:t>Segmento</w:t>
            </w:r>
          </w:p>
        </w:tc>
        <w:tc>
          <w:tcPr>
            <w:tcW w:w="1419" w:type="pct"/>
            <w:shd w:val="clear" w:color="auto" w:fill="F2F2F2"/>
            <w:tcMar>
              <w:top w:w="0" w:type="dxa"/>
              <w:left w:w="70" w:type="dxa"/>
              <w:bottom w:w="0" w:type="dxa"/>
              <w:right w:w="70" w:type="dxa"/>
            </w:tcMar>
            <w:vAlign w:val="center"/>
            <w:hideMark/>
          </w:tcPr>
          <w:p w14:paraId="6E4384DD" w14:textId="77777777" w:rsidR="00255444" w:rsidRPr="0075342A" w:rsidRDefault="00255444" w:rsidP="002A4BF2">
            <w:pPr>
              <w:spacing w:line="240" w:lineRule="auto"/>
              <w:jc w:val="center"/>
              <w:rPr>
                <w:rFonts w:ascii="Garamond" w:hAnsi="Garamond" w:cs="Arial"/>
                <w:b/>
                <w:bCs/>
              </w:rPr>
            </w:pPr>
            <w:r w:rsidRPr="0075342A">
              <w:rPr>
                <w:rFonts w:ascii="Garamond" w:hAnsi="Garamond" w:cs="Arial"/>
                <w:b/>
                <w:bCs/>
              </w:rPr>
              <w:t>Familia</w:t>
            </w:r>
          </w:p>
        </w:tc>
        <w:tc>
          <w:tcPr>
            <w:tcW w:w="1216" w:type="pct"/>
            <w:shd w:val="clear" w:color="auto" w:fill="F2F2F2"/>
            <w:tcMar>
              <w:top w:w="0" w:type="dxa"/>
              <w:left w:w="70" w:type="dxa"/>
              <w:bottom w:w="0" w:type="dxa"/>
              <w:right w:w="70" w:type="dxa"/>
            </w:tcMar>
            <w:vAlign w:val="center"/>
            <w:hideMark/>
          </w:tcPr>
          <w:p w14:paraId="2F4CFB09" w14:textId="77777777" w:rsidR="00255444" w:rsidRPr="0075342A" w:rsidRDefault="00255444" w:rsidP="002A4BF2">
            <w:pPr>
              <w:spacing w:line="240" w:lineRule="auto"/>
              <w:jc w:val="center"/>
              <w:rPr>
                <w:rFonts w:ascii="Garamond" w:hAnsi="Garamond" w:cs="Arial"/>
                <w:b/>
                <w:bCs/>
              </w:rPr>
            </w:pPr>
            <w:r w:rsidRPr="0075342A">
              <w:rPr>
                <w:rFonts w:ascii="Garamond" w:hAnsi="Garamond" w:cs="Arial"/>
                <w:b/>
                <w:bCs/>
              </w:rPr>
              <w:t>Clase</w:t>
            </w:r>
          </w:p>
        </w:tc>
      </w:tr>
      <w:tr w:rsidR="00255444" w:rsidRPr="00653F01" w14:paraId="34BDFBFF" w14:textId="77777777" w:rsidTr="00255444">
        <w:trPr>
          <w:trHeight w:val="238"/>
        </w:trPr>
        <w:tc>
          <w:tcPr>
            <w:tcW w:w="878" w:type="pct"/>
            <w:tcMar>
              <w:top w:w="0" w:type="dxa"/>
              <w:left w:w="70" w:type="dxa"/>
              <w:bottom w:w="0" w:type="dxa"/>
              <w:right w:w="70" w:type="dxa"/>
            </w:tcMar>
            <w:vAlign w:val="center"/>
            <w:hideMark/>
          </w:tcPr>
          <w:p w14:paraId="482FA1FB"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721540</w:t>
            </w:r>
          </w:p>
        </w:tc>
        <w:tc>
          <w:tcPr>
            <w:tcW w:w="1487" w:type="pct"/>
            <w:shd w:val="clear" w:color="auto" w:fill="auto"/>
            <w:tcMar>
              <w:top w:w="0" w:type="dxa"/>
              <w:left w:w="70" w:type="dxa"/>
              <w:bottom w:w="0" w:type="dxa"/>
              <w:right w:w="70" w:type="dxa"/>
            </w:tcMar>
            <w:vAlign w:val="center"/>
            <w:hideMark/>
          </w:tcPr>
          <w:p w14:paraId="6666045B"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72 – Servicios de edificación, Construcción de instalaciones y mantenimiento</w:t>
            </w:r>
          </w:p>
        </w:tc>
        <w:tc>
          <w:tcPr>
            <w:tcW w:w="1419" w:type="pct"/>
            <w:tcMar>
              <w:top w:w="0" w:type="dxa"/>
              <w:left w:w="70" w:type="dxa"/>
              <w:bottom w:w="0" w:type="dxa"/>
              <w:right w:w="70" w:type="dxa"/>
            </w:tcMar>
            <w:vAlign w:val="center"/>
            <w:hideMark/>
          </w:tcPr>
          <w:p w14:paraId="72C1FFA8"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15- Servicios de mantenimiento y construcción de comercio especializado</w:t>
            </w:r>
          </w:p>
        </w:tc>
        <w:tc>
          <w:tcPr>
            <w:tcW w:w="1216" w:type="pct"/>
            <w:tcMar>
              <w:top w:w="0" w:type="dxa"/>
              <w:left w:w="70" w:type="dxa"/>
              <w:bottom w:w="0" w:type="dxa"/>
              <w:right w:w="70" w:type="dxa"/>
            </w:tcMar>
            <w:vAlign w:val="center"/>
            <w:hideMark/>
          </w:tcPr>
          <w:p w14:paraId="1779BFC1"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40 – Servicios de edificios especializados y comercios</w:t>
            </w:r>
          </w:p>
        </w:tc>
      </w:tr>
      <w:tr w:rsidR="00255444" w:rsidRPr="00653F01" w14:paraId="5FECB74E" w14:textId="77777777" w:rsidTr="00255444">
        <w:trPr>
          <w:trHeight w:val="272"/>
        </w:trPr>
        <w:tc>
          <w:tcPr>
            <w:tcW w:w="878" w:type="pct"/>
            <w:tcMar>
              <w:top w:w="0" w:type="dxa"/>
              <w:left w:w="70" w:type="dxa"/>
              <w:bottom w:w="0" w:type="dxa"/>
              <w:right w:w="70" w:type="dxa"/>
            </w:tcMar>
            <w:vAlign w:val="center"/>
          </w:tcPr>
          <w:p w14:paraId="777937E8"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721526</w:t>
            </w:r>
          </w:p>
        </w:tc>
        <w:tc>
          <w:tcPr>
            <w:tcW w:w="1487" w:type="pct"/>
            <w:shd w:val="clear" w:color="auto" w:fill="auto"/>
            <w:tcMar>
              <w:top w:w="0" w:type="dxa"/>
              <w:left w:w="70" w:type="dxa"/>
              <w:bottom w:w="0" w:type="dxa"/>
              <w:right w:w="70" w:type="dxa"/>
            </w:tcMar>
            <w:vAlign w:val="center"/>
          </w:tcPr>
          <w:p w14:paraId="0062AA0F"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72 – Servicios de edificación, Construcción de instalaciones y mantenimiento</w:t>
            </w:r>
          </w:p>
        </w:tc>
        <w:tc>
          <w:tcPr>
            <w:tcW w:w="1419" w:type="pct"/>
            <w:tcMar>
              <w:top w:w="0" w:type="dxa"/>
              <w:left w:w="70" w:type="dxa"/>
              <w:bottom w:w="0" w:type="dxa"/>
              <w:right w:w="70" w:type="dxa"/>
            </w:tcMar>
            <w:vAlign w:val="center"/>
          </w:tcPr>
          <w:p w14:paraId="6422AEC7"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15- Servicios de mantenimiento y construcción de comercio especializado</w:t>
            </w:r>
          </w:p>
        </w:tc>
        <w:tc>
          <w:tcPr>
            <w:tcW w:w="1216" w:type="pct"/>
            <w:tcMar>
              <w:top w:w="0" w:type="dxa"/>
              <w:left w:w="70" w:type="dxa"/>
              <w:bottom w:w="0" w:type="dxa"/>
              <w:right w:w="70" w:type="dxa"/>
            </w:tcMar>
            <w:vAlign w:val="center"/>
          </w:tcPr>
          <w:p w14:paraId="21980461"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26 – Servicios de techado y paredes externas y láminas de metal</w:t>
            </w:r>
          </w:p>
        </w:tc>
      </w:tr>
      <w:tr w:rsidR="00255444" w:rsidRPr="00653F01" w14:paraId="73CAF243" w14:textId="77777777" w:rsidTr="00255444">
        <w:trPr>
          <w:trHeight w:val="274"/>
        </w:trPr>
        <w:tc>
          <w:tcPr>
            <w:tcW w:w="878" w:type="pct"/>
            <w:tcMar>
              <w:top w:w="0" w:type="dxa"/>
              <w:left w:w="70" w:type="dxa"/>
              <w:bottom w:w="0" w:type="dxa"/>
              <w:right w:w="70" w:type="dxa"/>
            </w:tcMar>
            <w:vAlign w:val="center"/>
          </w:tcPr>
          <w:p w14:paraId="174122C6"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721029</w:t>
            </w:r>
          </w:p>
        </w:tc>
        <w:tc>
          <w:tcPr>
            <w:tcW w:w="1487" w:type="pct"/>
            <w:shd w:val="clear" w:color="auto" w:fill="auto"/>
            <w:tcMar>
              <w:top w:w="0" w:type="dxa"/>
              <w:left w:w="70" w:type="dxa"/>
              <w:bottom w:w="0" w:type="dxa"/>
              <w:right w:w="70" w:type="dxa"/>
            </w:tcMar>
            <w:vAlign w:val="center"/>
          </w:tcPr>
          <w:p w14:paraId="38DFCDF0"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72 – Servicios de edificación, Construcción de instalaciones y mantenimiento</w:t>
            </w:r>
          </w:p>
        </w:tc>
        <w:tc>
          <w:tcPr>
            <w:tcW w:w="1419" w:type="pct"/>
            <w:tcMar>
              <w:top w:w="0" w:type="dxa"/>
              <w:left w:w="70" w:type="dxa"/>
              <w:bottom w:w="0" w:type="dxa"/>
              <w:right w:w="70" w:type="dxa"/>
            </w:tcMar>
            <w:vAlign w:val="center"/>
          </w:tcPr>
          <w:p w14:paraId="7CEC3904"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10 – Servicios de mantenimiento y reparaciones de construcción e instalaciones</w:t>
            </w:r>
          </w:p>
        </w:tc>
        <w:tc>
          <w:tcPr>
            <w:tcW w:w="1216" w:type="pct"/>
            <w:tcMar>
              <w:top w:w="0" w:type="dxa"/>
              <w:left w:w="70" w:type="dxa"/>
              <w:bottom w:w="0" w:type="dxa"/>
              <w:right w:w="70" w:type="dxa"/>
            </w:tcMar>
            <w:vAlign w:val="center"/>
          </w:tcPr>
          <w:p w14:paraId="0D543D93"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29 – Servicios de mantenimiento y reparación de edificaciones</w:t>
            </w:r>
          </w:p>
        </w:tc>
      </w:tr>
      <w:tr w:rsidR="00255444" w:rsidRPr="00653F01" w14:paraId="66C2F6D2" w14:textId="77777777" w:rsidTr="00255444">
        <w:trPr>
          <w:trHeight w:val="278"/>
        </w:trPr>
        <w:tc>
          <w:tcPr>
            <w:tcW w:w="878" w:type="pct"/>
            <w:tcMar>
              <w:top w:w="0" w:type="dxa"/>
              <w:left w:w="70" w:type="dxa"/>
              <w:bottom w:w="0" w:type="dxa"/>
              <w:right w:w="70" w:type="dxa"/>
            </w:tcMar>
            <w:vAlign w:val="center"/>
          </w:tcPr>
          <w:p w14:paraId="4BBCE794"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301918</w:t>
            </w:r>
          </w:p>
        </w:tc>
        <w:tc>
          <w:tcPr>
            <w:tcW w:w="1487" w:type="pct"/>
            <w:shd w:val="clear" w:color="auto" w:fill="auto"/>
            <w:tcMar>
              <w:top w:w="0" w:type="dxa"/>
              <w:left w:w="70" w:type="dxa"/>
              <w:bottom w:w="0" w:type="dxa"/>
              <w:right w:w="70" w:type="dxa"/>
            </w:tcMar>
            <w:vAlign w:val="center"/>
          </w:tcPr>
          <w:p w14:paraId="290D00B1"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30 – Componentes y suministros para Estructuras, Edificación, Construcción y Obras civiles</w:t>
            </w:r>
          </w:p>
        </w:tc>
        <w:tc>
          <w:tcPr>
            <w:tcW w:w="1419" w:type="pct"/>
            <w:tcMar>
              <w:top w:w="0" w:type="dxa"/>
              <w:left w:w="70" w:type="dxa"/>
              <w:bottom w:w="0" w:type="dxa"/>
              <w:right w:w="70" w:type="dxa"/>
            </w:tcMar>
            <w:vAlign w:val="center"/>
          </w:tcPr>
          <w:p w14:paraId="72E05DAA"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19 – Equipo de apoyo para construcción y mantenimiento</w:t>
            </w:r>
          </w:p>
        </w:tc>
        <w:tc>
          <w:tcPr>
            <w:tcW w:w="1216" w:type="pct"/>
            <w:tcMar>
              <w:top w:w="0" w:type="dxa"/>
              <w:left w:w="70" w:type="dxa"/>
              <w:bottom w:w="0" w:type="dxa"/>
              <w:right w:w="70" w:type="dxa"/>
            </w:tcMar>
            <w:vAlign w:val="center"/>
          </w:tcPr>
          <w:p w14:paraId="24763B05"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18- Equipos y materiales para construcciones temporales y apoyo al mantenimiento</w:t>
            </w:r>
          </w:p>
        </w:tc>
      </w:tr>
      <w:tr w:rsidR="00255444" w:rsidRPr="00653F01" w14:paraId="756424CD" w14:textId="77777777" w:rsidTr="00255444">
        <w:trPr>
          <w:trHeight w:val="278"/>
        </w:trPr>
        <w:tc>
          <w:tcPr>
            <w:tcW w:w="878" w:type="pct"/>
            <w:tcMar>
              <w:top w:w="0" w:type="dxa"/>
              <w:left w:w="70" w:type="dxa"/>
              <w:bottom w:w="0" w:type="dxa"/>
              <w:right w:w="70" w:type="dxa"/>
            </w:tcMar>
            <w:vAlign w:val="center"/>
          </w:tcPr>
          <w:p w14:paraId="6083C57B"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301916</w:t>
            </w:r>
          </w:p>
        </w:tc>
        <w:tc>
          <w:tcPr>
            <w:tcW w:w="1487" w:type="pct"/>
            <w:shd w:val="clear" w:color="auto" w:fill="auto"/>
            <w:tcMar>
              <w:top w:w="0" w:type="dxa"/>
              <w:left w:w="70" w:type="dxa"/>
              <w:bottom w:w="0" w:type="dxa"/>
              <w:right w:w="70" w:type="dxa"/>
            </w:tcMar>
            <w:vAlign w:val="center"/>
          </w:tcPr>
          <w:p w14:paraId="3A3BEECE"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30 – Componentes y suministros para Estructuras, Edificación, Construcción y Obras civiles</w:t>
            </w:r>
          </w:p>
        </w:tc>
        <w:tc>
          <w:tcPr>
            <w:tcW w:w="1419" w:type="pct"/>
            <w:tcMar>
              <w:top w:w="0" w:type="dxa"/>
              <w:left w:w="70" w:type="dxa"/>
              <w:bottom w:w="0" w:type="dxa"/>
              <w:right w:w="70" w:type="dxa"/>
            </w:tcMar>
            <w:vAlign w:val="center"/>
          </w:tcPr>
          <w:p w14:paraId="284516A0"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19 – Equipo de apoyo para construcción y mantenimiento</w:t>
            </w:r>
          </w:p>
        </w:tc>
        <w:tc>
          <w:tcPr>
            <w:tcW w:w="1216" w:type="pct"/>
            <w:tcMar>
              <w:top w:w="0" w:type="dxa"/>
              <w:left w:w="70" w:type="dxa"/>
              <w:bottom w:w="0" w:type="dxa"/>
              <w:right w:w="70" w:type="dxa"/>
            </w:tcMar>
            <w:vAlign w:val="center"/>
          </w:tcPr>
          <w:p w14:paraId="7D81BE08" w14:textId="77777777" w:rsidR="00255444" w:rsidRPr="0075342A" w:rsidRDefault="00255444" w:rsidP="002A4BF2">
            <w:pPr>
              <w:spacing w:line="240" w:lineRule="auto"/>
              <w:jc w:val="center"/>
              <w:rPr>
                <w:rFonts w:ascii="Garamond" w:hAnsi="Garamond" w:cs="Arial"/>
              </w:rPr>
            </w:pPr>
            <w:r w:rsidRPr="0075342A">
              <w:rPr>
                <w:rFonts w:ascii="Garamond" w:hAnsi="Garamond" w:cs="Arial"/>
                <w:bCs/>
              </w:rPr>
              <w:t>16 – Escaleras y accesorios de andamiajes (cerramiento de seguridad de la construcción)</w:t>
            </w:r>
          </w:p>
        </w:tc>
      </w:tr>
    </w:tbl>
    <w:p w14:paraId="6B08F790" w14:textId="185025AC" w:rsidR="00255444" w:rsidRPr="001866AA" w:rsidRDefault="00255444" w:rsidP="002A4BF2">
      <w:pPr>
        <w:tabs>
          <w:tab w:val="left" w:pos="38"/>
        </w:tabs>
        <w:spacing w:after="0" w:line="240" w:lineRule="auto"/>
        <w:jc w:val="center"/>
        <w:rPr>
          <w:rFonts w:ascii="Garamond" w:hAnsi="Garamond" w:cs="Arial"/>
          <w:sz w:val="18"/>
          <w:szCs w:val="18"/>
        </w:rPr>
      </w:pPr>
      <w:r w:rsidRPr="001866AA">
        <w:rPr>
          <w:rFonts w:ascii="Garamond" w:hAnsi="Garamond" w:cs="Arial"/>
          <w:sz w:val="18"/>
          <w:szCs w:val="18"/>
        </w:rPr>
        <w:t xml:space="preserve">Tabla </w:t>
      </w:r>
      <w:r>
        <w:rPr>
          <w:rFonts w:ascii="Garamond" w:hAnsi="Garamond" w:cs="Arial"/>
          <w:sz w:val="18"/>
          <w:szCs w:val="18"/>
        </w:rPr>
        <w:t>2</w:t>
      </w:r>
      <w:r w:rsidRPr="001866AA">
        <w:rPr>
          <w:rFonts w:ascii="Garamond" w:hAnsi="Garamond" w:cs="Arial"/>
          <w:sz w:val="18"/>
          <w:szCs w:val="18"/>
        </w:rPr>
        <w:t>. Códigos de clasificación de bienes y servicios UNSPSC</w:t>
      </w:r>
    </w:p>
    <w:p w14:paraId="520E3211" w14:textId="77777777" w:rsidR="00255444" w:rsidRDefault="00255444" w:rsidP="002A4BF2">
      <w:pPr>
        <w:tabs>
          <w:tab w:val="left" w:pos="38"/>
        </w:tabs>
        <w:spacing w:after="0" w:line="240" w:lineRule="auto"/>
        <w:jc w:val="center"/>
        <w:rPr>
          <w:rFonts w:ascii="Garamond" w:hAnsi="Garamond"/>
          <w:sz w:val="18"/>
          <w:szCs w:val="18"/>
        </w:rPr>
      </w:pPr>
      <w:r w:rsidRPr="001866AA">
        <w:rPr>
          <w:rFonts w:ascii="Garamond" w:hAnsi="Garamond"/>
          <w:sz w:val="18"/>
          <w:szCs w:val="18"/>
        </w:rPr>
        <w:t>Fuente: Oficina de Planeación, Alcaldía Local de Antonio Nariño</w:t>
      </w:r>
    </w:p>
    <w:p w14:paraId="5E1B7592" w14:textId="77777777" w:rsidR="00255444" w:rsidRDefault="00255444" w:rsidP="002A4BF2">
      <w:pPr>
        <w:spacing w:line="240" w:lineRule="auto"/>
        <w:ind w:left="993" w:right="474"/>
        <w:jc w:val="both"/>
        <w:rPr>
          <w:rFonts w:ascii="Garamond" w:hAnsi="Garamond"/>
          <w:sz w:val="24"/>
          <w:szCs w:val="24"/>
        </w:rPr>
      </w:pPr>
    </w:p>
    <w:p w14:paraId="19032237" w14:textId="43FA5776" w:rsidR="00C276E0" w:rsidRDefault="00C276E0" w:rsidP="002A4BF2">
      <w:pPr>
        <w:spacing w:line="240" w:lineRule="auto"/>
        <w:ind w:left="993" w:right="474"/>
        <w:jc w:val="both"/>
        <w:rPr>
          <w:rFonts w:ascii="Garamond" w:hAnsi="Garamond"/>
          <w:b/>
          <w:sz w:val="24"/>
          <w:szCs w:val="24"/>
        </w:rPr>
      </w:pPr>
      <w:r w:rsidRPr="00C276E0">
        <w:rPr>
          <w:rFonts w:ascii="Garamond" w:hAnsi="Garamond"/>
          <w:sz w:val="24"/>
          <w:szCs w:val="24"/>
        </w:rPr>
        <w:t xml:space="preserve">Por lo anterior, y conforme a las características técnicas requeridas por el FDLAN, el sector y la actividad económica en la que se agrupan los bienes y/o servicios de acuerdo con el objeto a contratar, se encuentra enmarcado en el sector de </w:t>
      </w:r>
      <w:r w:rsidR="00C336AA">
        <w:rPr>
          <w:rFonts w:ascii="Garamond" w:hAnsi="Garamond"/>
          <w:b/>
          <w:sz w:val="24"/>
          <w:szCs w:val="24"/>
        </w:rPr>
        <w:t>SERVICIOS.</w:t>
      </w:r>
    </w:p>
    <w:p w14:paraId="4C8C10D0" w14:textId="77777777" w:rsidR="004C2C14" w:rsidRPr="004C2C14" w:rsidRDefault="004C2C14" w:rsidP="002A4BF2">
      <w:pPr>
        <w:spacing w:line="240" w:lineRule="auto"/>
        <w:ind w:left="993" w:right="474"/>
        <w:jc w:val="both"/>
        <w:rPr>
          <w:rFonts w:ascii="Garamond" w:hAnsi="Garamond"/>
          <w:sz w:val="24"/>
          <w:szCs w:val="24"/>
        </w:rPr>
      </w:pPr>
      <w:r w:rsidRPr="004C2C14">
        <w:rPr>
          <w:rFonts w:ascii="Garamond" w:hAnsi="Garamond"/>
          <w:sz w:val="24"/>
          <w:szCs w:val="24"/>
        </w:rPr>
        <w:t>La actividad económica está dividida en sectores,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Según la división de la economía clásica, los sectores de la economía son los siguientes:</w:t>
      </w:r>
    </w:p>
    <w:p w14:paraId="05EC75D1" w14:textId="77777777" w:rsidR="004C2C14" w:rsidRPr="004C2C14" w:rsidRDefault="004C2C14" w:rsidP="003A1825">
      <w:pPr>
        <w:pStyle w:val="Prrafodelista"/>
        <w:numPr>
          <w:ilvl w:val="0"/>
          <w:numId w:val="2"/>
        </w:numPr>
        <w:spacing w:line="240" w:lineRule="auto"/>
        <w:ind w:left="1276" w:right="474"/>
        <w:jc w:val="both"/>
        <w:rPr>
          <w:rFonts w:ascii="Garamond" w:hAnsi="Garamond"/>
          <w:sz w:val="24"/>
          <w:szCs w:val="24"/>
        </w:rPr>
      </w:pPr>
      <w:r w:rsidRPr="004C2C14">
        <w:rPr>
          <w:rFonts w:ascii="Garamond" w:hAnsi="Garamond"/>
          <w:sz w:val="24"/>
          <w:szCs w:val="24"/>
        </w:rPr>
        <w:t>Sector primario o sector Agropecuario.</w:t>
      </w:r>
    </w:p>
    <w:p w14:paraId="07D072AE" w14:textId="77777777" w:rsidR="004C2C14" w:rsidRPr="004C2C14" w:rsidRDefault="004C2C14" w:rsidP="003A1825">
      <w:pPr>
        <w:pStyle w:val="Prrafodelista"/>
        <w:numPr>
          <w:ilvl w:val="0"/>
          <w:numId w:val="2"/>
        </w:numPr>
        <w:spacing w:line="240" w:lineRule="auto"/>
        <w:ind w:left="1276" w:right="474"/>
        <w:jc w:val="both"/>
        <w:rPr>
          <w:rFonts w:ascii="Garamond" w:hAnsi="Garamond"/>
          <w:sz w:val="24"/>
          <w:szCs w:val="24"/>
        </w:rPr>
      </w:pPr>
      <w:r w:rsidRPr="004C2C14">
        <w:rPr>
          <w:rFonts w:ascii="Garamond" w:hAnsi="Garamond"/>
          <w:sz w:val="24"/>
          <w:szCs w:val="24"/>
        </w:rPr>
        <w:t>Sector secundario o sector Industrial.</w:t>
      </w:r>
    </w:p>
    <w:p w14:paraId="75FA1D2F" w14:textId="3544AD62" w:rsidR="004C2C14" w:rsidRPr="004C2C14" w:rsidRDefault="004C2C14" w:rsidP="003A1825">
      <w:pPr>
        <w:pStyle w:val="Prrafodelista"/>
        <w:numPr>
          <w:ilvl w:val="0"/>
          <w:numId w:val="2"/>
        </w:numPr>
        <w:spacing w:line="240" w:lineRule="auto"/>
        <w:ind w:left="1276" w:right="474"/>
        <w:jc w:val="both"/>
        <w:rPr>
          <w:rFonts w:ascii="Garamond" w:hAnsi="Garamond"/>
          <w:sz w:val="24"/>
          <w:szCs w:val="24"/>
        </w:rPr>
      </w:pPr>
      <w:r w:rsidRPr="004C2C14">
        <w:rPr>
          <w:rFonts w:ascii="Garamond" w:hAnsi="Garamond"/>
          <w:sz w:val="24"/>
          <w:szCs w:val="24"/>
        </w:rPr>
        <w:t xml:space="preserve">Sector terciario o sector de </w:t>
      </w:r>
      <w:r w:rsidRPr="004C2C14">
        <w:rPr>
          <w:rFonts w:ascii="Garamond" w:hAnsi="Garamond"/>
          <w:b/>
          <w:sz w:val="24"/>
          <w:szCs w:val="24"/>
        </w:rPr>
        <w:t>SERVICIOS.</w:t>
      </w:r>
    </w:p>
    <w:p w14:paraId="4BF67E52" w14:textId="77777777" w:rsidR="004C2C14" w:rsidRPr="004C2C14" w:rsidRDefault="004C2C14" w:rsidP="002A4BF2">
      <w:pPr>
        <w:pStyle w:val="Prrafodelista"/>
        <w:spacing w:line="240" w:lineRule="auto"/>
        <w:ind w:right="474"/>
        <w:jc w:val="both"/>
        <w:rPr>
          <w:rFonts w:ascii="Garamond" w:hAnsi="Garamond"/>
          <w:b/>
          <w:sz w:val="24"/>
          <w:szCs w:val="24"/>
        </w:rPr>
      </w:pPr>
    </w:p>
    <w:p w14:paraId="6259D348" w14:textId="14936710" w:rsidR="00C276E0" w:rsidRPr="004C2C14" w:rsidRDefault="00C276E0" w:rsidP="003A1825">
      <w:pPr>
        <w:pStyle w:val="Prrafodelista"/>
        <w:numPr>
          <w:ilvl w:val="1"/>
          <w:numId w:val="1"/>
        </w:numPr>
        <w:spacing w:line="240" w:lineRule="auto"/>
        <w:ind w:left="993" w:right="474"/>
        <w:jc w:val="both"/>
        <w:rPr>
          <w:rFonts w:ascii="Garamond" w:hAnsi="Garamond"/>
          <w:b/>
          <w:sz w:val="24"/>
          <w:szCs w:val="24"/>
        </w:rPr>
      </w:pPr>
      <w:r w:rsidRPr="004C2C14">
        <w:rPr>
          <w:rFonts w:ascii="Garamond" w:hAnsi="Garamond"/>
          <w:b/>
          <w:sz w:val="24"/>
          <w:szCs w:val="24"/>
        </w:rPr>
        <w:t>ANÁLISIS DEL SECTOR</w:t>
      </w:r>
    </w:p>
    <w:p w14:paraId="2B0B5EB4" w14:textId="77777777" w:rsidR="00866C14" w:rsidRPr="00866C14" w:rsidRDefault="00C276E0" w:rsidP="002A4BF2">
      <w:pPr>
        <w:spacing w:line="240" w:lineRule="auto"/>
        <w:ind w:left="993" w:right="474"/>
        <w:jc w:val="both"/>
        <w:rPr>
          <w:rFonts w:ascii="Garamond" w:hAnsi="Garamond"/>
          <w:b/>
          <w:sz w:val="24"/>
          <w:szCs w:val="24"/>
        </w:rPr>
      </w:pPr>
      <w:r>
        <w:rPr>
          <w:rFonts w:ascii="Garamond" w:hAnsi="Garamond"/>
          <w:b/>
          <w:sz w:val="24"/>
          <w:szCs w:val="24"/>
        </w:rPr>
        <w:t>SECTOR PERT</w:t>
      </w:r>
      <w:r w:rsidR="008503EF">
        <w:rPr>
          <w:rFonts w:ascii="Garamond" w:hAnsi="Garamond"/>
          <w:b/>
          <w:sz w:val="24"/>
          <w:szCs w:val="24"/>
        </w:rPr>
        <w:t>ENECIENTE AL OBJETO CONTRACTUAL</w:t>
      </w:r>
    </w:p>
    <w:tbl>
      <w:tblPr>
        <w:tblStyle w:val="TableNormal"/>
        <w:tblW w:w="0" w:type="auto"/>
        <w:tblInd w:w="3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77"/>
      </w:tblGrid>
      <w:tr w:rsidR="00866C14" w14:paraId="31A87B56" w14:textId="77777777" w:rsidTr="00CA6979">
        <w:trPr>
          <w:trHeight w:val="230"/>
        </w:trPr>
        <w:tc>
          <w:tcPr>
            <w:tcW w:w="4477" w:type="dxa"/>
          </w:tcPr>
          <w:p w14:paraId="6E3CE84B" w14:textId="77777777" w:rsidR="00866C14" w:rsidRPr="00866C14" w:rsidRDefault="00866C14" w:rsidP="002A4BF2">
            <w:pPr>
              <w:pStyle w:val="TableParagraph"/>
              <w:ind w:left="993" w:right="474"/>
              <w:jc w:val="center"/>
              <w:rPr>
                <w:rFonts w:ascii="Garamond" w:hAnsi="Garamond"/>
                <w:b/>
                <w:sz w:val="24"/>
                <w:szCs w:val="24"/>
              </w:rPr>
            </w:pPr>
            <w:r w:rsidRPr="00866C14">
              <w:rPr>
                <w:rFonts w:ascii="Garamond" w:hAnsi="Garamond"/>
                <w:b/>
                <w:sz w:val="24"/>
                <w:szCs w:val="24"/>
              </w:rPr>
              <w:lastRenderedPageBreak/>
              <w:t>SECTOR</w:t>
            </w:r>
            <w:r w:rsidRPr="00866C14">
              <w:rPr>
                <w:rFonts w:ascii="Garamond" w:hAnsi="Garamond"/>
                <w:b/>
                <w:spacing w:val="-9"/>
                <w:sz w:val="24"/>
                <w:szCs w:val="24"/>
              </w:rPr>
              <w:t xml:space="preserve"> </w:t>
            </w:r>
            <w:r w:rsidRPr="00866C14">
              <w:rPr>
                <w:rFonts w:ascii="Garamond" w:hAnsi="Garamond"/>
                <w:b/>
                <w:spacing w:val="-2"/>
                <w:sz w:val="24"/>
                <w:szCs w:val="24"/>
              </w:rPr>
              <w:t>ECONOMICO</w:t>
            </w:r>
          </w:p>
        </w:tc>
      </w:tr>
      <w:tr w:rsidR="00866C14" w14:paraId="665663ED" w14:textId="77777777" w:rsidTr="00CA6979">
        <w:trPr>
          <w:trHeight w:val="254"/>
        </w:trPr>
        <w:tc>
          <w:tcPr>
            <w:tcW w:w="4477" w:type="dxa"/>
          </w:tcPr>
          <w:p w14:paraId="27904FE9" w14:textId="77777777" w:rsidR="00866C14" w:rsidRPr="00866C14" w:rsidRDefault="00866C14" w:rsidP="002A4BF2">
            <w:pPr>
              <w:pStyle w:val="TableParagraph"/>
              <w:ind w:left="993" w:right="474"/>
              <w:jc w:val="center"/>
              <w:rPr>
                <w:rFonts w:ascii="Garamond" w:hAnsi="Garamond"/>
                <w:sz w:val="24"/>
                <w:szCs w:val="24"/>
              </w:rPr>
            </w:pPr>
            <w:r w:rsidRPr="00866C14">
              <w:rPr>
                <w:rFonts w:ascii="Garamond" w:hAnsi="Garamond"/>
                <w:sz w:val="24"/>
                <w:szCs w:val="24"/>
              </w:rPr>
              <w:t>Sector</w:t>
            </w:r>
            <w:r w:rsidRPr="00866C14">
              <w:rPr>
                <w:rFonts w:ascii="Garamond" w:hAnsi="Garamond"/>
                <w:spacing w:val="-2"/>
                <w:sz w:val="24"/>
                <w:szCs w:val="24"/>
              </w:rPr>
              <w:t xml:space="preserve"> Terciario</w:t>
            </w:r>
          </w:p>
        </w:tc>
      </w:tr>
    </w:tbl>
    <w:p w14:paraId="1B44637A" w14:textId="77777777" w:rsidR="00CA6979" w:rsidRDefault="00CA6979" w:rsidP="002A4BF2">
      <w:pPr>
        <w:spacing w:line="240" w:lineRule="auto"/>
        <w:ind w:left="993" w:right="474"/>
        <w:jc w:val="both"/>
        <w:rPr>
          <w:rFonts w:ascii="Garamond" w:hAnsi="Garamond"/>
          <w:sz w:val="24"/>
          <w:szCs w:val="24"/>
        </w:rPr>
      </w:pPr>
    </w:p>
    <w:p w14:paraId="10ECA3AC" w14:textId="219DB1AB" w:rsidR="004C2C14" w:rsidRDefault="004C2C14" w:rsidP="002A4BF2">
      <w:pPr>
        <w:spacing w:line="240" w:lineRule="auto"/>
        <w:ind w:left="993" w:right="474"/>
        <w:jc w:val="both"/>
        <w:rPr>
          <w:rFonts w:ascii="Garamond" w:hAnsi="Garamond"/>
          <w:sz w:val="24"/>
          <w:szCs w:val="24"/>
        </w:rPr>
      </w:pPr>
      <w:r>
        <w:rPr>
          <w:rFonts w:ascii="Garamond" w:hAnsi="Garamond"/>
          <w:sz w:val="24"/>
          <w:szCs w:val="24"/>
        </w:rPr>
        <w:t xml:space="preserve">Los códigos UNSPSC </w:t>
      </w:r>
      <w:r w:rsidRPr="004C2C14">
        <w:rPr>
          <w:rFonts w:ascii="Garamond" w:hAnsi="Garamond"/>
          <w:sz w:val="24"/>
          <w:szCs w:val="24"/>
        </w:rPr>
        <w:t>721540</w:t>
      </w:r>
      <w:r>
        <w:rPr>
          <w:rFonts w:ascii="Garamond" w:hAnsi="Garamond"/>
          <w:sz w:val="24"/>
          <w:szCs w:val="24"/>
        </w:rPr>
        <w:t xml:space="preserve">, </w:t>
      </w:r>
      <w:r w:rsidRPr="004C2C14">
        <w:rPr>
          <w:rFonts w:ascii="Garamond" w:hAnsi="Garamond"/>
          <w:sz w:val="24"/>
          <w:szCs w:val="24"/>
        </w:rPr>
        <w:t>721526</w:t>
      </w:r>
      <w:r>
        <w:rPr>
          <w:rFonts w:ascii="Garamond" w:hAnsi="Garamond"/>
          <w:sz w:val="24"/>
          <w:szCs w:val="24"/>
        </w:rPr>
        <w:t xml:space="preserve">, </w:t>
      </w:r>
      <w:r w:rsidRPr="004C2C14">
        <w:rPr>
          <w:rFonts w:ascii="Garamond" w:hAnsi="Garamond"/>
          <w:sz w:val="24"/>
          <w:szCs w:val="24"/>
        </w:rPr>
        <w:t>721029</w:t>
      </w:r>
      <w:r>
        <w:rPr>
          <w:rFonts w:ascii="Garamond" w:hAnsi="Garamond"/>
          <w:sz w:val="24"/>
          <w:szCs w:val="24"/>
        </w:rPr>
        <w:t xml:space="preserve">, </w:t>
      </w:r>
      <w:r w:rsidRPr="004C2C14">
        <w:rPr>
          <w:rFonts w:ascii="Garamond" w:hAnsi="Garamond"/>
          <w:sz w:val="24"/>
          <w:szCs w:val="24"/>
        </w:rPr>
        <w:t>301918</w:t>
      </w:r>
      <w:r>
        <w:rPr>
          <w:rFonts w:ascii="Garamond" w:hAnsi="Garamond"/>
          <w:sz w:val="24"/>
          <w:szCs w:val="24"/>
        </w:rPr>
        <w:t xml:space="preserve"> y </w:t>
      </w:r>
      <w:r w:rsidRPr="004C2C14">
        <w:rPr>
          <w:rFonts w:ascii="Garamond" w:hAnsi="Garamond"/>
          <w:sz w:val="24"/>
          <w:szCs w:val="24"/>
        </w:rPr>
        <w:t>301916</w:t>
      </w:r>
      <w:r>
        <w:rPr>
          <w:rFonts w:ascii="Garamond" w:hAnsi="Garamond"/>
          <w:sz w:val="24"/>
          <w:szCs w:val="24"/>
        </w:rPr>
        <w:t xml:space="preserve">, </w:t>
      </w:r>
      <w:r w:rsidRPr="004C2C14">
        <w:rPr>
          <w:rFonts w:ascii="Garamond" w:hAnsi="Garamond"/>
          <w:sz w:val="24"/>
          <w:szCs w:val="24"/>
        </w:rPr>
        <w:t>pertenecen al sector económico terciario de la economía, específicamente al sector de la construcción, mantenimiento de</w:t>
      </w:r>
      <w:r>
        <w:rPr>
          <w:rFonts w:ascii="Garamond" w:hAnsi="Garamond"/>
          <w:sz w:val="24"/>
          <w:szCs w:val="24"/>
        </w:rPr>
        <w:t xml:space="preserve"> </w:t>
      </w:r>
      <w:r w:rsidRPr="004C2C14">
        <w:rPr>
          <w:rFonts w:ascii="Garamond" w:hAnsi="Garamond"/>
          <w:sz w:val="24"/>
          <w:szCs w:val="24"/>
        </w:rPr>
        <w:t>infraestructura y servicios profesionales técnicos. En términos de la Clasificación Industrial Internacional Uniforme (CIIU), estos códigos están asociados principalmente a actividades de la sección F (Construcción) y parcialmente a la sección M (Actividades profesionales, científicas y técnicas). Este sector tiene un papel fundamental en el desarrollo económico, ya que abarca desde la consultoría técnica especializada hasta la ejecución y el mantenimiento físico de obras civiles.</w:t>
      </w:r>
    </w:p>
    <w:p w14:paraId="0A4323B6" w14:textId="77777777" w:rsidR="008C192F" w:rsidRPr="00866C14" w:rsidRDefault="008C192F" w:rsidP="002A4BF2">
      <w:pPr>
        <w:spacing w:line="240" w:lineRule="auto"/>
        <w:ind w:left="993" w:right="474"/>
        <w:jc w:val="both"/>
        <w:rPr>
          <w:rFonts w:ascii="Garamond" w:hAnsi="Garamond"/>
          <w:sz w:val="24"/>
          <w:szCs w:val="24"/>
        </w:rPr>
      </w:pPr>
      <w:r w:rsidRPr="00866C14">
        <w:rPr>
          <w:rFonts w:ascii="Garamond" w:hAnsi="Garamond"/>
          <w:sz w:val="24"/>
          <w:szCs w:val="24"/>
        </w:rPr>
        <w:t xml:space="preserve">El sector terciario o de </w:t>
      </w:r>
      <w:r w:rsidRPr="004C2C14">
        <w:rPr>
          <w:rFonts w:ascii="Garamond" w:hAnsi="Garamond"/>
          <w:b/>
          <w:sz w:val="24"/>
          <w:szCs w:val="24"/>
        </w:rPr>
        <w:t>SERVICIOS</w:t>
      </w:r>
      <w:r w:rsidRPr="00866C14">
        <w:rPr>
          <w:rFonts w:ascii="Garamond" w:hAnsi="Garamond"/>
          <w:sz w:val="24"/>
          <w:szCs w:val="24"/>
        </w:rPr>
        <w:t>, corresponde al sector económico del presente objeto a contratar, el cual involucra a todas las actividades económicas que no producen bienes materiales sino proveen servicios para satisfacer las necesidades que demande la entidad para dar cumplimiento con los requerimientos que se generen en el desarrollo de la misión institucional. Este sector terciario es entendido como el conjunto de actividades desarrolladas por las unidades económicas encaminadas a generar y poner a disposición de las personas, los hogares o las empresas, una amplia gama de servicios cada vez que estos sean demandados y sobre los cuales no recaen derechos de propiedad por parte del usuario.</w:t>
      </w:r>
    </w:p>
    <w:p w14:paraId="4CBDB4B7" w14:textId="77777777" w:rsidR="008C192F" w:rsidRPr="00866C14" w:rsidRDefault="008C192F" w:rsidP="002A4BF2">
      <w:pPr>
        <w:spacing w:line="240" w:lineRule="auto"/>
        <w:ind w:left="993" w:right="474"/>
        <w:jc w:val="both"/>
        <w:rPr>
          <w:rFonts w:ascii="Garamond" w:hAnsi="Garamond"/>
          <w:sz w:val="24"/>
          <w:szCs w:val="24"/>
        </w:rPr>
      </w:pPr>
      <w:r w:rsidRPr="00866C14">
        <w:rPr>
          <w:rFonts w:ascii="Garamond" w:hAnsi="Garamond"/>
          <w:sz w:val="24"/>
          <w:szCs w:val="24"/>
        </w:rPr>
        <w:t xml:space="preserve">Los dos últimos años, muestran una clara ruptura en la historia económica del mundo, de la región y por supuesto de Colombia. Estábamos acostumbrados a hablar de ciclos económicos, tendencias que se fortalecían o se revertían e incluso se hacía referencia a crisis transitorias, en diferentes países, las cuales se irrigaban por todo el mundo. </w:t>
      </w:r>
    </w:p>
    <w:p w14:paraId="24CAA1C8" w14:textId="77777777" w:rsidR="008C192F" w:rsidRPr="00866C14" w:rsidRDefault="008C192F" w:rsidP="002A4BF2">
      <w:pPr>
        <w:spacing w:line="240" w:lineRule="auto"/>
        <w:ind w:left="993" w:right="474"/>
        <w:jc w:val="both"/>
        <w:rPr>
          <w:rFonts w:ascii="Garamond" w:hAnsi="Garamond"/>
          <w:sz w:val="24"/>
          <w:szCs w:val="24"/>
        </w:rPr>
      </w:pPr>
      <w:r w:rsidRPr="00866C14">
        <w:rPr>
          <w:rFonts w:ascii="Garamond" w:hAnsi="Garamond"/>
          <w:sz w:val="24"/>
          <w:szCs w:val="24"/>
        </w:rPr>
        <w:t>En estos escenarios nuestro gran reto era volvernos productivos y competitivos, insertarnos en las cadenas globales de valor y ajustarnos a la cuarta revolución industrial. Igualmente, el alcance de nuestras preocupaciones iba más allá de lo económico y abarcaba los temas sociales, ambientales, derechos humanos, todos ellos como parte de nuestro modelo económico.</w:t>
      </w:r>
    </w:p>
    <w:p w14:paraId="0CAD2C35" w14:textId="77777777" w:rsidR="008C192F" w:rsidRPr="00866C14" w:rsidRDefault="008C192F" w:rsidP="002A4BF2">
      <w:pPr>
        <w:spacing w:line="240" w:lineRule="auto"/>
        <w:ind w:left="993" w:right="474"/>
        <w:jc w:val="both"/>
        <w:rPr>
          <w:rFonts w:ascii="Garamond" w:hAnsi="Garamond"/>
          <w:sz w:val="24"/>
          <w:szCs w:val="24"/>
        </w:rPr>
      </w:pPr>
      <w:r w:rsidRPr="00866C14">
        <w:rPr>
          <w:rFonts w:ascii="Garamond" w:hAnsi="Garamond"/>
          <w:sz w:val="24"/>
          <w:szCs w:val="24"/>
        </w:rPr>
        <w:t xml:space="preserve">Este mundo no ha cambiado. Estas siguen siendo nuestras prioridades. Sin embargo, es evidente que cada vez hay que responder más rápidamente a las nuevas condiciones y un ejemplo claro ha sido la respuesta que ha exigido la pandemia. También, nos tocará seguir en un ambiente de incertidumbre que no logra despejarse y se mantendrá la volatilidad de los mercados. </w:t>
      </w:r>
    </w:p>
    <w:tbl>
      <w:tblPr>
        <w:tblW w:w="10347" w:type="dxa"/>
        <w:tblCellSpacing w:w="1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4"/>
        <w:gridCol w:w="1984"/>
        <w:gridCol w:w="1843"/>
        <w:gridCol w:w="1984"/>
        <w:gridCol w:w="3402"/>
      </w:tblGrid>
      <w:tr w:rsidR="008F76DB" w:rsidRPr="008F76DB" w14:paraId="55D11F6F" w14:textId="77777777" w:rsidTr="008F76DB">
        <w:trPr>
          <w:tblHeader/>
          <w:tblCellSpacing w:w="15" w:type="dxa"/>
        </w:trPr>
        <w:tc>
          <w:tcPr>
            <w:tcW w:w="1089" w:type="dxa"/>
            <w:vAlign w:val="center"/>
            <w:hideMark/>
          </w:tcPr>
          <w:p w14:paraId="240F6DD1" w14:textId="77777777" w:rsidR="008F76DB" w:rsidRPr="008F76DB" w:rsidRDefault="008F76DB" w:rsidP="002A4BF2">
            <w:pPr>
              <w:spacing w:after="0" w:line="240" w:lineRule="auto"/>
              <w:jc w:val="center"/>
              <w:rPr>
                <w:rFonts w:ascii="Garamond" w:eastAsia="Times New Roman" w:hAnsi="Garamond" w:cs="Times New Roman"/>
                <w:b/>
                <w:bCs/>
                <w:lang w:eastAsia="es-CO"/>
              </w:rPr>
            </w:pPr>
            <w:r w:rsidRPr="008F76DB">
              <w:rPr>
                <w:rFonts w:ascii="Garamond" w:eastAsia="Times New Roman" w:hAnsi="Garamond" w:cs="Times New Roman"/>
                <w:b/>
                <w:bCs/>
                <w:lang w:eastAsia="es-CO"/>
              </w:rPr>
              <w:t>Código UNSPSC</w:t>
            </w:r>
          </w:p>
        </w:tc>
        <w:tc>
          <w:tcPr>
            <w:tcW w:w="1954" w:type="dxa"/>
            <w:vAlign w:val="center"/>
            <w:hideMark/>
          </w:tcPr>
          <w:p w14:paraId="7EF4B5B3" w14:textId="77777777" w:rsidR="008F76DB" w:rsidRPr="008F76DB" w:rsidRDefault="008F76DB" w:rsidP="002A4BF2">
            <w:pPr>
              <w:spacing w:after="0" w:line="240" w:lineRule="auto"/>
              <w:jc w:val="center"/>
              <w:rPr>
                <w:rFonts w:ascii="Garamond" w:eastAsia="Times New Roman" w:hAnsi="Garamond" w:cs="Times New Roman"/>
                <w:b/>
                <w:bCs/>
                <w:lang w:eastAsia="es-CO"/>
              </w:rPr>
            </w:pPr>
            <w:r w:rsidRPr="008F76DB">
              <w:rPr>
                <w:rFonts w:ascii="Garamond" w:eastAsia="Times New Roman" w:hAnsi="Garamond" w:cs="Times New Roman"/>
                <w:b/>
                <w:bCs/>
                <w:lang w:eastAsia="es-CO"/>
              </w:rPr>
              <w:t>Segmento</w:t>
            </w:r>
          </w:p>
        </w:tc>
        <w:tc>
          <w:tcPr>
            <w:tcW w:w="1813" w:type="dxa"/>
            <w:vAlign w:val="center"/>
            <w:hideMark/>
          </w:tcPr>
          <w:p w14:paraId="0CEB9EDF" w14:textId="77777777" w:rsidR="008F76DB" w:rsidRPr="008F76DB" w:rsidRDefault="008F76DB" w:rsidP="002A4BF2">
            <w:pPr>
              <w:spacing w:after="0" w:line="240" w:lineRule="auto"/>
              <w:jc w:val="center"/>
              <w:rPr>
                <w:rFonts w:ascii="Garamond" w:eastAsia="Times New Roman" w:hAnsi="Garamond" w:cs="Times New Roman"/>
                <w:b/>
                <w:bCs/>
                <w:lang w:eastAsia="es-CO"/>
              </w:rPr>
            </w:pPr>
            <w:r w:rsidRPr="008F76DB">
              <w:rPr>
                <w:rFonts w:ascii="Garamond" w:eastAsia="Times New Roman" w:hAnsi="Garamond" w:cs="Times New Roman"/>
                <w:b/>
                <w:bCs/>
                <w:lang w:eastAsia="es-CO"/>
              </w:rPr>
              <w:t>Familia</w:t>
            </w:r>
          </w:p>
        </w:tc>
        <w:tc>
          <w:tcPr>
            <w:tcW w:w="1954" w:type="dxa"/>
            <w:vAlign w:val="center"/>
            <w:hideMark/>
          </w:tcPr>
          <w:p w14:paraId="463A9AD1" w14:textId="77777777" w:rsidR="008F76DB" w:rsidRPr="008F76DB" w:rsidRDefault="008F76DB" w:rsidP="002A4BF2">
            <w:pPr>
              <w:spacing w:after="0" w:line="240" w:lineRule="auto"/>
              <w:jc w:val="center"/>
              <w:rPr>
                <w:rFonts w:ascii="Garamond" w:eastAsia="Times New Roman" w:hAnsi="Garamond" w:cs="Times New Roman"/>
                <w:b/>
                <w:bCs/>
                <w:lang w:eastAsia="es-CO"/>
              </w:rPr>
            </w:pPr>
            <w:r w:rsidRPr="008F76DB">
              <w:rPr>
                <w:rFonts w:ascii="Garamond" w:eastAsia="Times New Roman" w:hAnsi="Garamond" w:cs="Times New Roman"/>
                <w:b/>
                <w:bCs/>
                <w:lang w:eastAsia="es-CO"/>
              </w:rPr>
              <w:t>Clase</w:t>
            </w:r>
          </w:p>
        </w:tc>
        <w:tc>
          <w:tcPr>
            <w:tcW w:w="3357" w:type="dxa"/>
            <w:vAlign w:val="center"/>
            <w:hideMark/>
          </w:tcPr>
          <w:p w14:paraId="51521A8B" w14:textId="77777777" w:rsidR="008F76DB" w:rsidRPr="008F76DB" w:rsidRDefault="008F76DB" w:rsidP="002A4BF2">
            <w:pPr>
              <w:spacing w:after="0" w:line="240" w:lineRule="auto"/>
              <w:jc w:val="center"/>
              <w:rPr>
                <w:rFonts w:ascii="Garamond" w:eastAsia="Times New Roman" w:hAnsi="Garamond" w:cs="Times New Roman"/>
                <w:b/>
                <w:bCs/>
                <w:lang w:eastAsia="es-CO"/>
              </w:rPr>
            </w:pPr>
            <w:r w:rsidRPr="008F76DB">
              <w:rPr>
                <w:rFonts w:ascii="Garamond" w:eastAsia="Times New Roman" w:hAnsi="Garamond" w:cs="Times New Roman"/>
                <w:b/>
                <w:bCs/>
                <w:lang w:eastAsia="es-CO"/>
              </w:rPr>
              <w:t>Descripción general del producto o servicio</w:t>
            </w:r>
          </w:p>
        </w:tc>
      </w:tr>
      <w:tr w:rsidR="008F76DB" w:rsidRPr="008F76DB" w14:paraId="073CEEAA" w14:textId="77777777" w:rsidTr="008F76DB">
        <w:trPr>
          <w:tblCellSpacing w:w="15" w:type="dxa"/>
        </w:trPr>
        <w:tc>
          <w:tcPr>
            <w:tcW w:w="1089" w:type="dxa"/>
            <w:vAlign w:val="center"/>
            <w:hideMark/>
          </w:tcPr>
          <w:p w14:paraId="52AFD677"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b/>
                <w:bCs/>
                <w:lang w:eastAsia="es-CO"/>
              </w:rPr>
              <w:t>721540</w:t>
            </w:r>
          </w:p>
        </w:tc>
        <w:tc>
          <w:tcPr>
            <w:tcW w:w="1954" w:type="dxa"/>
            <w:vAlign w:val="center"/>
            <w:hideMark/>
          </w:tcPr>
          <w:p w14:paraId="3EC377B6"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72 – Servicios de edificación, construcción de instalaciones y mantenimiento</w:t>
            </w:r>
          </w:p>
        </w:tc>
        <w:tc>
          <w:tcPr>
            <w:tcW w:w="1813" w:type="dxa"/>
            <w:vAlign w:val="center"/>
            <w:hideMark/>
          </w:tcPr>
          <w:p w14:paraId="6BD44AD8"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15 – Servicios de mantenimiento y construcción de comercio especializado</w:t>
            </w:r>
          </w:p>
        </w:tc>
        <w:tc>
          <w:tcPr>
            <w:tcW w:w="1954" w:type="dxa"/>
            <w:vAlign w:val="center"/>
            <w:hideMark/>
          </w:tcPr>
          <w:p w14:paraId="4A48367B"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40 – Servicios de edificios especializados y comercios</w:t>
            </w:r>
          </w:p>
        </w:tc>
        <w:tc>
          <w:tcPr>
            <w:tcW w:w="3357" w:type="dxa"/>
            <w:vAlign w:val="center"/>
            <w:hideMark/>
          </w:tcPr>
          <w:p w14:paraId="4F5EE9D2" w14:textId="77777777" w:rsidR="008F76DB" w:rsidRPr="008F76DB" w:rsidRDefault="008F76DB" w:rsidP="002A4BF2">
            <w:pPr>
              <w:spacing w:after="0" w:line="240" w:lineRule="auto"/>
              <w:jc w:val="both"/>
              <w:rPr>
                <w:rFonts w:ascii="Garamond" w:eastAsia="Times New Roman" w:hAnsi="Garamond" w:cs="Times New Roman"/>
                <w:lang w:eastAsia="es-CO"/>
              </w:rPr>
            </w:pPr>
            <w:r w:rsidRPr="008F76DB">
              <w:rPr>
                <w:rFonts w:ascii="Garamond" w:eastAsia="Times New Roman" w:hAnsi="Garamond" w:cs="Times New Roman"/>
                <w:lang w:eastAsia="es-CO"/>
              </w:rPr>
              <w:t xml:space="preserve">Servicios de mantenimiento, construcción o reparación de edificaciones con uso comercial o especializado (como locales, edificaciones institucionales, centros recreativos, etc.). </w:t>
            </w:r>
            <w:r w:rsidRPr="008F76DB">
              <w:rPr>
                <w:rFonts w:ascii="Garamond" w:eastAsia="Times New Roman" w:hAnsi="Garamond" w:cs="Times New Roman"/>
                <w:b/>
                <w:u w:val="single"/>
                <w:lang w:eastAsia="es-CO"/>
              </w:rPr>
              <w:t>Incluye remodelaciones y adecuaciones.</w:t>
            </w:r>
          </w:p>
        </w:tc>
      </w:tr>
      <w:tr w:rsidR="008F76DB" w:rsidRPr="008F76DB" w14:paraId="458E2904" w14:textId="77777777" w:rsidTr="008F76DB">
        <w:trPr>
          <w:tblCellSpacing w:w="15" w:type="dxa"/>
        </w:trPr>
        <w:tc>
          <w:tcPr>
            <w:tcW w:w="1089" w:type="dxa"/>
            <w:vAlign w:val="center"/>
            <w:hideMark/>
          </w:tcPr>
          <w:p w14:paraId="479CAD46"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b/>
                <w:bCs/>
                <w:lang w:eastAsia="es-CO"/>
              </w:rPr>
              <w:t>721526</w:t>
            </w:r>
          </w:p>
        </w:tc>
        <w:tc>
          <w:tcPr>
            <w:tcW w:w="1954" w:type="dxa"/>
            <w:vAlign w:val="center"/>
            <w:hideMark/>
          </w:tcPr>
          <w:p w14:paraId="60B03523"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72 – Servicios de edificación, construcción de instalaciones y mantenimiento</w:t>
            </w:r>
          </w:p>
        </w:tc>
        <w:tc>
          <w:tcPr>
            <w:tcW w:w="1813" w:type="dxa"/>
            <w:vAlign w:val="center"/>
            <w:hideMark/>
          </w:tcPr>
          <w:p w14:paraId="62F37055"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15 – Servicios de mantenimiento y construcción de comercio especializado</w:t>
            </w:r>
          </w:p>
        </w:tc>
        <w:tc>
          <w:tcPr>
            <w:tcW w:w="1954" w:type="dxa"/>
            <w:vAlign w:val="center"/>
            <w:hideMark/>
          </w:tcPr>
          <w:p w14:paraId="302946F2"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26 – Servicios de techado y paredes externas y láminas de metal</w:t>
            </w:r>
          </w:p>
        </w:tc>
        <w:tc>
          <w:tcPr>
            <w:tcW w:w="3357" w:type="dxa"/>
            <w:vAlign w:val="center"/>
            <w:hideMark/>
          </w:tcPr>
          <w:p w14:paraId="3A937221" w14:textId="77777777" w:rsidR="008F76DB" w:rsidRPr="008F76DB" w:rsidRDefault="008F76DB" w:rsidP="002A4BF2">
            <w:pPr>
              <w:spacing w:after="0" w:line="240" w:lineRule="auto"/>
              <w:jc w:val="both"/>
              <w:rPr>
                <w:rFonts w:ascii="Garamond" w:eastAsia="Times New Roman" w:hAnsi="Garamond" w:cs="Times New Roman"/>
                <w:lang w:eastAsia="es-CO"/>
              </w:rPr>
            </w:pPr>
            <w:r w:rsidRPr="008F76DB">
              <w:rPr>
                <w:rFonts w:ascii="Garamond" w:eastAsia="Times New Roman" w:hAnsi="Garamond" w:cs="Times New Roman"/>
                <w:lang w:eastAsia="es-CO"/>
              </w:rPr>
              <w:t>Servicios relacionados con la instalación, reparación o mantenimiento de cubiertas, techos, muros exteriores y cerramientos metálicos o de lámina.</w:t>
            </w:r>
          </w:p>
        </w:tc>
      </w:tr>
      <w:tr w:rsidR="008F76DB" w:rsidRPr="008F76DB" w14:paraId="3952CFF1" w14:textId="77777777" w:rsidTr="008F76DB">
        <w:trPr>
          <w:tblCellSpacing w:w="15" w:type="dxa"/>
        </w:trPr>
        <w:tc>
          <w:tcPr>
            <w:tcW w:w="1089" w:type="dxa"/>
            <w:vAlign w:val="center"/>
            <w:hideMark/>
          </w:tcPr>
          <w:p w14:paraId="79C84DCD"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b/>
                <w:bCs/>
                <w:lang w:eastAsia="es-CO"/>
              </w:rPr>
              <w:lastRenderedPageBreak/>
              <w:t>721029</w:t>
            </w:r>
          </w:p>
        </w:tc>
        <w:tc>
          <w:tcPr>
            <w:tcW w:w="1954" w:type="dxa"/>
            <w:vAlign w:val="center"/>
            <w:hideMark/>
          </w:tcPr>
          <w:p w14:paraId="145D9907"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72 – Servicios de edificación, construcción de instalaciones y mantenimiento</w:t>
            </w:r>
          </w:p>
        </w:tc>
        <w:tc>
          <w:tcPr>
            <w:tcW w:w="1813" w:type="dxa"/>
            <w:vAlign w:val="center"/>
            <w:hideMark/>
          </w:tcPr>
          <w:p w14:paraId="65C45637"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10 – Servicios de mantenimiento y reparaciones de construcción e instalaciones</w:t>
            </w:r>
          </w:p>
        </w:tc>
        <w:tc>
          <w:tcPr>
            <w:tcW w:w="1954" w:type="dxa"/>
            <w:vAlign w:val="center"/>
            <w:hideMark/>
          </w:tcPr>
          <w:p w14:paraId="382C706B"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29 – Servicios de mantenimiento y reparación de edificaciones</w:t>
            </w:r>
          </w:p>
        </w:tc>
        <w:tc>
          <w:tcPr>
            <w:tcW w:w="3357" w:type="dxa"/>
            <w:vAlign w:val="center"/>
            <w:hideMark/>
          </w:tcPr>
          <w:p w14:paraId="1BE19D0E" w14:textId="77777777" w:rsidR="008F76DB" w:rsidRPr="008F76DB" w:rsidRDefault="008F76DB" w:rsidP="002A4BF2">
            <w:pPr>
              <w:spacing w:after="0" w:line="240" w:lineRule="auto"/>
              <w:jc w:val="both"/>
              <w:rPr>
                <w:rFonts w:ascii="Garamond" w:eastAsia="Times New Roman" w:hAnsi="Garamond" w:cs="Times New Roman"/>
                <w:lang w:eastAsia="es-CO"/>
              </w:rPr>
            </w:pPr>
            <w:r w:rsidRPr="008F76DB">
              <w:rPr>
                <w:rFonts w:ascii="Garamond" w:eastAsia="Times New Roman" w:hAnsi="Garamond" w:cs="Times New Roman"/>
                <w:lang w:eastAsia="es-CO"/>
              </w:rPr>
              <w:t>Servicios de conservación, adecuación o mantenimiento general de edificaciones, incluyendo obras menores, reparaciones estructurales o funcionales.</w:t>
            </w:r>
          </w:p>
        </w:tc>
      </w:tr>
      <w:tr w:rsidR="008F76DB" w:rsidRPr="008F76DB" w14:paraId="372A97BA" w14:textId="77777777" w:rsidTr="008F76DB">
        <w:trPr>
          <w:tblCellSpacing w:w="15" w:type="dxa"/>
        </w:trPr>
        <w:tc>
          <w:tcPr>
            <w:tcW w:w="1089" w:type="dxa"/>
            <w:vAlign w:val="center"/>
            <w:hideMark/>
          </w:tcPr>
          <w:p w14:paraId="390030AF"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b/>
                <w:bCs/>
                <w:lang w:eastAsia="es-CO"/>
              </w:rPr>
              <w:t>301918</w:t>
            </w:r>
          </w:p>
        </w:tc>
        <w:tc>
          <w:tcPr>
            <w:tcW w:w="1954" w:type="dxa"/>
            <w:vAlign w:val="center"/>
            <w:hideMark/>
          </w:tcPr>
          <w:p w14:paraId="57588523"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30 – Componentes y suministros para estructuras, edificación, construcción y obras civiles</w:t>
            </w:r>
          </w:p>
        </w:tc>
        <w:tc>
          <w:tcPr>
            <w:tcW w:w="1813" w:type="dxa"/>
            <w:vAlign w:val="center"/>
            <w:hideMark/>
          </w:tcPr>
          <w:p w14:paraId="79F86834"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19 – Equipo de apoyo para construcción y mantenimiento</w:t>
            </w:r>
          </w:p>
        </w:tc>
        <w:tc>
          <w:tcPr>
            <w:tcW w:w="1954" w:type="dxa"/>
            <w:vAlign w:val="center"/>
            <w:hideMark/>
          </w:tcPr>
          <w:p w14:paraId="49C28096"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18 – Equipos y materiales para construcciones temporales y apoyo al mantenimiento</w:t>
            </w:r>
          </w:p>
        </w:tc>
        <w:tc>
          <w:tcPr>
            <w:tcW w:w="3357" w:type="dxa"/>
            <w:vAlign w:val="center"/>
            <w:hideMark/>
          </w:tcPr>
          <w:p w14:paraId="45CBD156" w14:textId="77777777" w:rsidR="008F76DB" w:rsidRPr="008F76DB" w:rsidRDefault="008F76DB" w:rsidP="002A4BF2">
            <w:pPr>
              <w:spacing w:after="0" w:line="240" w:lineRule="auto"/>
              <w:jc w:val="both"/>
              <w:rPr>
                <w:rFonts w:ascii="Garamond" w:eastAsia="Times New Roman" w:hAnsi="Garamond" w:cs="Times New Roman"/>
                <w:lang w:eastAsia="es-CO"/>
              </w:rPr>
            </w:pPr>
            <w:r w:rsidRPr="008F76DB">
              <w:rPr>
                <w:rFonts w:ascii="Garamond" w:eastAsia="Times New Roman" w:hAnsi="Garamond" w:cs="Times New Roman"/>
                <w:lang w:eastAsia="es-CO"/>
              </w:rPr>
              <w:t>Elementos y materiales utilizados en obras civiles o mantenimiento temporal, como cerramientos de seguridad, casetas, vallas, tapiales, andamios, etc.</w:t>
            </w:r>
          </w:p>
        </w:tc>
      </w:tr>
      <w:tr w:rsidR="008F76DB" w:rsidRPr="008F76DB" w14:paraId="75823858" w14:textId="77777777" w:rsidTr="008F76DB">
        <w:trPr>
          <w:tblCellSpacing w:w="15" w:type="dxa"/>
        </w:trPr>
        <w:tc>
          <w:tcPr>
            <w:tcW w:w="1089" w:type="dxa"/>
            <w:vAlign w:val="center"/>
            <w:hideMark/>
          </w:tcPr>
          <w:p w14:paraId="780B78FC"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b/>
                <w:bCs/>
                <w:lang w:eastAsia="es-CO"/>
              </w:rPr>
              <w:t>301916</w:t>
            </w:r>
          </w:p>
        </w:tc>
        <w:tc>
          <w:tcPr>
            <w:tcW w:w="1954" w:type="dxa"/>
            <w:vAlign w:val="center"/>
            <w:hideMark/>
          </w:tcPr>
          <w:p w14:paraId="6B2D4126"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30 – Componentes y suministros para estructuras, edificación, construcción y obras civiles</w:t>
            </w:r>
          </w:p>
        </w:tc>
        <w:tc>
          <w:tcPr>
            <w:tcW w:w="1813" w:type="dxa"/>
            <w:vAlign w:val="center"/>
            <w:hideMark/>
          </w:tcPr>
          <w:p w14:paraId="42293455"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19 – Equipo de apoyo para construcción y mantenimiento</w:t>
            </w:r>
          </w:p>
        </w:tc>
        <w:tc>
          <w:tcPr>
            <w:tcW w:w="1954" w:type="dxa"/>
            <w:vAlign w:val="center"/>
            <w:hideMark/>
          </w:tcPr>
          <w:p w14:paraId="41C97F83" w14:textId="77777777" w:rsidR="008F76DB" w:rsidRPr="008F76DB" w:rsidRDefault="008F76DB" w:rsidP="002A4BF2">
            <w:pPr>
              <w:spacing w:after="0" w:line="240" w:lineRule="auto"/>
              <w:rPr>
                <w:rFonts w:ascii="Garamond" w:eastAsia="Times New Roman" w:hAnsi="Garamond" w:cs="Times New Roman"/>
                <w:lang w:eastAsia="es-CO"/>
              </w:rPr>
            </w:pPr>
            <w:r w:rsidRPr="008F76DB">
              <w:rPr>
                <w:rFonts w:ascii="Garamond" w:eastAsia="Times New Roman" w:hAnsi="Garamond" w:cs="Times New Roman"/>
                <w:lang w:eastAsia="es-CO"/>
              </w:rPr>
              <w:t>16 – Escaleras y accesorios de andamiajes</w:t>
            </w:r>
          </w:p>
        </w:tc>
        <w:tc>
          <w:tcPr>
            <w:tcW w:w="3357" w:type="dxa"/>
            <w:vAlign w:val="center"/>
            <w:hideMark/>
          </w:tcPr>
          <w:p w14:paraId="6A2DAE3D" w14:textId="77777777" w:rsidR="008F76DB" w:rsidRPr="008F76DB" w:rsidRDefault="008F76DB" w:rsidP="002A4BF2">
            <w:pPr>
              <w:spacing w:after="0" w:line="240" w:lineRule="auto"/>
              <w:jc w:val="both"/>
              <w:rPr>
                <w:rFonts w:ascii="Garamond" w:eastAsia="Times New Roman" w:hAnsi="Garamond" w:cs="Times New Roman"/>
                <w:lang w:eastAsia="es-CO"/>
              </w:rPr>
            </w:pPr>
            <w:r w:rsidRPr="008F76DB">
              <w:rPr>
                <w:rFonts w:ascii="Garamond" w:eastAsia="Times New Roman" w:hAnsi="Garamond" w:cs="Times New Roman"/>
                <w:lang w:eastAsia="es-CO"/>
              </w:rPr>
              <w:t>Incluye escaleras, barandas, plataformas y componentes para andamios o sistemas de acceso temporal en obras de construcción o mantenimiento.</w:t>
            </w:r>
          </w:p>
        </w:tc>
      </w:tr>
    </w:tbl>
    <w:p w14:paraId="3846D6EC" w14:textId="77777777" w:rsidR="008F76DB" w:rsidRDefault="008F76DB" w:rsidP="002A4BF2">
      <w:pPr>
        <w:spacing w:line="240" w:lineRule="auto"/>
        <w:ind w:left="993" w:right="474"/>
        <w:jc w:val="both"/>
        <w:rPr>
          <w:rFonts w:ascii="Garamond" w:hAnsi="Garamond"/>
          <w:sz w:val="24"/>
          <w:szCs w:val="24"/>
        </w:rPr>
      </w:pPr>
    </w:p>
    <w:p w14:paraId="5B98E9B4" w14:textId="428230C1" w:rsidR="00D93591" w:rsidRPr="003D57C6" w:rsidRDefault="00D93591" w:rsidP="003A1825">
      <w:pPr>
        <w:pStyle w:val="Prrafodelista"/>
        <w:numPr>
          <w:ilvl w:val="2"/>
          <w:numId w:val="1"/>
        </w:numPr>
        <w:spacing w:line="240" w:lineRule="auto"/>
        <w:ind w:right="474"/>
        <w:jc w:val="both"/>
        <w:rPr>
          <w:rFonts w:ascii="Garamond" w:hAnsi="Garamond"/>
          <w:b/>
          <w:sz w:val="24"/>
          <w:szCs w:val="24"/>
        </w:rPr>
      </w:pPr>
      <w:r w:rsidRPr="003D57C6">
        <w:rPr>
          <w:rFonts w:ascii="Garamond" w:hAnsi="Garamond"/>
          <w:b/>
          <w:sz w:val="24"/>
          <w:szCs w:val="24"/>
        </w:rPr>
        <w:t>Agentes que componen el sector</w:t>
      </w:r>
    </w:p>
    <w:p w14:paraId="46CAC059" w14:textId="77777777" w:rsidR="00D93591" w:rsidRPr="00D93591" w:rsidRDefault="00D93591" w:rsidP="002A4BF2">
      <w:pPr>
        <w:spacing w:line="240" w:lineRule="auto"/>
        <w:ind w:left="993" w:right="474"/>
        <w:jc w:val="both"/>
        <w:rPr>
          <w:rFonts w:ascii="Garamond" w:hAnsi="Garamond"/>
          <w:sz w:val="24"/>
          <w:szCs w:val="24"/>
        </w:rPr>
      </w:pPr>
      <w:r w:rsidRPr="00D93591">
        <w:rPr>
          <w:rFonts w:ascii="Garamond" w:hAnsi="Garamond"/>
          <w:sz w:val="24"/>
          <w:szCs w:val="24"/>
        </w:rPr>
        <w:t>Denominamos agente económico a cualquiera de las partes que hacen posible la actividad económica. Así, dentro de la actividad económica y del proceso económico en general podemos encontrarnos con diferentes agentes. Estos agentes pueden participar o tomar decisiones en forma de productores, consumidores, ahorradores o incluso inversores. Para este caso, los agentes que componen el sector terciario o sector servicios son aquellos actores que realizan las siguientes funciones:</w:t>
      </w:r>
    </w:p>
    <w:p w14:paraId="5D11C95C" w14:textId="22048BF4" w:rsidR="00D93591" w:rsidRPr="00D93591" w:rsidRDefault="00D93591" w:rsidP="003A1825">
      <w:pPr>
        <w:pStyle w:val="Prrafodelista"/>
        <w:numPr>
          <w:ilvl w:val="0"/>
          <w:numId w:val="7"/>
        </w:numPr>
        <w:spacing w:line="240" w:lineRule="auto"/>
        <w:ind w:right="474"/>
        <w:jc w:val="both"/>
        <w:rPr>
          <w:rFonts w:ascii="Garamond" w:hAnsi="Garamond"/>
          <w:sz w:val="24"/>
          <w:szCs w:val="24"/>
        </w:rPr>
      </w:pPr>
      <w:r w:rsidRPr="00D93591">
        <w:rPr>
          <w:rFonts w:ascii="Garamond" w:hAnsi="Garamond"/>
          <w:sz w:val="24"/>
          <w:szCs w:val="24"/>
        </w:rPr>
        <w:t>Oferentes (productores y ejecutores)</w:t>
      </w:r>
    </w:p>
    <w:p w14:paraId="09774FA6" w14:textId="1DE92F3A" w:rsidR="00D93591" w:rsidRDefault="00D93591" w:rsidP="002A4BF2">
      <w:pPr>
        <w:spacing w:line="240" w:lineRule="auto"/>
        <w:ind w:left="993" w:right="474"/>
        <w:jc w:val="both"/>
        <w:rPr>
          <w:rFonts w:ascii="Garamond" w:hAnsi="Garamond"/>
          <w:sz w:val="24"/>
          <w:szCs w:val="24"/>
        </w:rPr>
      </w:pPr>
      <w:r w:rsidRPr="00D93591">
        <w:rPr>
          <w:rFonts w:ascii="Garamond" w:hAnsi="Garamond"/>
          <w:sz w:val="24"/>
          <w:szCs w:val="24"/>
        </w:rPr>
        <w:t>Los oferentes son los encargados de proveer los bienes, servicios y mano de obra necesarios para los diferentes tipos de actividades.</w:t>
      </w:r>
    </w:p>
    <w:p w14:paraId="15C57CF2" w14:textId="7B149D6D" w:rsidR="00D93591" w:rsidRDefault="00D93591" w:rsidP="002A4BF2">
      <w:pPr>
        <w:spacing w:line="240" w:lineRule="auto"/>
        <w:ind w:left="993" w:right="474"/>
        <w:jc w:val="both"/>
        <w:rPr>
          <w:rFonts w:ascii="Garamond" w:hAnsi="Garamond"/>
          <w:sz w:val="24"/>
          <w:szCs w:val="24"/>
        </w:rPr>
      </w:pPr>
      <w:r w:rsidRPr="00D93591">
        <w:rPr>
          <w:rFonts w:ascii="Garamond" w:hAnsi="Garamond"/>
          <w:noProof/>
          <w:sz w:val="24"/>
          <w:szCs w:val="24"/>
          <w:lang w:eastAsia="es-CO"/>
        </w:rPr>
        <w:drawing>
          <wp:inline distT="0" distB="0" distL="0" distR="0" wp14:anchorId="60E851E9" wp14:editId="5C2E709A">
            <wp:extent cx="6086901" cy="15049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0607" cy="1505866"/>
                    </a:xfrm>
                    <a:prstGeom prst="rect">
                      <a:avLst/>
                    </a:prstGeom>
                  </pic:spPr>
                </pic:pic>
              </a:graphicData>
            </a:graphic>
          </wp:inline>
        </w:drawing>
      </w:r>
    </w:p>
    <w:p w14:paraId="28638DED" w14:textId="4FC86FB1" w:rsidR="00D93591" w:rsidRDefault="00D93591" w:rsidP="002A4BF2">
      <w:pPr>
        <w:spacing w:line="240" w:lineRule="auto"/>
        <w:ind w:left="993" w:right="474"/>
        <w:jc w:val="both"/>
        <w:rPr>
          <w:rFonts w:ascii="Garamond" w:hAnsi="Garamond"/>
          <w:sz w:val="24"/>
          <w:szCs w:val="24"/>
        </w:rPr>
      </w:pPr>
      <w:r w:rsidRPr="00D93591">
        <w:rPr>
          <w:rFonts w:ascii="Garamond" w:hAnsi="Garamond"/>
          <w:noProof/>
          <w:sz w:val="24"/>
          <w:szCs w:val="24"/>
          <w:lang w:eastAsia="es-CO"/>
        </w:rPr>
        <w:lastRenderedPageBreak/>
        <w:drawing>
          <wp:inline distT="0" distB="0" distL="0" distR="0" wp14:anchorId="416D80CE" wp14:editId="14F9D761">
            <wp:extent cx="5964072" cy="143827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66601" cy="1438885"/>
                    </a:xfrm>
                    <a:prstGeom prst="rect">
                      <a:avLst/>
                    </a:prstGeom>
                  </pic:spPr>
                </pic:pic>
              </a:graphicData>
            </a:graphic>
          </wp:inline>
        </w:drawing>
      </w:r>
    </w:p>
    <w:p w14:paraId="5771AFC4" w14:textId="5BF7F8ED" w:rsidR="00D93591" w:rsidRDefault="00D93591" w:rsidP="003A1825">
      <w:pPr>
        <w:pStyle w:val="Prrafodelista"/>
        <w:numPr>
          <w:ilvl w:val="0"/>
          <w:numId w:val="7"/>
        </w:numPr>
        <w:spacing w:line="240" w:lineRule="auto"/>
        <w:ind w:right="474"/>
        <w:jc w:val="both"/>
        <w:rPr>
          <w:rFonts w:ascii="Garamond" w:hAnsi="Garamond"/>
          <w:sz w:val="24"/>
          <w:szCs w:val="24"/>
        </w:rPr>
      </w:pPr>
      <w:r>
        <w:rPr>
          <w:rFonts w:ascii="Garamond" w:hAnsi="Garamond"/>
          <w:sz w:val="24"/>
          <w:szCs w:val="24"/>
        </w:rPr>
        <w:t>Reguladores (Entidades que establecen normas y controlan el mercado)</w:t>
      </w:r>
    </w:p>
    <w:tbl>
      <w:tblPr>
        <w:tblW w:w="0" w:type="auto"/>
        <w:tblCellSpacing w:w="15"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7"/>
        <w:gridCol w:w="6765"/>
      </w:tblGrid>
      <w:tr w:rsidR="00D93591" w:rsidRPr="00D93591" w14:paraId="603D8375" w14:textId="77777777" w:rsidTr="00D93591">
        <w:trPr>
          <w:tblHeader/>
          <w:tblCellSpacing w:w="15" w:type="dxa"/>
        </w:trPr>
        <w:tc>
          <w:tcPr>
            <w:tcW w:w="2632" w:type="dxa"/>
            <w:vAlign w:val="center"/>
            <w:hideMark/>
          </w:tcPr>
          <w:p w14:paraId="5F9CE37B" w14:textId="77777777" w:rsidR="00D93591" w:rsidRPr="00D93591" w:rsidRDefault="00D93591" w:rsidP="002A4BF2">
            <w:pPr>
              <w:spacing w:after="0" w:line="240" w:lineRule="auto"/>
              <w:jc w:val="center"/>
              <w:rPr>
                <w:rFonts w:ascii="Garamond" w:eastAsia="Times New Roman" w:hAnsi="Garamond" w:cs="Times New Roman"/>
                <w:b/>
                <w:bCs/>
                <w:lang w:eastAsia="es-CO"/>
              </w:rPr>
            </w:pPr>
            <w:r w:rsidRPr="00D93591">
              <w:rPr>
                <w:rFonts w:ascii="Garamond" w:eastAsia="Times New Roman" w:hAnsi="Garamond" w:cs="Times New Roman"/>
                <w:b/>
                <w:bCs/>
                <w:lang w:eastAsia="es-CO"/>
              </w:rPr>
              <w:t>Nombre</w:t>
            </w:r>
          </w:p>
        </w:tc>
        <w:tc>
          <w:tcPr>
            <w:tcW w:w="0" w:type="auto"/>
            <w:vAlign w:val="center"/>
            <w:hideMark/>
          </w:tcPr>
          <w:p w14:paraId="20CFD57B" w14:textId="77777777" w:rsidR="00D93591" w:rsidRPr="00D93591" w:rsidRDefault="00D93591" w:rsidP="002A4BF2">
            <w:pPr>
              <w:spacing w:after="0" w:line="240" w:lineRule="auto"/>
              <w:jc w:val="center"/>
              <w:rPr>
                <w:rFonts w:ascii="Garamond" w:eastAsia="Times New Roman" w:hAnsi="Garamond" w:cs="Times New Roman"/>
                <w:b/>
                <w:bCs/>
                <w:lang w:eastAsia="es-CO"/>
              </w:rPr>
            </w:pPr>
            <w:r w:rsidRPr="00D93591">
              <w:rPr>
                <w:rFonts w:ascii="Garamond" w:eastAsia="Times New Roman" w:hAnsi="Garamond" w:cs="Times New Roman"/>
                <w:b/>
                <w:bCs/>
                <w:lang w:eastAsia="es-CO"/>
              </w:rPr>
              <w:t>Rol o Función</w:t>
            </w:r>
          </w:p>
        </w:tc>
      </w:tr>
      <w:tr w:rsidR="00D93591" w:rsidRPr="00D93591" w14:paraId="59D51436" w14:textId="77777777" w:rsidTr="00D93591">
        <w:trPr>
          <w:tblCellSpacing w:w="15" w:type="dxa"/>
        </w:trPr>
        <w:tc>
          <w:tcPr>
            <w:tcW w:w="2632" w:type="dxa"/>
            <w:vAlign w:val="center"/>
            <w:hideMark/>
          </w:tcPr>
          <w:p w14:paraId="32E90D0D"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DADEP</w:t>
            </w:r>
            <w:r w:rsidRPr="00D93591">
              <w:rPr>
                <w:rFonts w:ascii="Garamond" w:eastAsia="Times New Roman" w:hAnsi="Garamond" w:cs="Times New Roman"/>
                <w:lang w:eastAsia="es-CO"/>
              </w:rPr>
              <w:t xml:space="preserve"> – Departamento Administrativo de la Defensoría del Espacio Público</w:t>
            </w:r>
          </w:p>
        </w:tc>
        <w:tc>
          <w:tcPr>
            <w:tcW w:w="0" w:type="auto"/>
            <w:vAlign w:val="center"/>
            <w:hideMark/>
          </w:tcPr>
          <w:p w14:paraId="31A674A1"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Administra y protege los bienes de uso público y verifica que las intervenciones en espacio público se ajusten a la normatividad vigente.</w:t>
            </w:r>
          </w:p>
        </w:tc>
      </w:tr>
      <w:tr w:rsidR="00D93591" w:rsidRPr="00D93591" w14:paraId="490627DE" w14:textId="77777777" w:rsidTr="00D93591">
        <w:trPr>
          <w:tblCellSpacing w:w="15" w:type="dxa"/>
        </w:trPr>
        <w:tc>
          <w:tcPr>
            <w:tcW w:w="2632" w:type="dxa"/>
            <w:vAlign w:val="center"/>
            <w:hideMark/>
          </w:tcPr>
          <w:p w14:paraId="5E753FA5"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IDPC</w:t>
            </w:r>
            <w:r w:rsidRPr="00D93591">
              <w:rPr>
                <w:rFonts w:ascii="Garamond" w:eastAsia="Times New Roman" w:hAnsi="Garamond" w:cs="Times New Roman"/>
                <w:lang w:eastAsia="es-CO"/>
              </w:rPr>
              <w:t xml:space="preserve"> – Instituto Distrital de Patrimonio Cultural</w:t>
            </w:r>
          </w:p>
        </w:tc>
        <w:tc>
          <w:tcPr>
            <w:tcW w:w="0" w:type="auto"/>
            <w:vAlign w:val="center"/>
            <w:hideMark/>
          </w:tcPr>
          <w:p w14:paraId="53178996"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Evalúa y autoriza intervenciones en bienes de interés cultural y en zonas con valor patrimonial, asegurando la conservación del patrimonio arquitectónico y urbano.</w:t>
            </w:r>
          </w:p>
        </w:tc>
      </w:tr>
      <w:tr w:rsidR="00D93591" w:rsidRPr="00D93591" w14:paraId="63F9E998" w14:textId="77777777" w:rsidTr="00D93591">
        <w:trPr>
          <w:tblCellSpacing w:w="15" w:type="dxa"/>
        </w:trPr>
        <w:tc>
          <w:tcPr>
            <w:tcW w:w="2632" w:type="dxa"/>
            <w:vAlign w:val="center"/>
            <w:hideMark/>
          </w:tcPr>
          <w:p w14:paraId="0C344A77"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SDP</w:t>
            </w:r>
            <w:r w:rsidRPr="00D93591">
              <w:rPr>
                <w:rFonts w:ascii="Garamond" w:eastAsia="Times New Roman" w:hAnsi="Garamond" w:cs="Times New Roman"/>
                <w:lang w:eastAsia="es-CO"/>
              </w:rPr>
              <w:t xml:space="preserve"> – Secretaría Distrital de Planeación</w:t>
            </w:r>
          </w:p>
        </w:tc>
        <w:tc>
          <w:tcPr>
            <w:tcW w:w="0" w:type="auto"/>
            <w:vAlign w:val="center"/>
            <w:hideMark/>
          </w:tcPr>
          <w:p w14:paraId="4D197066"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Define lineamientos de ordenamiento territorial y verifica la compatibilidad de los proyectos con el Plan de Ordenamiento Territorial (POT).</w:t>
            </w:r>
          </w:p>
        </w:tc>
      </w:tr>
      <w:tr w:rsidR="00D93591" w:rsidRPr="00D93591" w14:paraId="6CE32F82" w14:textId="77777777" w:rsidTr="00D93591">
        <w:trPr>
          <w:tblCellSpacing w:w="15" w:type="dxa"/>
        </w:trPr>
        <w:tc>
          <w:tcPr>
            <w:tcW w:w="2632" w:type="dxa"/>
            <w:vAlign w:val="center"/>
            <w:hideMark/>
          </w:tcPr>
          <w:p w14:paraId="058365AE"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SDP – Dirección de Patrimonio y Renovación Urbana</w:t>
            </w:r>
          </w:p>
        </w:tc>
        <w:tc>
          <w:tcPr>
            <w:tcW w:w="0" w:type="auto"/>
            <w:vAlign w:val="center"/>
            <w:hideMark/>
          </w:tcPr>
          <w:p w14:paraId="1CE0888C"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Emite conceptos técnicos para intervenciones en sectores de conservación y en inmuebles de valor patrimonial.</w:t>
            </w:r>
          </w:p>
        </w:tc>
      </w:tr>
      <w:tr w:rsidR="00D93591" w:rsidRPr="00D93591" w14:paraId="2520DF27" w14:textId="77777777" w:rsidTr="00D93591">
        <w:trPr>
          <w:tblCellSpacing w:w="15" w:type="dxa"/>
        </w:trPr>
        <w:tc>
          <w:tcPr>
            <w:tcW w:w="2632" w:type="dxa"/>
            <w:vAlign w:val="center"/>
            <w:hideMark/>
          </w:tcPr>
          <w:p w14:paraId="62A28775"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IDIGER</w:t>
            </w:r>
            <w:r w:rsidRPr="00D93591">
              <w:rPr>
                <w:rFonts w:ascii="Garamond" w:eastAsia="Times New Roman" w:hAnsi="Garamond" w:cs="Times New Roman"/>
                <w:lang w:eastAsia="es-CO"/>
              </w:rPr>
              <w:t xml:space="preserve"> – Instituto Distrital de Gestión de Riesgos y Cambio Climático</w:t>
            </w:r>
          </w:p>
        </w:tc>
        <w:tc>
          <w:tcPr>
            <w:tcW w:w="0" w:type="auto"/>
            <w:vAlign w:val="center"/>
            <w:hideMark/>
          </w:tcPr>
          <w:p w14:paraId="10338FD0"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Identifica riesgos estructurales, geotécnicos o de inundación, y emite recomendaciones técnicas para mitigarlos.</w:t>
            </w:r>
          </w:p>
        </w:tc>
      </w:tr>
      <w:tr w:rsidR="00D93591" w:rsidRPr="00D93591" w14:paraId="0B51F948" w14:textId="77777777" w:rsidTr="00D93591">
        <w:trPr>
          <w:tblCellSpacing w:w="15" w:type="dxa"/>
        </w:trPr>
        <w:tc>
          <w:tcPr>
            <w:tcW w:w="2632" w:type="dxa"/>
            <w:vAlign w:val="center"/>
            <w:hideMark/>
          </w:tcPr>
          <w:p w14:paraId="791DA4AB"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SDM</w:t>
            </w:r>
            <w:r w:rsidRPr="00D93591">
              <w:rPr>
                <w:rFonts w:ascii="Garamond" w:eastAsia="Times New Roman" w:hAnsi="Garamond" w:cs="Times New Roman"/>
                <w:lang w:eastAsia="es-CO"/>
              </w:rPr>
              <w:t xml:space="preserve"> – Secretaría Distrital de Movilidad</w:t>
            </w:r>
          </w:p>
        </w:tc>
        <w:tc>
          <w:tcPr>
            <w:tcW w:w="0" w:type="auto"/>
            <w:vAlign w:val="center"/>
            <w:hideMark/>
          </w:tcPr>
          <w:p w14:paraId="01433B98"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Evalúa y aprueba los planes de manejo de tránsito requeridos durante la ejecución de obras.</w:t>
            </w:r>
          </w:p>
        </w:tc>
      </w:tr>
      <w:tr w:rsidR="00D93591" w:rsidRPr="00D93591" w14:paraId="32CA4270" w14:textId="77777777" w:rsidTr="00D93591">
        <w:trPr>
          <w:tblCellSpacing w:w="15" w:type="dxa"/>
        </w:trPr>
        <w:tc>
          <w:tcPr>
            <w:tcW w:w="2632" w:type="dxa"/>
            <w:vAlign w:val="center"/>
            <w:hideMark/>
          </w:tcPr>
          <w:p w14:paraId="62D5086F" w14:textId="5123075F"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Alcaldía Local</w:t>
            </w:r>
          </w:p>
        </w:tc>
        <w:tc>
          <w:tcPr>
            <w:tcW w:w="0" w:type="auto"/>
            <w:vAlign w:val="center"/>
            <w:hideMark/>
          </w:tcPr>
          <w:p w14:paraId="21B18865"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Supervisa la ejecución de proyectos locales y garantiza el cumplimiento de los objetivos del plan de desarrollo local.</w:t>
            </w:r>
          </w:p>
        </w:tc>
      </w:tr>
    </w:tbl>
    <w:p w14:paraId="32C9EE68" w14:textId="45BAEA85" w:rsidR="00D93591" w:rsidRDefault="00D93591" w:rsidP="002A4BF2">
      <w:pPr>
        <w:spacing w:line="240" w:lineRule="auto"/>
        <w:ind w:left="993" w:right="474"/>
        <w:jc w:val="both"/>
        <w:rPr>
          <w:rFonts w:ascii="Garamond" w:hAnsi="Garamond"/>
          <w:sz w:val="24"/>
          <w:szCs w:val="24"/>
        </w:rPr>
      </w:pPr>
    </w:p>
    <w:p w14:paraId="267A45DD" w14:textId="7D4C19B0" w:rsidR="00D93591" w:rsidRDefault="00D93591" w:rsidP="003A1825">
      <w:pPr>
        <w:pStyle w:val="Prrafodelista"/>
        <w:numPr>
          <w:ilvl w:val="0"/>
          <w:numId w:val="7"/>
        </w:numPr>
        <w:spacing w:line="240" w:lineRule="auto"/>
        <w:ind w:right="474"/>
        <w:jc w:val="both"/>
        <w:rPr>
          <w:rFonts w:ascii="Garamond" w:hAnsi="Garamond"/>
          <w:sz w:val="24"/>
          <w:szCs w:val="24"/>
        </w:rPr>
      </w:pPr>
      <w:r>
        <w:rPr>
          <w:rFonts w:ascii="Garamond" w:hAnsi="Garamond"/>
          <w:sz w:val="24"/>
          <w:szCs w:val="24"/>
        </w:rPr>
        <w:t>Consumidores (quienes adquieren y usan la infraestructura)</w:t>
      </w:r>
    </w:p>
    <w:tbl>
      <w:tblPr>
        <w:tblW w:w="0" w:type="auto"/>
        <w:tblCellSpacing w:w="15"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3"/>
        <w:gridCol w:w="4129"/>
        <w:gridCol w:w="2620"/>
      </w:tblGrid>
      <w:tr w:rsidR="00D93591" w:rsidRPr="00D93591" w14:paraId="390E6165" w14:textId="77777777" w:rsidTr="00D93591">
        <w:trPr>
          <w:tblHeader/>
          <w:tblCellSpacing w:w="15" w:type="dxa"/>
        </w:trPr>
        <w:tc>
          <w:tcPr>
            <w:tcW w:w="2648" w:type="dxa"/>
            <w:vAlign w:val="center"/>
            <w:hideMark/>
          </w:tcPr>
          <w:p w14:paraId="54504A04" w14:textId="77777777" w:rsidR="00D93591" w:rsidRPr="00D93591" w:rsidRDefault="00D93591" w:rsidP="002A4BF2">
            <w:pPr>
              <w:spacing w:after="0" w:line="240" w:lineRule="auto"/>
              <w:jc w:val="center"/>
              <w:rPr>
                <w:rFonts w:ascii="Garamond" w:eastAsia="Times New Roman" w:hAnsi="Garamond" w:cs="Times New Roman"/>
                <w:b/>
                <w:bCs/>
                <w:lang w:eastAsia="es-CO"/>
              </w:rPr>
            </w:pPr>
            <w:r w:rsidRPr="00D93591">
              <w:rPr>
                <w:rFonts w:ascii="Garamond" w:eastAsia="Times New Roman" w:hAnsi="Garamond" w:cs="Times New Roman"/>
                <w:b/>
                <w:bCs/>
                <w:lang w:eastAsia="es-CO"/>
              </w:rPr>
              <w:t>Nombre</w:t>
            </w:r>
          </w:p>
        </w:tc>
        <w:tc>
          <w:tcPr>
            <w:tcW w:w="4099" w:type="dxa"/>
            <w:vAlign w:val="center"/>
            <w:hideMark/>
          </w:tcPr>
          <w:p w14:paraId="273461E2" w14:textId="77777777" w:rsidR="00D93591" w:rsidRPr="00D93591" w:rsidRDefault="00D93591" w:rsidP="002A4BF2">
            <w:pPr>
              <w:spacing w:after="0" w:line="240" w:lineRule="auto"/>
              <w:jc w:val="center"/>
              <w:rPr>
                <w:rFonts w:ascii="Garamond" w:eastAsia="Times New Roman" w:hAnsi="Garamond" w:cs="Times New Roman"/>
                <w:b/>
                <w:bCs/>
                <w:lang w:eastAsia="es-CO"/>
              </w:rPr>
            </w:pPr>
            <w:r w:rsidRPr="00D93591">
              <w:rPr>
                <w:rFonts w:ascii="Garamond" w:eastAsia="Times New Roman" w:hAnsi="Garamond" w:cs="Times New Roman"/>
                <w:b/>
                <w:bCs/>
                <w:lang w:eastAsia="es-CO"/>
              </w:rPr>
              <w:t>Rol o Función</w:t>
            </w:r>
          </w:p>
        </w:tc>
        <w:tc>
          <w:tcPr>
            <w:tcW w:w="0" w:type="auto"/>
            <w:vAlign w:val="center"/>
            <w:hideMark/>
          </w:tcPr>
          <w:p w14:paraId="1F9BDA32" w14:textId="77777777" w:rsidR="00D93591" w:rsidRPr="00D93591" w:rsidRDefault="00D93591" w:rsidP="002A4BF2">
            <w:pPr>
              <w:spacing w:after="0" w:line="240" w:lineRule="auto"/>
              <w:jc w:val="center"/>
              <w:rPr>
                <w:rFonts w:ascii="Garamond" w:eastAsia="Times New Roman" w:hAnsi="Garamond" w:cs="Times New Roman"/>
                <w:b/>
                <w:bCs/>
                <w:lang w:eastAsia="es-CO"/>
              </w:rPr>
            </w:pPr>
            <w:r w:rsidRPr="00D93591">
              <w:rPr>
                <w:rFonts w:ascii="Garamond" w:eastAsia="Times New Roman" w:hAnsi="Garamond" w:cs="Times New Roman"/>
                <w:b/>
                <w:bCs/>
                <w:lang w:eastAsia="es-CO"/>
              </w:rPr>
              <w:t>Empresa o Institución Representativa</w:t>
            </w:r>
          </w:p>
        </w:tc>
      </w:tr>
      <w:tr w:rsidR="00D93591" w:rsidRPr="00D93591" w14:paraId="5ED44663" w14:textId="77777777" w:rsidTr="00D93591">
        <w:trPr>
          <w:tblCellSpacing w:w="15" w:type="dxa"/>
        </w:trPr>
        <w:tc>
          <w:tcPr>
            <w:tcW w:w="2648" w:type="dxa"/>
            <w:vAlign w:val="center"/>
            <w:hideMark/>
          </w:tcPr>
          <w:p w14:paraId="77BB2020"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Juntas de Acción Comunal</w:t>
            </w:r>
          </w:p>
        </w:tc>
        <w:tc>
          <w:tcPr>
            <w:tcW w:w="4099" w:type="dxa"/>
            <w:vAlign w:val="center"/>
            <w:hideMark/>
          </w:tcPr>
          <w:p w14:paraId="60CC73EB"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Usuarios directos y veedores del uso del espacio público intervenido</w:t>
            </w:r>
          </w:p>
        </w:tc>
        <w:tc>
          <w:tcPr>
            <w:tcW w:w="0" w:type="auto"/>
            <w:vAlign w:val="center"/>
            <w:hideMark/>
          </w:tcPr>
          <w:p w14:paraId="1E87E7CC"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JAC Barrio Restrepo</w:t>
            </w:r>
          </w:p>
        </w:tc>
      </w:tr>
      <w:tr w:rsidR="00D93591" w:rsidRPr="00D93591" w14:paraId="61B1239C" w14:textId="77777777" w:rsidTr="00D93591">
        <w:trPr>
          <w:tblCellSpacing w:w="15" w:type="dxa"/>
        </w:trPr>
        <w:tc>
          <w:tcPr>
            <w:tcW w:w="2648" w:type="dxa"/>
            <w:vAlign w:val="center"/>
            <w:hideMark/>
          </w:tcPr>
          <w:p w14:paraId="109D3689"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Instituto para la Economía Social – IPES</w:t>
            </w:r>
          </w:p>
        </w:tc>
        <w:tc>
          <w:tcPr>
            <w:tcW w:w="4099" w:type="dxa"/>
            <w:vAlign w:val="center"/>
            <w:hideMark/>
          </w:tcPr>
          <w:p w14:paraId="7A41CED4" w14:textId="3CB823DF"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Administrador y responsable del inmueble, coordina las actividades económicas y sociales dentro del espacio</w:t>
            </w:r>
            <w:r>
              <w:rPr>
                <w:rFonts w:ascii="Garamond" w:eastAsia="Times New Roman" w:hAnsi="Garamond" w:cs="Times New Roman"/>
                <w:lang w:eastAsia="es-CO"/>
              </w:rPr>
              <w:t xml:space="preserve"> y el espacio continuo</w:t>
            </w:r>
          </w:p>
        </w:tc>
        <w:tc>
          <w:tcPr>
            <w:tcW w:w="0" w:type="auto"/>
            <w:vAlign w:val="center"/>
            <w:hideMark/>
          </w:tcPr>
          <w:p w14:paraId="49A88989"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IPES</w:t>
            </w:r>
          </w:p>
        </w:tc>
      </w:tr>
      <w:tr w:rsidR="00D93591" w:rsidRPr="00D93591" w14:paraId="60DBF14C" w14:textId="77777777" w:rsidTr="00D93591">
        <w:trPr>
          <w:tblCellSpacing w:w="15" w:type="dxa"/>
        </w:trPr>
        <w:tc>
          <w:tcPr>
            <w:tcW w:w="2648" w:type="dxa"/>
            <w:vAlign w:val="center"/>
            <w:hideMark/>
          </w:tcPr>
          <w:p w14:paraId="63B00584"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Alcaldía Local de Antonio Nariño</w:t>
            </w:r>
          </w:p>
        </w:tc>
        <w:tc>
          <w:tcPr>
            <w:tcW w:w="4099" w:type="dxa"/>
            <w:vAlign w:val="center"/>
            <w:hideMark/>
          </w:tcPr>
          <w:p w14:paraId="72D07DBB"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Promotora y supervisora de los proyectos de adecuación y mejoramiento del espacio público local</w:t>
            </w:r>
          </w:p>
        </w:tc>
        <w:tc>
          <w:tcPr>
            <w:tcW w:w="0" w:type="auto"/>
            <w:vAlign w:val="center"/>
            <w:hideMark/>
          </w:tcPr>
          <w:p w14:paraId="43745489"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Alcaldía Local de Antonio Nariño</w:t>
            </w:r>
          </w:p>
        </w:tc>
      </w:tr>
      <w:tr w:rsidR="00D93591" w:rsidRPr="00D93591" w14:paraId="58C2A47D" w14:textId="77777777" w:rsidTr="00D93591">
        <w:trPr>
          <w:tblCellSpacing w:w="15" w:type="dxa"/>
        </w:trPr>
        <w:tc>
          <w:tcPr>
            <w:tcW w:w="2648" w:type="dxa"/>
            <w:vAlign w:val="center"/>
            <w:hideMark/>
          </w:tcPr>
          <w:p w14:paraId="70C4CF2B"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t>Comunidad educativa y vecinal</w:t>
            </w:r>
          </w:p>
        </w:tc>
        <w:tc>
          <w:tcPr>
            <w:tcW w:w="4099" w:type="dxa"/>
            <w:vAlign w:val="center"/>
            <w:hideMark/>
          </w:tcPr>
          <w:p w14:paraId="494C874D"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Participación activa y apropiación del espacio rehabilitado</w:t>
            </w:r>
          </w:p>
        </w:tc>
        <w:tc>
          <w:tcPr>
            <w:tcW w:w="0" w:type="auto"/>
            <w:vAlign w:val="center"/>
            <w:hideMark/>
          </w:tcPr>
          <w:p w14:paraId="17EF775B"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Padres, estudiantes y residentes del sector</w:t>
            </w:r>
          </w:p>
        </w:tc>
      </w:tr>
      <w:tr w:rsidR="00D93591" w:rsidRPr="00D93591" w14:paraId="3A5016E7" w14:textId="77777777" w:rsidTr="00D93591">
        <w:trPr>
          <w:tblCellSpacing w:w="15" w:type="dxa"/>
        </w:trPr>
        <w:tc>
          <w:tcPr>
            <w:tcW w:w="2648" w:type="dxa"/>
            <w:vAlign w:val="center"/>
            <w:hideMark/>
          </w:tcPr>
          <w:p w14:paraId="3E2D45B9"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b/>
                <w:bCs/>
                <w:lang w:eastAsia="es-CO"/>
              </w:rPr>
              <w:lastRenderedPageBreak/>
              <w:t>Organizaciones sociales y culturales</w:t>
            </w:r>
          </w:p>
        </w:tc>
        <w:tc>
          <w:tcPr>
            <w:tcW w:w="4099" w:type="dxa"/>
            <w:vAlign w:val="center"/>
            <w:hideMark/>
          </w:tcPr>
          <w:p w14:paraId="69D89CC7"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Desarrollo de actividades comunitarias, pedagógicas y culturales en el espacio recuperado</w:t>
            </w:r>
          </w:p>
        </w:tc>
        <w:tc>
          <w:tcPr>
            <w:tcW w:w="0" w:type="auto"/>
            <w:vAlign w:val="center"/>
            <w:hideMark/>
          </w:tcPr>
          <w:p w14:paraId="36035E94" w14:textId="77777777" w:rsidR="00D93591" w:rsidRPr="00D93591" w:rsidRDefault="00D93591" w:rsidP="002A4BF2">
            <w:pPr>
              <w:spacing w:after="0" w:line="240" w:lineRule="auto"/>
              <w:rPr>
                <w:rFonts w:ascii="Garamond" w:eastAsia="Times New Roman" w:hAnsi="Garamond" w:cs="Times New Roman"/>
                <w:lang w:eastAsia="es-CO"/>
              </w:rPr>
            </w:pPr>
            <w:r w:rsidRPr="00D93591">
              <w:rPr>
                <w:rFonts w:ascii="Garamond" w:eastAsia="Times New Roman" w:hAnsi="Garamond" w:cs="Times New Roman"/>
                <w:lang w:eastAsia="es-CO"/>
              </w:rPr>
              <w:t>Fundaciones y colectivos locales</w:t>
            </w:r>
          </w:p>
        </w:tc>
      </w:tr>
    </w:tbl>
    <w:p w14:paraId="3BF6B462" w14:textId="77777777" w:rsidR="00D93591" w:rsidRDefault="00D93591" w:rsidP="002A4BF2">
      <w:pPr>
        <w:spacing w:line="240" w:lineRule="auto"/>
        <w:ind w:left="993" w:right="474"/>
        <w:jc w:val="both"/>
        <w:rPr>
          <w:rFonts w:ascii="Garamond" w:hAnsi="Garamond"/>
          <w:sz w:val="24"/>
          <w:szCs w:val="24"/>
        </w:rPr>
      </w:pPr>
    </w:p>
    <w:p w14:paraId="43E47F15" w14:textId="7C9A0675" w:rsidR="00D93591" w:rsidRPr="00D93591" w:rsidRDefault="00D93591" w:rsidP="002A4BF2">
      <w:pPr>
        <w:spacing w:line="240" w:lineRule="auto"/>
        <w:ind w:left="993" w:right="474"/>
        <w:jc w:val="both"/>
        <w:rPr>
          <w:rFonts w:ascii="Garamond" w:hAnsi="Garamond"/>
          <w:sz w:val="24"/>
          <w:szCs w:val="24"/>
        </w:rPr>
      </w:pPr>
      <w:r w:rsidRPr="00D93591">
        <w:rPr>
          <w:rFonts w:ascii="Garamond" w:hAnsi="Garamond"/>
          <w:sz w:val="24"/>
          <w:szCs w:val="24"/>
        </w:rPr>
        <w:t>A continuación, se presenta un listado de agremiaciones y asociaciones relevantes en el sector, incluyendo su nombre, rol y página web:</w:t>
      </w:r>
    </w:p>
    <w:tbl>
      <w:tblPr>
        <w:tblW w:w="0" w:type="auto"/>
        <w:tblCellSpacing w:w="15"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5"/>
        <w:gridCol w:w="3827"/>
        <w:gridCol w:w="2780"/>
      </w:tblGrid>
      <w:tr w:rsidR="008C192F" w14:paraId="243C1ED0" w14:textId="77777777" w:rsidTr="008C192F">
        <w:trPr>
          <w:tblHeader/>
          <w:tblCellSpacing w:w="15" w:type="dxa"/>
        </w:trPr>
        <w:tc>
          <w:tcPr>
            <w:tcW w:w="2790" w:type="dxa"/>
            <w:vAlign w:val="center"/>
            <w:hideMark/>
          </w:tcPr>
          <w:p w14:paraId="08DEC6B5" w14:textId="77777777" w:rsidR="008C192F" w:rsidRPr="008C192F" w:rsidRDefault="008C192F" w:rsidP="002A4BF2">
            <w:pPr>
              <w:spacing w:line="240" w:lineRule="auto"/>
              <w:jc w:val="center"/>
              <w:rPr>
                <w:rFonts w:ascii="Garamond" w:hAnsi="Garamond"/>
                <w:b/>
                <w:bCs/>
              </w:rPr>
            </w:pPr>
            <w:r w:rsidRPr="008C192F">
              <w:rPr>
                <w:rStyle w:val="Textoennegrita"/>
                <w:rFonts w:ascii="Garamond" w:hAnsi="Garamond"/>
              </w:rPr>
              <w:t>Nombre de la Agremiación o Asociación</w:t>
            </w:r>
          </w:p>
        </w:tc>
        <w:tc>
          <w:tcPr>
            <w:tcW w:w="3797" w:type="dxa"/>
            <w:vAlign w:val="center"/>
            <w:hideMark/>
          </w:tcPr>
          <w:p w14:paraId="6579C859" w14:textId="77777777" w:rsidR="008C192F" w:rsidRPr="008C192F" w:rsidRDefault="008C192F" w:rsidP="002A4BF2">
            <w:pPr>
              <w:spacing w:line="240" w:lineRule="auto"/>
              <w:jc w:val="center"/>
              <w:rPr>
                <w:rFonts w:ascii="Garamond" w:hAnsi="Garamond"/>
                <w:b/>
                <w:bCs/>
              </w:rPr>
            </w:pPr>
            <w:r w:rsidRPr="008C192F">
              <w:rPr>
                <w:rStyle w:val="Textoennegrita"/>
                <w:rFonts w:ascii="Garamond" w:hAnsi="Garamond"/>
              </w:rPr>
              <w:t>Rol o Enfoque Principal</w:t>
            </w:r>
          </w:p>
        </w:tc>
        <w:tc>
          <w:tcPr>
            <w:tcW w:w="2735" w:type="dxa"/>
            <w:vAlign w:val="center"/>
            <w:hideMark/>
          </w:tcPr>
          <w:p w14:paraId="0C07D9D3" w14:textId="77777777" w:rsidR="008C192F" w:rsidRPr="008C192F" w:rsidRDefault="008C192F" w:rsidP="002A4BF2">
            <w:pPr>
              <w:spacing w:line="240" w:lineRule="auto"/>
              <w:jc w:val="center"/>
              <w:rPr>
                <w:rFonts w:ascii="Garamond" w:hAnsi="Garamond"/>
                <w:b/>
                <w:bCs/>
              </w:rPr>
            </w:pPr>
            <w:r w:rsidRPr="008C192F">
              <w:rPr>
                <w:rStyle w:val="Textoennegrita"/>
                <w:rFonts w:ascii="Garamond" w:hAnsi="Garamond"/>
              </w:rPr>
              <w:t>Página web / contacto</w:t>
            </w:r>
          </w:p>
        </w:tc>
      </w:tr>
      <w:tr w:rsidR="008C192F" w14:paraId="161125AF" w14:textId="77777777" w:rsidTr="008C192F">
        <w:trPr>
          <w:tblCellSpacing w:w="15" w:type="dxa"/>
        </w:trPr>
        <w:tc>
          <w:tcPr>
            <w:tcW w:w="2790" w:type="dxa"/>
            <w:vAlign w:val="center"/>
            <w:hideMark/>
          </w:tcPr>
          <w:p w14:paraId="3176DD04" w14:textId="77777777" w:rsidR="008C192F" w:rsidRPr="008C192F" w:rsidRDefault="008C192F" w:rsidP="002A4BF2">
            <w:pPr>
              <w:spacing w:line="240" w:lineRule="auto"/>
              <w:rPr>
                <w:rFonts w:ascii="Garamond" w:hAnsi="Garamond"/>
              </w:rPr>
            </w:pPr>
            <w:r w:rsidRPr="008C192F">
              <w:rPr>
                <w:rFonts w:ascii="Garamond" w:hAnsi="Garamond"/>
              </w:rPr>
              <w:t>Sociedad Colombiana de Ingenieros (SCI)</w:t>
            </w:r>
          </w:p>
        </w:tc>
        <w:tc>
          <w:tcPr>
            <w:tcW w:w="3797" w:type="dxa"/>
            <w:vAlign w:val="center"/>
            <w:hideMark/>
          </w:tcPr>
          <w:p w14:paraId="3809B8EC" w14:textId="77777777" w:rsidR="008C192F" w:rsidRPr="008C192F" w:rsidRDefault="008C192F" w:rsidP="002A4BF2">
            <w:pPr>
              <w:spacing w:line="240" w:lineRule="auto"/>
              <w:rPr>
                <w:rFonts w:ascii="Garamond" w:hAnsi="Garamond"/>
              </w:rPr>
            </w:pPr>
            <w:r w:rsidRPr="008C192F">
              <w:rPr>
                <w:rFonts w:ascii="Garamond" w:hAnsi="Garamond"/>
              </w:rPr>
              <w:t>Representación de ingenieros civiles, estructurales y afines</w:t>
            </w:r>
          </w:p>
        </w:tc>
        <w:tc>
          <w:tcPr>
            <w:tcW w:w="2735" w:type="dxa"/>
            <w:vAlign w:val="center"/>
            <w:hideMark/>
          </w:tcPr>
          <w:p w14:paraId="680800BC" w14:textId="77777777" w:rsidR="008C192F" w:rsidRPr="008C192F" w:rsidRDefault="0068116C" w:rsidP="002A4BF2">
            <w:pPr>
              <w:spacing w:line="240" w:lineRule="auto"/>
              <w:rPr>
                <w:rFonts w:ascii="Garamond" w:hAnsi="Garamond"/>
              </w:rPr>
            </w:pPr>
            <w:hyperlink r:id="rId10" w:history="1">
              <w:r w:rsidR="008C192F" w:rsidRPr="008C192F">
                <w:rPr>
                  <w:rStyle w:val="Hipervnculo"/>
                  <w:rFonts w:ascii="Garamond" w:hAnsi="Garamond"/>
                </w:rPr>
                <w:t>www.sci.org.co</w:t>
              </w:r>
            </w:hyperlink>
          </w:p>
        </w:tc>
      </w:tr>
      <w:tr w:rsidR="008C192F" w14:paraId="021494A0" w14:textId="77777777" w:rsidTr="008C192F">
        <w:trPr>
          <w:tblCellSpacing w:w="15" w:type="dxa"/>
        </w:trPr>
        <w:tc>
          <w:tcPr>
            <w:tcW w:w="2790" w:type="dxa"/>
            <w:vAlign w:val="center"/>
            <w:hideMark/>
          </w:tcPr>
          <w:p w14:paraId="2ADF67F1" w14:textId="77777777" w:rsidR="008C192F" w:rsidRPr="008C192F" w:rsidRDefault="008C192F" w:rsidP="002A4BF2">
            <w:pPr>
              <w:spacing w:line="240" w:lineRule="auto"/>
              <w:rPr>
                <w:rFonts w:ascii="Garamond" w:hAnsi="Garamond"/>
              </w:rPr>
            </w:pPr>
            <w:r w:rsidRPr="008C192F">
              <w:rPr>
                <w:rFonts w:ascii="Garamond" w:hAnsi="Garamond"/>
              </w:rPr>
              <w:t>Sociedad Colombiana de Arquitectos (SCA)</w:t>
            </w:r>
          </w:p>
        </w:tc>
        <w:tc>
          <w:tcPr>
            <w:tcW w:w="3797" w:type="dxa"/>
            <w:vAlign w:val="center"/>
            <w:hideMark/>
          </w:tcPr>
          <w:p w14:paraId="57A35953" w14:textId="77777777" w:rsidR="008C192F" w:rsidRPr="008C192F" w:rsidRDefault="008C192F" w:rsidP="002A4BF2">
            <w:pPr>
              <w:spacing w:line="240" w:lineRule="auto"/>
              <w:rPr>
                <w:rFonts w:ascii="Garamond" w:hAnsi="Garamond"/>
              </w:rPr>
            </w:pPr>
            <w:r w:rsidRPr="008C192F">
              <w:rPr>
                <w:rFonts w:ascii="Garamond" w:hAnsi="Garamond"/>
              </w:rPr>
              <w:t>Agrupa a arquitectos en procesos de diseño, planificación y obra</w:t>
            </w:r>
          </w:p>
        </w:tc>
        <w:tc>
          <w:tcPr>
            <w:tcW w:w="2735" w:type="dxa"/>
            <w:vAlign w:val="center"/>
            <w:hideMark/>
          </w:tcPr>
          <w:p w14:paraId="30A697A6" w14:textId="77777777" w:rsidR="008C192F" w:rsidRPr="008C192F" w:rsidRDefault="0068116C" w:rsidP="002A4BF2">
            <w:pPr>
              <w:spacing w:line="240" w:lineRule="auto"/>
              <w:rPr>
                <w:rFonts w:ascii="Garamond" w:hAnsi="Garamond"/>
              </w:rPr>
            </w:pPr>
            <w:hyperlink r:id="rId11" w:history="1">
              <w:r w:rsidR="008C192F" w:rsidRPr="008C192F">
                <w:rPr>
                  <w:rStyle w:val="Hipervnculo"/>
                  <w:rFonts w:ascii="Garamond" w:hAnsi="Garamond"/>
                </w:rPr>
                <w:t>www.sca.org.co</w:t>
              </w:r>
            </w:hyperlink>
          </w:p>
        </w:tc>
      </w:tr>
      <w:tr w:rsidR="008C192F" w14:paraId="1F50899F" w14:textId="77777777" w:rsidTr="008C192F">
        <w:trPr>
          <w:tblCellSpacing w:w="15" w:type="dxa"/>
        </w:trPr>
        <w:tc>
          <w:tcPr>
            <w:tcW w:w="2790" w:type="dxa"/>
            <w:vAlign w:val="center"/>
            <w:hideMark/>
          </w:tcPr>
          <w:p w14:paraId="6A965F04" w14:textId="77777777" w:rsidR="008C192F" w:rsidRPr="008C192F" w:rsidRDefault="008C192F" w:rsidP="002A4BF2">
            <w:pPr>
              <w:spacing w:line="240" w:lineRule="auto"/>
              <w:rPr>
                <w:rFonts w:ascii="Garamond" w:hAnsi="Garamond"/>
              </w:rPr>
            </w:pPr>
            <w:r w:rsidRPr="008C192F">
              <w:rPr>
                <w:rFonts w:ascii="Garamond" w:hAnsi="Garamond"/>
              </w:rPr>
              <w:t>Cámara Colombiana de la Construcción (Camacol)</w:t>
            </w:r>
          </w:p>
        </w:tc>
        <w:tc>
          <w:tcPr>
            <w:tcW w:w="3797" w:type="dxa"/>
            <w:vAlign w:val="center"/>
            <w:hideMark/>
          </w:tcPr>
          <w:p w14:paraId="25C812B2" w14:textId="77777777" w:rsidR="008C192F" w:rsidRPr="008C192F" w:rsidRDefault="008C192F" w:rsidP="002A4BF2">
            <w:pPr>
              <w:spacing w:line="240" w:lineRule="auto"/>
              <w:rPr>
                <w:rFonts w:ascii="Garamond" w:hAnsi="Garamond"/>
              </w:rPr>
            </w:pPr>
            <w:r w:rsidRPr="008C192F">
              <w:rPr>
                <w:rFonts w:ascii="Garamond" w:hAnsi="Garamond"/>
              </w:rPr>
              <w:t>Representa empresas del sector constructor e inmobiliario</w:t>
            </w:r>
          </w:p>
        </w:tc>
        <w:tc>
          <w:tcPr>
            <w:tcW w:w="2735" w:type="dxa"/>
            <w:vAlign w:val="center"/>
            <w:hideMark/>
          </w:tcPr>
          <w:p w14:paraId="0781F2E9" w14:textId="77777777" w:rsidR="008C192F" w:rsidRPr="008C192F" w:rsidRDefault="0068116C" w:rsidP="002A4BF2">
            <w:pPr>
              <w:spacing w:line="240" w:lineRule="auto"/>
              <w:rPr>
                <w:rFonts w:ascii="Garamond" w:hAnsi="Garamond"/>
              </w:rPr>
            </w:pPr>
            <w:hyperlink r:id="rId12" w:history="1">
              <w:r w:rsidR="008C192F" w:rsidRPr="008C192F">
                <w:rPr>
                  <w:rStyle w:val="Hipervnculo"/>
                  <w:rFonts w:ascii="Garamond" w:hAnsi="Garamond"/>
                </w:rPr>
                <w:t>www.camacol.org.co</w:t>
              </w:r>
            </w:hyperlink>
          </w:p>
        </w:tc>
      </w:tr>
      <w:tr w:rsidR="008C192F" w14:paraId="17CB9C43" w14:textId="77777777" w:rsidTr="008C192F">
        <w:trPr>
          <w:tblCellSpacing w:w="15" w:type="dxa"/>
        </w:trPr>
        <w:tc>
          <w:tcPr>
            <w:tcW w:w="2790" w:type="dxa"/>
            <w:vAlign w:val="center"/>
            <w:hideMark/>
          </w:tcPr>
          <w:p w14:paraId="6FBC5C58" w14:textId="77777777" w:rsidR="008C192F" w:rsidRPr="008C192F" w:rsidRDefault="008C192F" w:rsidP="002A4BF2">
            <w:pPr>
              <w:spacing w:line="240" w:lineRule="auto"/>
              <w:rPr>
                <w:rFonts w:ascii="Garamond" w:hAnsi="Garamond"/>
              </w:rPr>
            </w:pPr>
            <w:r w:rsidRPr="008C192F">
              <w:rPr>
                <w:rFonts w:ascii="Garamond" w:hAnsi="Garamond"/>
              </w:rPr>
              <w:t>Asociación Colombiana de Ingenieros (ACIEM)</w:t>
            </w:r>
          </w:p>
        </w:tc>
        <w:tc>
          <w:tcPr>
            <w:tcW w:w="3797" w:type="dxa"/>
            <w:vAlign w:val="center"/>
            <w:hideMark/>
          </w:tcPr>
          <w:p w14:paraId="282F9607" w14:textId="77777777" w:rsidR="008C192F" w:rsidRPr="008C192F" w:rsidRDefault="008C192F" w:rsidP="002A4BF2">
            <w:pPr>
              <w:spacing w:line="240" w:lineRule="auto"/>
              <w:rPr>
                <w:rFonts w:ascii="Garamond" w:hAnsi="Garamond"/>
              </w:rPr>
            </w:pPr>
            <w:r w:rsidRPr="008C192F">
              <w:rPr>
                <w:rFonts w:ascii="Garamond" w:hAnsi="Garamond"/>
              </w:rPr>
              <w:t>Fomenta el desarrollo técnico y ético de los ingenieros</w:t>
            </w:r>
          </w:p>
        </w:tc>
        <w:tc>
          <w:tcPr>
            <w:tcW w:w="2735" w:type="dxa"/>
            <w:vAlign w:val="center"/>
            <w:hideMark/>
          </w:tcPr>
          <w:p w14:paraId="449B6056" w14:textId="77777777" w:rsidR="008C192F" w:rsidRPr="008C192F" w:rsidRDefault="0068116C" w:rsidP="002A4BF2">
            <w:pPr>
              <w:spacing w:line="240" w:lineRule="auto"/>
              <w:rPr>
                <w:rFonts w:ascii="Garamond" w:hAnsi="Garamond"/>
              </w:rPr>
            </w:pPr>
            <w:hyperlink r:id="rId13" w:history="1">
              <w:r w:rsidR="008C192F" w:rsidRPr="008C192F">
                <w:rPr>
                  <w:rStyle w:val="Hipervnculo"/>
                  <w:rFonts w:ascii="Garamond" w:hAnsi="Garamond"/>
                </w:rPr>
                <w:t>www.aciem.org</w:t>
              </w:r>
            </w:hyperlink>
          </w:p>
        </w:tc>
      </w:tr>
      <w:tr w:rsidR="008C192F" w14:paraId="5302AB90" w14:textId="77777777" w:rsidTr="008C192F">
        <w:trPr>
          <w:tblCellSpacing w:w="15" w:type="dxa"/>
        </w:trPr>
        <w:tc>
          <w:tcPr>
            <w:tcW w:w="2790" w:type="dxa"/>
            <w:tcBorders>
              <w:top w:val="single" w:sz="4" w:space="0" w:color="auto"/>
              <w:left w:val="single" w:sz="4" w:space="0" w:color="auto"/>
              <w:bottom w:val="single" w:sz="4" w:space="0" w:color="auto"/>
              <w:right w:val="single" w:sz="4" w:space="0" w:color="auto"/>
            </w:tcBorders>
            <w:vAlign w:val="center"/>
            <w:hideMark/>
          </w:tcPr>
          <w:p w14:paraId="05EF8A1A" w14:textId="77777777" w:rsidR="008C192F" w:rsidRPr="008C192F" w:rsidRDefault="008C192F" w:rsidP="002A4BF2">
            <w:pPr>
              <w:spacing w:line="240" w:lineRule="auto"/>
              <w:rPr>
                <w:rFonts w:ascii="Garamond" w:hAnsi="Garamond"/>
              </w:rPr>
            </w:pPr>
            <w:r w:rsidRPr="008C192F">
              <w:rPr>
                <w:rStyle w:val="Textoennegrita"/>
                <w:rFonts w:ascii="Garamond" w:hAnsi="Garamond"/>
                <w:b w:val="0"/>
                <w:bCs w:val="0"/>
              </w:rPr>
              <w:t>Nombre de la Agremiación o Asociación</w:t>
            </w:r>
          </w:p>
        </w:tc>
        <w:tc>
          <w:tcPr>
            <w:tcW w:w="3797" w:type="dxa"/>
            <w:tcBorders>
              <w:top w:val="single" w:sz="4" w:space="0" w:color="auto"/>
              <w:left w:val="single" w:sz="4" w:space="0" w:color="auto"/>
              <w:bottom w:val="single" w:sz="4" w:space="0" w:color="auto"/>
              <w:right w:val="single" w:sz="4" w:space="0" w:color="auto"/>
            </w:tcBorders>
            <w:vAlign w:val="center"/>
            <w:hideMark/>
          </w:tcPr>
          <w:p w14:paraId="5191C230" w14:textId="77777777" w:rsidR="008C192F" w:rsidRPr="008C192F" w:rsidRDefault="008C192F" w:rsidP="002A4BF2">
            <w:pPr>
              <w:spacing w:line="240" w:lineRule="auto"/>
              <w:rPr>
                <w:rFonts w:ascii="Garamond" w:hAnsi="Garamond"/>
              </w:rPr>
            </w:pPr>
            <w:r w:rsidRPr="008C192F">
              <w:rPr>
                <w:rStyle w:val="Textoennegrita"/>
                <w:rFonts w:ascii="Garamond" w:hAnsi="Garamond"/>
                <w:b w:val="0"/>
                <w:bCs w:val="0"/>
              </w:rPr>
              <w:t>Rol o Enfoque Principal</w:t>
            </w:r>
          </w:p>
        </w:tc>
        <w:tc>
          <w:tcPr>
            <w:tcW w:w="2735" w:type="dxa"/>
            <w:tcBorders>
              <w:top w:val="single" w:sz="4" w:space="0" w:color="auto"/>
              <w:left w:val="single" w:sz="4" w:space="0" w:color="auto"/>
              <w:bottom w:val="single" w:sz="4" w:space="0" w:color="auto"/>
              <w:right w:val="single" w:sz="4" w:space="0" w:color="auto"/>
            </w:tcBorders>
            <w:vAlign w:val="center"/>
            <w:hideMark/>
          </w:tcPr>
          <w:p w14:paraId="5FD394DC" w14:textId="77777777" w:rsidR="008C192F" w:rsidRPr="008C192F" w:rsidRDefault="008C192F" w:rsidP="002A4BF2">
            <w:pPr>
              <w:spacing w:line="240" w:lineRule="auto"/>
              <w:rPr>
                <w:rFonts w:ascii="Garamond" w:hAnsi="Garamond"/>
              </w:rPr>
            </w:pPr>
            <w:r w:rsidRPr="008C192F">
              <w:rPr>
                <w:rStyle w:val="Textoennegrita"/>
                <w:rFonts w:ascii="Garamond" w:hAnsi="Garamond"/>
                <w:b w:val="0"/>
                <w:bCs w:val="0"/>
              </w:rPr>
              <w:t>Página web / contacto</w:t>
            </w:r>
          </w:p>
        </w:tc>
      </w:tr>
      <w:tr w:rsidR="008C192F" w14:paraId="5A66D846" w14:textId="77777777" w:rsidTr="008C192F">
        <w:trPr>
          <w:tblCellSpacing w:w="15" w:type="dxa"/>
        </w:trPr>
        <w:tc>
          <w:tcPr>
            <w:tcW w:w="2790" w:type="dxa"/>
            <w:tcBorders>
              <w:top w:val="single" w:sz="4" w:space="0" w:color="auto"/>
              <w:left w:val="single" w:sz="4" w:space="0" w:color="auto"/>
              <w:bottom w:val="single" w:sz="4" w:space="0" w:color="auto"/>
              <w:right w:val="single" w:sz="4" w:space="0" w:color="auto"/>
            </w:tcBorders>
            <w:vAlign w:val="center"/>
            <w:hideMark/>
          </w:tcPr>
          <w:p w14:paraId="287CA5E1" w14:textId="77777777" w:rsidR="008C192F" w:rsidRPr="008C192F" w:rsidRDefault="008C192F" w:rsidP="002A4BF2">
            <w:pPr>
              <w:spacing w:line="240" w:lineRule="auto"/>
              <w:rPr>
                <w:rFonts w:ascii="Garamond" w:hAnsi="Garamond"/>
              </w:rPr>
            </w:pPr>
            <w:r w:rsidRPr="008C192F">
              <w:rPr>
                <w:rFonts w:ascii="Garamond" w:hAnsi="Garamond"/>
              </w:rPr>
              <w:t>Consejo Profesional Nacional de Arquitectura (CPNAA)</w:t>
            </w:r>
          </w:p>
        </w:tc>
        <w:tc>
          <w:tcPr>
            <w:tcW w:w="3797" w:type="dxa"/>
            <w:tcBorders>
              <w:top w:val="single" w:sz="4" w:space="0" w:color="auto"/>
              <w:left w:val="single" w:sz="4" w:space="0" w:color="auto"/>
              <w:bottom w:val="single" w:sz="4" w:space="0" w:color="auto"/>
              <w:right w:val="single" w:sz="4" w:space="0" w:color="auto"/>
            </w:tcBorders>
            <w:vAlign w:val="center"/>
            <w:hideMark/>
          </w:tcPr>
          <w:p w14:paraId="50F47829" w14:textId="77777777" w:rsidR="008C192F" w:rsidRPr="008C192F" w:rsidRDefault="008C192F" w:rsidP="002A4BF2">
            <w:pPr>
              <w:spacing w:line="240" w:lineRule="auto"/>
              <w:rPr>
                <w:rFonts w:ascii="Garamond" w:hAnsi="Garamond"/>
              </w:rPr>
            </w:pPr>
            <w:r w:rsidRPr="008C192F">
              <w:rPr>
                <w:rFonts w:ascii="Garamond" w:hAnsi="Garamond"/>
              </w:rPr>
              <w:t>Regula y promueve buenas prácticas entre arquitectos</w:t>
            </w:r>
          </w:p>
        </w:tc>
        <w:tc>
          <w:tcPr>
            <w:tcW w:w="2735" w:type="dxa"/>
            <w:tcBorders>
              <w:top w:val="single" w:sz="4" w:space="0" w:color="auto"/>
              <w:left w:val="single" w:sz="4" w:space="0" w:color="auto"/>
              <w:bottom w:val="single" w:sz="4" w:space="0" w:color="auto"/>
              <w:right w:val="single" w:sz="4" w:space="0" w:color="auto"/>
            </w:tcBorders>
            <w:vAlign w:val="center"/>
            <w:hideMark/>
          </w:tcPr>
          <w:p w14:paraId="4DB2AB6A" w14:textId="77777777" w:rsidR="008C192F" w:rsidRPr="008C192F" w:rsidRDefault="0068116C" w:rsidP="002A4BF2">
            <w:pPr>
              <w:spacing w:line="240" w:lineRule="auto"/>
              <w:rPr>
                <w:rFonts w:ascii="Garamond" w:hAnsi="Garamond"/>
              </w:rPr>
            </w:pPr>
            <w:hyperlink r:id="rId14" w:history="1">
              <w:r w:rsidR="008C192F" w:rsidRPr="008C192F">
                <w:rPr>
                  <w:rStyle w:val="Hipervnculo"/>
                  <w:rFonts w:ascii="Garamond" w:hAnsi="Garamond"/>
                </w:rPr>
                <w:t>www.cpnaa.gov.co</w:t>
              </w:r>
            </w:hyperlink>
          </w:p>
        </w:tc>
      </w:tr>
      <w:tr w:rsidR="008C192F" w14:paraId="306BB34E" w14:textId="77777777" w:rsidTr="008C192F">
        <w:trPr>
          <w:tblCellSpacing w:w="15" w:type="dxa"/>
        </w:trPr>
        <w:tc>
          <w:tcPr>
            <w:tcW w:w="2790" w:type="dxa"/>
            <w:tcBorders>
              <w:top w:val="single" w:sz="4" w:space="0" w:color="auto"/>
              <w:left w:val="single" w:sz="4" w:space="0" w:color="auto"/>
              <w:bottom w:val="single" w:sz="4" w:space="0" w:color="auto"/>
              <w:right w:val="single" w:sz="4" w:space="0" w:color="auto"/>
            </w:tcBorders>
            <w:vAlign w:val="center"/>
            <w:hideMark/>
          </w:tcPr>
          <w:p w14:paraId="3683DC4F" w14:textId="77777777" w:rsidR="008C192F" w:rsidRPr="008C192F" w:rsidRDefault="008C192F" w:rsidP="002A4BF2">
            <w:pPr>
              <w:spacing w:line="240" w:lineRule="auto"/>
              <w:rPr>
                <w:rFonts w:ascii="Garamond" w:hAnsi="Garamond"/>
              </w:rPr>
            </w:pPr>
            <w:r w:rsidRPr="008C192F">
              <w:rPr>
                <w:rFonts w:ascii="Garamond" w:hAnsi="Garamond"/>
              </w:rPr>
              <w:t>Consejo Profesional Nacional de Ingeniería (COPNIA)</w:t>
            </w:r>
          </w:p>
        </w:tc>
        <w:tc>
          <w:tcPr>
            <w:tcW w:w="3797" w:type="dxa"/>
            <w:tcBorders>
              <w:top w:val="single" w:sz="4" w:space="0" w:color="auto"/>
              <w:left w:val="single" w:sz="4" w:space="0" w:color="auto"/>
              <w:bottom w:val="single" w:sz="4" w:space="0" w:color="auto"/>
              <w:right w:val="single" w:sz="4" w:space="0" w:color="auto"/>
            </w:tcBorders>
            <w:vAlign w:val="center"/>
            <w:hideMark/>
          </w:tcPr>
          <w:p w14:paraId="7BA7853B" w14:textId="77777777" w:rsidR="008C192F" w:rsidRPr="008C192F" w:rsidRDefault="008C192F" w:rsidP="002A4BF2">
            <w:pPr>
              <w:spacing w:line="240" w:lineRule="auto"/>
              <w:rPr>
                <w:rFonts w:ascii="Garamond" w:hAnsi="Garamond"/>
              </w:rPr>
            </w:pPr>
            <w:r w:rsidRPr="008C192F">
              <w:rPr>
                <w:rFonts w:ascii="Garamond" w:hAnsi="Garamond"/>
              </w:rPr>
              <w:t>Vigila y controla el ejercicio legal de la ingeniería</w:t>
            </w:r>
          </w:p>
        </w:tc>
        <w:tc>
          <w:tcPr>
            <w:tcW w:w="2735" w:type="dxa"/>
            <w:tcBorders>
              <w:top w:val="single" w:sz="4" w:space="0" w:color="auto"/>
              <w:left w:val="single" w:sz="4" w:space="0" w:color="auto"/>
              <w:bottom w:val="single" w:sz="4" w:space="0" w:color="auto"/>
              <w:right w:val="single" w:sz="4" w:space="0" w:color="auto"/>
            </w:tcBorders>
            <w:vAlign w:val="center"/>
            <w:hideMark/>
          </w:tcPr>
          <w:p w14:paraId="64AF3406" w14:textId="77777777" w:rsidR="008C192F" w:rsidRPr="008C192F" w:rsidRDefault="0068116C" w:rsidP="002A4BF2">
            <w:pPr>
              <w:spacing w:line="240" w:lineRule="auto"/>
              <w:rPr>
                <w:rFonts w:ascii="Garamond" w:hAnsi="Garamond"/>
              </w:rPr>
            </w:pPr>
            <w:hyperlink r:id="rId15" w:history="1">
              <w:r w:rsidR="008C192F" w:rsidRPr="008C192F">
                <w:rPr>
                  <w:rStyle w:val="Hipervnculo"/>
                  <w:rFonts w:ascii="Garamond" w:hAnsi="Garamond"/>
                </w:rPr>
                <w:t>www.copnia.gov.co</w:t>
              </w:r>
            </w:hyperlink>
          </w:p>
        </w:tc>
      </w:tr>
      <w:tr w:rsidR="008C192F" w14:paraId="3A7ED90E" w14:textId="77777777" w:rsidTr="008C192F">
        <w:trPr>
          <w:tblCellSpacing w:w="15" w:type="dxa"/>
        </w:trPr>
        <w:tc>
          <w:tcPr>
            <w:tcW w:w="2790" w:type="dxa"/>
            <w:tcBorders>
              <w:top w:val="single" w:sz="4" w:space="0" w:color="auto"/>
              <w:left w:val="single" w:sz="4" w:space="0" w:color="auto"/>
              <w:bottom w:val="single" w:sz="4" w:space="0" w:color="auto"/>
              <w:right w:val="single" w:sz="4" w:space="0" w:color="auto"/>
            </w:tcBorders>
            <w:vAlign w:val="center"/>
            <w:hideMark/>
          </w:tcPr>
          <w:p w14:paraId="2ECA8B1B" w14:textId="77777777" w:rsidR="008C192F" w:rsidRPr="008C192F" w:rsidRDefault="008C192F" w:rsidP="002A4BF2">
            <w:pPr>
              <w:spacing w:line="240" w:lineRule="auto"/>
              <w:rPr>
                <w:rFonts w:ascii="Garamond" w:hAnsi="Garamond"/>
              </w:rPr>
            </w:pPr>
            <w:r w:rsidRPr="008C192F">
              <w:rPr>
                <w:rFonts w:ascii="Garamond" w:hAnsi="Garamond"/>
              </w:rPr>
              <w:t>Asociación Colombiana de Facultades de Arquitectura (ACFA)</w:t>
            </w:r>
          </w:p>
        </w:tc>
        <w:tc>
          <w:tcPr>
            <w:tcW w:w="3797" w:type="dxa"/>
            <w:tcBorders>
              <w:top w:val="single" w:sz="4" w:space="0" w:color="auto"/>
              <w:left w:val="single" w:sz="4" w:space="0" w:color="auto"/>
              <w:bottom w:val="single" w:sz="4" w:space="0" w:color="auto"/>
              <w:right w:val="single" w:sz="4" w:space="0" w:color="auto"/>
            </w:tcBorders>
            <w:vAlign w:val="center"/>
            <w:hideMark/>
          </w:tcPr>
          <w:p w14:paraId="2B47677F" w14:textId="77777777" w:rsidR="008C192F" w:rsidRPr="008C192F" w:rsidRDefault="008C192F" w:rsidP="002A4BF2">
            <w:pPr>
              <w:spacing w:line="240" w:lineRule="auto"/>
              <w:rPr>
                <w:rFonts w:ascii="Garamond" w:hAnsi="Garamond"/>
              </w:rPr>
            </w:pPr>
            <w:r w:rsidRPr="008C192F">
              <w:rPr>
                <w:rFonts w:ascii="Garamond" w:hAnsi="Garamond"/>
              </w:rPr>
              <w:t>Promueve la formación y ética en arquitectura y diseño urbano</w:t>
            </w:r>
          </w:p>
        </w:tc>
        <w:tc>
          <w:tcPr>
            <w:tcW w:w="2735" w:type="dxa"/>
            <w:tcBorders>
              <w:top w:val="single" w:sz="4" w:space="0" w:color="auto"/>
              <w:left w:val="single" w:sz="4" w:space="0" w:color="auto"/>
              <w:bottom w:val="single" w:sz="4" w:space="0" w:color="auto"/>
              <w:right w:val="single" w:sz="4" w:space="0" w:color="auto"/>
            </w:tcBorders>
            <w:vAlign w:val="center"/>
            <w:hideMark/>
          </w:tcPr>
          <w:p w14:paraId="6D5A410F" w14:textId="77777777" w:rsidR="008C192F" w:rsidRPr="008C192F" w:rsidRDefault="0068116C" w:rsidP="002A4BF2">
            <w:pPr>
              <w:spacing w:line="240" w:lineRule="auto"/>
              <w:rPr>
                <w:rFonts w:ascii="Garamond" w:hAnsi="Garamond"/>
              </w:rPr>
            </w:pPr>
            <w:hyperlink r:id="rId16" w:history="1">
              <w:r w:rsidR="008C192F" w:rsidRPr="008C192F">
                <w:rPr>
                  <w:rStyle w:val="Hipervnculo"/>
                  <w:rFonts w:ascii="Garamond" w:hAnsi="Garamond"/>
                </w:rPr>
                <w:t>www.acfa.org.co</w:t>
              </w:r>
            </w:hyperlink>
          </w:p>
        </w:tc>
      </w:tr>
      <w:tr w:rsidR="008C192F" w14:paraId="42319287" w14:textId="77777777" w:rsidTr="008C192F">
        <w:trPr>
          <w:tblCellSpacing w:w="15" w:type="dxa"/>
        </w:trPr>
        <w:tc>
          <w:tcPr>
            <w:tcW w:w="2790" w:type="dxa"/>
            <w:tcBorders>
              <w:top w:val="single" w:sz="4" w:space="0" w:color="auto"/>
              <w:left w:val="single" w:sz="4" w:space="0" w:color="auto"/>
              <w:bottom w:val="single" w:sz="4" w:space="0" w:color="auto"/>
              <w:right w:val="single" w:sz="4" w:space="0" w:color="auto"/>
            </w:tcBorders>
            <w:vAlign w:val="center"/>
            <w:hideMark/>
          </w:tcPr>
          <w:p w14:paraId="2F59CAA0" w14:textId="77777777" w:rsidR="008C192F" w:rsidRPr="008C192F" w:rsidRDefault="008C192F" w:rsidP="002A4BF2">
            <w:pPr>
              <w:spacing w:line="240" w:lineRule="auto"/>
              <w:rPr>
                <w:rFonts w:ascii="Garamond" w:hAnsi="Garamond"/>
              </w:rPr>
            </w:pPr>
            <w:r w:rsidRPr="008C192F">
              <w:rPr>
                <w:rFonts w:ascii="Garamond" w:hAnsi="Garamond"/>
              </w:rPr>
              <w:t>Asociación Nacional de Empresas de Servicios Públicos (ANDESCO)</w:t>
            </w:r>
          </w:p>
        </w:tc>
        <w:tc>
          <w:tcPr>
            <w:tcW w:w="3797" w:type="dxa"/>
            <w:tcBorders>
              <w:top w:val="single" w:sz="4" w:space="0" w:color="auto"/>
              <w:left w:val="single" w:sz="4" w:space="0" w:color="auto"/>
              <w:bottom w:val="single" w:sz="4" w:space="0" w:color="auto"/>
              <w:right w:val="single" w:sz="4" w:space="0" w:color="auto"/>
            </w:tcBorders>
            <w:vAlign w:val="center"/>
            <w:hideMark/>
          </w:tcPr>
          <w:p w14:paraId="22BF1C1E" w14:textId="77777777" w:rsidR="008C192F" w:rsidRPr="008C192F" w:rsidRDefault="008C192F" w:rsidP="002A4BF2">
            <w:pPr>
              <w:spacing w:line="240" w:lineRule="auto"/>
              <w:rPr>
                <w:rFonts w:ascii="Garamond" w:hAnsi="Garamond"/>
              </w:rPr>
            </w:pPr>
            <w:r w:rsidRPr="008C192F">
              <w:rPr>
                <w:rFonts w:ascii="Garamond" w:hAnsi="Garamond"/>
              </w:rPr>
              <w:t>Apoya procesos de infraestructura social y servicios comunitarios</w:t>
            </w:r>
          </w:p>
        </w:tc>
        <w:tc>
          <w:tcPr>
            <w:tcW w:w="2735" w:type="dxa"/>
            <w:tcBorders>
              <w:top w:val="single" w:sz="4" w:space="0" w:color="auto"/>
              <w:left w:val="single" w:sz="4" w:space="0" w:color="auto"/>
              <w:bottom w:val="single" w:sz="4" w:space="0" w:color="auto"/>
              <w:right w:val="single" w:sz="4" w:space="0" w:color="auto"/>
            </w:tcBorders>
            <w:vAlign w:val="center"/>
            <w:hideMark/>
          </w:tcPr>
          <w:p w14:paraId="18A66306" w14:textId="77777777" w:rsidR="008C192F" w:rsidRPr="008C192F" w:rsidRDefault="0068116C" w:rsidP="002A4BF2">
            <w:pPr>
              <w:spacing w:line="240" w:lineRule="auto"/>
              <w:rPr>
                <w:rFonts w:ascii="Garamond" w:hAnsi="Garamond"/>
              </w:rPr>
            </w:pPr>
            <w:hyperlink r:id="rId17" w:history="1">
              <w:r w:rsidR="008C192F" w:rsidRPr="008C192F">
                <w:rPr>
                  <w:rStyle w:val="Hipervnculo"/>
                  <w:rFonts w:ascii="Garamond" w:hAnsi="Garamond"/>
                </w:rPr>
                <w:t>www.andesco.org.co</w:t>
              </w:r>
            </w:hyperlink>
          </w:p>
        </w:tc>
      </w:tr>
      <w:tr w:rsidR="008C192F" w14:paraId="6AB41F14" w14:textId="77777777" w:rsidTr="008C192F">
        <w:trPr>
          <w:tblCellSpacing w:w="15" w:type="dxa"/>
        </w:trPr>
        <w:tc>
          <w:tcPr>
            <w:tcW w:w="2790" w:type="dxa"/>
            <w:tcBorders>
              <w:top w:val="single" w:sz="4" w:space="0" w:color="auto"/>
              <w:left w:val="single" w:sz="4" w:space="0" w:color="auto"/>
              <w:bottom w:val="single" w:sz="4" w:space="0" w:color="auto"/>
              <w:right w:val="single" w:sz="4" w:space="0" w:color="auto"/>
            </w:tcBorders>
            <w:vAlign w:val="center"/>
            <w:hideMark/>
          </w:tcPr>
          <w:p w14:paraId="02CF2B79" w14:textId="77777777" w:rsidR="008C192F" w:rsidRPr="008C192F" w:rsidRDefault="008C192F" w:rsidP="002A4BF2">
            <w:pPr>
              <w:spacing w:line="240" w:lineRule="auto"/>
              <w:rPr>
                <w:rFonts w:ascii="Garamond" w:hAnsi="Garamond"/>
              </w:rPr>
            </w:pPr>
            <w:r w:rsidRPr="008C192F">
              <w:rPr>
                <w:rFonts w:ascii="Garamond" w:hAnsi="Garamond"/>
              </w:rPr>
              <w:t>Asociación de Curadores Urbanos de Colombia (ACURCOL)</w:t>
            </w:r>
          </w:p>
        </w:tc>
        <w:tc>
          <w:tcPr>
            <w:tcW w:w="3797" w:type="dxa"/>
            <w:tcBorders>
              <w:top w:val="single" w:sz="4" w:space="0" w:color="auto"/>
              <w:left w:val="single" w:sz="4" w:space="0" w:color="auto"/>
              <w:bottom w:val="single" w:sz="4" w:space="0" w:color="auto"/>
              <w:right w:val="single" w:sz="4" w:space="0" w:color="auto"/>
            </w:tcBorders>
            <w:vAlign w:val="center"/>
            <w:hideMark/>
          </w:tcPr>
          <w:p w14:paraId="60C3800C" w14:textId="77777777" w:rsidR="008C192F" w:rsidRPr="008C192F" w:rsidRDefault="008C192F" w:rsidP="002A4BF2">
            <w:pPr>
              <w:spacing w:line="240" w:lineRule="auto"/>
              <w:rPr>
                <w:rFonts w:ascii="Garamond" w:hAnsi="Garamond"/>
              </w:rPr>
            </w:pPr>
            <w:r w:rsidRPr="008C192F">
              <w:rPr>
                <w:rFonts w:ascii="Garamond" w:hAnsi="Garamond"/>
              </w:rPr>
              <w:t>Representa a los curadores que regulan licencias de construcción</w:t>
            </w:r>
          </w:p>
        </w:tc>
        <w:tc>
          <w:tcPr>
            <w:tcW w:w="2735" w:type="dxa"/>
            <w:tcBorders>
              <w:top w:val="single" w:sz="4" w:space="0" w:color="auto"/>
              <w:left w:val="single" w:sz="4" w:space="0" w:color="auto"/>
              <w:bottom w:val="single" w:sz="4" w:space="0" w:color="auto"/>
              <w:right w:val="single" w:sz="4" w:space="0" w:color="auto"/>
            </w:tcBorders>
            <w:vAlign w:val="center"/>
            <w:hideMark/>
          </w:tcPr>
          <w:p w14:paraId="471423F4" w14:textId="77777777" w:rsidR="008C192F" w:rsidRPr="008C192F" w:rsidRDefault="0068116C" w:rsidP="002A4BF2">
            <w:pPr>
              <w:spacing w:line="240" w:lineRule="auto"/>
              <w:rPr>
                <w:rFonts w:ascii="Garamond" w:hAnsi="Garamond"/>
              </w:rPr>
            </w:pPr>
            <w:hyperlink r:id="rId18" w:history="1">
              <w:r w:rsidR="008C192F" w:rsidRPr="008C192F">
                <w:rPr>
                  <w:rStyle w:val="Hipervnculo"/>
                  <w:rFonts w:ascii="Garamond" w:hAnsi="Garamond"/>
                </w:rPr>
                <w:t>www.acurcol.org</w:t>
              </w:r>
            </w:hyperlink>
          </w:p>
        </w:tc>
      </w:tr>
    </w:tbl>
    <w:p w14:paraId="2EC3BEC5" w14:textId="77777777" w:rsidR="00D93591" w:rsidRPr="00D93591" w:rsidRDefault="00D93591" w:rsidP="002A4BF2">
      <w:pPr>
        <w:spacing w:line="240" w:lineRule="auto"/>
        <w:ind w:left="993" w:right="474"/>
        <w:jc w:val="both"/>
        <w:rPr>
          <w:rFonts w:ascii="Garamond" w:hAnsi="Garamond"/>
          <w:sz w:val="24"/>
          <w:szCs w:val="24"/>
        </w:rPr>
      </w:pPr>
    </w:p>
    <w:p w14:paraId="0EF9FCB1" w14:textId="77777777" w:rsidR="00D93591" w:rsidRPr="00D93591" w:rsidRDefault="00D93591" w:rsidP="002A4BF2">
      <w:pPr>
        <w:spacing w:line="240" w:lineRule="auto"/>
        <w:ind w:left="993" w:right="474"/>
        <w:jc w:val="both"/>
        <w:rPr>
          <w:rFonts w:ascii="Garamond" w:hAnsi="Garamond"/>
          <w:sz w:val="24"/>
          <w:szCs w:val="24"/>
        </w:rPr>
      </w:pPr>
      <w:r w:rsidRPr="00D93591">
        <w:rPr>
          <w:rFonts w:ascii="Garamond" w:hAnsi="Garamond"/>
          <w:sz w:val="24"/>
          <w:szCs w:val="24"/>
        </w:rPr>
        <w:t>Estos son los agentes que componen el sector de servicios enfocados a capacitación del tejido empresarial.</w:t>
      </w:r>
    </w:p>
    <w:p w14:paraId="275FCF98" w14:textId="77777777" w:rsidR="00D93591" w:rsidRPr="00D93591" w:rsidRDefault="00D93591" w:rsidP="002A4BF2">
      <w:pPr>
        <w:spacing w:line="240" w:lineRule="auto"/>
        <w:ind w:left="993" w:right="474"/>
        <w:jc w:val="both"/>
        <w:rPr>
          <w:rFonts w:ascii="Garamond" w:hAnsi="Garamond"/>
          <w:b/>
          <w:sz w:val="24"/>
          <w:szCs w:val="24"/>
        </w:rPr>
      </w:pPr>
      <w:r w:rsidRPr="00D93591">
        <w:rPr>
          <w:rFonts w:ascii="Garamond" w:hAnsi="Garamond"/>
          <w:b/>
          <w:sz w:val="24"/>
          <w:szCs w:val="24"/>
        </w:rPr>
        <w:t>Cifras totales de ventas y Perspectiva de crecimiento, inversión y ventas y Variables económicas que afectan el sector</w:t>
      </w:r>
    </w:p>
    <w:p w14:paraId="7A57876F" w14:textId="21ABC406" w:rsidR="00D93591" w:rsidRDefault="00D93591" w:rsidP="002A4BF2">
      <w:pPr>
        <w:spacing w:line="240" w:lineRule="auto"/>
        <w:ind w:left="993" w:right="474"/>
        <w:jc w:val="both"/>
        <w:rPr>
          <w:rFonts w:ascii="Garamond" w:hAnsi="Garamond"/>
          <w:sz w:val="24"/>
          <w:szCs w:val="24"/>
        </w:rPr>
      </w:pPr>
      <w:r w:rsidRPr="00D93591">
        <w:rPr>
          <w:rFonts w:ascii="Garamond" w:hAnsi="Garamond"/>
          <w:sz w:val="24"/>
          <w:szCs w:val="24"/>
        </w:rPr>
        <w:lastRenderedPageBreak/>
        <w:t>Para analizar de manera completa cada sector debemos partir del marco de referencia nacional y global. Que puede ser leído desde los datos del PIB.</w:t>
      </w:r>
    </w:p>
    <w:p w14:paraId="529D8B0B" w14:textId="77777777" w:rsidR="00C276E0"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La economía colombiana creció 1,7% en 2024, según el Departamento Administrativo Nacional de Estadística (Dane). Este crecimiento estuvo en línea con las expectativas de los analistas del mercado. Detalles del crecimiento económico en 2024 El primer trimestre creció 0,6%, El segundo trimestre creció 1,9%, El tercer trimestre creció 2,1%, El cuarto trimestre creció 2,3%.</w:t>
      </w:r>
    </w:p>
    <w:p w14:paraId="00EC08BB"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 xml:space="preserve">Factores que impulsaron el crecimiento: </w:t>
      </w:r>
    </w:p>
    <w:p w14:paraId="7A179857"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w:t>
      </w:r>
      <w:r w:rsidRPr="00866C14">
        <w:rPr>
          <w:rFonts w:ascii="Garamond" w:hAnsi="Garamond"/>
          <w:sz w:val="24"/>
          <w:szCs w:val="24"/>
        </w:rPr>
        <w:tab/>
        <w:t>La recuperación del consumo privado.</w:t>
      </w:r>
    </w:p>
    <w:p w14:paraId="763C3A77"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w:t>
      </w:r>
      <w:r w:rsidRPr="00866C14">
        <w:rPr>
          <w:rFonts w:ascii="Garamond" w:hAnsi="Garamond"/>
          <w:sz w:val="24"/>
          <w:szCs w:val="24"/>
        </w:rPr>
        <w:tab/>
        <w:t>El dinamismo de las exportaciones de servicios.</w:t>
      </w:r>
    </w:p>
    <w:p w14:paraId="7F9BCC28"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w:t>
      </w:r>
      <w:r w:rsidRPr="00866C14">
        <w:rPr>
          <w:rFonts w:ascii="Garamond" w:hAnsi="Garamond"/>
          <w:sz w:val="24"/>
          <w:szCs w:val="24"/>
        </w:rPr>
        <w:tab/>
        <w:t>La resiliencia de sectores como el agropecuario y los servicios.</w:t>
      </w:r>
    </w:p>
    <w:p w14:paraId="16F40E26"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 xml:space="preserve">Perspectivas para 2025 y 2026: </w:t>
      </w:r>
    </w:p>
    <w:p w14:paraId="2BCF85C6"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w:t>
      </w:r>
      <w:r w:rsidRPr="00866C14">
        <w:rPr>
          <w:rFonts w:ascii="Garamond" w:hAnsi="Garamond"/>
          <w:sz w:val="24"/>
          <w:szCs w:val="24"/>
        </w:rPr>
        <w:tab/>
        <w:t>Se proyectan crecimientos del PIB del 2,5 % y 3,2 %, impulsados por un mayor dinamismo en la inversión y un fortalecimiento del consumo privado.</w:t>
      </w:r>
    </w:p>
    <w:p w14:paraId="534BB8B9"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 xml:space="preserve">En el comercio internacional se esperaba un buen dinamismo el cual se logró e incluso, superó las expectativas. Al mismo tiempo se han observado restricciones de oferta en materias primas, escasez de semiconductores, recursos energéticos, contenedores, y los volúmenes de comercio han sido insuficientes para responder a la demanda. A lo anterior se suma, una baja disponibilidad en las navieras y una infraestructura portuaria que se había ajustado a la situación del 2020. El resultado del 2021 es una inflación global, también sin precedente, un alza de los fletes y costos logísticos, escasez de insumos intermedios y de algunos bienes finales y mayores costos. Muchas fuerzas convergen hacía una creciente presión inflacionaria. Es muy importante reconocer esto al momento de definir la actitud de la política pública que, como país, vamos a asumir frente a la inflación interna. No es lo mismo enfrentar aumentos de precios internos que enfrentar situaciones globales. </w:t>
      </w:r>
    </w:p>
    <w:p w14:paraId="1AFA691A"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El entorno en Colombia no replica lo que ha ocurrido a nivel internacional. Es decir, El DANE ha confirmado que la economía colombiana recupera bríos. Los indicadores muestran que el país creció 1,7% en 2024 y aparece en el sexto lugar en crecimiento económico, por encima de países desarrollados como Israel, Suiza, Corea del Sur, Suecia, Países Bajos, Estados Unidos y Alemania, entre otros.</w:t>
      </w:r>
    </w:p>
    <w:p w14:paraId="139EC066" w14:textId="77777777" w:rsidR="00866C14" w:rsidRPr="00866C14"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La variación anual del IPC en 2024 fue de (5,2%), las ciudades con promedios superiores fueron: Bucaramanga (6 %); Pereira (5,9 %); Bogotá (5,6 %); Medellín (5,6 %); Armenia (5,5 %); y las que estuvieron por debajo del promedio nacional fueron: Santa Marta (0,4%); Barranquilla (3,3%); Riohacha (4%) y Pasto (4,3 %).</w:t>
      </w:r>
    </w:p>
    <w:p w14:paraId="4C47B423" w14:textId="13F898B9" w:rsidR="00415197" w:rsidRDefault="00866C14" w:rsidP="002A4BF2">
      <w:pPr>
        <w:spacing w:line="240" w:lineRule="auto"/>
        <w:ind w:left="993" w:right="474"/>
        <w:jc w:val="both"/>
        <w:rPr>
          <w:rFonts w:ascii="Garamond" w:hAnsi="Garamond"/>
          <w:sz w:val="24"/>
          <w:szCs w:val="24"/>
        </w:rPr>
      </w:pPr>
      <w:r w:rsidRPr="00866C14">
        <w:rPr>
          <w:rFonts w:ascii="Garamond" w:hAnsi="Garamond"/>
          <w:sz w:val="24"/>
          <w:szCs w:val="24"/>
        </w:rPr>
        <w:t>Los niveles de desempleo están nuevamente en tasas de dos dígitos, donde los jóvenes y las mujeres fueron los más afectados. El gran reto es crear empleos formales y capacitar al talento humano de acuerdo con las nuevas necesidades del aparato productivo y la economía mundial. El Producto Interno Bruto (PIB) de Colombia creció 1,7% en 2024, en comparación con 2023. Este crecimiento es un avance con respecto al 2023, cuando el PIB se mantuvo estancado en el 0.07%.</w:t>
      </w:r>
    </w:p>
    <w:p w14:paraId="4307B9AA" w14:textId="77777777" w:rsidR="000D62E1" w:rsidRDefault="000D62E1" w:rsidP="002A4BF2">
      <w:pPr>
        <w:spacing w:line="240" w:lineRule="auto"/>
        <w:ind w:left="993" w:right="474"/>
        <w:jc w:val="both"/>
        <w:rPr>
          <w:rFonts w:ascii="Garamond" w:hAnsi="Garamond"/>
          <w:sz w:val="24"/>
          <w:szCs w:val="24"/>
        </w:rPr>
      </w:pPr>
    </w:p>
    <w:p w14:paraId="75D68D8F" w14:textId="77777777" w:rsidR="00F64EA3" w:rsidRDefault="00F64EA3" w:rsidP="002A4BF2">
      <w:pPr>
        <w:spacing w:line="240" w:lineRule="auto"/>
        <w:ind w:left="993" w:right="474"/>
        <w:jc w:val="both"/>
        <w:rPr>
          <w:rFonts w:ascii="Garamond" w:hAnsi="Garamond"/>
          <w:sz w:val="24"/>
          <w:szCs w:val="24"/>
        </w:rPr>
      </w:pPr>
      <w:r>
        <w:rPr>
          <w:noProof/>
          <w:lang w:eastAsia="es-CO"/>
        </w:rPr>
        <w:lastRenderedPageBreak/>
        <w:drawing>
          <wp:inline distT="0" distB="0" distL="0" distR="0" wp14:anchorId="757CCEB4" wp14:editId="5012CE18">
            <wp:extent cx="5476875" cy="2355584"/>
            <wp:effectExtent l="0" t="0" r="0" b="6985"/>
            <wp:docPr id="1125603615" name="Imagen 7" descr="Gráfica PI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a PIB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30813" cy="2378783"/>
                    </a:xfrm>
                    <a:prstGeom prst="rect">
                      <a:avLst/>
                    </a:prstGeom>
                    <a:noFill/>
                    <a:ln>
                      <a:noFill/>
                    </a:ln>
                  </pic:spPr>
                </pic:pic>
              </a:graphicData>
            </a:graphic>
          </wp:inline>
        </w:drawing>
      </w:r>
    </w:p>
    <w:p w14:paraId="4301A7E7" w14:textId="1A6A7B0A" w:rsidR="00F64EA3" w:rsidRDefault="00F64EA3" w:rsidP="002A4BF2">
      <w:pPr>
        <w:spacing w:line="240" w:lineRule="auto"/>
        <w:ind w:left="993" w:right="474"/>
        <w:jc w:val="center"/>
        <w:rPr>
          <w:rFonts w:ascii="Garamond" w:hAnsi="Garamond"/>
        </w:rPr>
      </w:pPr>
      <w:r w:rsidRPr="00F64EA3">
        <w:rPr>
          <w:rFonts w:ascii="Garamond" w:hAnsi="Garamond"/>
        </w:rPr>
        <w:t>Fuente: DANE, PIB_T</w:t>
      </w:r>
    </w:p>
    <w:p w14:paraId="01FEDEAA" w14:textId="77777777" w:rsidR="000D62E1" w:rsidRPr="00F64EA3" w:rsidRDefault="000D62E1" w:rsidP="002A4BF2">
      <w:pPr>
        <w:spacing w:line="240" w:lineRule="auto"/>
        <w:ind w:left="993" w:right="474"/>
        <w:jc w:val="center"/>
        <w:rPr>
          <w:rFonts w:ascii="Garamond" w:hAnsi="Garamond"/>
        </w:rPr>
      </w:pPr>
    </w:p>
    <w:p w14:paraId="3193139F"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Las actividades económicas que más contribuyen a la dinámica del valor agregado 2024 son:</w:t>
      </w:r>
    </w:p>
    <w:p w14:paraId="72649845"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w:t>
      </w:r>
      <w:r w:rsidRPr="00F64EA3">
        <w:rPr>
          <w:rFonts w:ascii="Garamond" w:hAnsi="Garamond"/>
          <w:sz w:val="24"/>
          <w:szCs w:val="24"/>
        </w:rPr>
        <w:tab/>
        <w:t>Agricultura, ganadería, caza, silvicultura y pesca crece 8,1% (contribuye 0,8 puntos porcentuales a la variación anual).</w:t>
      </w:r>
    </w:p>
    <w:p w14:paraId="18328348"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w:t>
      </w:r>
      <w:r w:rsidRPr="00F64EA3">
        <w:rPr>
          <w:rFonts w:ascii="Garamond" w:hAnsi="Garamond"/>
          <w:sz w:val="24"/>
          <w:szCs w:val="24"/>
        </w:rPr>
        <w:tab/>
        <w:t>Administración pública y defensa; planes de seguridad social de afiliación obligatoria; Educación; Actividades de atención de la salud humana y de servicios sociales crece 4,2% (contribuye 0,7 puntos porcentuales a la variación anual).</w:t>
      </w:r>
    </w:p>
    <w:p w14:paraId="64E33081"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w:t>
      </w:r>
      <w:r w:rsidRPr="00F64EA3">
        <w:rPr>
          <w:rFonts w:ascii="Garamond" w:hAnsi="Garamond"/>
          <w:sz w:val="24"/>
          <w:szCs w:val="24"/>
        </w:rPr>
        <w:tab/>
        <w:t>Actividades artísticas, de entretenimiento y recreación y otras actividades de servicios; Actividades de los hogares individuales en calidad de empleadores; actividades no diferenciadas de los hogares individuales como productores de bienes y servicios para uso propio crece 8,1% (contribuye 0,3 puntos porcentuales a la variación anual).</w:t>
      </w:r>
    </w:p>
    <w:p w14:paraId="7AC8AC69"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En el cuarto trimestre de 2024pr, el Producto Interno Bruto en su serie original, crece 2,3% respecto al mismo periodo de 2023p. Las actividades económicas que más contribuyen a la dinámica del valor agregado son:</w:t>
      </w:r>
    </w:p>
    <w:p w14:paraId="7F8B3964"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w:t>
      </w:r>
      <w:r w:rsidRPr="00F64EA3">
        <w:rPr>
          <w:rFonts w:ascii="Garamond" w:hAnsi="Garamond"/>
          <w:sz w:val="24"/>
          <w:szCs w:val="24"/>
        </w:rPr>
        <w:tab/>
        <w:t>Comercio al por mayor y al por menor; reparación de vehículos automotores y motocicletas; Transporte y almacenamiento; Alojamiento y servicios de comida crece 4,4% (contribuye 1,0 puntos porcentuales a la variación anual).</w:t>
      </w:r>
    </w:p>
    <w:p w14:paraId="1B25BE45"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w:t>
      </w:r>
      <w:r w:rsidRPr="00F64EA3">
        <w:rPr>
          <w:rFonts w:ascii="Garamond" w:hAnsi="Garamond"/>
          <w:sz w:val="24"/>
          <w:szCs w:val="24"/>
        </w:rPr>
        <w:tab/>
        <w:t>Administración pública y defensa; planes de seguridad social de afiliación obligatoria; Educación; Actividades de atención de la salud humana y de servicios sociales crece 4,0% (contribuye 0,7 puntos porcentuales a la variación anual).</w:t>
      </w:r>
    </w:p>
    <w:p w14:paraId="12012A2C"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w:t>
      </w:r>
      <w:r w:rsidRPr="00F64EA3">
        <w:rPr>
          <w:rFonts w:ascii="Garamond" w:hAnsi="Garamond"/>
          <w:sz w:val="24"/>
          <w:szCs w:val="24"/>
        </w:rPr>
        <w:tab/>
        <w:t>Agricultura, ganadería, caza, silvicultura y pesca crece 6,5% (contribuye 0,6 puntos porcentuales a la variación anual).</w:t>
      </w:r>
    </w:p>
    <w:p w14:paraId="51BB89F0"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Respecto al trimestre inmediatamente anterior, el Producto Interno Bruto en su serie ajustada por efecto estacional y calendario crece 0,6%. Cuando se observa el comportamiento de las actividades económicas relacionadas:</w:t>
      </w:r>
    </w:p>
    <w:p w14:paraId="22A79F9F"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w:t>
      </w:r>
      <w:r w:rsidRPr="00F64EA3">
        <w:rPr>
          <w:rFonts w:ascii="Garamond" w:hAnsi="Garamond"/>
          <w:sz w:val="24"/>
          <w:szCs w:val="24"/>
        </w:rPr>
        <w:tab/>
        <w:t>Comercio al por mayor y al por menor; reparación de vehículos automotores y motocicletas; Transporte y almacenamiento; Alojamiento y servicios de comida crece 3,2%.</w:t>
      </w:r>
    </w:p>
    <w:p w14:paraId="13A34BAA"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lastRenderedPageBreak/>
        <w:t>•</w:t>
      </w:r>
      <w:r w:rsidRPr="00F64EA3">
        <w:rPr>
          <w:rFonts w:ascii="Garamond" w:hAnsi="Garamond"/>
          <w:sz w:val="24"/>
          <w:szCs w:val="24"/>
        </w:rPr>
        <w:tab/>
        <w:t>Administración pública y defensa; planes de seguridad social de afiliación obligatoria; Educación; Actividades de atención de la salud humana y de servicios sociales crece 1,3%.</w:t>
      </w:r>
    </w:p>
    <w:p w14:paraId="7A9A755F"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w:t>
      </w:r>
      <w:r w:rsidRPr="00F64EA3">
        <w:rPr>
          <w:rFonts w:ascii="Garamond" w:hAnsi="Garamond"/>
          <w:sz w:val="24"/>
          <w:szCs w:val="24"/>
        </w:rPr>
        <w:tab/>
        <w:t>Industrias manufactureras crece 1,1%.</w:t>
      </w:r>
    </w:p>
    <w:p w14:paraId="1295BBB2"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 xml:space="preserve">Durante el segundo trimestre de 2024, el PIB real creció 2,1% 1, frente al mismo trimestre de 2023, gracias al crecimiento de la demanda interna, que luego de cinco trimestres seguidos de contracción volvió a expandirse a un ritmo de 1,6% gracias al repunte de la inversión y el consumo. El resultado se encuentra dentro del intervalo de los pronósticos de los analistas del mercado y del gobierno, quienes esperaban una cifra entre 1,7% y 3,0%. </w:t>
      </w:r>
    </w:p>
    <w:p w14:paraId="154E4AA6"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 xml:space="preserve">El crecimiento de la economía colombiana para el segundo trimestre del año fue impulsado principalmente por los sectores asociados con las actividades artísticas y de recreación (11,1%), el sector agropecuario, silvicultura, caza y pesca (10,2%), administración pública (4,8%), suministro de electricidad, gas y agua (2,6%) y construcción (2,4%). En contraste, los tres sectores con variaciones negativas fueron: industrias manufactureras (-1,6%), información y comunicaciones (-1,9%) y explotación de minas y canteras (-3,3%). </w:t>
      </w:r>
    </w:p>
    <w:p w14:paraId="77927182" w14:textId="77777777" w:rsidR="00F64EA3" w:rsidRPr="00F64EA3"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 xml:space="preserve">Por el lado de la demanda, como se señaló anteriormente, la economía se expandió en 2.1%. Este repunte de la demanda se debe en gran medida al aporte de la demanda externa; pues, la demanda interna solamente se expandió en 1.6% después de que durante todo el año 2023, fue objeto de una fuerte contracción debido a la necesidad de adelantar un proceso de ajuste para reducir la inflación que superaba el 13,3% en marzo de dicho año. Lo más relevante es el repunte tanto del consumo, que venía creciendo a un ritmo muy bajo (0,4%) y de la inversión que mantuvo fuertes caídas durante 2023. En el primer caso, el crecimiento fue de 1,6%, mientras que la inversión lo hizo en 1.7%, luego de la caída de -25,9% en 2023. </w:t>
      </w:r>
    </w:p>
    <w:p w14:paraId="481972B3" w14:textId="77777777" w:rsidR="00365786" w:rsidRDefault="00F64EA3" w:rsidP="002A4BF2">
      <w:pPr>
        <w:spacing w:line="240" w:lineRule="auto"/>
        <w:ind w:left="993" w:right="474"/>
        <w:jc w:val="both"/>
        <w:rPr>
          <w:rFonts w:ascii="Garamond" w:hAnsi="Garamond"/>
          <w:sz w:val="24"/>
          <w:szCs w:val="24"/>
        </w:rPr>
      </w:pPr>
      <w:r w:rsidRPr="00F64EA3">
        <w:rPr>
          <w:rFonts w:ascii="Garamond" w:hAnsi="Garamond"/>
          <w:sz w:val="24"/>
          <w:szCs w:val="24"/>
        </w:rPr>
        <w:t>Así, la dinámica de la demanda externa fue muy importante, gracias al aumento de 4,8% en las exportaciones y de 2.2% en las importaciones. La demanda externa contribuyó con el 0,2 p.p. al crecimiento del segundo trimestre, en tanto que la demanda privada lo hizo en 1.0 p.p. y, la demanda pública en 0,9 p.p, gracias al crecimiento de 14.4% en la construcción de obras civiles.</w:t>
      </w:r>
    </w:p>
    <w:p w14:paraId="13521B37" w14:textId="7135201B" w:rsidR="00F64EA3" w:rsidRDefault="008F76DB" w:rsidP="002A4BF2">
      <w:pPr>
        <w:spacing w:line="240" w:lineRule="auto"/>
        <w:ind w:left="993" w:right="474"/>
        <w:jc w:val="both"/>
        <w:rPr>
          <w:rFonts w:ascii="Garamond" w:hAnsi="Garamond"/>
          <w:sz w:val="24"/>
          <w:szCs w:val="24"/>
        </w:rPr>
      </w:pPr>
      <w:r>
        <w:rPr>
          <w:b/>
          <w:noProof/>
          <w:sz w:val="6"/>
          <w:lang w:eastAsia="es-CO"/>
        </w:rPr>
        <w:drawing>
          <wp:anchor distT="0" distB="0" distL="0" distR="0" simplePos="0" relativeHeight="251659264" behindDoc="1" locked="0" layoutInCell="1" allowOverlap="1" wp14:anchorId="7C794E8C" wp14:editId="7BE17047">
            <wp:simplePos x="0" y="0"/>
            <wp:positionH relativeFrom="page">
              <wp:posOffset>2294890</wp:posOffset>
            </wp:positionH>
            <wp:positionV relativeFrom="paragraph">
              <wp:posOffset>2866077</wp:posOffset>
            </wp:positionV>
            <wp:extent cx="3393225" cy="2237422"/>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0" cstate="print"/>
                    <a:stretch>
                      <a:fillRect/>
                    </a:stretch>
                  </pic:blipFill>
                  <pic:spPr>
                    <a:xfrm>
                      <a:off x="0" y="0"/>
                      <a:ext cx="3393225" cy="2237422"/>
                    </a:xfrm>
                    <a:prstGeom prst="rect">
                      <a:avLst/>
                    </a:prstGeom>
                  </pic:spPr>
                </pic:pic>
              </a:graphicData>
            </a:graphic>
          </wp:anchor>
        </w:drawing>
      </w:r>
      <w:r w:rsidR="00F64EA3" w:rsidRPr="00F64EA3">
        <w:rPr>
          <w:rFonts w:ascii="Garamond" w:hAnsi="Garamond"/>
          <w:sz w:val="24"/>
          <w:szCs w:val="24"/>
        </w:rPr>
        <w:t xml:space="preserve">En el contexto internacional, el Fondo Monetario Internacional (FMI)2 mantuvo la proyección de crecimiento mundial en 3,2% para 2024 afectada por los elevados niveles de deuda y la persistencia inflacionaria. La entidad señala que, la actividad mundial y el comercio internacional se han fortalecido, y las exportaciones de Asia han estimulado el comercio, en particular en el sector de la tecnología. En Estados Unidos, tras un período sostenido de dinamismo, la desaceleración más brusca de lo previsto del crecimiento se debió a la moderación del consumo y </w:t>
      </w:r>
      <w:r w:rsidR="00F64EA3" w:rsidRPr="00F64EA3">
        <w:rPr>
          <w:rFonts w:ascii="Garamond" w:hAnsi="Garamond"/>
          <w:sz w:val="24"/>
          <w:szCs w:val="24"/>
        </w:rPr>
        <w:lastRenderedPageBreak/>
        <w:t>a la contribución negativa del comercio neto. Por el contrario, en Europa se materializaron los signos de recuperación económica, impulsada por la mejora en la actividad de servicios. En esta línea, se espera para 2024 que las economías avanzadas alcancen un crecimiento de 1,7%, donde Estados Unidos y Canadá alcanzarían los crecimientos más altos con 2,6% y 1,3%, respectivamente. En cuanto a los países de la Eurozona, se espera un crecimiento de 0,9%, siendo España el país con la mayor proyección de crecimiento (2,4%). Por otro lado, en las economías emergentes y en desarrollo se espera un crecimiento de 4,3%, con China proyectada para crecer un 5,0%. En tanto, para América Latina y el Caribe, se proyecta un incremento de 1,9% en el PIB, donde Brasil y México reportan crecimientos del 2,1% y 2,2% respectivamente.</w:t>
      </w:r>
    </w:p>
    <w:p w14:paraId="12EFDCAA" w14:textId="7DD50BDD" w:rsidR="008F76DB" w:rsidRDefault="008F76DB" w:rsidP="002A4BF2">
      <w:pPr>
        <w:spacing w:line="240" w:lineRule="auto"/>
        <w:ind w:left="993" w:right="474"/>
        <w:jc w:val="both"/>
        <w:rPr>
          <w:rFonts w:ascii="Garamond" w:hAnsi="Garamond"/>
        </w:rPr>
      </w:pPr>
    </w:p>
    <w:p w14:paraId="4FEACCD2" w14:textId="77777777" w:rsidR="00F64EA3" w:rsidRPr="00F64EA3" w:rsidRDefault="00F64EA3" w:rsidP="002A4BF2">
      <w:pPr>
        <w:spacing w:line="240" w:lineRule="auto"/>
        <w:ind w:left="993" w:right="474"/>
        <w:jc w:val="center"/>
        <w:rPr>
          <w:rFonts w:ascii="Garamond" w:hAnsi="Garamond"/>
        </w:rPr>
      </w:pPr>
      <w:r w:rsidRPr="00F64EA3">
        <w:rPr>
          <w:rFonts w:ascii="Garamond" w:hAnsi="Garamond"/>
        </w:rPr>
        <w:t>Fuente: Cuentas Nacionales – DANE</w:t>
      </w:r>
    </w:p>
    <w:p w14:paraId="7DC064D5" w14:textId="77777777" w:rsidR="003637FA" w:rsidRDefault="00F64EA3" w:rsidP="002A4BF2">
      <w:pPr>
        <w:spacing w:line="240" w:lineRule="auto"/>
        <w:ind w:left="993" w:right="474"/>
        <w:jc w:val="both"/>
        <w:rPr>
          <w:rFonts w:ascii="Garamond" w:hAnsi="Garamond"/>
        </w:rPr>
      </w:pPr>
      <w:r w:rsidRPr="00F64EA3">
        <w:rPr>
          <w:rFonts w:ascii="Garamond" w:hAnsi="Garamond"/>
          <w:sz w:val="24"/>
          <w:szCs w:val="24"/>
        </w:rPr>
        <w:t>Para el tercer trimestre de 2024, el incremento del PIB por actividades económicas estuvo explicado de la siguiente forma: actividades artísticas y relacionadas (14,1%), agropecuario, ganadería, caza y pesca (10,7%), actividades financieras y de seguros (4,4%), construcción (4,1%), administración pública (2,1%), actividades inmobiliarias (2,0%), comercio, transporte, alojamiento y servicios de comida (1,0%), suministro de electricidad, gas y agua (1,0%), información y comunicaciones (0,8%), actividades profesionales (0,5%), industrias manufactureras (-1,3%) y explotación de minas y canteras (-7,1%). (Gráfico 2).</w:t>
      </w:r>
    </w:p>
    <w:p w14:paraId="58E949B2" w14:textId="77777777" w:rsidR="003637FA" w:rsidRDefault="003637FA" w:rsidP="002A4BF2">
      <w:pPr>
        <w:tabs>
          <w:tab w:val="left" w:pos="3720"/>
        </w:tabs>
        <w:spacing w:line="240" w:lineRule="auto"/>
        <w:ind w:left="993" w:right="474"/>
        <w:jc w:val="center"/>
        <w:rPr>
          <w:rFonts w:ascii="Garamond" w:hAnsi="Garamond"/>
        </w:rPr>
      </w:pPr>
    </w:p>
    <w:p w14:paraId="08BD177F" w14:textId="77777777" w:rsidR="00415197" w:rsidRDefault="003637FA" w:rsidP="002A4BF2">
      <w:pPr>
        <w:tabs>
          <w:tab w:val="left" w:pos="3720"/>
        </w:tabs>
        <w:spacing w:line="240" w:lineRule="auto"/>
        <w:ind w:left="993" w:right="474"/>
        <w:jc w:val="center"/>
        <w:rPr>
          <w:rFonts w:ascii="Garamond" w:hAnsi="Garamond"/>
        </w:rPr>
      </w:pPr>
      <w:r w:rsidRPr="003637FA">
        <w:rPr>
          <w:b/>
          <w:noProof/>
          <w:lang w:eastAsia="es-CO"/>
        </w:rPr>
        <w:drawing>
          <wp:anchor distT="0" distB="0" distL="0" distR="0" simplePos="0" relativeHeight="251661312" behindDoc="1" locked="0" layoutInCell="1" allowOverlap="1" wp14:anchorId="7F522F8D" wp14:editId="0EF72E5C">
            <wp:simplePos x="0" y="0"/>
            <wp:positionH relativeFrom="page">
              <wp:posOffset>1423035</wp:posOffset>
            </wp:positionH>
            <wp:positionV relativeFrom="paragraph">
              <wp:posOffset>0</wp:posOffset>
            </wp:positionV>
            <wp:extent cx="5190490" cy="2564130"/>
            <wp:effectExtent l="0" t="0" r="0" b="0"/>
            <wp:wrapTopAndBottom/>
            <wp:docPr id="7" name="Image 7" descr="Gráfic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Gráfico  Descripción generada automáticamente"/>
                    <pic:cNvPicPr/>
                  </pic:nvPicPr>
                  <pic:blipFill>
                    <a:blip r:embed="rId21" cstate="print"/>
                    <a:stretch>
                      <a:fillRect/>
                    </a:stretch>
                  </pic:blipFill>
                  <pic:spPr>
                    <a:xfrm>
                      <a:off x="0" y="0"/>
                      <a:ext cx="5190490" cy="2564130"/>
                    </a:xfrm>
                    <a:prstGeom prst="rect">
                      <a:avLst/>
                    </a:prstGeom>
                  </pic:spPr>
                </pic:pic>
              </a:graphicData>
            </a:graphic>
          </wp:anchor>
        </w:drawing>
      </w:r>
    </w:p>
    <w:p w14:paraId="593B10D7" w14:textId="77777777" w:rsidR="003637FA" w:rsidRPr="003637FA" w:rsidRDefault="003637FA" w:rsidP="002A4BF2">
      <w:pPr>
        <w:tabs>
          <w:tab w:val="left" w:pos="3720"/>
        </w:tabs>
        <w:spacing w:line="240" w:lineRule="auto"/>
        <w:ind w:left="993" w:right="474"/>
        <w:jc w:val="center"/>
        <w:rPr>
          <w:rFonts w:ascii="Garamond" w:hAnsi="Garamond"/>
        </w:rPr>
      </w:pPr>
      <w:r w:rsidRPr="003637FA">
        <w:rPr>
          <w:rFonts w:ascii="Garamond" w:hAnsi="Garamond"/>
        </w:rPr>
        <w:t>Cuentas Nacionales – DANE</w:t>
      </w:r>
    </w:p>
    <w:p w14:paraId="4A0200AA" w14:textId="770991FE" w:rsidR="003637FA" w:rsidRPr="008F76DB" w:rsidRDefault="008C2966" w:rsidP="003A1825">
      <w:pPr>
        <w:pStyle w:val="Prrafodelista"/>
        <w:numPr>
          <w:ilvl w:val="2"/>
          <w:numId w:val="1"/>
        </w:numPr>
        <w:tabs>
          <w:tab w:val="left" w:pos="3720"/>
        </w:tabs>
        <w:spacing w:line="240" w:lineRule="auto"/>
        <w:ind w:right="474"/>
        <w:jc w:val="both"/>
        <w:rPr>
          <w:rFonts w:ascii="Garamond" w:hAnsi="Garamond"/>
          <w:b/>
          <w:sz w:val="24"/>
          <w:szCs w:val="24"/>
        </w:rPr>
      </w:pPr>
      <w:r>
        <w:rPr>
          <w:rFonts w:ascii="Garamond" w:hAnsi="Garamond"/>
          <w:b/>
          <w:sz w:val="24"/>
          <w:szCs w:val="24"/>
        </w:rPr>
        <w:t>CONTEXTO INTERNACIONAL</w:t>
      </w:r>
    </w:p>
    <w:p w14:paraId="5DDAC601" w14:textId="77777777" w:rsidR="008C192F" w:rsidRP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 xml:space="preserve">“Después de una sucesión de shocks adversos en los últimos años, la economía global enfrenta otro viento en contra sustancial, con una mayor tensión comercial y una elevada incertidumbre política. Esto está contribuyendo a un deterioro en las perspectivas de la mayoría de las economías del mundo. Para las economías emergentes y en desarrollo (EMED), la capacidad de reducir las brechas de ingresos per cápita con los países más ricos, impulsar la creación de empleo y reducir la pobreza extrema sigue siendo insuficiente. Predominan los riesgos a la baja para las perspectivas, </w:t>
      </w:r>
      <w:r w:rsidRPr="008C192F">
        <w:rPr>
          <w:rFonts w:ascii="Garamond" w:hAnsi="Garamond"/>
          <w:sz w:val="24"/>
          <w:szCs w:val="24"/>
        </w:rPr>
        <w:lastRenderedPageBreak/>
        <w:t>incluida una escalada de las barreras comerciales, la persistencia de la incertidumbre política, el aumento de las tensiones geopolíticas y una mayor incidencia de eventos climáticos extremos.</w:t>
      </w:r>
    </w:p>
    <w:p w14:paraId="2CEAFEB0" w14:textId="77777777" w:rsidR="008C192F" w:rsidRP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Por el contrario, la incertidumbre política y las tensiones comerciales podrían aliviarse si las principales economías logran alcanzar acuerdos duraderos que aborden las disputas comerciales en curso. El desafiante contexto global que enfrentan las EMED se agrava por el hecho de que las entradas de inversión extranjera directa a estas economías han caído a menos de la mitad de su nivel máximo en 2008 y es probable que sigan siendo moderadas. Se necesita cooperación global para restaurar un entorno comercial global más estable y transparente y aumentar el apoyo a los países vulnerables que luchan contra conflictos, cargas de deuda y cambio climático.</w:t>
      </w:r>
    </w:p>
    <w:p w14:paraId="5B4D6F39" w14:textId="77777777" w:rsid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En todas las EMED, la acción política interna también es fundamental para contener los riesgos de inflación, fortalecer la resiliencia fiscal mediante una mejor movilización de ingresos y reorientar el gasto. Para desbloquear la creación de empleo y el crecimiento a largo plazo, las reformas estructurales deben centrarse en elevar la calidad institucional, atraer la inversión privada y fortalecer el capital humano y los mercados laborales. En particular, los países en situaciones frágiles y de conflicto (SFC) enfrentan desafíos de desarrollo enormes que requerirán reformas políticas internas adaptadas, respaldadas por un apoyo multilateral bien coordinado.</w:t>
      </w:r>
    </w:p>
    <w:p w14:paraId="0C022841" w14:textId="77777777" w:rsidR="008C192F" w:rsidRP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Perspectivas Globales. El crecimiento global se está desacelerando debido a un aumento sustancial de las barreras comerciales y los efectos generalizados de un entorno de política global incierto. Se espera que el crecimiento se debilite hasta el 2.3 por ciento en 2025, con una desaceleración en la mayoría de las economías en relación con el año pasado. Esto marcaría la tasa de crecimiento global más lenta desde 2008, aparte de las recesiones globales directas. En 2026-27, se espera una recuperación tibia, dejando la producción global materialmente por debajo de las proyecciones de enero.</w:t>
      </w:r>
    </w:p>
    <w:p w14:paraId="49CF0766" w14:textId="77777777" w:rsidR="008C192F" w:rsidRP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Se anticipa que el progreso de las economías emergentes y en desarrollo (EMED) en la reducción de las brechas de ingresos per cápita con las economías avanzadas y la reducción de la pobreza extrema seguirá siendo insuficiente. Las perspectivas dependen en gran medida de la evolución de la política comercial a nivel mundial. El crecimiento podría resultar menor si las restricciones comerciales se intensifican o si persiste la incertidumbre política, lo que también podría resultar en una acumulación de estrés financiero. Otros riesgos a la baja incluyen un crecimiento más débil de lo esperado en las principales economías con efectos de contagio globales adversos, el empeoramiento de los conflictos y los eventos climáticos extremos. Por el lado positivo, la incertidumbre y las barreras comerciales podrían disminuir si las principales economías alcanzan acuerdos duraderos que aborden las tensiones comerciales.</w:t>
      </w:r>
    </w:p>
    <w:p w14:paraId="4D022A90" w14:textId="265BC054" w:rsid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Los vientos en contra globales en curso subrayan la necesidad de esfuerzos políticos multilaterales decididos para fomentar un entorno más predecible y transparente para resolver las tensiones comerciales, algunas de las cuales provienen de desequilibrios macroeconómicos. También se necesitan esfuerzos políticos globales para enfrentar las circunstancias deterioradas de las EMED vulnerables en medio de conflictos y problemas de deuda generalizados, al tiempo que se abordan desafíos de larga data, incluidos los efectos del cambio climático. Los formuladores de políticas nacionales deben contener los riesgos relacionados con la inflación, así como fortalecer sus posiciones fiscales aumentando los ingresos internos adicionales y reorientando el gasto. Para facilitar la creación de empleo e impulsar las perspectivas de crecimiento a largo plazo en las EMED, las reformas son esenciales para mejorar la calidad institucional, estimular el crecimiento de la inversión privada, desarrollar el capital humano y mejorar el funcionamiento del mercado laboral.</w:t>
      </w:r>
    </w:p>
    <w:p w14:paraId="1B8841FB" w14:textId="77777777" w:rsidR="008C192F" w:rsidRP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lastRenderedPageBreak/>
        <w:t>Perspectivas Regionales. Todas las regiones de las EMED enfrentan un panorama desafiante en medio del aumento de las tensiones comerciales y la elevada incertidumbre global. En 2025, se proyecta que el crecimiento se desacelerará en Asia Oriental y el Pacífico, así como en Europa y Asia Central —ambas regiones altamente dependientes del comercio global— y, en menor medida, en Asia Meridional. En América Latina y el Caribe, se proyecta que el crecimiento sea el más bajo entre las regiones de las EMED durante el horizonte de pronóstico, ya que la actividad se ve frenada por las altas barreras comerciales y las debilidades estructurales de larga data. En las regiones con un gran número de exportadores de productos básicos, incluidas Oriente Medio y África del Norte y África Subsahariana, se anticipa que el crecimiento enfrentará arrastres por el debilitamiento de las perspectivas de la demanda externa de productos básicos. En el contexto de un entorno global en deterioro, los pronósticos de crecimiento para 2025 se han rebajado en todas las regiones de las EMED en relación con las proyecciones de enero.</w:t>
      </w:r>
    </w:p>
    <w:p w14:paraId="5557FF0B" w14:textId="77777777" w:rsidR="008C192F" w:rsidRP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La incertidumbre por el escalamiento de las tensiones comerciales está afectando las perspectivas de crecimiento económico mundial. En su más reciente actualización de perspectivas económicas, el Fondo Monetario Internacional (FMI) redujo su pronóstico de crecimiento mundial para 2025 en 0,5 puntos porcentuales (p.p.), a 2,8%, en donde las mayores revisiones negativas estuvieron en EE. UU., China, México y Canadá, que son los países más expuestos a la guerra comercial.”</w:t>
      </w:r>
    </w:p>
    <w:p w14:paraId="78305EC0" w14:textId="503AE233" w:rsid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Los países de América Latina y el Caribe enfrentan un aumento del 10% en los aranceles a las exportaciones hacia Estados Unidos, excepto México, que enfrenta un arancel del 25 por ciento sobre los bienes que no cumplen con el T-MEC. El ochenta por ciento de las exportaciones de bienes de México van a Estados Unidos, lo que aumenta su vulnerabilidad a los cambios en la política comercial estadounidense.</w:t>
      </w:r>
    </w:p>
    <w:p w14:paraId="7E0496F0" w14:textId="1EB3BB61" w:rsid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Los PMI (Índices de Gerentes de Compras) se han suavizado en México, mientras que han permanecido relativamente volátiles en Brasil y Colombia. En los últimos meses, la confianza empresarial ha disminuido gradualmente en Brasil en medio de preocupaciones fiscales, mientras que ha aumentado en Argentina a raíz de reformas estructurales clave. La inflación general en algunas de las economías más grandes ha rondado el 5 por ciento desde principios de 2024 en medio de un reciente repunte en los precios de los alimentos, mientras que la inflación subyacente se mantiene ligeramente por encima de los objetivos de los bancos centrales.</w:t>
      </w:r>
    </w:p>
    <w:p w14:paraId="702847CF" w14:textId="599B8D4E" w:rsidR="008C192F" w:rsidRDefault="008C192F" w:rsidP="002A4BF2">
      <w:pPr>
        <w:tabs>
          <w:tab w:val="left" w:pos="3720"/>
        </w:tabs>
        <w:spacing w:line="240" w:lineRule="auto"/>
        <w:ind w:left="993" w:right="474"/>
        <w:jc w:val="center"/>
        <w:rPr>
          <w:rFonts w:ascii="Garamond" w:hAnsi="Garamond"/>
          <w:sz w:val="24"/>
          <w:szCs w:val="24"/>
        </w:rPr>
      </w:pPr>
      <w:r w:rsidRPr="008C192F">
        <w:rPr>
          <w:rFonts w:ascii="Garamond" w:hAnsi="Garamond"/>
          <w:noProof/>
          <w:sz w:val="24"/>
          <w:szCs w:val="24"/>
          <w:lang w:eastAsia="es-CO"/>
        </w:rPr>
        <w:lastRenderedPageBreak/>
        <w:drawing>
          <wp:inline distT="0" distB="0" distL="0" distR="0" wp14:anchorId="3F88BC82" wp14:editId="0FFE897A">
            <wp:extent cx="4182745" cy="3918857"/>
            <wp:effectExtent l="0" t="0" r="8255" b="571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4907"/>
                    <a:stretch/>
                  </pic:blipFill>
                  <pic:spPr bwMode="auto">
                    <a:xfrm>
                      <a:off x="0" y="0"/>
                      <a:ext cx="4192132" cy="3927652"/>
                    </a:xfrm>
                    <a:prstGeom prst="rect">
                      <a:avLst/>
                    </a:prstGeom>
                    <a:ln>
                      <a:noFill/>
                    </a:ln>
                    <a:extLst>
                      <a:ext uri="{53640926-AAD7-44D8-BBD7-CCE9431645EC}">
                        <a14:shadowObscured xmlns:a14="http://schemas.microsoft.com/office/drawing/2010/main"/>
                      </a:ext>
                    </a:extLst>
                  </pic:spPr>
                </pic:pic>
              </a:graphicData>
            </a:graphic>
          </wp:inline>
        </w:drawing>
      </w:r>
    </w:p>
    <w:p w14:paraId="32ECC78A" w14:textId="77777777" w:rsidR="00594935" w:rsidRDefault="00594935" w:rsidP="00594935">
      <w:pPr>
        <w:tabs>
          <w:tab w:val="left" w:pos="3720"/>
        </w:tabs>
        <w:spacing w:line="240" w:lineRule="auto"/>
        <w:ind w:left="993" w:right="474"/>
        <w:jc w:val="center"/>
        <w:rPr>
          <w:rFonts w:ascii="Garamond" w:hAnsi="Garamond"/>
          <w:sz w:val="24"/>
          <w:szCs w:val="24"/>
        </w:rPr>
      </w:pPr>
      <w:r>
        <w:rPr>
          <w:rFonts w:ascii="Garamond" w:hAnsi="Garamond"/>
          <w:sz w:val="24"/>
          <w:szCs w:val="24"/>
        </w:rPr>
        <w:t>Fuente: Banco Mundial</w:t>
      </w:r>
    </w:p>
    <w:p w14:paraId="205D782D" w14:textId="77777777" w:rsidR="008C192F" w:rsidRP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Después de un desempeño de crecimiento regional generalmente sólido en la segunda mitad de 2024, los indicadores tempranos para el primer trimestre de 2025 apuntan a cierto debilitamiento en las grandes economías, particularmente en la industria. Un repunte continuo en Argentina y un crecimiento constante en Chile y Colombia se vieron compensados por un crecimiento más débil o moderado en otros lugares. En Brasil y México, una fuerte recuperación en los sectores agrícolas en el primer trimestre contrarrestó una contracción en la actividad industrial y un crecimiento casi estancado en el sector de servicios. Los recientes Índices de Gerentes de Compras (PMI) han señalado una continua debilidad en la actividad. La confianza del consumidor y de las empresas en varias de las grandes economías de ALC (América Latina y el Caribe) ha sido volátil, con una disminución gradual de la confianza del consumidor en Brasil en medio de preocupaciones fiscales</w:t>
      </w:r>
    </w:p>
    <w:p w14:paraId="4E990825" w14:textId="77777777" w:rsidR="008C192F" w:rsidRDefault="008C192F" w:rsidP="002A4BF2">
      <w:pPr>
        <w:tabs>
          <w:tab w:val="left" w:pos="3720"/>
        </w:tabs>
        <w:spacing w:line="240" w:lineRule="auto"/>
        <w:ind w:left="993" w:right="474"/>
        <w:jc w:val="both"/>
        <w:rPr>
          <w:rFonts w:ascii="Garamond" w:hAnsi="Garamond"/>
          <w:sz w:val="24"/>
          <w:szCs w:val="24"/>
        </w:rPr>
      </w:pPr>
      <w:r w:rsidRPr="008C192F">
        <w:rPr>
          <w:rFonts w:ascii="Garamond" w:hAnsi="Garamond"/>
          <w:sz w:val="24"/>
          <w:szCs w:val="24"/>
        </w:rPr>
        <w:t>Las vulnerabilidades fiscales han persistido en medio de la caída de los precios de las materias primas. La baja de los precios del petróleo ha complicado las finanzas de los gobiernos en Colombia, Ecuador y México —y especialmente en Colombia, donde el déficit presupuestario del gobierno central se amplió en 2024 y empeoró aún más a principios de este año. En Brasil, el déficit fiscal primario del gobierno general se redujo en 2024, impulsado por un fuerte crecimiento de los ingresos y la reducción de los gastos. En general, los déficits fiscales se mantuvieron en territorio negativo en 2024 en todos los principales países de América del Sur, excepto en Argentina, en gran parte debido a los altos costos del servicio de la deuda en medio de elevadas tasas de interés.</w:t>
      </w:r>
    </w:p>
    <w:p w14:paraId="5732198A" w14:textId="4EAD9687" w:rsidR="008C192F" w:rsidRDefault="008C192F" w:rsidP="002A4BF2">
      <w:pPr>
        <w:tabs>
          <w:tab w:val="left" w:pos="3720"/>
        </w:tabs>
        <w:spacing w:line="240" w:lineRule="auto"/>
        <w:ind w:left="993" w:right="474"/>
        <w:jc w:val="center"/>
        <w:rPr>
          <w:rFonts w:ascii="Garamond" w:hAnsi="Garamond"/>
          <w:sz w:val="24"/>
          <w:szCs w:val="24"/>
        </w:rPr>
      </w:pPr>
      <w:r w:rsidRPr="008C192F">
        <w:rPr>
          <w:rFonts w:ascii="Garamond" w:hAnsi="Garamond"/>
          <w:sz w:val="24"/>
          <w:szCs w:val="24"/>
        </w:rPr>
        <w:t>Resumen del pronóstico para América Latina y el Caribe Comparación entre proyecciones de enero de</w:t>
      </w:r>
      <w:r>
        <w:rPr>
          <w:rFonts w:ascii="Garamond" w:hAnsi="Garamond"/>
          <w:sz w:val="24"/>
          <w:szCs w:val="24"/>
        </w:rPr>
        <w:t xml:space="preserve"> 2025</w:t>
      </w:r>
      <w:r w:rsidR="00355E5A">
        <w:rPr>
          <w:rFonts w:ascii="Garamond" w:hAnsi="Garamond"/>
          <w:sz w:val="24"/>
          <w:szCs w:val="24"/>
        </w:rPr>
        <w:t xml:space="preserve"> </w:t>
      </w:r>
      <w:r w:rsidRPr="008C192F">
        <w:rPr>
          <w:rFonts w:ascii="Garamond" w:hAnsi="Garamond"/>
          <w:sz w:val="24"/>
          <w:szCs w:val="24"/>
        </w:rPr>
        <w:t>a junio de 2025</w:t>
      </w:r>
    </w:p>
    <w:p w14:paraId="28D73598" w14:textId="7721B528" w:rsidR="008C192F" w:rsidRDefault="008C192F" w:rsidP="002A4BF2">
      <w:pPr>
        <w:tabs>
          <w:tab w:val="left" w:pos="3720"/>
        </w:tabs>
        <w:spacing w:line="240" w:lineRule="auto"/>
        <w:ind w:left="993" w:right="474"/>
        <w:jc w:val="center"/>
        <w:rPr>
          <w:rFonts w:ascii="Garamond" w:hAnsi="Garamond"/>
          <w:sz w:val="24"/>
          <w:szCs w:val="24"/>
        </w:rPr>
      </w:pPr>
      <w:r w:rsidRPr="008C192F">
        <w:rPr>
          <w:rFonts w:ascii="Garamond" w:hAnsi="Garamond"/>
          <w:noProof/>
          <w:sz w:val="24"/>
          <w:szCs w:val="24"/>
          <w:lang w:eastAsia="es-CO"/>
        </w:rPr>
        <w:lastRenderedPageBreak/>
        <w:drawing>
          <wp:inline distT="0" distB="0" distL="0" distR="0" wp14:anchorId="632FBADD" wp14:editId="2C23A651">
            <wp:extent cx="6101793" cy="453637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5291"/>
                    <a:stretch/>
                  </pic:blipFill>
                  <pic:spPr bwMode="auto">
                    <a:xfrm>
                      <a:off x="0" y="0"/>
                      <a:ext cx="6111893" cy="4543883"/>
                    </a:xfrm>
                    <a:prstGeom prst="rect">
                      <a:avLst/>
                    </a:prstGeom>
                    <a:ln>
                      <a:noFill/>
                    </a:ln>
                    <a:extLst>
                      <a:ext uri="{53640926-AAD7-44D8-BBD7-CCE9431645EC}">
                        <a14:shadowObscured xmlns:a14="http://schemas.microsoft.com/office/drawing/2010/main"/>
                      </a:ext>
                    </a:extLst>
                  </pic:spPr>
                </pic:pic>
              </a:graphicData>
            </a:graphic>
          </wp:inline>
        </w:drawing>
      </w:r>
    </w:p>
    <w:p w14:paraId="2D5F6784" w14:textId="3C7A2F2E" w:rsidR="008C192F" w:rsidRDefault="00594935" w:rsidP="002A4BF2">
      <w:pPr>
        <w:tabs>
          <w:tab w:val="left" w:pos="3720"/>
        </w:tabs>
        <w:spacing w:line="240" w:lineRule="auto"/>
        <w:ind w:left="993" w:right="474"/>
        <w:jc w:val="center"/>
        <w:rPr>
          <w:rFonts w:ascii="Garamond" w:hAnsi="Garamond"/>
          <w:sz w:val="24"/>
          <w:szCs w:val="24"/>
        </w:rPr>
      </w:pPr>
      <w:r>
        <w:rPr>
          <w:rFonts w:ascii="Garamond" w:hAnsi="Garamond"/>
          <w:sz w:val="24"/>
          <w:szCs w:val="24"/>
        </w:rPr>
        <w:t>Fuente: Banco Mundial</w:t>
      </w:r>
    </w:p>
    <w:p w14:paraId="16F3BD94" w14:textId="77777777" w:rsidR="00355E5A" w:rsidRP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La actividad en las economías de Centroamérica y el Caribe se vería afectada, ya que estas economías dependen de EE. UU. como un mercado clave para sus exportaciones, particularmente el turismo y las remesas. La recepción de remesas podría volverse menos estable con un menor crecimiento en EE. UU. o una reducción de las oportunidades de empleo para los migrantes: los mercados laborales en algunos países de ALC ya están saturados a medida que integran a migrantes de países vecinos (Banco Mundial 2025i). Una erosión en la capacidad de los migrantes para enviar remesas podría tener impactos negativos adicionales en los ingresos de los hogares que las reciben; particularmente en algunos países centroamericanos y caribeños donde las remesas constituyen alrededor del 20 por ciento del PIB (Figura 2.3.3.B). Los efectos de contagio agregados de Estados Unidos son significativos, ya que las caídas en el crecimiento de EE. UU. generalmente se asocian con caídas de crecimiento aún mayores en la mayoría de las economías emergentes y en desarrollo (EMED) (Banco Mundial 2025h).</w:t>
      </w:r>
    </w:p>
    <w:p w14:paraId="5C851B2C" w14:textId="77777777" w:rsid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En muchas economías de ALC —particularmente las de América del Sur— China es un socio comercial clave e importador de materias primas. Si la demanda de China se desacelera, especialmente la demanda de metales, los precios de los productos básicos industriales como el cobre podrían caer aún más (Banco Mundial 2025d). Esto podría amortiguar el crecimiento y los ingresos fiscales a través de una menor demanda de exportaciones, particularmente de Chile y Perú.”</w:t>
      </w:r>
    </w:p>
    <w:p w14:paraId="61BBB899" w14:textId="7F96F566" w:rsidR="00355E5A" w:rsidRDefault="00355E5A" w:rsidP="002A4BF2">
      <w:pPr>
        <w:tabs>
          <w:tab w:val="left" w:pos="3720"/>
        </w:tabs>
        <w:spacing w:line="240" w:lineRule="auto"/>
        <w:ind w:left="993" w:right="474"/>
        <w:jc w:val="both"/>
        <w:rPr>
          <w:rFonts w:ascii="Garamond" w:hAnsi="Garamond"/>
          <w:b/>
          <w:sz w:val="24"/>
          <w:szCs w:val="24"/>
        </w:rPr>
      </w:pPr>
      <w:r w:rsidRPr="00355E5A">
        <w:rPr>
          <w:rFonts w:ascii="Garamond" w:hAnsi="Garamond"/>
          <w:b/>
          <w:sz w:val="24"/>
          <w:szCs w:val="24"/>
        </w:rPr>
        <w:lastRenderedPageBreak/>
        <w:t>Principales riesgos políticos que inquietan la economía colombiana en 2025 (Corficolombiana)2.</w:t>
      </w:r>
    </w:p>
    <w:p w14:paraId="5D51386C" w14:textId="65E0412E" w:rsidR="00355E5A" w:rsidRP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La incertidumbre por el escalamiento de las tensiones comerciales está afectando las perspectivas de crecimiento económico mundial. En su más reciente actualización de perspectivas económicas, el Fondo Monetario Internacional (FMI) redujo su pronóstico de crecimiento mundial para 2025 en 0,5 puntos porcentuales (p.p.), a 2,8%, en donde las mayores revisiones negativas estuvieron en EE. UU., China, México y Canadá, que son los países más expuestos a la guerra comercial</w:t>
      </w:r>
    </w:p>
    <w:p w14:paraId="6F286A40" w14:textId="463FAD89" w:rsidR="00594935" w:rsidRDefault="00355E5A" w:rsidP="008C2966">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 xml:space="preserve">El “excepcionalismo” económico de EE. UU., como se le denominó a la amplia ventaja que les sacó ese país a otras economías avanzadas en las últimas dos décadas, está viéndose amenazado por las políticas de la administración Trump, especialmente en materia comercial. Sectores como el automotor, textil, alimentario y </w:t>
      </w:r>
      <w:r w:rsidRPr="00355E5A">
        <w:rPr>
          <w:rFonts w:ascii="Garamond" w:hAnsi="Garamond"/>
          <w:b/>
          <w:sz w:val="24"/>
          <w:szCs w:val="24"/>
          <w:u w:val="single"/>
        </w:rPr>
        <w:t>construcción</w:t>
      </w:r>
      <w:r w:rsidRPr="00355E5A">
        <w:rPr>
          <w:rFonts w:ascii="Garamond" w:hAnsi="Garamond"/>
          <w:sz w:val="24"/>
          <w:szCs w:val="24"/>
        </w:rPr>
        <w:t xml:space="preserve"> enfrentarán mayores costos de producción, una menor disponibilidad de mano de obra y una elevada incertidumbre regulatoria. El principal riesgo es la intensificación de la guerra comercial con China, su segundo mayor socio comercial y el mayor tenedor de su deuda pública. En Europa, los aranceles de EE. UU. aplicados a las industrias automotriz y farmacéutica impactarían negativamente en el corto plazo. No obstante, los estímulos fiscales anunciados por Alemania en áreas como infraestructura y defensa podrían amortiguar parcialmente el efecto, a costa de flexibilizar su tradicional disciplina fiscal.</w:t>
      </w:r>
    </w:p>
    <w:p w14:paraId="0520E3D3" w14:textId="53C18897" w:rsidR="00355E5A" w:rsidRPr="00594935" w:rsidRDefault="00594935" w:rsidP="00594935">
      <w:pPr>
        <w:tabs>
          <w:tab w:val="left" w:pos="3720"/>
        </w:tabs>
        <w:spacing w:line="240" w:lineRule="auto"/>
        <w:ind w:left="993" w:right="474"/>
        <w:jc w:val="center"/>
        <w:rPr>
          <w:rFonts w:ascii="Garamond" w:hAnsi="Garamond"/>
          <w:sz w:val="24"/>
          <w:szCs w:val="24"/>
        </w:rPr>
      </w:pPr>
      <w:r>
        <w:rPr>
          <w:rFonts w:ascii="Garamond" w:hAnsi="Garamond"/>
          <w:sz w:val="24"/>
          <w:szCs w:val="24"/>
        </w:rPr>
        <w:t>Proyecciones de crecimiento económico del FMI</w:t>
      </w:r>
    </w:p>
    <w:p w14:paraId="1A0099D9" w14:textId="7ED9DACE" w:rsidR="00355E5A" w:rsidRPr="00355E5A" w:rsidRDefault="00355E5A" w:rsidP="002A4BF2">
      <w:pPr>
        <w:tabs>
          <w:tab w:val="left" w:pos="3720"/>
        </w:tabs>
        <w:spacing w:line="240" w:lineRule="auto"/>
        <w:ind w:left="993" w:right="474"/>
        <w:jc w:val="center"/>
        <w:rPr>
          <w:rFonts w:ascii="Garamond" w:hAnsi="Garamond"/>
          <w:b/>
          <w:sz w:val="24"/>
          <w:szCs w:val="24"/>
        </w:rPr>
      </w:pPr>
      <w:r w:rsidRPr="00355E5A">
        <w:rPr>
          <w:rFonts w:ascii="Garamond" w:hAnsi="Garamond"/>
          <w:b/>
          <w:noProof/>
          <w:sz w:val="24"/>
          <w:szCs w:val="24"/>
          <w:lang w:eastAsia="es-CO"/>
        </w:rPr>
        <w:drawing>
          <wp:inline distT="0" distB="0" distL="0" distR="0" wp14:anchorId="06AC1C48" wp14:editId="1C518985">
            <wp:extent cx="5554075" cy="3063281"/>
            <wp:effectExtent l="0" t="0" r="8890" b="381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8834" b="6766"/>
                    <a:stretch/>
                  </pic:blipFill>
                  <pic:spPr bwMode="auto">
                    <a:xfrm>
                      <a:off x="0" y="0"/>
                      <a:ext cx="5564684" cy="3069133"/>
                    </a:xfrm>
                    <a:prstGeom prst="rect">
                      <a:avLst/>
                    </a:prstGeom>
                    <a:ln>
                      <a:noFill/>
                    </a:ln>
                    <a:extLst>
                      <a:ext uri="{53640926-AAD7-44D8-BBD7-CCE9431645EC}">
                        <a14:shadowObscured xmlns:a14="http://schemas.microsoft.com/office/drawing/2010/main"/>
                      </a:ext>
                    </a:extLst>
                  </pic:spPr>
                </pic:pic>
              </a:graphicData>
            </a:graphic>
          </wp:inline>
        </w:drawing>
      </w:r>
    </w:p>
    <w:p w14:paraId="693B8074" w14:textId="612AA453" w:rsidR="00594935" w:rsidRDefault="00594935" w:rsidP="00594935">
      <w:pPr>
        <w:tabs>
          <w:tab w:val="left" w:pos="3720"/>
        </w:tabs>
        <w:spacing w:line="240" w:lineRule="auto"/>
        <w:ind w:left="993" w:right="474"/>
        <w:jc w:val="center"/>
        <w:rPr>
          <w:rFonts w:ascii="Garamond" w:hAnsi="Garamond"/>
          <w:sz w:val="24"/>
          <w:szCs w:val="24"/>
        </w:rPr>
      </w:pPr>
      <w:r>
        <w:rPr>
          <w:rFonts w:ascii="Garamond" w:hAnsi="Garamond"/>
          <w:sz w:val="24"/>
          <w:szCs w:val="24"/>
        </w:rPr>
        <w:t>Fuente: Corficolombiana</w:t>
      </w:r>
    </w:p>
    <w:p w14:paraId="2F159905" w14:textId="7C1F3D14" w:rsid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 xml:space="preserve">Por otro lado, las políticas arancelarias estadounidenses ejercerán presiones inflacionarias adicionales, aunque menos intensas de lo que se esperaba cuando inició el segundo mandato de Trump. Se espera un aumento de la inflación de bienes por los nuevos aranceles, llegando a su nivel más alto desde hace más de 80 años, una situación que se replicaría globalmente por las retaliaciones. Es importante señalar que Trump busca reducir la inflación mediante un incremento de tres millones de barriles diarios en la producción de petróleo, que alivie los precios de la energía. Estimamos que la caída del 11% que ha registrado el precio del petróleo en lo corrido del año se traduciría en una menor inflación de gasolina y significaría un aporte directo a la baja de 0,2 p.p. </w:t>
      </w:r>
      <w:r w:rsidRPr="00355E5A">
        <w:rPr>
          <w:rFonts w:ascii="Garamond" w:hAnsi="Garamond"/>
          <w:sz w:val="24"/>
          <w:szCs w:val="24"/>
        </w:rPr>
        <w:lastRenderedPageBreak/>
        <w:t>en la inflación total. Bajo este contexto, los bancos centrales a nivel mundial se mantienen atentos a las decisiones de política comercial, en un entorno caracterizado por la elevada incertidumbre económica y política y un sesgo inflacionario creciente, factores que postergarían las decisiones de gasto e inversión.</w:t>
      </w:r>
    </w:p>
    <w:p w14:paraId="098599C7" w14:textId="0D515C70" w:rsidR="00355E5A" w:rsidRP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El aumento en la incertidumbre y sus efectos a la baja sobre el crecimiento y al alza sobre la inflación configuran un escenario desafiante para la Reserva Federal. La creciente percepción de riesgo hacia los activos estadounidenses podría estar sentando las bases para una reconfiguración del orden económico mundial. Un hecho sobresaliente en el último mes fue el incremento en la percepción de riesgo hacia los</w:t>
      </w:r>
      <w:r w:rsidRPr="00355E5A">
        <w:t xml:space="preserve"> </w:t>
      </w:r>
      <w:r w:rsidRPr="00355E5A">
        <w:rPr>
          <w:rFonts w:ascii="Garamond" w:hAnsi="Garamond"/>
          <w:sz w:val="24"/>
          <w:szCs w:val="24"/>
        </w:rPr>
        <w:t>activos estadounidenses, los cuales no muestran un comportamiento de activo refugio como en otros episodios de aversión al riesgo, mientras que la demanda por otros activos seguros se ha fortalecido. En particular, el precio del oro alcanzó nuevos máximos históricos durante abril, en un contexto en el que la volatilidad se ubicó en niveles similares a los observados en la pandemia y la Gran Crisis Financiera. A su vez, el dólar estadounidense se ha debilitado respecto a otras monedas de reserva, si bien se ha depreciado menos frente a las monedas de las economías que más exportan a EE. UU.</w:t>
      </w:r>
    </w:p>
    <w:p w14:paraId="55772911" w14:textId="6569222F" w:rsid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Por su parte, los bonos del Tesoro estadounidense han registrado una volatilidad inusualmente alta, registrando desvalorizaciones durante algunas jornadas que ponen en duda su comportamiento como activo refugio (Gráfico 4). De esta forma, la Fed retomaría el ciclo de flexibilización monetaria a partir de junio y realizaría cuatro recortes de 25 pbs en su tasa de interés a lo largo de 2025.</w:t>
      </w:r>
    </w:p>
    <w:p w14:paraId="5A7D56DA" w14:textId="317A83E3" w:rsidR="00355E5A" w:rsidRPr="008C2966" w:rsidRDefault="00CD1F14" w:rsidP="003A1825">
      <w:pPr>
        <w:pStyle w:val="Prrafodelista"/>
        <w:numPr>
          <w:ilvl w:val="2"/>
          <w:numId w:val="1"/>
        </w:numPr>
        <w:tabs>
          <w:tab w:val="left" w:pos="3720"/>
        </w:tabs>
        <w:spacing w:line="240" w:lineRule="auto"/>
        <w:ind w:right="474"/>
        <w:jc w:val="both"/>
        <w:rPr>
          <w:rFonts w:ascii="Garamond" w:hAnsi="Garamond"/>
          <w:b/>
          <w:sz w:val="24"/>
          <w:szCs w:val="24"/>
        </w:rPr>
      </w:pPr>
      <w:r w:rsidRPr="008C2966">
        <w:rPr>
          <w:rFonts w:ascii="Garamond" w:hAnsi="Garamond"/>
          <w:b/>
          <w:sz w:val="24"/>
          <w:szCs w:val="24"/>
        </w:rPr>
        <w:t>PRODUCTO INTERNO BRUTO (PIB)</w:t>
      </w:r>
    </w:p>
    <w:p w14:paraId="0024C958" w14:textId="254DF39E" w:rsid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Las actividades económicas que más contribuyen a la dinámica del valor agregado son: Comercio al por mayor y al por menor; reparación de vehículos automotores y motocicletas; Transporte y almacenamiento; Alojamiento y servicios de comida crece 3,9% (contribuye 0,8 puntos porcentuales a la variación anual). Agricultura, ganadería, caza, silvicultura y pesca crece 7,1% (contribuye 0,7 puntos porcentuales a la variación anual). Actividades artísticas, de entretenimiento y recreación y otras actividades de servicios; Actividades de los hogares individuales en calidad de empleadores; actividades no diferenciadas de los hogares individuales como productores de bienes y servicios para uso propio crece 15,5% (contribuye 0,6 puntos porcentuales a la variación anual).</w:t>
      </w:r>
    </w:p>
    <w:p w14:paraId="3A87BD61" w14:textId="1DB3744F" w:rsidR="00355E5A" w:rsidRPr="00355E5A" w:rsidRDefault="00355E5A" w:rsidP="002A4BF2">
      <w:pPr>
        <w:pStyle w:val="Prrafodelista"/>
        <w:tabs>
          <w:tab w:val="left" w:pos="3720"/>
        </w:tabs>
        <w:spacing w:line="240" w:lineRule="auto"/>
        <w:ind w:left="1713" w:right="474"/>
        <w:jc w:val="center"/>
        <w:rPr>
          <w:rFonts w:ascii="Garamond" w:hAnsi="Garamond"/>
        </w:rPr>
      </w:pPr>
      <w:r w:rsidRPr="00355E5A">
        <w:rPr>
          <w:rFonts w:ascii="Garamond" w:hAnsi="Garamond"/>
        </w:rPr>
        <w:t>Producto Interno Bruto (PIB) – Tase de crecimiento anual en volumen 2021-2025</w:t>
      </w:r>
    </w:p>
    <w:p w14:paraId="127A1D30" w14:textId="529ACAF5" w:rsid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noProof/>
          <w:sz w:val="24"/>
          <w:szCs w:val="24"/>
          <w:lang w:eastAsia="es-CO"/>
        </w:rPr>
        <w:drawing>
          <wp:inline distT="0" distB="0" distL="0" distR="0" wp14:anchorId="1768E968" wp14:editId="250BCCC6">
            <wp:extent cx="5786120" cy="2238233"/>
            <wp:effectExtent l="0" t="0" r="508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8248" b="7196"/>
                    <a:stretch/>
                  </pic:blipFill>
                  <pic:spPr bwMode="auto">
                    <a:xfrm>
                      <a:off x="0" y="0"/>
                      <a:ext cx="5797980" cy="2242821"/>
                    </a:xfrm>
                    <a:prstGeom prst="rect">
                      <a:avLst/>
                    </a:prstGeom>
                    <a:ln>
                      <a:noFill/>
                    </a:ln>
                    <a:extLst>
                      <a:ext uri="{53640926-AAD7-44D8-BBD7-CCE9431645EC}">
                        <a14:shadowObscured xmlns:a14="http://schemas.microsoft.com/office/drawing/2010/main"/>
                      </a:ext>
                    </a:extLst>
                  </pic:spPr>
                </pic:pic>
              </a:graphicData>
            </a:graphic>
          </wp:inline>
        </w:drawing>
      </w:r>
    </w:p>
    <w:p w14:paraId="05D1E25C" w14:textId="5CB4AE5D" w:rsidR="00355E5A" w:rsidRPr="00355E5A" w:rsidRDefault="00355E5A" w:rsidP="002A4BF2">
      <w:pPr>
        <w:tabs>
          <w:tab w:val="left" w:pos="3720"/>
        </w:tabs>
        <w:spacing w:line="240" w:lineRule="auto"/>
        <w:ind w:left="993" w:right="474"/>
        <w:jc w:val="center"/>
        <w:rPr>
          <w:rFonts w:ascii="Garamond" w:hAnsi="Garamond"/>
        </w:rPr>
      </w:pPr>
      <w:r w:rsidRPr="00355E5A">
        <w:rPr>
          <w:rFonts w:ascii="Garamond" w:hAnsi="Garamond"/>
        </w:rPr>
        <w:lastRenderedPageBreak/>
        <w:t>Fuente: DANE (2025)</w:t>
      </w:r>
    </w:p>
    <w:p w14:paraId="3258725F" w14:textId="096EECDC" w:rsid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Respecto al trimestre inmediatamente anterior, el Producto Interno Bruto en su serie ajustada por efecto estacional y calendario crece 0,8%. Cuando se observa el comportamiento de las actividades económicas relacionadas: Actividades artísticas, de entretenimiento y recreación y otras actividades de servicios; Actividades de los hogares individuales en calidad de empleadores; actividades no diferenciadas de los hogares individuales como productores de bienes y servicios para uso propio crece 4,1%. Actividades financieras y de seguros crece 1,0%. Administración pública y defensa; planes de seguridad social de afiliación obligatoria; Educación; Actividades de atención de la salud humana y de servicios sociales crece 0,6%.</w:t>
      </w:r>
    </w:p>
    <w:p w14:paraId="69373FE2" w14:textId="0BF06D06" w:rsidR="00355E5A" w:rsidRPr="003D57C6" w:rsidRDefault="00355E5A" w:rsidP="003A1825">
      <w:pPr>
        <w:pStyle w:val="Prrafodelista"/>
        <w:numPr>
          <w:ilvl w:val="3"/>
          <w:numId w:val="1"/>
        </w:numPr>
        <w:tabs>
          <w:tab w:val="left" w:pos="3720"/>
        </w:tabs>
        <w:spacing w:line="240" w:lineRule="auto"/>
        <w:ind w:right="474"/>
        <w:jc w:val="both"/>
        <w:rPr>
          <w:rFonts w:ascii="Garamond" w:hAnsi="Garamond"/>
          <w:b/>
          <w:sz w:val="24"/>
          <w:szCs w:val="24"/>
        </w:rPr>
      </w:pPr>
      <w:r w:rsidRPr="003D57C6">
        <w:rPr>
          <w:rFonts w:ascii="Garamond" w:hAnsi="Garamond"/>
          <w:b/>
          <w:sz w:val="24"/>
          <w:szCs w:val="24"/>
        </w:rPr>
        <w:t>PIB Sectorial:</w:t>
      </w:r>
    </w:p>
    <w:p w14:paraId="3B0197FE" w14:textId="3185E38F" w:rsidR="00355E5A" w:rsidRP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Corresponde al valor agregado por actividad económica para el primer trimestre de 2025, con las tasas de</w:t>
      </w:r>
      <w:r w:rsidRPr="00355E5A">
        <w:t xml:space="preserve"> </w:t>
      </w:r>
      <w:r w:rsidRPr="00355E5A">
        <w:rPr>
          <w:rFonts w:ascii="Garamond" w:hAnsi="Garamond"/>
          <w:sz w:val="24"/>
          <w:szCs w:val="24"/>
        </w:rPr>
        <w:t>crecimiento en volumen, tanto en su serie original como ajustada por efectos estacionales y de calendario. El Producto Interno Bruto (PIB) nacional refleja un crecimiento anual del 2,7% en comparación con el mismo trimestre del año anterior, y un incremento trimestral del 0,8% frente al cuarto trimestre de 2024. Estos resultados indican una recuperación moderada en la economía colombiana durante el inicio del año 2025.</w:t>
      </w:r>
    </w:p>
    <w:p w14:paraId="7F816359" w14:textId="3C66708F" w:rsid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Entre las actividades económicas con mayor crecimiento anual destaca el sector de actividades artísticas, de entretenimiento y recreación, que reportó un incremento del 15,5%, siendo el más dinámico del periodo. Le siguen agricultura, ganadería, caza, silvicultura y pesca, con un crecimiento del 7,1%, y la administración pública, defensa, educación y salud, con 3,5%, lo que evidencia un impulso tanto desde el sector cultural como desde el sector público y primario.</w:t>
      </w:r>
    </w:p>
    <w:p w14:paraId="272D75C0" w14:textId="0A26BDFF" w:rsidR="00355E5A" w:rsidRPr="00355E5A" w:rsidRDefault="00355E5A" w:rsidP="002A4BF2">
      <w:pPr>
        <w:pStyle w:val="Prrafodelista"/>
        <w:tabs>
          <w:tab w:val="left" w:pos="3720"/>
        </w:tabs>
        <w:spacing w:line="240" w:lineRule="auto"/>
        <w:ind w:left="1713" w:right="474"/>
        <w:jc w:val="center"/>
        <w:rPr>
          <w:rFonts w:ascii="Garamond" w:hAnsi="Garamond"/>
        </w:rPr>
      </w:pPr>
      <w:r>
        <w:rPr>
          <w:rFonts w:ascii="Garamond" w:hAnsi="Garamond"/>
        </w:rPr>
        <w:t>Valor agregado por actividad económica Tasas de crecimiento en volumen por actividad económica Primer Trimestre 2025</w:t>
      </w:r>
    </w:p>
    <w:p w14:paraId="2204FDE8" w14:textId="383DF698" w:rsidR="00355E5A" w:rsidRDefault="00355E5A" w:rsidP="002A4BF2">
      <w:pPr>
        <w:tabs>
          <w:tab w:val="left" w:pos="3720"/>
        </w:tabs>
        <w:spacing w:line="240" w:lineRule="auto"/>
        <w:ind w:left="993" w:right="474"/>
        <w:jc w:val="center"/>
        <w:rPr>
          <w:rFonts w:ascii="Garamond" w:hAnsi="Garamond"/>
          <w:sz w:val="24"/>
          <w:szCs w:val="24"/>
        </w:rPr>
      </w:pPr>
      <w:r w:rsidRPr="00355E5A">
        <w:rPr>
          <w:rFonts w:ascii="Garamond" w:hAnsi="Garamond"/>
          <w:noProof/>
          <w:sz w:val="24"/>
          <w:szCs w:val="24"/>
          <w:lang w:eastAsia="es-CO"/>
        </w:rPr>
        <w:drawing>
          <wp:inline distT="0" distB="0" distL="0" distR="0" wp14:anchorId="3C2A0A13" wp14:editId="18523DB9">
            <wp:extent cx="4885775" cy="3821373"/>
            <wp:effectExtent l="0" t="0" r="0" b="825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8502" b="3313"/>
                    <a:stretch/>
                  </pic:blipFill>
                  <pic:spPr bwMode="auto">
                    <a:xfrm>
                      <a:off x="0" y="0"/>
                      <a:ext cx="4887007" cy="3822337"/>
                    </a:xfrm>
                    <a:prstGeom prst="rect">
                      <a:avLst/>
                    </a:prstGeom>
                    <a:ln>
                      <a:noFill/>
                    </a:ln>
                    <a:extLst>
                      <a:ext uri="{53640926-AAD7-44D8-BBD7-CCE9431645EC}">
                        <a14:shadowObscured xmlns:a14="http://schemas.microsoft.com/office/drawing/2010/main"/>
                      </a:ext>
                    </a:extLst>
                  </pic:spPr>
                </pic:pic>
              </a:graphicData>
            </a:graphic>
          </wp:inline>
        </w:drawing>
      </w:r>
    </w:p>
    <w:p w14:paraId="4D73157C" w14:textId="77777777" w:rsidR="00355E5A" w:rsidRPr="00355E5A" w:rsidRDefault="00355E5A" w:rsidP="002A4BF2">
      <w:pPr>
        <w:tabs>
          <w:tab w:val="left" w:pos="3720"/>
        </w:tabs>
        <w:spacing w:line="240" w:lineRule="auto"/>
        <w:ind w:left="993" w:right="474"/>
        <w:jc w:val="center"/>
        <w:rPr>
          <w:rFonts w:ascii="Garamond" w:hAnsi="Garamond"/>
        </w:rPr>
      </w:pPr>
      <w:r w:rsidRPr="00355E5A">
        <w:rPr>
          <w:rFonts w:ascii="Garamond" w:hAnsi="Garamond"/>
        </w:rPr>
        <w:lastRenderedPageBreak/>
        <w:t>Fuente: DANE (2025)</w:t>
      </w:r>
    </w:p>
    <w:p w14:paraId="73747C29" w14:textId="77777777" w:rsidR="00355E5A" w:rsidRPr="00355E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Por otro lado, algunos sectores muestran contracciones importantes. La explotación de minas y canteras se redujo en -5,0%, al igual que la construcción, que decreció -3,5% anual. El suministro de electricidad, gas y vapor también tuvo una caída del -1,2%, lo cual podría reflejar una menor demanda energética industrial o ajustes en el consumo general. Estos descensos sugieren desafíos persistentes en sectores intensivos en inversión y recursos naturales.</w:t>
      </w:r>
    </w:p>
    <w:p w14:paraId="3E8F6E9F" w14:textId="711E8A94" w:rsidR="001C515A" w:rsidRDefault="00355E5A" w:rsidP="002A4BF2">
      <w:pPr>
        <w:tabs>
          <w:tab w:val="left" w:pos="3720"/>
        </w:tabs>
        <w:spacing w:line="240" w:lineRule="auto"/>
        <w:ind w:left="993" w:right="474"/>
        <w:jc w:val="both"/>
        <w:rPr>
          <w:rFonts w:ascii="Garamond" w:hAnsi="Garamond"/>
          <w:sz w:val="24"/>
          <w:szCs w:val="24"/>
        </w:rPr>
      </w:pPr>
      <w:r w:rsidRPr="00355E5A">
        <w:rPr>
          <w:rFonts w:ascii="Garamond" w:hAnsi="Garamond"/>
          <w:sz w:val="24"/>
          <w:szCs w:val="24"/>
        </w:rPr>
        <w:t>Finalmente, el valor agregado bruto, principal componente del PIB, creció también un 2,7%, mientras que los impuestos netos de subvenciones sobre productos crecieron en 2,2%. Estos datos, combinados con un aumento trimestral del PIB del 0,8%, sugieren una reactivación moderada y una economía que avanza de manera gradual, con impulso desde el consumo, la cultura y los servicios públicos, pero aún con retos importantes en los sectores extractivo y de construcción.</w:t>
      </w:r>
    </w:p>
    <w:p w14:paraId="3BB7566A" w14:textId="6696CE9A" w:rsidR="001C515A" w:rsidRPr="003D57C6" w:rsidRDefault="001C515A" w:rsidP="003A1825">
      <w:pPr>
        <w:pStyle w:val="Prrafodelista"/>
        <w:numPr>
          <w:ilvl w:val="2"/>
          <w:numId w:val="1"/>
        </w:numPr>
        <w:tabs>
          <w:tab w:val="left" w:pos="3720"/>
        </w:tabs>
        <w:spacing w:line="240" w:lineRule="auto"/>
        <w:ind w:right="474"/>
        <w:jc w:val="both"/>
        <w:rPr>
          <w:rFonts w:ascii="Garamond" w:hAnsi="Garamond"/>
          <w:b/>
          <w:sz w:val="24"/>
          <w:szCs w:val="24"/>
        </w:rPr>
      </w:pPr>
      <w:r w:rsidRPr="003D57C6">
        <w:rPr>
          <w:rFonts w:ascii="Garamond" w:hAnsi="Garamond"/>
          <w:b/>
          <w:sz w:val="24"/>
          <w:szCs w:val="24"/>
        </w:rPr>
        <w:t>IPC</w:t>
      </w:r>
    </w:p>
    <w:p w14:paraId="4F1BD973" w14:textId="63758480" w:rsidR="00355E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Índice de Precios al Consumidor (IPC) en Colombia para el mes de abril, En mayo de 2025, el Índice de Precios al Consumidor (IPC) total registró una variación mensual de 0,32 %, mostrando una ligera desaceleración frente al mismo mes del año anterior, cuando el aumento fue de 0,43 %. Esta diferencia refleja una moderación en el incremento de los precios en el corto plazo, lo que puede estar asociado a menores presiones inflacionarias en ciertos bienes y servicios. La variación año corrido también mostró una leve reducción, pasando de 3,78 % en mayo de 2024 a 3,63 % en mayo de 2025.</w:t>
      </w:r>
    </w:p>
    <w:p w14:paraId="0005F848" w14:textId="2E691D4F" w:rsidR="00355E5A" w:rsidRPr="001C515A" w:rsidRDefault="001C515A" w:rsidP="002A4BF2">
      <w:pPr>
        <w:tabs>
          <w:tab w:val="left" w:pos="3720"/>
        </w:tabs>
        <w:spacing w:line="240" w:lineRule="auto"/>
        <w:ind w:left="993" w:right="474"/>
        <w:jc w:val="center"/>
        <w:rPr>
          <w:rFonts w:ascii="Garamond" w:hAnsi="Garamond"/>
          <w:sz w:val="24"/>
          <w:szCs w:val="24"/>
        </w:rPr>
      </w:pPr>
      <w:r w:rsidRPr="001C515A">
        <w:rPr>
          <w:rFonts w:ascii="Garamond" w:hAnsi="Garamond"/>
        </w:rPr>
        <w:t>IPC Variación año corrido Junio 2024 - 2025</w:t>
      </w:r>
    </w:p>
    <w:p w14:paraId="62374E37" w14:textId="5936E634" w:rsidR="00355E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noProof/>
          <w:sz w:val="24"/>
          <w:szCs w:val="24"/>
          <w:lang w:eastAsia="es-CO"/>
        </w:rPr>
        <w:drawing>
          <wp:inline distT="0" distB="0" distL="0" distR="0" wp14:anchorId="2A2A2F5C" wp14:editId="2F67A76D">
            <wp:extent cx="6230219" cy="1324160"/>
            <wp:effectExtent l="0" t="0" r="0"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30219" cy="1324160"/>
                    </a:xfrm>
                    <a:prstGeom prst="rect">
                      <a:avLst/>
                    </a:prstGeom>
                  </pic:spPr>
                </pic:pic>
              </a:graphicData>
            </a:graphic>
          </wp:inline>
        </w:drawing>
      </w:r>
    </w:p>
    <w:p w14:paraId="3A507377" w14:textId="19CB1AC3" w:rsidR="00355E5A" w:rsidRDefault="001C515A" w:rsidP="002A4BF2">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7A7A8DA9" w14:textId="50973C53" w:rsidR="00355E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Sin embargo, la diferencia más significativa se presenta en la variación anual del IPC. En abril de 2025, la inflación interanual fue del 5,16%, lo que representa una reducción notable en comparación con el 7,16% registrado en abril de 2024. Esta disminución indica una moderación de las presiones inflacionarias en el país durante el último año, lo cual es positivo desde el punto de vista del poder adquisitivo de los consumidores y la estabilidad macroeconómica.</w:t>
      </w:r>
    </w:p>
    <w:p w14:paraId="24D07E74" w14:textId="2AAD16ED" w:rsidR="001C515A" w:rsidRPr="003D57C6" w:rsidRDefault="006D2F87" w:rsidP="003A1825">
      <w:pPr>
        <w:pStyle w:val="Prrafodelista"/>
        <w:numPr>
          <w:ilvl w:val="2"/>
          <w:numId w:val="1"/>
        </w:numPr>
        <w:tabs>
          <w:tab w:val="left" w:pos="3720"/>
        </w:tabs>
        <w:spacing w:line="240" w:lineRule="auto"/>
        <w:ind w:right="474"/>
        <w:jc w:val="both"/>
        <w:rPr>
          <w:rFonts w:ascii="Garamond" w:hAnsi="Garamond"/>
          <w:b/>
          <w:sz w:val="24"/>
          <w:szCs w:val="24"/>
        </w:rPr>
      </w:pPr>
      <w:r w:rsidRPr="003D57C6">
        <w:rPr>
          <w:rFonts w:ascii="Garamond" w:hAnsi="Garamond"/>
          <w:b/>
          <w:sz w:val="24"/>
          <w:szCs w:val="24"/>
        </w:rPr>
        <w:t>SALARIO MÍNIMO MENSUAL LEGAL VIGENTE - SMMLV</w:t>
      </w:r>
    </w:p>
    <w:p w14:paraId="002C55E7" w14:textId="45D5C4A4" w:rsidR="00355E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El salario mínimo se define en Colombia, mediante Decreto Nacional, luego de las correspondientes deliberaciones entre el sector empresarial, gremio de trabajadores y el gobierno nacional. Durante los últimos 10 años la variación anual se ubica en el promedio del 3,5% y 10%, respectivamente.</w:t>
      </w:r>
    </w:p>
    <w:p w14:paraId="42275794" w14:textId="1FD12F5B" w:rsidR="001C515A" w:rsidRDefault="001C515A" w:rsidP="002A4BF2">
      <w:pPr>
        <w:tabs>
          <w:tab w:val="left" w:pos="3720"/>
        </w:tabs>
        <w:spacing w:line="240" w:lineRule="auto"/>
        <w:ind w:left="993" w:right="474"/>
        <w:jc w:val="center"/>
        <w:rPr>
          <w:rFonts w:ascii="Garamond" w:hAnsi="Garamond"/>
          <w:sz w:val="24"/>
          <w:szCs w:val="24"/>
        </w:rPr>
      </w:pPr>
      <w:r w:rsidRPr="001C515A">
        <w:rPr>
          <w:rFonts w:ascii="Garamond" w:hAnsi="Garamond"/>
        </w:rPr>
        <w:t>Tabla 3: Variación del Salario Mínimo Mensual Legal Vigente 2010-2025</w:t>
      </w:r>
    </w:p>
    <w:tbl>
      <w:tblPr>
        <w:tblW w:w="0" w:type="auto"/>
        <w:tblCellSpacing w:w="15"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4"/>
        <w:gridCol w:w="1418"/>
        <w:gridCol w:w="2268"/>
        <w:gridCol w:w="3685"/>
      </w:tblGrid>
      <w:tr w:rsidR="001C515A" w:rsidRPr="001C515A" w14:paraId="67CB27DE" w14:textId="77777777" w:rsidTr="001C515A">
        <w:trPr>
          <w:tblHeader/>
          <w:tblCellSpacing w:w="15" w:type="dxa"/>
        </w:trPr>
        <w:tc>
          <w:tcPr>
            <w:tcW w:w="1089" w:type="dxa"/>
            <w:vAlign w:val="center"/>
            <w:hideMark/>
          </w:tcPr>
          <w:p w14:paraId="5B0D5FDA" w14:textId="77777777" w:rsidR="001C515A" w:rsidRPr="001C515A" w:rsidRDefault="001C515A" w:rsidP="002A4BF2">
            <w:pPr>
              <w:spacing w:after="0" w:line="240" w:lineRule="auto"/>
              <w:jc w:val="center"/>
              <w:rPr>
                <w:rFonts w:ascii="Garamond" w:eastAsia="Times New Roman" w:hAnsi="Garamond" w:cs="Times New Roman"/>
                <w:b/>
                <w:bCs/>
                <w:lang w:eastAsia="es-CO"/>
              </w:rPr>
            </w:pPr>
            <w:r w:rsidRPr="001C515A">
              <w:rPr>
                <w:rFonts w:ascii="Garamond" w:eastAsia="Times New Roman" w:hAnsi="Garamond" w:cs="Times New Roman"/>
                <w:b/>
                <w:bCs/>
                <w:lang w:eastAsia="es-CO"/>
              </w:rPr>
              <w:lastRenderedPageBreak/>
              <w:t>AÑO</w:t>
            </w:r>
          </w:p>
        </w:tc>
        <w:tc>
          <w:tcPr>
            <w:tcW w:w="1388" w:type="dxa"/>
            <w:vAlign w:val="center"/>
            <w:hideMark/>
          </w:tcPr>
          <w:p w14:paraId="2B231E37" w14:textId="77777777" w:rsidR="001C515A" w:rsidRPr="001C515A" w:rsidRDefault="001C515A" w:rsidP="002A4BF2">
            <w:pPr>
              <w:spacing w:after="0" w:line="240" w:lineRule="auto"/>
              <w:jc w:val="center"/>
              <w:rPr>
                <w:rFonts w:ascii="Garamond" w:eastAsia="Times New Roman" w:hAnsi="Garamond" w:cs="Times New Roman"/>
                <w:b/>
                <w:bCs/>
                <w:lang w:eastAsia="es-CO"/>
              </w:rPr>
            </w:pPr>
            <w:r w:rsidRPr="001C515A">
              <w:rPr>
                <w:rFonts w:ascii="Garamond" w:eastAsia="Times New Roman" w:hAnsi="Garamond" w:cs="Times New Roman"/>
                <w:b/>
                <w:bCs/>
                <w:lang w:eastAsia="es-CO"/>
              </w:rPr>
              <w:t>SMMLV ($)</w:t>
            </w:r>
          </w:p>
        </w:tc>
        <w:tc>
          <w:tcPr>
            <w:tcW w:w="2238" w:type="dxa"/>
            <w:vAlign w:val="center"/>
            <w:hideMark/>
          </w:tcPr>
          <w:p w14:paraId="7D4AECA8" w14:textId="77777777" w:rsidR="001C515A" w:rsidRPr="001C515A" w:rsidRDefault="001C515A" w:rsidP="002A4BF2">
            <w:pPr>
              <w:spacing w:after="0" w:line="240" w:lineRule="auto"/>
              <w:jc w:val="center"/>
              <w:rPr>
                <w:rFonts w:ascii="Garamond" w:eastAsia="Times New Roman" w:hAnsi="Garamond" w:cs="Times New Roman"/>
                <w:b/>
                <w:bCs/>
                <w:lang w:eastAsia="es-CO"/>
              </w:rPr>
            </w:pPr>
            <w:r w:rsidRPr="001C515A">
              <w:rPr>
                <w:rFonts w:ascii="Garamond" w:eastAsia="Times New Roman" w:hAnsi="Garamond" w:cs="Times New Roman"/>
                <w:b/>
                <w:bCs/>
                <w:lang w:eastAsia="es-CO"/>
              </w:rPr>
              <w:t>VARIACIÓN % ANUAL</w:t>
            </w:r>
          </w:p>
        </w:tc>
        <w:tc>
          <w:tcPr>
            <w:tcW w:w="3640" w:type="dxa"/>
            <w:vAlign w:val="center"/>
            <w:hideMark/>
          </w:tcPr>
          <w:p w14:paraId="3E65F094" w14:textId="77777777" w:rsidR="001C515A" w:rsidRPr="001C515A" w:rsidRDefault="001C515A" w:rsidP="002A4BF2">
            <w:pPr>
              <w:spacing w:after="0" w:line="240" w:lineRule="auto"/>
              <w:jc w:val="center"/>
              <w:rPr>
                <w:rFonts w:ascii="Garamond" w:eastAsia="Times New Roman" w:hAnsi="Garamond" w:cs="Times New Roman"/>
                <w:b/>
                <w:bCs/>
                <w:lang w:eastAsia="es-CO"/>
              </w:rPr>
            </w:pPr>
            <w:r w:rsidRPr="001C515A">
              <w:rPr>
                <w:rFonts w:ascii="Garamond" w:eastAsia="Times New Roman" w:hAnsi="Garamond" w:cs="Times New Roman"/>
                <w:b/>
                <w:bCs/>
                <w:lang w:eastAsia="es-CO"/>
              </w:rPr>
              <w:t>DECRETO DEL GOBIERNO NACIONAL</w:t>
            </w:r>
          </w:p>
        </w:tc>
      </w:tr>
      <w:tr w:rsidR="001C515A" w:rsidRPr="001C515A" w14:paraId="6211CB09" w14:textId="77777777" w:rsidTr="001C515A">
        <w:trPr>
          <w:tblCellSpacing w:w="15" w:type="dxa"/>
        </w:trPr>
        <w:tc>
          <w:tcPr>
            <w:tcW w:w="1089" w:type="dxa"/>
            <w:vAlign w:val="center"/>
            <w:hideMark/>
          </w:tcPr>
          <w:p w14:paraId="77C56223"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2014</w:t>
            </w:r>
          </w:p>
        </w:tc>
        <w:tc>
          <w:tcPr>
            <w:tcW w:w="1388" w:type="dxa"/>
            <w:vAlign w:val="center"/>
            <w:hideMark/>
          </w:tcPr>
          <w:p w14:paraId="6A52C788"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616.000</w:t>
            </w:r>
          </w:p>
        </w:tc>
        <w:tc>
          <w:tcPr>
            <w:tcW w:w="2238" w:type="dxa"/>
            <w:vAlign w:val="center"/>
            <w:hideMark/>
          </w:tcPr>
          <w:p w14:paraId="04BD9F20"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4,50%</w:t>
            </w:r>
          </w:p>
        </w:tc>
        <w:tc>
          <w:tcPr>
            <w:tcW w:w="3640" w:type="dxa"/>
            <w:vAlign w:val="center"/>
            <w:hideMark/>
          </w:tcPr>
          <w:p w14:paraId="798E459F"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3068 del 30 de diciembre de 2013</w:t>
            </w:r>
          </w:p>
        </w:tc>
      </w:tr>
      <w:tr w:rsidR="001C515A" w:rsidRPr="001C515A" w14:paraId="4F5EBB6A" w14:textId="77777777" w:rsidTr="001C515A">
        <w:trPr>
          <w:tblCellSpacing w:w="15" w:type="dxa"/>
        </w:trPr>
        <w:tc>
          <w:tcPr>
            <w:tcW w:w="1089" w:type="dxa"/>
            <w:vAlign w:val="center"/>
            <w:hideMark/>
          </w:tcPr>
          <w:p w14:paraId="5FA71639"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2015</w:t>
            </w:r>
          </w:p>
        </w:tc>
        <w:tc>
          <w:tcPr>
            <w:tcW w:w="1388" w:type="dxa"/>
            <w:vAlign w:val="center"/>
            <w:hideMark/>
          </w:tcPr>
          <w:p w14:paraId="280C6F83"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644.350</w:t>
            </w:r>
          </w:p>
        </w:tc>
        <w:tc>
          <w:tcPr>
            <w:tcW w:w="2238" w:type="dxa"/>
            <w:vAlign w:val="center"/>
            <w:hideMark/>
          </w:tcPr>
          <w:p w14:paraId="001EB029"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4,60%</w:t>
            </w:r>
          </w:p>
        </w:tc>
        <w:tc>
          <w:tcPr>
            <w:tcW w:w="3640" w:type="dxa"/>
            <w:vAlign w:val="center"/>
            <w:hideMark/>
          </w:tcPr>
          <w:p w14:paraId="3458D7E2"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2731 del 30 de diciembre de 2014</w:t>
            </w:r>
          </w:p>
        </w:tc>
      </w:tr>
      <w:tr w:rsidR="001C515A" w:rsidRPr="001C515A" w14:paraId="39379783" w14:textId="77777777" w:rsidTr="001C515A">
        <w:trPr>
          <w:tblCellSpacing w:w="15" w:type="dxa"/>
        </w:trPr>
        <w:tc>
          <w:tcPr>
            <w:tcW w:w="1089" w:type="dxa"/>
            <w:vAlign w:val="center"/>
            <w:hideMark/>
          </w:tcPr>
          <w:p w14:paraId="0048B039"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2016</w:t>
            </w:r>
          </w:p>
        </w:tc>
        <w:tc>
          <w:tcPr>
            <w:tcW w:w="1388" w:type="dxa"/>
            <w:vAlign w:val="center"/>
            <w:hideMark/>
          </w:tcPr>
          <w:p w14:paraId="7F9D1E98"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689.455</w:t>
            </w:r>
          </w:p>
        </w:tc>
        <w:tc>
          <w:tcPr>
            <w:tcW w:w="2238" w:type="dxa"/>
            <w:vAlign w:val="center"/>
            <w:hideMark/>
          </w:tcPr>
          <w:p w14:paraId="49ABADA6"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7,00%</w:t>
            </w:r>
          </w:p>
        </w:tc>
        <w:tc>
          <w:tcPr>
            <w:tcW w:w="3640" w:type="dxa"/>
            <w:vAlign w:val="center"/>
            <w:hideMark/>
          </w:tcPr>
          <w:p w14:paraId="5A3187E7"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252 del 30 de diciembre de 2015</w:t>
            </w:r>
          </w:p>
        </w:tc>
      </w:tr>
      <w:tr w:rsidR="001C515A" w:rsidRPr="001C515A" w14:paraId="1248DFB2" w14:textId="77777777" w:rsidTr="001C515A">
        <w:trPr>
          <w:tblCellSpacing w:w="15" w:type="dxa"/>
        </w:trPr>
        <w:tc>
          <w:tcPr>
            <w:tcW w:w="1089" w:type="dxa"/>
            <w:vAlign w:val="center"/>
            <w:hideMark/>
          </w:tcPr>
          <w:p w14:paraId="24BC5A54"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2017</w:t>
            </w:r>
          </w:p>
        </w:tc>
        <w:tc>
          <w:tcPr>
            <w:tcW w:w="1388" w:type="dxa"/>
            <w:vAlign w:val="center"/>
            <w:hideMark/>
          </w:tcPr>
          <w:p w14:paraId="68E204E8"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737.717</w:t>
            </w:r>
          </w:p>
        </w:tc>
        <w:tc>
          <w:tcPr>
            <w:tcW w:w="2238" w:type="dxa"/>
            <w:vAlign w:val="center"/>
            <w:hideMark/>
          </w:tcPr>
          <w:p w14:paraId="41E3218E"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7,00%</w:t>
            </w:r>
          </w:p>
        </w:tc>
        <w:tc>
          <w:tcPr>
            <w:tcW w:w="3640" w:type="dxa"/>
            <w:vAlign w:val="center"/>
            <w:hideMark/>
          </w:tcPr>
          <w:p w14:paraId="418B264B"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2209 del 30 de diciembre de 2016</w:t>
            </w:r>
          </w:p>
        </w:tc>
      </w:tr>
      <w:tr w:rsidR="001C515A" w:rsidRPr="001C515A" w14:paraId="4145611C" w14:textId="77777777" w:rsidTr="001C515A">
        <w:trPr>
          <w:tblCellSpacing w:w="15" w:type="dxa"/>
        </w:trPr>
        <w:tc>
          <w:tcPr>
            <w:tcW w:w="1089" w:type="dxa"/>
            <w:vAlign w:val="center"/>
            <w:hideMark/>
          </w:tcPr>
          <w:p w14:paraId="10BA57FB"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2018</w:t>
            </w:r>
          </w:p>
        </w:tc>
        <w:tc>
          <w:tcPr>
            <w:tcW w:w="1388" w:type="dxa"/>
            <w:vAlign w:val="center"/>
            <w:hideMark/>
          </w:tcPr>
          <w:p w14:paraId="57CDE105"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781.242</w:t>
            </w:r>
          </w:p>
        </w:tc>
        <w:tc>
          <w:tcPr>
            <w:tcW w:w="2238" w:type="dxa"/>
            <w:vAlign w:val="center"/>
            <w:hideMark/>
          </w:tcPr>
          <w:p w14:paraId="103E566F"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5,90%</w:t>
            </w:r>
          </w:p>
        </w:tc>
        <w:tc>
          <w:tcPr>
            <w:tcW w:w="3640" w:type="dxa"/>
            <w:vAlign w:val="center"/>
            <w:hideMark/>
          </w:tcPr>
          <w:p w14:paraId="42869D17"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2269 del 30 de diciembre de 2017</w:t>
            </w:r>
          </w:p>
        </w:tc>
      </w:tr>
      <w:tr w:rsidR="001C515A" w:rsidRPr="001C515A" w14:paraId="469C1A6B" w14:textId="77777777" w:rsidTr="001C515A">
        <w:trPr>
          <w:tblCellSpacing w:w="15" w:type="dxa"/>
        </w:trPr>
        <w:tc>
          <w:tcPr>
            <w:tcW w:w="1089" w:type="dxa"/>
            <w:vAlign w:val="center"/>
            <w:hideMark/>
          </w:tcPr>
          <w:p w14:paraId="1DAB3C47"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2019</w:t>
            </w:r>
          </w:p>
        </w:tc>
        <w:tc>
          <w:tcPr>
            <w:tcW w:w="1388" w:type="dxa"/>
            <w:vAlign w:val="center"/>
            <w:hideMark/>
          </w:tcPr>
          <w:p w14:paraId="4D341FBF"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828.116</w:t>
            </w:r>
          </w:p>
        </w:tc>
        <w:tc>
          <w:tcPr>
            <w:tcW w:w="2238" w:type="dxa"/>
            <w:vAlign w:val="center"/>
            <w:hideMark/>
          </w:tcPr>
          <w:p w14:paraId="63B2C5D1"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6,00%</w:t>
            </w:r>
          </w:p>
        </w:tc>
        <w:tc>
          <w:tcPr>
            <w:tcW w:w="3640" w:type="dxa"/>
            <w:vAlign w:val="center"/>
            <w:hideMark/>
          </w:tcPr>
          <w:p w14:paraId="5C5BBE30"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2451 del 27 de diciembre de 2018</w:t>
            </w:r>
          </w:p>
        </w:tc>
      </w:tr>
      <w:tr w:rsidR="001C515A" w:rsidRPr="001C515A" w14:paraId="0CCC6437" w14:textId="77777777" w:rsidTr="001C515A">
        <w:trPr>
          <w:tblCellSpacing w:w="15" w:type="dxa"/>
        </w:trPr>
        <w:tc>
          <w:tcPr>
            <w:tcW w:w="1089" w:type="dxa"/>
            <w:vAlign w:val="center"/>
            <w:hideMark/>
          </w:tcPr>
          <w:p w14:paraId="6DAE52AF"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2020</w:t>
            </w:r>
          </w:p>
        </w:tc>
        <w:tc>
          <w:tcPr>
            <w:tcW w:w="1388" w:type="dxa"/>
            <w:vAlign w:val="center"/>
            <w:hideMark/>
          </w:tcPr>
          <w:p w14:paraId="53A6FF48"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877.803</w:t>
            </w:r>
          </w:p>
        </w:tc>
        <w:tc>
          <w:tcPr>
            <w:tcW w:w="2238" w:type="dxa"/>
            <w:vAlign w:val="center"/>
            <w:hideMark/>
          </w:tcPr>
          <w:p w14:paraId="489C42CD"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6,00%</w:t>
            </w:r>
          </w:p>
        </w:tc>
        <w:tc>
          <w:tcPr>
            <w:tcW w:w="3640" w:type="dxa"/>
            <w:vAlign w:val="center"/>
            <w:hideMark/>
          </w:tcPr>
          <w:p w14:paraId="2DBB7D8D"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2360 del 26 de diciembre de 2019</w:t>
            </w:r>
          </w:p>
        </w:tc>
      </w:tr>
      <w:tr w:rsidR="001C515A" w:rsidRPr="001C515A" w14:paraId="73BCDDA1" w14:textId="77777777" w:rsidTr="001C515A">
        <w:trPr>
          <w:tblCellSpacing w:w="15" w:type="dxa"/>
        </w:trPr>
        <w:tc>
          <w:tcPr>
            <w:tcW w:w="1089" w:type="dxa"/>
            <w:vAlign w:val="center"/>
            <w:hideMark/>
          </w:tcPr>
          <w:p w14:paraId="182D4B3A"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2021</w:t>
            </w:r>
          </w:p>
        </w:tc>
        <w:tc>
          <w:tcPr>
            <w:tcW w:w="1388" w:type="dxa"/>
            <w:vAlign w:val="center"/>
            <w:hideMark/>
          </w:tcPr>
          <w:p w14:paraId="1CABC138"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908.526</w:t>
            </w:r>
          </w:p>
        </w:tc>
        <w:tc>
          <w:tcPr>
            <w:tcW w:w="2238" w:type="dxa"/>
            <w:vAlign w:val="center"/>
            <w:hideMark/>
          </w:tcPr>
          <w:p w14:paraId="04205052"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3,50%</w:t>
            </w:r>
          </w:p>
        </w:tc>
        <w:tc>
          <w:tcPr>
            <w:tcW w:w="3640" w:type="dxa"/>
            <w:vAlign w:val="center"/>
            <w:hideMark/>
          </w:tcPr>
          <w:p w14:paraId="66B61E7F"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1785 del 29 de diciembre de 2020</w:t>
            </w:r>
          </w:p>
        </w:tc>
      </w:tr>
      <w:tr w:rsidR="001C515A" w:rsidRPr="001C515A" w14:paraId="4AA6879D" w14:textId="77777777" w:rsidTr="001C515A">
        <w:trPr>
          <w:tblCellSpacing w:w="15" w:type="dxa"/>
        </w:trPr>
        <w:tc>
          <w:tcPr>
            <w:tcW w:w="1089" w:type="dxa"/>
            <w:vAlign w:val="center"/>
            <w:hideMark/>
          </w:tcPr>
          <w:p w14:paraId="2F8F4E1E"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2022</w:t>
            </w:r>
          </w:p>
        </w:tc>
        <w:tc>
          <w:tcPr>
            <w:tcW w:w="1388" w:type="dxa"/>
            <w:vAlign w:val="center"/>
            <w:hideMark/>
          </w:tcPr>
          <w:p w14:paraId="27B4ACA4"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1.000.000</w:t>
            </w:r>
          </w:p>
        </w:tc>
        <w:tc>
          <w:tcPr>
            <w:tcW w:w="2238" w:type="dxa"/>
            <w:vAlign w:val="center"/>
            <w:hideMark/>
          </w:tcPr>
          <w:p w14:paraId="594FDDF4"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10,07%</w:t>
            </w:r>
          </w:p>
        </w:tc>
        <w:tc>
          <w:tcPr>
            <w:tcW w:w="3640" w:type="dxa"/>
            <w:vAlign w:val="center"/>
            <w:hideMark/>
          </w:tcPr>
          <w:p w14:paraId="6802B354"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1724 del 15 de diciembre de 2021</w:t>
            </w:r>
          </w:p>
        </w:tc>
      </w:tr>
      <w:tr w:rsidR="001C515A" w:rsidRPr="001C515A" w14:paraId="2F34D2BB" w14:textId="77777777" w:rsidTr="001C515A">
        <w:trPr>
          <w:tblCellSpacing w:w="15" w:type="dxa"/>
        </w:trPr>
        <w:tc>
          <w:tcPr>
            <w:tcW w:w="1089" w:type="dxa"/>
            <w:vAlign w:val="center"/>
            <w:hideMark/>
          </w:tcPr>
          <w:p w14:paraId="71AD73AA"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2023</w:t>
            </w:r>
          </w:p>
        </w:tc>
        <w:tc>
          <w:tcPr>
            <w:tcW w:w="1388" w:type="dxa"/>
            <w:vAlign w:val="center"/>
            <w:hideMark/>
          </w:tcPr>
          <w:p w14:paraId="263B3499"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1.160.000</w:t>
            </w:r>
          </w:p>
        </w:tc>
        <w:tc>
          <w:tcPr>
            <w:tcW w:w="2238" w:type="dxa"/>
            <w:vAlign w:val="center"/>
            <w:hideMark/>
          </w:tcPr>
          <w:p w14:paraId="485DA487"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16%</w:t>
            </w:r>
          </w:p>
        </w:tc>
        <w:tc>
          <w:tcPr>
            <w:tcW w:w="3640" w:type="dxa"/>
            <w:vAlign w:val="center"/>
            <w:hideMark/>
          </w:tcPr>
          <w:p w14:paraId="4B7DABCE"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2613 del 28 de diciembre de 2022</w:t>
            </w:r>
          </w:p>
        </w:tc>
      </w:tr>
      <w:tr w:rsidR="001C515A" w:rsidRPr="001C515A" w14:paraId="39E36C57" w14:textId="77777777" w:rsidTr="001C515A">
        <w:trPr>
          <w:tblCellSpacing w:w="15" w:type="dxa"/>
        </w:trPr>
        <w:tc>
          <w:tcPr>
            <w:tcW w:w="1089" w:type="dxa"/>
            <w:vAlign w:val="center"/>
            <w:hideMark/>
          </w:tcPr>
          <w:p w14:paraId="1885220F"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2024</w:t>
            </w:r>
          </w:p>
        </w:tc>
        <w:tc>
          <w:tcPr>
            <w:tcW w:w="1388" w:type="dxa"/>
            <w:vAlign w:val="center"/>
            <w:hideMark/>
          </w:tcPr>
          <w:p w14:paraId="46784FEC"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1.300.000</w:t>
            </w:r>
          </w:p>
        </w:tc>
        <w:tc>
          <w:tcPr>
            <w:tcW w:w="2238" w:type="dxa"/>
            <w:vAlign w:val="center"/>
            <w:hideMark/>
          </w:tcPr>
          <w:p w14:paraId="109EEC9A"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12%</w:t>
            </w:r>
          </w:p>
        </w:tc>
        <w:tc>
          <w:tcPr>
            <w:tcW w:w="3640" w:type="dxa"/>
            <w:vAlign w:val="center"/>
            <w:hideMark/>
          </w:tcPr>
          <w:p w14:paraId="3BE77795"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2292 del 29 de diciembre de 2023</w:t>
            </w:r>
          </w:p>
        </w:tc>
      </w:tr>
      <w:tr w:rsidR="001C515A" w:rsidRPr="001C515A" w14:paraId="00840564" w14:textId="77777777" w:rsidTr="001C515A">
        <w:trPr>
          <w:tblCellSpacing w:w="15" w:type="dxa"/>
        </w:trPr>
        <w:tc>
          <w:tcPr>
            <w:tcW w:w="1089" w:type="dxa"/>
            <w:vAlign w:val="center"/>
            <w:hideMark/>
          </w:tcPr>
          <w:p w14:paraId="64C01DF2"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2025</w:t>
            </w:r>
          </w:p>
        </w:tc>
        <w:tc>
          <w:tcPr>
            <w:tcW w:w="1388" w:type="dxa"/>
            <w:vAlign w:val="center"/>
            <w:hideMark/>
          </w:tcPr>
          <w:p w14:paraId="3949ACAC"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1.423.500</w:t>
            </w:r>
          </w:p>
        </w:tc>
        <w:tc>
          <w:tcPr>
            <w:tcW w:w="2238" w:type="dxa"/>
            <w:vAlign w:val="center"/>
            <w:hideMark/>
          </w:tcPr>
          <w:p w14:paraId="5A722191"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9,53%</w:t>
            </w:r>
          </w:p>
        </w:tc>
        <w:tc>
          <w:tcPr>
            <w:tcW w:w="3640" w:type="dxa"/>
            <w:vAlign w:val="center"/>
            <w:hideMark/>
          </w:tcPr>
          <w:p w14:paraId="677EA4C5" w14:textId="77777777" w:rsidR="001C515A" w:rsidRPr="001C515A" w:rsidRDefault="001C515A" w:rsidP="002A4BF2">
            <w:pPr>
              <w:spacing w:after="0" w:line="240" w:lineRule="auto"/>
              <w:rPr>
                <w:rFonts w:ascii="Garamond" w:eastAsia="Times New Roman" w:hAnsi="Garamond" w:cs="Times New Roman"/>
                <w:lang w:eastAsia="es-CO"/>
              </w:rPr>
            </w:pPr>
            <w:r w:rsidRPr="001C515A">
              <w:rPr>
                <w:rFonts w:ascii="Garamond" w:eastAsia="Times New Roman" w:hAnsi="Garamond" w:cs="Times New Roman"/>
                <w:lang w:eastAsia="es-CO"/>
              </w:rPr>
              <w:t>1572 del 24 de diciembre de 2024</w:t>
            </w:r>
          </w:p>
        </w:tc>
      </w:tr>
    </w:tbl>
    <w:p w14:paraId="0B6F336F" w14:textId="166378DA" w:rsidR="001C515A" w:rsidRPr="001C515A" w:rsidRDefault="001C515A" w:rsidP="002A4BF2">
      <w:pPr>
        <w:tabs>
          <w:tab w:val="left" w:pos="3720"/>
        </w:tabs>
        <w:spacing w:line="240" w:lineRule="auto"/>
        <w:ind w:left="993" w:right="474"/>
        <w:jc w:val="center"/>
        <w:rPr>
          <w:rFonts w:ascii="Garamond" w:hAnsi="Garamond"/>
        </w:rPr>
      </w:pPr>
      <w:r w:rsidRPr="001C515A">
        <w:rPr>
          <w:rFonts w:ascii="Garamond" w:hAnsi="Garamond"/>
        </w:rPr>
        <w:t>Fuente: Ministerio del Trabajo</w:t>
      </w:r>
    </w:p>
    <w:p w14:paraId="6F6A5603" w14:textId="17A67782"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El salario mínimo se define en Colombia, mediante Decreto Nacional, luego de las correspondientes deliberaciones entre el sector empresarial, gremio de trabajadores y el gobierno nacional. Durante los últimos 11 años la variación anual se ubica en el promedio del 7,91% respectivamente.</w:t>
      </w:r>
    </w:p>
    <w:p w14:paraId="5478F49E" w14:textId="59D2701D" w:rsidR="001C515A" w:rsidRPr="003D57C6" w:rsidRDefault="006D2F87" w:rsidP="003A1825">
      <w:pPr>
        <w:pStyle w:val="Prrafodelista"/>
        <w:numPr>
          <w:ilvl w:val="2"/>
          <w:numId w:val="1"/>
        </w:numPr>
        <w:tabs>
          <w:tab w:val="left" w:pos="3720"/>
        </w:tabs>
        <w:spacing w:line="240" w:lineRule="auto"/>
        <w:ind w:right="474"/>
        <w:jc w:val="both"/>
        <w:rPr>
          <w:rFonts w:ascii="Garamond" w:hAnsi="Garamond"/>
          <w:b/>
          <w:sz w:val="24"/>
          <w:szCs w:val="24"/>
        </w:rPr>
      </w:pPr>
      <w:r w:rsidRPr="003D57C6">
        <w:rPr>
          <w:rFonts w:ascii="Garamond" w:hAnsi="Garamond"/>
          <w:b/>
          <w:sz w:val="24"/>
          <w:szCs w:val="24"/>
        </w:rPr>
        <w:t>MERCADO LABORAL (GEIH EMPLEO Y DESEMPLEO)</w:t>
      </w:r>
    </w:p>
    <w:p w14:paraId="684373AA" w14:textId="3F4D40AB"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En mayo de 2025, la Tasa de Desocupación nacional fue del 9,0%, 1,3 p.p. por debajo de mayo de 2024, cuando fue del 10,3% (variación estadísticamente significativa). Por su parte, para las 13 ciudades y áreas metropolitanas la tasa también fue de 9,0%, con una variación igualmente significativa respecto a mayo del año anterior.</w:t>
      </w:r>
    </w:p>
    <w:p w14:paraId="23AD72AA" w14:textId="32391AB9" w:rsidR="001C515A" w:rsidRPr="001C515A" w:rsidRDefault="001C515A" w:rsidP="002A4BF2">
      <w:pPr>
        <w:tabs>
          <w:tab w:val="left" w:pos="3720"/>
        </w:tabs>
        <w:spacing w:line="240" w:lineRule="auto"/>
        <w:ind w:left="993" w:right="474"/>
        <w:jc w:val="center"/>
        <w:rPr>
          <w:rFonts w:ascii="Garamond" w:hAnsi="Garamond"/>
        </w:rPr>
      </w:pPr>
      <w:r w:rsidRPr="001C515A">
        <w:rPr>
          <w:rFonts w:ascii="Garamond" w:hAnsi="Garamond"/>
        </w:rPr>
        <w:t>Tasa global de participación (TGP), Tasa de ocupación (TO), Tasa de Desocupación (TD) y Tasa de subocupación (TS) Mayo (2024-2025)</w:t>
      </w:r>
    </w:p>
    <w:p w14:paraId="008AC209" w14:textId="7DBA7D33" w:rsidR="001C515A" w:rsidRDefault="001C515A" w:rsidP="002A4BF2">
      <w:pPr>
        <w:tabs>
          <w:tab w:val="left" w:pos="3720"/>
        </w:tabs>
        <w:spacing w:line="240" w:lineRule="auto"/>
        <w:ind w:left="993" w:right="474"/>
        <w:jc w:val="center"/>
        <w:rPr>
          <w:rFonts w:ascii="Garamond" w:hAnsi="Garamond"/>
          <w:sz w:val="24"/>
          <w:szCs w:val="24"/>
        </w:rPr>
      </w:pPr>
      <w:r w:rsidRPr="001C515A">
        <w:rPr>
          <w:rFonts w:ascii="Garamond" w:hAnsi="Garamond"/>
          <w:noProof/>
          <w:sz w:val="24"/>
          <w:szCs w:val="24"/>
          <w:lang w:eastAsia="es-CO"/>
        </w:rPr>
        <w:drawing>
          <wp:inline distT="0" distB="0" distL="0" distR="0" wp14:anchorId="7661FF44" wp14:editId="288AC9B8">
            <wp:extent cx="5039428" cy="1790950"/>
            <wp:effectExtent l="0" t="0" r="889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39428" cy="1790950"/>
                    </a:xfrm>
                    <a:prstGeom prst="rect">
                      <a:avLst/>
                    </a:prstGeom>
                  </pic:spPr>
                </pic:pic>
              </a:graphicData>
            </a:graphic>
          </wp:inline>
        </w:drawing>
      </w:r>
    </w:p>
    <w:p w14:paraId="4C646D98" w14:textId="77777777" w:rsidR="001C515A" w:rsidRDefault="001C515A" w:rsidP="002A4BF2">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3BAD9648" w14:textId="77777777" w:rsidR="001C515A" w:rsidRP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 xml:space="preserve">Adicionalmente, se observó una disminución en la Tasa Global de Participación (TGP) de 0,1 p.p., al pasar del 64,1% al 64,0%. A su vez, se registró crecimiento en la Tasa de Ocupación (TO) de 0,7 p.p. ubicándose en 58,2%, mientras que en mayo de 2024 fue de 57,5%. Respecto a la brecha de género en la Tasa de Desocupación para el total nacional, se registró un incremento de </w:t>
      </w:r>
      <w:r w:rsidRPr="001C515A">
        <w:rPr>
          <w:rFonts w:ascii="Garamond" w:hAnsi="Garamond"/>
          <w:sz w:val="24"/>
          <w:szCs w:val="24"/>
        </w:rPr>
        <w:lastRenderedPageBreak/>
        <w:t>1,4 p.p. al pasar de 3,1 p.p. en mayo de 2024, a 4,5 p.p. en mayo de 2025. La Tasa de Desocupación disminuyó tanto en mujeres como en hombres en 0,5 p.p. y 1,8 p.p., respectivamente.</w:t>
      </w:r>
    </w:p>
    <w:p w14:paraId="0D6B1470" w14:textId="77777777" w:rsidR="001C515A" w:rsidRP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En el caso de la población ocupada, todos los dominios geográficos presentaron crecimiento. A nivel nacional, la población ocupada aumentó significativamente en 597 mil personas respecto al año anterior. El crecimiento de esta población se explica por el incremento en los dominios geográficos de Otras cabeceras (4,2%) con una contribución de 1,1 p.p. y en 13 ciudades y A.M. (2,1%) cuya contribución fue 1,0 p.p.</w:t>
      </w:r>
    </w:p>
    <w:p w14:paraId="5FFBBCB7" w14:textId="77777777" w:rsidR="001C515A" w:rsidRP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Por ramas de actividad económica, Trasporte y almacenamiento (185 mil personas) y Actividades profesionales, científicas, técnicas y de servicios administrativos (137 mil personas), fueron las ramas de actividad económica con mayores aumentos en el número de ocupados para mayo de 2025. En contraste, se registró disminución en Industrias manufactureras con 122 mil personas menos en el número de ocupados.</w:t>
      </w:r>
    </w:p>
    <w:p w14:paraId="215D7D61" w14:textId="700C68E1"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En mayo de 2025, la población desocupada a nivel nacional presentó una disminución de 299 mil personas, con una variación de la Tasa de Desocupación significativa de -11,3%. Este descenso se explica principalmente por lo que sucede, sin variaciones significativas, en 13 ciudades y áreas metropolitanas (-12,4%) con una contribución de -5,9 p.p. y otras cabeceras (-16,9%) con una contribución de -5,4 p.p.</w:t>
      </w:r>
    </w:p>
    <w:p w14:paraId="5EBD6DEE" w14:textId="08B90B35"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Por otra parte, la Tasa de Desocupación desestacionalizada preliminar en mayo de 2025 tanto en el total nacional como para las 13 ciudades y áreas metropolitanas fue de 9,0%. Durante el periodo marzo – mayo 2025, la Tasa Global de Participación fue 64,1%, la Tasa de Desocupación en el total nacional fue del 9,1% y la Tasa de Ocupación fue 58,3%, estás dos últimas presentaron variaciones estadísticamente significativas al compararlas con mismo periodo del año anterior.</w:t>
      </w:r>
    </w:p>
    <w:p w14:paraId="17011B0E" w14:textId="0C4581D7" w:rsidR="001C515A" w:rsidRPr="003D57C6" w:rsidRDefault="006D2F87" w:rsidP="003A1825">
      <w:pPr>
        <w:pStyle w:val="Prrafodelista"/>
        <w:numPr>
          <w:ilvl w:val="2"/>
          <w:numId w:val="1"/>
        </w:numPr>
        <w:tabs>
          <w:tab w:val="left" w:pos="3720"/>
        </w:tabs>
        <w:spacing w:line="240" w:lineRule="auto"/>
        <w:ind w:right="474"/>
        <w:jc w:val="both"/>
        <w:rPr>
          <w:rFonts w:ascii="Garamond" w:hAnsi="Garamond"/>
          <w:b/>
          <w:sz w:val="24"/>
          <w:szCs w:val="24"/>
        </w:rPr>
      </w:pPr>
      <w:r w:rsidRPr="003D57C6">
        <w:rPr>
          <w:rFonts w:ascii="Garamond" w:hAnsi="Garamond"/>
          <w:b/>
          <w:sz w:val="24"/>
          <w:szCs w:val="24"/>
        </w:rPr>
        <w:t>TASA REPRESENTATIVA DE MERCADO - TRM</w:t>
      </w:r>
    </w:p>
    <w:p w14:paraId="42AB74CB" w14:textId="20779485"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La Tasa de Cambio Representativa del Mercado – TRM – es el promedio ponderado por monto de las operaciones de compra y venta de dólares de los Estados Unidos de América a cambio de moneda legal colombiana, pactadas para cumplimiento en ambas monedas el mismo día de su negociación, efectuadas por los Intermediarios del Mercado Cambiario dentro del horario que establezca el Banco de la República mediante reglamentación general.</w:t>
      </w:r>
    </w:p>
    <w:p w14:paraId="4660BF18" w14:textId="309BCF59" w:rsidR="001C515A" w:rsidRPr="001C515A" w:rsidRDefault="001C515A" w:rsidP="002A4BF2">
      <w:pPr>
        <w:tabs>
          <w:tab w:val="left" w:pos="3720"/>
        </w:tabs>
        <w:spacing w:line="240" w:lineRule="auto"/>
        <w:ind w:left="993" w:right="474"/>
        <w:jc w:val="center"/>
        <w:rPr>
          <w:rFonts w:ascii="Garamond" w:hAnsi="Garamond"/>
        </w:rPr>
      </w:pPr>
      <w:r>
        <w:rPr>
          <w:rFonts w:ascii="Garamond" w:hAnsi="Garamond"/>
        </w:rPr>
        <w:t>Tasa de cambio del peso colombiano, Tasa Representativa del Mercado (TRM)</w:t>
      </w:r>
      <w:r w:rsidRPr="001C515A">
        <w:rPr>
          <w:rFonts w:ascii="Garamond" w:hAnsi="Garamond"/>
          <w:noProof/>
          <w:lang w:eastAsia="es-CO"/>
        </w:rPr>
        <w:drawing>
          <wp:inline distT="0" distB="0" distL="0" distR="0" wp14:anchorId="39053B93" wp14:editId="154FC741">
            <wp:extent cx="5815087" cy="71252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44674" cy="716145"/>
                    </a:xfrm>
                    <a:prstGeom prst="rect">
                      <a:avLst/>
                    </a:prstGeom>
                  </pic:spPr>
                </pic:pic>
              </a:graphicData>
            </a:graphic>
          </wp:inline>
        </w:drawing>
      </w:r>
    </w:p>
    <w:p w14:paraId="5EBB6429" w14:textId="4B853C95" w:rsidR="001C515A" w:rsidRDefault="001C515A" w:rsidP="002A4BF2">
      <w:pPr>
        <w:tabs>
          <w:tab w:val="left" w:pos="3720"/>
        </w:tabs>
        <w:spacing w:line="240" w:lineRule="auto"/>
        <w:ind w:left="993" w:right="474"/>
        <w:jc w:val="center"/>
        <w:rPr>
          <w:rFonts w:ascii="Garamond" w:hAnsi="Garamond"/>
        </w:rPr>
      </w:pPr>
      <w:r w:rsidRPr="00355E5A">
        <w:rPr>
          <w:rFonts w:ascii="Garamond" w:hAnsi="Garamond"/>
        </w:rPr>
        <w:t>Fuente:</w:t>
      </w:r>
      <w:r>
        <w:rPr>
          <w:rFonts w:ascii="Garamond" w:hAnsi="Garamond"/>
        </w:rPr>
        <w:t xml:space="preserve"> Superintendencia Financiera Superfinanciera</w:t>
      </w:r>
      <w:r w:rsidRPr="00355E5A">
        <w:rPr>
          <w:rFonts w:ascii="Garamond" w:hAnsi="Garamond"/>
        </w:rPr>
        <w:t xml:space="preserve"> </w:t>
      </w:r>
      <w:hyperlink r:id="rId30" w:history="1">
        <w:r w:rsidRPr="007A4114">
          <w:rPr>
            <w:rStyle w:val="Hipervnculo"/>
            <w:rFonts w:ascii="Garamond" w:hAnsi="Garamond"/>
          </w:rPr>
          <w:t>https://www.superfinanciera.gov.co/publicaciones/60819/informes-y-cifrascifrasestablecimientos-de-creditoinformacion-periodicadiariatasa-de-cambio-representativa-del-mercado-trm-60819/</w:t>
        </w:r>
      </w:hyperlink>
    </w:p>
    <w:p w14:paraId="200FB2B9" w14:textId="77777777" w:rsidR="001C515A" w:rsidRDefault="001C515A" w:rsidP="002A4BF2">
      <w:pPr>
        <w:tabs>
          <w:tab w:val="left" w:pos="3720"/>
        </w:tabs>
        <w:spacing w:line="240" w:lineRule="auto"/>
        <w:ind w:left="993" w:right="474"/>
        <w:jc w:val="both"/>
        <w:rPr>
          <w:rFonts w:ascii="Garamond" w:hAnsi="Garamond"/>
          <w:sz w:val="24"/>
          <w:szCs w:val="24"/>
        </w:rPr>
      </w:pPr>
    </w:p>
    <w:p w14:paraId="6C02CCB2" w14:textId="2737BB0D" w:rsidR="001C515A" w:rsidRP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Para el cálculo de la TRM se deberán excluir las operaciones de derivados, así como las operaciones efectuadas por los Intermediarios del Mercado cambiario con entidades diferentes de las entidades vigiladas por la Superintendencia Financiera de Colombia y de la Nación – Ministerio de Hacienda y Crédito Público.</w:t>
      </w:r>
    </w:p>
    <w:p w14:paraId="4273BA8E" w14:textId="77777777" w:rsidR="001C515A" w:rsidRP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lastRenderedPageBreak/>
        <w:t>La TRM es calculada diariamente y certificada por la Superintendencia Financiera de Colombia con base en la información disponible y la reglamentación expedida por el Banco de la República.</w:t>
      </w:r>
    </w:p>
    <w:p w14:paraId="60BFE120" w14:textId="6CC8B705"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La Superintendencia Financiera de Colombia tiene la obligación de calcular y certificar la TRM y divulgarla al mercado y al público en general, conforme a lo dispuesto en el artículo 40 de la Resolución Externa No. 1 de 2018, expedida por la Junta Directiva del Banco de la República, la metodología establecida por el Banco de la República mediante Circular Reglamentaria DODM – 146, el artículo 11.2.1.4.15 del Decreto 2555 de 2010 y la Resolución No.0416 de 2006 de la Superintendencia Financiera de Colombia.</w:t>
      </w:r>
    </w:p>
    <w:p w14:paraId="0B19A9DA" w14:textId="14CEB429" w:rsidR="001C515A" w:rsidRPr="006D2F87" w:rsidRDefault="006D2F87" w:rsidP="003A1825">
      <w:pPr>
        <w:pStyle w:val="Prrafodelista"/>
        <w:numPr>
          <w:ilvl w:val="2"/>
          <w:numId w:val="1"/>
        </w:numPr>
        <w:tabs>
          <w:tab w:val="left" w:pos="3720"/>
        </w:tabs>
        <w:spacing w:line="240" w:lineRule="auto"/>
        <w:ind w:right="474"/>
        <w:jc w:val="both"/>
        <w:rPr>
          <w:rFonts w:ascii="Garamond" w:hAnsi="Garamond"/>
          <w:b/>
          <w:sz w:val="24"/>
          <w:szCs w:val="24"/>
        </w:rPr>
      </w:pPr>
      <w:r w:rsidRPr="006D2F87">
        <w:rPr>
          <w:rFonts w:ascii="Garamond" w:hAnsi="Garamond"/>
          <w:b/>
          <w:sz w:val="24"/>
          <w:szCs w:val="24"/>
        </w:rPr>
        <w:t>DATOS QUE CONSTRUYEN: CAMACOL 2025</w:t>
      </w:r>
    </w:p>
    <w:p w14:paraId="15A16DB9" w14:textId="7B43EDE5" w:rsidR="002A4BF2"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 xml:space="preserve">De acuerdo con los datos publicados por el DANE el pasado 15 de mayo, la economía colombiana registró un crecimiento anual de 2,7% en el primer trimestre de 2025. El crecimiento fue explicado principalmente por sectores como actividades artísticas y de entretenimiento (15,5%), agricultura (7,1%) y comercio (3,9%). No obstante, persisten marcadas heterogeneidades sectoriales, con retrocesos significativos en minería (-5,0%) </w:t>
      </w:r>
      <w:r w:rsidRPr="001C515A">
        <w:rPr>
          <w:rFonts w:ascii="Garamond" w:hAnsi="Garamond"/>
          <w:b/>
          <w:sz w:val="24"/>
          <w:szCs w:val="24"/>
          <w:u w:val="single"/>
        </w:rPr>
        <w:t>y construcción (-3,5%),</w:t>
      </w:r>
      <w:r w:rsidRPr="001C515A">
        <w:rPr>
          <w:rFonts w:ascii="Garamond" w:hAnsi="Garamond"/>
          <w:sz w:val="24"/>
          <w:szCs w:val="24"/>
        </w:rPr>
        <w:t xml:space="preserve"> lo que evidencia una recuperación parcial y frágil.</w:t>
      </w:r>
    </w:p>
    <w:p w14:paraId="0BA351D7" w14:textId="2668735F" w:rsidR="001C515A" w:rsidRPr="001C515A" w:rsidRDefault="001C515A" w:rsidP="002A4BF2">
      <w:pPr>
        <w:tabs>
          <w:tab w:val="left" w:pos="3720"/>
        </w:tabs>
        <w:spacing w:line="240" w:lineRule="auto"/>
        <w:ind w:left="993" w:right="474"/>
        <w:jc w:val="center"/>
        <w:rPr>
          <w:rFonts w:ascii="Garamond" w:hAnsi="Garamond"/>
        </w:rPr>
      </w:pPr>
      <w:r w:rsidRPr="001C515A">
        <w:rPr>
          <w:rFonts w:ascii="Garamond" w:hAnsi="Garamond"/>
        </w:rPr>
        <w:t>Principales indicadores medidos por las cuentas nacionales en la construcción</w:t>
      </w:r>
    </w:p>
    <w:p w14:paraId="0C00C716" w14:textId="4DCE0BA6"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noProof/>
          <w:sz w:val="24"/>
          <w:szCs w:val="24"/>
          <w:lang w:eastAsia="es-CO"/>
        </w:rPr>
        <w:drawing>
          <wp:inline distT="0" distB="0" distL="0" distR="0" wp14:anchorId="74A1C6DA" wp14:editId="7D569A71">
            <wp:extent cx="6106377" cy="1848108"/>
            <wp:effectExtent l="0" t="0" r="8890" b="0"/>
            <wp:docPr id="1125603584" name="Imagen 112560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06377" cy="1848108"/>
                    </a:xfrm>
                    <a:prstGeom prst="rect">
                      <a:avLst/>
                    </a:prstGeom>
                  </pic:spPr>
                </pic:pic>
              </a:graphicData>
            </a:graphic>
          </wp:inline>
        </w:drawing>
      </w:r>
    </w:p>
    <w:p w14:paraId="5C94774E" w14:textId="5152E671" w:rsidR="001C515A" w:rsidRPr="001C515A" w:rsidRDefault="001C515A" w:rsidP="002A4BF2">
      <w:pPr>
        <w:tabs>
          <w:tab w:val="left" w:pos="3720"/>
        </w:tabs>
        <w:spacing w:line="240" w:lineRule="auto"/>
        <w:ind w:left="993" w:right="474"/>
        <w:jc w:val="center"/>
        <w:rPr>
          <w:rFonts w:ascii="Garamond" w:hAnsi="Garamond"/>
        </w:rPr>
      </w:pPr>
      <w:r w:rsidRPr="00355E5A">
        <w:rPr>
          <w:rFonts w:ascii="Garamond" w:hAnsi="Garamond"/>
        </w:rPr>
        <w:t>Fuente:</w:t>
      </w:r>
      <w:r>
        <w:rPr>
          <w:rFonts w:ascii="Garamond" w:hAnsi="Garamond"/>
        </w:rPr>
        <w:t xml:space="preserve"> CAMACOL, </w:t>
      </w:r>
      <w:r w:rsidRPr="001C515A">
        <w:rPr>
          <w:rFonts w:ascii="Garamond" w:hAnsi="Garamond"/>
        </w:rPr>
        <w:t>Cámara Colombiana de la Construcción</w:t>
      </w:r>
      <w:r>
        <w:rPr>
          <w:rFonts w:ascii="Garamond" w:hAnsi="Garamond"/>
        </w:rPr>
        <w:t xml:space="preserve"> (2025)</w:t>
      </w:r>
    </w:p>
    <w:p w14:paraId="09A36E59" w14:textId="595172FC"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El segmento de las edificaciones continúa restando dinámica al sector construcción. El valor agregado de edificaciones presentó una contracción del 7,0% anual, siendo su peor resultado de los últimos 7 trimestres, todos con variaciones negativas. La reducción de la producción residencial del componente residencial sigue siendo el principal escollo (- 5,7%), si bien durante este periodo el sector no residencial volvió a ubicarse en terreno negativo (-10,1%). Por el lado de la demanda, la inversión en vivienda también se deterioró con una disminución anual del 8,6% al cierre del primer trimestre.</w:t>
      </w:r>
    </w:p>
    <w:p w14:paraId="432657C1" w14:textId="77777777" w:rsidR="001C515A" w:rsidRP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Los resultados del PIB sectorial son consistentes con lo reportado por el Censo de Edificaciones (CEED), también medido por el DANE. Durante el primer trimestre del año, el área en proceso se redujo un 7,3%, explicada principalmente por el destino vivienda que restó 5,1 puntos porcentuales (p.p.) a esta variación. Por su parte, el área iniciada cayó el 12,0%, en donde la vivienda explicó 10,4 p.p. de la contracción, mientras que el área culminada se contrajo un 12,4% (la vivienda aportó -9,9 p.p. a la reducción).</w:t>
      </w:r>
    </w:p>
    <w:p w14:paraId="1454A0C8" w14:textId="39BDEE19" w:rsidR="00903468"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sz w:val="24"/>
          <w:szCs w:val="24"/>
        </w:rPr>
        <w:t xml:space="preserve">Finalmente, el área causada, principal insumo para el cálculo del valor agregado de las edificaciones, presentó una reducción de 6,3% en el primer trimestre del año. A nivel regional, en 16 de las 23 áreas urbanas con cobertura en el CEED se registraron caídas en este indicador. Las </w:t>
      </w:r>
      <w:r w:rsidRPr="001C515A">
        <w:rPr>
          <w:rFonts w:ascii="Garamond" w:hAnsi="Garamond"/>
          <w:sz w:val="24"/>
          <w:szCs w:val="24"/>
        </w:rPr>
        <w:lastRenderedPageBreak/>
        <w:t>principales variaciones negativas se registraron en Valledupar (-33,0%); Bucaramanga (-26,7%). Armenia (-25,8%); Barranquilla (-24,2%) y Popayán (-21,2%). Grandes mercados como Bogotá (-2,4%), Medellín (-11,0%) y Cundinamarca (-12,7%) también presentaron caídas. Desagregando por destino, la reducción obedeció a los destinos residenciales que restaron 4,1 puntos porcentuales al crecimiento, y a los no residenciales que restaron 2,2 puntos porcentuales a la variación anual del área causada (-6,3%). Esto confirma la pérdida de dinamismo tanto en vivienda como en otros usos.</w:t>
      </w:r>
    </w:p>
    <w:p w14:paraId="1BDD811E" w14:textId="2903F361" w:rsidR="001C515A" w:rsidRPr="001C515A" w:rsidRDefault="001C515A" w:rsidP="002A4BF2">
      <w:pPr>
        <w:tabs>
          <w:tab w:val="left" w:pos="3720"/>
        </w:tabs>
        <w:spacing w:line="240" w:lineRule="auto"/>
        <w:ind w:left="993" w:right="474"/>
        <w:jc w:val="center"/>
        <w:rPr>
          <w:rFonts w:ascii="Garamond" w:hAnsi="Garamond"/>
        </w:rPr>
      </w:pPr>
      <w:r w:rsidRPr="001C515A">
        <w:rPr>
          <w:rFonts w:ascii="Garamond" w:hAnsi="Garamond"/>
        </w:rPr>
        <w:t>Variación anual del área causada y la contribución por segmento residencial y no residencial por áreas urbanas de cobertura Primer trimestre de 2025 - %</w:t>
      </w:r>
    </w:p>
    <w:p w14:paraId="25F3674A" w14:textId="4393F69E" w:rsidR="001C515A" w:rsidRDefault="001C515A" w:rsidP="002A4BF2">
      <w:pPr>
        <w:tabs>
          <w:tab w:val="left" w:pos="3720"/>
        </w:tabs>
        <w:spacing w:line="240" w:lineRule="auto"/>
        <w:ind w:left="993" w:right="474"/>
        <w:jc w:val="both"/>
        <w:rPr>
          <w:rFonts w:ascii="Garamond" w:hAnsi="Garamond"/>
          <w:sz w:val="24"/>
          <w:szCs w:val="24"/>
        </w:rPr>
      </w:pPr>
      <w:r w:rsidRPr="001C515A">
        <w:rPr>
          <w:rFonts w:ascii="Garamond" w:hAnsi="Garamond"/>
          <w:noProof/>
          <w:sz w:val="24"/>
          <w:szCs w:val="24"/>
          <w:lang w:eastAsia="es-CO"/>
        </w:rPr>
        <w:drawing>
          <wp:inline distT="0" distB="0" distL="0" distR="0" wp14:anchorId="1E68F32D" wp14:editId="60E022E3">
            <wp:extent cx="6210300" cy="2850078"/>
            <wp:effectExtent l="0" t="0" r="0" b="7620"/>
            <wp:docPr id="1125603585" name="Imagen 112560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219435" cy="2854270"/>
                    </a:xfrm>
                    <a:prstGeom prst="rect">
                      <a:avLst/>
                    </a:prstGeom>
                  </pic:spPr>
                </pic:pic>
              </a:graphicData>
            </a:graphic>
          </wp:inline>
        </w:drawing>
      </w:r>
    </w:p>
    <w:p w14:paraId="2BA5C06F" w14:textId="77777777" w:rsidR="00DC2BCF" w:rsidRDefault="00DC2BCF" w:rsidP="002A4BF2">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2A739905" w14:textId="77777777" w:rsidR="00DC2BCF" w:rsidRPr="00DC2BCF" w:rsidRDefault="00DC2BCF" w:rsidP="002A4BF2">
      <w:pPr>
        <w:tabs>
          <w:tab w:val="left" w:pos="3720"/>
        </w:tabs>
        <w:spacing w:line="240" w:lineRule="auto"/>
        <w:ind w:left="993" w:right="474"/>
        <w:jc w:val="both"/>
        <w:rPr>
          <w:rFonts w:ascii="Garamond" w:hAnsi="Garamond"/>
          <w:sz w:val="24"/>
          <w:szCs w:val="24"/>
        </w:rPr>
      </w:pPr>
      <w:r w:rsidRPr="00DC2BCF">
        <w:rPr>
          <w:rFonts w:ascii="Garamond" w:hAnsi="Garamond"/>
          <w:sz w:val="24"/>
          <w:szCs w:val="24"/>
        </w:rPr>
        <w:t>Aunque el crecimiento económico agregado da señales de recuperación moderada, el persistente rezago en los indicadores del sector edificador constituye una señal de alerta para la economía. El rezago en los indicadores de producción, inversión y área construida evidencia un entorno de debilidad que podría limitar la generación de empleo y la formalidad en el corto plazo, a la vez que supone un crecimiento sustentado principalmente en dinámicas de consumo sin un soporte en infraestructura.</w:t>
      </w:r>
    </w:p>
    <w:p w14:paraId="34A29C25" w14:textId="451AB082" w:rsidR="00DC2BCF" w:rsidRDefault="00DC2BCF" w:rsidP="002A4BF2">
      <w:pPr>
        <w:tabs>
          <w:tab w:val="left" w:pos="3720"/>
        </w:tabs>
        <w:spacing w:line="240" w:lineRule="auto"/>
        <w:ind w:left="993" w:right="474"/>
        <w:jc w:val="both"/>
        <w:rPr>
          <w:rFonts w:ascii="Garamond" w:hAnsi="Garamond"/>
          <w:sz w:val="24"/>
          <w:szCs w:val="24"/>
        </w:rPr>
      </w:pPr>
      <w:r w:rsidRPr="00DC2BCF">
        <w:rPr>
          <w:rFonts w:ascii="Garamond" w:hAnsi="Garamond"/>
          <w:sz w:val="24"/>
          <w:szCs w:val="24"/>
        </w:rPr>
        <w:t>Es importante resaltar que, a pesar del repunte reciente, el crecimiento del PIB aún se encuentra por debajo del promedio histórico de 3,9% registrado entre 2006 y 2019, lo cual sugiere que la economía aún no alcanza su ritmo estructural de expansión. En este contexto, la reactivación del sector construcción resulta fundamental no solo para cerrar brechas en infraestructura y vivienda, sino también como motor clave para dinamizar el empleo, fortalecer encadenamientos productivos y consolidar una recuperación económica más robusta</w:t>
      </w:r>
    </w:p>
    <w:p w14:paraId="2BF2484A" w14:textId="29A6F044" w:rsidR="00DC2BCF" w:rsidRPr="006D2F87" w:rsidRDefault="006D2F87" w:rsidP="003A1825">
      <w:pPr>
        <w:pStyle w:val="Prrafodelista"/>
        <w:numPr>
          <w:ilvl w:val="2"/>
          <w:numId w:val="1"/>
        </w:numPr>
        <w:tabs>
          <w:tab w:val="left" w:pos="3720"/>
        </w:tabs>
        <w:spacing w:line="240" w:lineRule="auto"/>
        <w:ind w:right="474"/>
        <w:jc w:val="both"/>
        <w:rPr>
          <w:rFonts w:ascii="Garamond" w:hAnsi="Garamond"/>
          <w:b/>
          <w:sz w:val="24"/>
          <w:szCs w:val="24"/>
        </w:rPr>
      </w:pPr>
      <w:r w:rsidRPr="006D2F87">
        <w:rPr>
          <w:rFonts w:ascii="Garamond" w:hAnsi="Garamond"/>
          <w:b/>
          <w:sz w:val="24"/>
          <w:szCs w:val="24"/>
        </w:rPr>
        <w:t>INDICADOR DE PRODUCCIÓN DE OBRAS CIVILES (IPOC)</w:t>
      </w:r>
    </w:p>
    <w:p w14:paraId="4B027F1E" w14:textId="5E4DFB87" w:rsidR="00901AC0" w:rsidRDefault="00DC2BCF" w:rsidP="002A4BF2">
      <w:pPr>
        <w:tabs>
          <w:tab w:val="left" w:pos="3720"/>
        </w:tabs>
        <w:spacing w:line="240" w:lineRule="auto"/>
        <w:ind w:left="993" w:right="474"/>
        <w:jc w:val="both"/>
        <w:rPr>
          <w:rFonts w:ascii="Garamond" w:hAnsi="Garamond"/>
          <w:sz w:val="24"/>
          <w:szCs w:val="24"/>
        </w:rPr>
      </w:pPr>
      <w:r w:rsidRPr="00DC2BCF">
        <w:rPr>
          <w:rFonts w:ascii="Garamond" w:hAnsi="Garamond"/>
          <w:sz w:val="24"/>
          <w:szCs w:val="24"/>
        </w:rPr>
        <w:t xml:space="preserve">El gráfico presenta la variación del Indicador de Producción de Obras Civiles (IPOC) en Colombia para el primer trimestre de los años 2024 y 2025. En la variación anual, se observa una desaceleración significativa: mientras en el primer trimestre de 2024 se registró un crecimiento del 7,5 %, en el mismo periodo de 2025 la cifra cayó a 3,8 %, lo que evidencia una reducción en el </w:t>
      </w:r>
      <w:r w:rsidRPr="00DC2BCF">
        <w:rPr>
          <w:rFonts w:ascii="Garamond" w:hAnsi="Garamond"/>
          <w:sz w:val="24"/>
          <w:szCs w:val="24"/>
        </w:rPr>
        <w:lastRenderedPageBreak/>
        <w:t>ritmo de ejecución de obras civiles durante este último año. Esto puede estar relacionado con factores como menor inversión pública, ejecución lenta de proyectos o ajustes presupuestales.</w:t>
      </w:r>
    </w:p>
    <w:p w14:paraId="0152F26E" w14:textId="77777777" w:rsidR="00901AC0" w:rsidRPr="00DC2BCF" w:rsidRDefault="00901AC0" w:rsidP="002A4BF2">
      <w:pPr>
        <w:tabs>
          <w:tab w:val="left" w:pos="3720"/>
        </w:tabs>
        <w:spacing w:line="240" w:lineRule="auto"/>
        <w:ind w:left="993" w:right="474"/>
        <w:jc w:val="both"/>
        <w:rPr>
          <w:rFonts w:ascii="Garamond" w:hAnsi="Garamond"/>
          <w:sz w:val="24"/>
          <w:szCs w:val="24"/>
        </w:rPr>
      </w:pPr>
    </w:p>
    <w:p w14:paraId="47F2152B" w14:textId="7B7077A8" w:rsidR="00DC2BCF" w:rsidRPr="00DC2BCF" w:rsidRDefault="00DC2BCF" w:rsidP="002A4BF2">
      <w:pPr>
        <w:tabs>
          <w:tab w:val="left" w:pos="3720"/>
        </w:tabs>
        <w:spacing w:line="240" w:lineRule="auto"/>
        <w:ind w:left="993" w:right="474"/>
        <w:jc w:val="center"/>
        <w:rPr>
          <w:rFonts w:ascii="Garamond" w:hAnsi="Garamond"/>
        </w:rPr>
      </w:pPr>
      <w:r w:rsidRPr="00DC2BCF">
        <w:rPr>
          <w:rFonts w:ascii="Garamond" w:hAnsi="Garamond"/>
        </w:rPr>
        <w:t>Indicador de Producción de Obras Civiles (IPOC) Variación anual, doce meses y trimestral - I trimestre (2024-2025</w:t>
      </w:r>
    </w:p>
    <w:p w14:paraId="168D1D86" w14:textId="4E04A09B" w:rsidR="00DC2BCF" w:rsidRDefault="00DC2BCF" w:rsidP="002A4BF2">
      <w:pPr>
        <w:tabs>
          <w:tab w:val="left" w:pos="3720"/>
        </w:tabs>
        <w:spacing w:line="240" w:lineRule="auto"/>
        <w:ind w:left="993" w:right="474"/>
        <w:jc w:val="both"/>
        <w:rPr>
          <w:rFonts w:ascii="Garamond" w:hAnsi="Garamond"/>
          <w:sz w:val="24"/>
          <w:szCs w:val="24"/>
        </w:rPr>
      </w:pPr>
      <w:r w:rsidRPr="00DC2BCF">
        <w:rPr>
          <w:rFonts w:ascii="Garamond" w:hAnsi="Garamond"/>
          <w:noProof/>
          <w:sz w:val="24"/>
          <w:szCs w:val="24"/>
          <w:lang w:eastAsia="es-CO"/>
        </w:rPr>
        <w:drawing>
          <wp:inline distT="0" distB="0" distL="0" distR="0" wp14:anchorId="229244A2" wp14:editId="324D64A7">
            <wp:extent cx="6103373" cy="1838159"/>
            <wp:effectExtent l="0" t="0" r="0" b="0"/>
            <wp:docPr id="1125603586" name="Imagen 112560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19567" cy="1843036"/>
                    </a:xfrm>
                    <a:prstGeom prst="rect">
                      <a:avLst/>
                    </a:prstGeom>
                  </pic:spPr>
                </pic:pic>
              </a:graphicData>
            </a:graphic>
          </wp:inline>
        </w:drawing>
      </w:r>
    </w:p>
    <w:p w14:paraId="2246D156" w14:textId="77777777" w:rsidR="00DC2BCF" w:rsidRDefault="00DC2BCF" w:rsidP="002A4BF2">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542DFA1D" w14:textId="77777777" w:rsidR="00DC2BCF" w:rsidRPr="00DC2BCF" w:rsidRDefault="00DC2BCF" w:rsidP="002A4BF2">
      <w:pPr>
        <w:tabs>
          <w:tab w:val="left" w:pos="3720"/>
        </w:tabs>
        <w:spacing w:line="240" w:lineRule="auto"/>
        <w:ind w:left="993" w:right="474"/>
        <w:jc w:val="both"/>
        <w:rPr>
          <w:rFonts w:ascii="Garamond" w:hAnsi="Garamond"/>
          <w:sz w:val="24"/>
          <w:szCs w:val="24"/>
        </w:rPr>
      </w:pPr>
      <w:r w:rsidRPr="00DC2BCF">
        <w:rPr>
          <w:rFonts w:ascii="Garamond" w:hAnsi="Garamond"/>
          <w:sz w:val="24"/>
          <w:szCs w:val="24"/>
        </w:rPr>
        <w:t>En cuanto a la variación en los últimos doce meses, el cambio es notablemente positivo: en el primer trimestre de 2024, la variación fue negativa con un -11,6 %, mientras que en 2025 sube a 10,1 %, mostrando una recuperación sostenida en el volumen de obras ejecutadas durante el último año. Sin embargo, en la comparación trimestral (respecto al trimestre anterior), el comportamiento fue desfavorable: la variación pasó de -3,7 % en 2024 a un descenso aún más pronunciado del -12,2 % en 2025, lo que podría señalar una desaceleración temporal o estacional en el inicio del año. Este panorama mixto refleja una industria que, si bien ha mostrado signos de recuperación interanual, aún enfrenta desafíos coyunturales que afectan su desempeño inmediato.</w:t>
      </w:r>
    </w:p>
    <w:p w14:paraId="02E11E9A" w14:textId="1E2612A1" w:rsidR="00DC2BCF" w:rsidRPr="00DC2BCF" w:rsidRDefault="00DC2BCF" w:rsidP="002A4BF2">
      <w:pPr>
        <w:tabs>
          <w:tab w:val="left" w:pos="3720"/>
        </w:tabs>
        <w:spacing w:line="240" w:lineRule="auto"/>
        <w:ind w:left="993" w:right="474"/>
        <w:jc w:val="both"/>
        <w:rPr>
          <w:rFonts w:ascii="Garamond" w:hAnsi="Garamond"/>
          <w:b/>
          <w:sz w:val="24"/>
          <w:szCs w:val="24"/>
        </w:rPr>
      </w:pPr>
      <w:r w:rsidRPr="00DC2BCF">
        <w:rPr>
          <w:rFonts w:ascii="Garamond" w:hAnsi="Garamond"/>
          <w:b/>
          <w:sz w:val="24"/>
          <w:szCs w:val="24"/>
        </w:rPr>
        <w:t>Indicadores Económicos Alrededor de la Construcción (IEAC) Publicación IV trimestre de 2024pr</w:t>
      </w:r>
    </w:p>
    <w:p w14:paraId="6DE5281F" w14:textId="662B2280" w:rsidR="00DC2BCF" w:rsidRDefault="00DC2BCF" w:rsidP="002A4BF2">
      <w:pPr>
        <w:tabs>
          <w:tab w:val="left" w:pos="3720"/>
        </w:tabs>
        <w:spacing w:line="240" w:lineRule="auto"/>
        <w:ind w:left="993" w:right="474"/>
        <w:jc w:val="both"/>
        <w:rPr>
          <w:rFonts w:ascii="Garamond" w:hAnsi="Garamond"/>
          <w:sz w:val="24"/>
          <w:szCs w:val="24"/>
        </w:rPr>
      </w:pPr>
      <w:r w:rsidRPr="00DC2BCF">
        <w:rPr>
          <w:rFonts w:ascii="Garamond" w:hAnsi="Garamond"/>
          <w:sz w:val="24"/>
          <w:szCs w:val="24"/>
        </w:rPr>
        <w:t>Durante el IV trimestre de 2024, el Producto Interno Bruto (PIB) total mostró una variación anual positiva de 2,3 %, lo que representa una ligera mejora respecto al trimestre anterior (2,1 %). Sin embargo, el comportamiento de la construcción fue mixto: mientras que el valor agregado de la rama construcción creció un 0,6 %, impulsado principalmente por las obras civiles (11,7 %), las edificaciones cayeron significativamente (-11,6 %), junto con una contracción en las actividades especializadas (-5,6 %). En</w:t>
      </w:r>
      <w:r w:rsidR="002A4BF2" w:rsidRPr="002A4BF2">
        <w:t xml:space="preserve"> </w:t>
      </w:r>
      <w:r w:rsidR="002A4BF2" w:rsidRPr="002A4BF2">
        <w:rPr>
          <w:rFonts w:ascii="Garamond" w:hAnsi="Garamond"/>
          <w:sz w:val="24"/>
          <w:szCs w:val="24"/>
        </w:rPr>
        <w:t>términos de oferta, se observó una fuerte caída en los principales indicadores de edificaciones, como el área licenciada (-41,7 %) y el área iniciada (-10,7 %), lo cual refleja un debilitamiento en la dinámica constructiva residencial o empresarial.</w:t>
      </w:r>
    </w:p>
    <w:p w14:paraId="1FD77FB7" w14:textId="294B4E0C" w:rsidR="00901AC0" w:rsidRDefault="00901AC0" w:rsidP="002A4BF2">
      <w:pPr>
        <w:tabs>
          <w:tab w:val="left" w:pos="3720"/>
        </w:tabs>
        <w:spacing w:line="240" w:lineRule="auto"/>
        <w:ind w:left="993" w:right="474"/>
        <w:jc w:val="both"/>
        <w:rPr>
          <w:rFonts w:ascii="Garamond" w:hAnsi="Garamond"/>
          <w:sz w:val="24"/>
          <w:szCs w:val="24"/>
        </w:rPr>
      </w:pPr>
    </w:p>
    <w:p w14:paraId="48FDEF89" w14:textId="50DB380E" w:rsidR="00901AC0" w:rsidRDefault="00901AC0" w:rsidP="002A4BF2">
      <w:pPr>
        <w:tabs>
          <w:tab w:val="left" w:pos="3720"/>
        </w:tabs>
        <w:spacing w:line="240" w:lineRule="auto"/>
        <w:ind w:left="993" w:right="474"/>
        <w:jc w:val="both"/>
        <w:rPr>
          <w:rFonts w:ascii="Garamond" w:hAnsi="Garamond"/>
          <w:sz w:val="24"/>
          <w:szCs w:val="24"/>
        </w:rPr>
      </w:pPr>
    </w:p>
    <w:p w14:paraId="05025066" w14:textId="77777777" w:rsidR="00901AC0" w:rsidRDefault="00901AC0" w:rsidP="002A4BF2">
      <w:pPr>
        <w:tabs>
          <w:tab w:val="left" w:pos="3720"/>
        </w:tabs>
        <w:spacing w:line="240" w:lineRule="auto"/>
        <w:ind w:left="993" w:right="474"/>
        <w:jc w:val="both"/>
        <w:rPr>
          <w:rFonts w:ascii="Garamond" w:hAnsi="Garamond"/>
          <w:sz w:val="24"/>
          <w:szCs w:val="24"/>
        </w:rPr>
      </w:pPr>
    </w:p>
    <w:p w14:paraId="00A26BB4" w14:textId="720A832C" w:rsidR="002A4BF2" w:rsidRDefault="002A4BF2" w:rsidP="002A4BF2">
      <w:pPr>
        <w:tabs>
          <w:tab w:val="left" w:pos="3720"/>
        </w:tabs>
        <w:spacing w:line="240" w:lineRule="auto"/>
        <w:ind w:left="993" w:right="474"/>
        <w:jc w:val="both"/>
        <w:rPr>
          <w:rFonts w:ascii="Garamond" w:hAnsi="Garamond"/>
          <w:sz w:val="24"/>
          <w:szCs w:val="24"/>
        </w:rPr>
      </w:pPr>
    </w:p>
    <w:p w14:paraId="18572453" w14:textId="62195466" w:rsidR="002A4BF2" w:rsidRDefault="002A4BF2" w:rsidP="002A4BF2">
      <w:pPr>
        <w:tabs>
          <w:tab w:val="left" w:pos="3720"/>
        </w:tabs>
        <w:spacing w:line="240" w:lineRule="auto"/>
        <w:ind w:left="993" w:right="474"/>
        <w:jc w:val="both"/>
        <w:rPr>
          <w:rFonts w:ascii="Garamond" w:hAnsi="Garamond"/>
          <w:sz w:val="24"/>
          <w:szCs w:val="24"/>
        </w:rPr>
      </w:pPr>
    </w:p>
    <w:p w14:paraId="00C7BB81" w14:textId="0970ED4D" w:rsidR="002A4BF2" w:rsidRDefault="002A4BF2" w:rsidP="002A4BF2">
      <w:pPr>
        <w:tabs>
          <w:tab w:val="left" w:pos="3720"/>
        </w:tabs>
        <w:spacing w:line="240" w:lineRule="auto"/>
        <w:ind w:left="993" w:right="474"/>
        <w:jc w:val="both"/>
        <w:rPr>
          <w:rFonts w:ascii="Garamond" w:hAnsi="Garamond"/>
          <w:sz w:val="24"/>
          <w:szCs w:val="24"/>
        </w:rPr>
      </w:pPr>
    </w:p>
    <w:p w14:paraId="7AA11F43" w14:textId="03427629" w:rsidR="002A4BF2" w:rsidRDefault="002A4BF2" w:rsidP="002A4BF2">
      <w:pPr>
        <w:tabs>
          <w:tab w:val="left" w:pos="3720"/>
        </w:tabs>
        <w:spacing w:line="240" w:lineRule="auto"/>
        <w:ind w:left="993" w:right="474"/>
        <w:jc w:val="center"/>
        <w:rPr>
          <w:rFonts w:ascii="Garamond" w:hAnsi="Garamond"/>
          <w:sz w:val="24"/>
          <w:szCs w:val="24"/>
        </w:rPr>
      </w:pPr>
      <w:r w:rsidRPr="002A4BF2">
        <w:rPr>
          <w:rFonts w:ascii="Garamond" w:hAnsi="Garamond"/>
        </w:rPr>
        <w:lastRenderedPageBreak/>
        <w:t>Indicadores de coyuntura del sector construcción, periodo de publicación marzo 07 de 2025pr</w:t>
      </w:r>
    </w:p>
    <w:p w14:paraId="383BC374" w14:textId="3BC37F71" w:rsid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noProof/>
          <w:sz w:val="24"/>
          <w:szCs w:val="24"/>
          <w:lang w:eastAsia="es-CO"/>
        </w:rPr>
        <w:drawing>
          <wp:inline distT="0" distB="0" distL="0" distR="0" wp14:anchorId="55FCE7B1" wp14:editId="1186D292">
            <wp:extent cx="5986908" cy="6188149"/>
            <wp:effectExtent l="0" t="0" r="0" b="3175"/>
            <wp:docPr id="1125603587" name="Imagen 112560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96871" cy="6198447"/>
                    </a:xfrm>
                    <a:prstGeom prst="rect">
                      <a:avLst/>
                    </a:prstGeom>
                  </pic:spPr>
                </pic:pic>
              </a:graphicData>
            </a:graphic>
          </wp:inline>
        </w:drawing>
      </w:r>
    </w:p>
    <w:p w14:paraId="7C48D525" w14:textId="77777777" w:rsidR="002A4BF2" w:rsidRDefault="002A4BF2" w:rsidP="002A4BF2">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3640086F" w14:textId="6C126BB5" w:rsid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sz w:val="24"/>
          <w:szCs w:val="24"/>
        </w:rPr>
        <w:t xml:space="preserve">Por el lado de la demanda, los despachos de cemento gris y concreto premezclado continuaron su tendencia negativa con caídas de -8,4 % y -5,2 %, respectivamente, al igual que el indicador de mezcla asfáltica (-23,7 %). No obstante, el crédito para vivienda mostró signos de reactivación, destacando el incremento del 30,9 % en el valor total de créditos desembolsados para vivienda nueva, impulsado por el aumento del leasing habitacional (48,1 %). Finalmente, en precios y costos, se registraron incrementos mensuales moderados, como el índice de costos de construcción de obras civiles (1,92 %) y el índice de precios al productor de materiales de construcción (0,66 %), reflejando una presión inflacionaria contenida en el sector para enero de </w:t>
      </w:r>
      <w:r w:rsidRPr="002A4BF2">
        <w:rPr>
          <w:rFonts w:ascii="Garamond" w:hAnsi="Garamond"/>
          <w:sz w:val="24"/>
          <w:szCs w:val="24"/>
        </w:rPr>
        <w:lastRenderedPageBreak/>
        <w:t>2025. Estos resultados evidencian una recuperación parcial en infraestructura pública, con desafíos importantes aún en vivienda y edificaciones.</w:t>
      </w:r>
    </w:p>
    <w:p w14:paraId="4E70145B" w14:textId="15F6BE80" w:rsidR="002A4BF2" w:rsidRPr="006D2F87" w:rsidRDefault="002A4BF2" w:rsidP="003A1825">
      <w:pPr>
        <w:pStyle w:val="Prrafodelista"/>
        <w:numPr>
          <w:ilvl w:val="2"/>
          <w:numId w:val="1"/>
        </w:numPr>
        <w:tabs>
          <w:tab w:val="left" w:pos="3720"/>
        </w:tabs>
        <w:spacing w:line="240" w:lineRule="auto"/>
        <w:ind w:right="474"/>
        <w:jc w:val="both"/>
        <w:rPr>
          <w:rFonts w:ascii="Garamond" w:hAnsi="Garamond"/>
          <w:b/>
          <w:sz w:val="24"/>
          <w:szCs w:val="24"/>
        </w:rPr>
      </w:pPr>
      <w:r w:rsidRPr="006D2F87">
        <w:rPr>
          <w:rFonts w:ascii="Garamond" w:hAnsi="Garamond"/>
          <w:b/>
          <w:sz w:val="24"/>
          <w:szCs w:val="24"/>
        </w:rPr>
        <w:t>Índice de Costos de la Construcción de Obras Civiles - ICOCIV</w:t>
      </w:r>
    </w:p>
    <w:p w14:paraId="4D730F72" w14:textId="44D30E54" w:rsidR="00DC2BCF"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sz w:val="24"/>
          <w:szCs w:val="24"/>
        </w:rPr>
        <w:t>El Total general de la variación del ICOCIV para mayo de 2025 fue de -0.27%. Analizando las agrupaciones específicas, las "Carreteras, calles, vías férreas y pistas de aterrizaje, puentes, carreteras elevadas y túneles" experimentaron la mayor disminución de costos, con un -0.33%. Le siguen las "Construcciones en minas y plantas industriales" con una variación de -0.29%.</w:t>
      </w:r>
    </w:p>
    <w:p w14:paraId="6FD98BF9" w14:textId="77777777" w:rsidR="00901AC0" w:rsidRDefault="00901AC0" w:rsidP="002A4BF2">
      <w:pPr>
        <w:tabs>
          <w:tab w:val="left" w:pos="3720"/>
        </w:tabs>
        <w:spacing w:line="240" w:lineRule="auto"/>
        <w:ind w:left="993" w:right="474"/>
        <w:jc w:val="both"/>
        <w:rPr>
          <w:rFonts w:ascii="Garamond" w:hAnsi="Garamond"/>
          <w:sz w:val="24"/>
          <w:szCs w:val="24"/>
        </w:rPr>
      </w:pPr>
    </w:p>
    <w:p w14:paraId="026AD661" w14:textId="260A0E41" w:rsidR="002A4BF2" w:rsidRPr="002A4BF2" w:rsidRDefault="002A4BF2" w:rsidP="002A4BF2">
      <w:pPr>
        <w:tabs>
          <w:tab w:val="left" w:pos="3720"/>
        </w:tabs>
        <w:spacing w:line="240" w:lineRule="auto"/>
        <w:ind w:left="993" w:right="474"/>
        <w:jc w:val="center"/>
        <w:rPr>
          <w:rFonts w:ascii="Garamond" w:hAnsi="Garamond"/>
        </w:rPr>
      </w:pPr>
      <w:r w:rsidRPr="002A4BF2">
        <w:rPr>
          <w:rFonts w:ascii="Garamond" w:hAnsi="Garamond"/>
        </w:rPr>
        <w:t>Índice de Costos de la Construcción de Obras Civiles (ICOCIV) Variación mensual según agrupaciones de subclases CPC v2.0 A.C. Total nacional. Mayo 2025</w:t>
      </w:r>
    </w:p>
    <w:p w14:paraId="70871CA0" w14:textId="18CEA753" w:rsid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noProof/>
          <w:sz w:val="24"/>
          <w:szCs w:val="24"/>
          <w:lang w:eastAsia="es-CO"/>
        </w:rPr>
        <w:drawing>
          <wp:inline distT="0" distB="0" distL="0" distR="0" wp14:anchorId="4AF5D00D" wp14:editId="11727F99">
            <wp:extent cx="5943600" cy="2352675"/>
            <wp:effectExtent l="0" t="0" r="0" b="9525"/>
            <wp:docPr id="1125603588" name="Imagen 112560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6376" cy="2353774"/>
                    </a:xfrm>
                    <a:prstGeom prst="rect">
                      <a:avLst/>
                    </a:prstGeom>
                  </pic:spPr>
                </pic:pic>
              </a:graphicData>
            </a:graphic>
          </wp:inline>
        </w:drawing>
      </w:r>
    </w:p>
    <w:p w14:paraId="4606695C" w14:textId="77777777" w:rsidR="002A4BF2" w:rsidRDefault="002A4BF2" w:rsidP="002A4BF2">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182ACB65" w14:textId="77777777" w:rsidR="002A4BF2" w:rsidRP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sz w:val="24"/>
          <w:szCs w:val="24"/>
        </w:rPr>
        <w:t>Otras categorías también mostraron reducciones en los costos: las "Construcciones deportivas al aire libre y otras obras de ingeniería civil" tuvieron una variación de -0.26%. Las "Tuberías para la conducción de gas a larga distancia, líneas de comunicación y cables de poder; tuberías y cables locales, y otras conexas" registraron una disminución de -0.15%. Finalmente, los "Puertos, canales, presas, sistemas de riego y otras obras hidráulicas (acueductos)" mostraron la menor variación negativa, con -0.10%.</w:t>
      </w:r>
    </w:p>
    <w:p w14:paraId="78498411" w14:textId="4FF2B16F" w:rsid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sz w:val="24"/>
          <w:szCs w:val="24"/>
        </w:rPr>
        <w:t>En mayo de 2025, la variación mensual del ICOCIV fue -0,27%, en comparación con abril de 2025. Dos de las cinco agrupaciones de subclases CPC relacionadas con la construcción de obras civiles, se ubicaron por debajo del promedio nacional (-0,27%): Carreteras, calles, vías férreas y pistas de aterrizaje, puentes, carreteras elevadas y túneles (-0,33%) y Construcciones en minas y plantas industriales (-0,29%).</w:t>
      </w:r>
    </w:p>
    <w:p w14:paraId="2C8DDA40" w14:textId="58FA8471" w:rsidR="002A4BF2" w:rsidRDefault="002A4BF2" w:rsidP="002A4BF2">
      <w:pPr>
        <w:tabs>
          <w:tab w:val="left" w:pos="3720"/>
        </w:tabs>
        <w:spacing w:line="240" w:lineRule="auto"/>
        <w:ind w:left="993" w:right="474"/>
        <w:jc w:val="both"/>
        <w:rPr>
          <w:rFonts w:ascii="Garamond" w:hAnsi="Garamond"/>
          <w:sz w:val="24"/>
          <w:szCs w:val="24"/>
        </w:rPr>
      </w:pPr>
    </w:p>
    <w:p w14:paraId="1DB7CFED" w14:textId="2FB067A7" w:rsidR="002A4BF2" w:rsidRDefault="002A4BF2" w:rsidP="002A4BF2">
      <w:pPr>
        <w:tabs>
          <w:tab w:val="left" w:pos="3720"/>
        </w:tabs>
        <w:spacing w:line="240" w:lineRule="auto"/>
        <w:ind w:left="993" w:right="474"/>
        <w:jc w:val="both"/>
        <w:rPr>
          <w:rFonts w:ascii="Garamond" w:hAnsi="Garamond"/>
          <w:sz w:val="24"/>
          <w:szCs w:val="24"/>
        </w:rPr>
      </w:pPr>
    </w:p>
    <w:p w14:paraId="1D85401F" w14:textId="1BF99F8F" w:rsidR="002A4BF2" w:rsidRDefault="002A4BF2" w:rsidP="002A4BF2">
      <w:pPr>
        <w:tabs>
          <w:tab w:val="left" w:pos="3720"/>
        </w:tabs>
        <w:spacing w:line="240" w:lineRule="auto"/>
        <w:ind w:left="993" w:right="474"/>
        <w:jc w:val="both"/>
        <w:rPr>
          <w:rFonts w:ascii="Garamond" w:hAnsi="Garamond"/>
          <w:sz w:val="24"/>
          <w:szCs w:val="24"/>
        </w:rPr>
      </w:pPr>
    </w:p>
    <w:p w14:paraId="526AF090" w14:textId="77777777" w:rsidR="002A4BF2" w:rsidRDefault="002A4BF2" w:rsidP="002A4BF2">
      <w:pPr>
        <w:tabs>
          <w:tab w:val="left" w:pos="3720"/>
        </w:tabs>
        <w:spacing w:line="240" w:lineRule="auto"/>
        <w:ind w:left="993" w:right="474"/>
        <w:jc w:val="both"/>
        <w:rPr>
          <w:rFonts w:ascii="Garamond" w:hAnsi="Garamond"/>
          <w:sz w:val="24"/>
          <w:szCs w:val="24"/>
        </w:rPr>
      </w:pPr>
    </w:p>
    <w:p w14:paraId="6F96BEEF" w14:textId="05059218" w:rsidR="002A4BF2" w:rsidRPr="002A4BF2" w:rsidRDefault="002A4BF2" w:rsidP="002A4BF2">
      <w:pPr>
        <w:tabs>
          <w:tab w:val="left" w:pos="3720"/>
        </w:tabs>
        <w:spacing w:line="240" w:lineRule="auto"/>
        <w:ind w:left="993" w:right="474"/>
        <w:jc w:val="center"/>
        <w:rPr>
          <w:rFonts w:ascii="Garamond" w:hAnsi="Garamond"/>
        </w:rPr>
      </w:pPr>
      <w:r w:rsidRPr="002A4BF2">
        <w:rPr>
          <w:rFonts w:ascii="Garamond" w:hAnsi="Garamond"/>
        </w:rPr>
        <w:lastRenderedPageBreak/>
        <w:t>ICOCIV. Variación y contribución mensual de las cinco agrupaciones de subclases CPC V 2.0 A.C. al total. Total nacional Mayo (2025)</w:t>
      </w:r>
    </w:p>
    <w:p w14:paraId="64A1D704" w14:textId="4D72BE95" w:rsid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noProof/>
          <w:sz w:val="24"/>
          <w:szCs w:val="24"/>
          <w:lang w:eastAsia="es-CO"/>
        </w:rPr>
        <w:drawing>
          <wp:inline distT="0" distB="0" distL="0" distR="0" wp14:anchorId="46063205" wp14:editId="76B9C620">
            <wp:extent cx="5410955" cy="2210108"/>
            <wp:effectExtent l="0" t="0" r="0" b="0"/>
            <wp:docPr id="1125603589" name="Imagen 112560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10955" cy="2210108"/>
                    </a:xfrm>
                    <a:prstGeom prst="rect">
                      <a:avLst/>
                    </a:prstGeom>
                  </pic:spPr>
                </pic:pic>
              </a:graphicData>
            </a:graphic>
          </wp:inline>
        </w:drawing>
      </w:r>
    </w:p>
    <w:p w14:paraId="6CDA9AA6" w14:textId="77777777" w:rsidR="002A4BF2" w:rsidRDefault="002A4BF2" w:rsidP="002A4BF2">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56C83A2F" w14:textId="57C23B34" w:rsid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sz w:val="24"/>
          <w:szCs w:val="24"/>
        </w:rPr>
        <w:t>Por otra parte, las agrupaciones: Construcciones deportivas al aire libre y otras obras de ingeniería civil (-0,26%), Tuberías para la conducción de gas a larga distancia, líneas de comunicación y cables de poder; tuberías y cables locales, y obras conexas (-0,15%) y Puertos, canales, presas, sistemas de riego y otras obras hidráulicas (acueductos) (-0,10%), se ubicaron por encima del promedio nacional.</w:t>
      </w:r>
    </w:p>
    <w:p w14:paraId="05D48160" w14:textId="77777777" w:rsidR="002A4BF2" w:rsidRPr="002A4BF2" w:rsidRDefault="002A4BF2" w:rsidP="002A4BF2">
      <w:pPr>
        <w:tabs>
          <w:tab w:val="left" w:pos="3720"/>
        </w:tabs>
        <w:spacing w:line="240" w:lineRule="auto"/>
        <w:ind w:left="993" w:right="474"/>
        <w:jc w:val="both"/>
        <w:rPr>
          <w:rFonts w:ascii="Garamond" w:hAnsi="Garamond"/>
          <w:b/>
          <w:sz w:val="24"/>
          <w:szCs w:val="24"/>
        </w:rPr>
      </w:pPr>
      <w:r w:rsidRPr="002A4BF2">
        <w:rPr>
          <w:rFonts w:ascii="Garamond" w:hAnsi="Garamond"/>
          <w:b/>
          <w:sz w:val="24"/>
          <w:szCs w:val="24"/>
        </w:rPr>
        <w:t>Variación y contribución mensual según 17 subclases CPC V 2.0 A.C.</w:t>
      </w:r>
    </w:p>
    <w:p w14:paraId="4473FC31" w14:textId="77777777" w:rsidR="002A4BF2" w:rsidRP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sz w:val="24"/>
          <w:szCs w:val="24"/>
        </w:rPr>
        <w:t>El Índice de Costos de la Construcción de Obras Civiles (ICOCIV) a nivel nacional mostró una variación total mensual de -0.27% en mayo de 2025. Dentro de las 17 subclases analizadas, "Carreteras (excepto carreteras elevadas); calles" representa la mayor ponderación con un 48.71% y una variación de -0.31%, contribuyendo con -0.15 puntos porcentuales a la variación total. "Tuberías de larga distancia" y "Obras para la comunicación de larga distancia y las líneas eléctricas (cables)" también tienen pesos significativos y contribuciones negativas al total.</w:t>
      </w:r>
    </w:p>
    <w:p w14:paraId="516615C1" w14:textId="2EF3AA56" w:rsidR="002A4BF2" w:rsidRDefault="002A4BF2" w:rsidP="002A4BF2">
      <w:pPr>
        <w:tabs>
          <w:tab w:val="left" w:pos="3720"/>
        </w:tabs>
        <w:spacing w:line="240" w:lineRule="auto"/>
        <w:ind w:left="993" w:right="474"/>
        <w:jc w:val="both"/>
        <w:rPr>
          <w:rFonts w:ascii="Garamond" w:hAnsi="Garamond"/>
          <w:sz w:val="24"/>
          <w:szCs w:val="24"/>
        </w:rPr>
      </w:pPr>
      <w:r w:rsidRPr="002A4BF2">
        <w:rPr>
          <w:rFonts w:ascii="Garamond" w:hAnsi="Garamond"/>
          <w:sz w:val="24"/>
          <w:szCs w:val="24"/>
        </w:rPr>
        <w:t>Las subclases que experimentaron las mayores variaciones negativas fueron "Puentes y carreteras elevadas" con -0.80%, "Pistas de aterrizaje" con -0.73%, y "Ferrocarriles" con -0.71%. En contraste, "Cables locales y obras conexas" fue la única subclase con una variación positiva, aunque mínima, de 0.06%. "Túneles" y "Centrales eléctricas" mostraron variaciones cercanas a cero, con -0.06% y -0.01% respectivamente.</w:t>
      </w:r>
    </w:p>
    <w:p w14:paraId="54DA5E90" w14:textId="586A926D" w:rsidR="00901AC0" w:rsidRDefault="00901AC0" w:rsidP="002A4BF2">
      <w:pPr>
        <w:tabs>
          <w:tab w:val="left" w:pos="3720"/>
        </w:tabs>
        <w:spacing w:line="240" w:lineRule="auto"/>
        <w:ind w:left="993" w:right="474"/>
        <w:jc w:val="both"/>
        <w:rPr>
          <w:rFonts w:ascii="Garamond" w:hAnsi="Garamond"/>
          <w:sz w:val="24"/>
          <w:szCs w:val="24"/>
        </w:rPr>
      </w:pPr>
    </w:p>
    <w:p w14:paraId="0B8050D1" w14:textId="54A92702" w:rsidR="00901AC0" w:rsidRDefault="00901AC0" w:rsidP="002A4BF2">
      <w:pPr>
        <w:tabs>
          <w:tab w:val="left" w:pos="3720"/>
        </w:tabs>
        <w:spacing w:line="240" w:lineRule="auto"/>
        <w:ind w:left="993" w:right="474"/>
        <w:jc w:val="both"/>
        <w:rPr>
          <w:rFonts w:ascii="Garamond" w:hAnsi="Garamond"/>
          <w:sz w:val="24"/>
          <w:szCs w:val="24"/>
        </w:rPr>
      </w:pPr>
    </w:p>
    <w:p w14:paraId="784A63B2" w14:textId="58DF9A0D" w:rsidR="00901AC0" w:rsidRDefault="00901AC0" w:rsidP="002A4BF2">
      <w:pPr>
        <w:tabs>
          <w:tab w:val="left" w:pos="3720"/>
        </w:tabs>
        <w:spacing w:line="240" w:lineRule="auto"/>
        <w:ind w:left="993" w:right="474"/>
        <w:jc w:val="both"/>
        <w:rPr>
          <w:rFonts w:ascii="Garamond" w:hAnsi="Garamond"/>
          <w:sz w:val="24"/>
          <w:szCs w:val="24"/>
        </w:rPr>
      </w:pPr>
    </w:p>
    <w:p w14:paraId="1525BE44" w14:textId="6400EC80" w:rsidR="00901AC0" w:rsidRDefault="00901AC0" w:rsidP="002A4BF2">
      <w:pPr>
        <w:tabs>
          <w:tab w:val="left" w:pos="3720"/>
        </w:tabs>
        <w:spacing w:line="240" w:lineRule="auto"/>
        <w:ind w:left="993" w:right="474"/>
        <w:jc w:val="both"/>
        <w:rPr>
          <w:rFonts w:ascii="Garamond" w:hAnsi="Garamond"/>
          <w:sz w:val="24"/>
          <w:szCs w:val="24"/>
        </w:rPr>
      </w:pPr>
    </w:p>
    <w:p w14:paraId="127DD460" w14:textId="0049339B" w:rsidR="00901AC0" w:rsidRDefault="00901AC0" w:rsidP="002A4BF2">
      <w:pPr>
        <w:tabs>
          <w:tab w:val="left" w:pos="3720"/>
        </w:tabs>
        <w:spacing w:line="240" w:lineRule="auto"/>
        <w:ind w:left="993" w:right="474"/>
        <w:jc w:val="both"/>
        <w:rPr>
          <w:rFonts w:ascii="Garamond" w:hAnsi="Garamond"/>
          <w:sz w:val="24"/>
          <w:szCs w:val="24"/>
        </w:rPr>
      </w:pPr>
    </w:p>
    <w:p w14:paraId="134D74CA" w14:textId="1D8614B2" w:rsidR="00901AC0" w:rsidRDefault="00901AC0" w:rsidP="002A4BF2">
      <w:pPr>
        <w:tabs>
          <w:tab w:val="left" w:pos="3720"/>
        </w:tabs>
        <w:spacing w:line="240" w:lineRule="auto"/>
        <w:ind w:left="993" w:right="474"/>
        <w:jc w:val="both"/>
        <w:rPr>
          <w:rFonts w:ascii="Garamond" w:hAnsi="Garamond"/>
          <w:sz w:val="24"/>
          <w:szCs w:val="24"/>
        </w:rPr>
      </w:pPr>
    </w:p>
    <w:p w14:paraId="3BD4B20F" w14:textId="77777777" w:rsidR="00901AC0" w:rsidRDefault="00901AC0" w:rsidP="002A4BF2">
      <w:pPr>
        <w:tabs>
          <w:tab w:val="left" w:pos="3720"/>
        </w:tabs>
        <w:spacing w:line="240" w:lineRule="auto"/>
        <w:ind w:left="993" w:right="474"/>
        <w:jc w:val="both"/>
        <w:rPr>
          <w:rFonts w:ascii="Garamond" w:hAnsi="Garamond"/>
          <w:sz w:val="24"/>
          <w:szCs w:val="24"/>
        </w:rPr>
      </w:pPr>
    </w:p>
    <w:p w14:paraId="13563F33" w14:textId="69BFBABF" w:rsidR="00901AC0" w:rsidRDefault="00901AC0" w:rsidP="00901AC0">
      <w:pPr>
        <w:tabs>
          <w:tab w:val="left" w:pos="3720"/>
        </w:tabs>
        <w:spacing w:line="240" w:lineRule="auto"/>
        <w:ind w:left="993" w:right="474"/>
        <w:jc w:val="center"/>
        <w:rPr>
          <w:rFonts w:ascii="Garamond" w:hAnsi="Garamond"/>
          <w:sz w:val="24"/>
          <w:szCs w:val="24"/>
        </w:rPr>
      </w:pPr>
      <w:r w:rsidRPr="00901AC0">
        <w:rPr>
          <w:rFonts w:ascii="Garamond" w:hAnsi="Garamond"/>
        </w:rPr>
        <w:lastRenderedPageBreak/>
        <w:t>ICOCIV. Variación y contribución mensual según 17 subclases CPC V 2.0 A.C. Total nacional Mayo 2025</w:t>
      </w:r>
    </w:p>
    <w:p w14:paraId="563F1E8E" w14:textId="30A8E21B" w:rsidR="00901AC0" w:rsidRDefault="00901AC0" w:rsidP="002A4BF2">
      <w:pPr>
        <w:tabs>
          <w:tab w:val="left" w:pos="3720"/>
        </w:tabs>
        <w:spacing w:line="240" w:lineRule="auto"/>
        <w:ind w:left="993" w:right="474"/>
        <w:jc w:val="both"/>
        <w:rPr>
          <w:rFonts w:ascii="Garamond" w:hAnsi="Garamond"/>
          <w:sz w:val="24"/>
          <w:szCs w:val="24"/>
        </w:rPr>
      </w:pPr>
      <w:r w:rsidRPr="00901AC0">
        <w:rPr>
          <w:rFonts w:ascii="Garamond" w:hAnsi="Garamond"/>
          <w:noProof/>
          <w:sz w:val="24"/>
          <w:szCs w:val="24"/>
          <w:lang w:eastAsia="es-CO"/>
        </w:rPr>
        <w:drawing>
          <wp:inline distT="0" distB="0" distL="0" distR="0" wp14:anchorId="59F6FB73" wp14:editId="73195C37">
            <wp:extent cx="6058746" cy="4648849"/>
            <wp:effectExtent l="0" t="0" r="0" b="0"/>
            <wp:docPr id="1125603590" name="Imagen 112560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58746" cy="4648849"/>
                    </a:xfrm>
                    <a:prstGeom prst="rect">
                      <a:avLst/>
                    </a:prstGeom>
                  </pic:spPr>
                </pic:pic>
              </a:graphicData>
            </a:graphic>
          </wp:inline>
        </w:drawing>
      </w:r>
    </w:p>
    <w:p w14:paraId="2D802502" w14:textId="77777777" w:rsidR="00901AC0" w:rsidRDefault="00901AC0" w:rsidP="00901AC0">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3C3A19F5" w14:textId="1C029DE7" w:rsidR="00901AC0" w:rsidRDefault="00901AC0" w:rsidP="002A4BF2">
      <w:pPr>
        <w:tabs>
          <w:tab w:val="left" w:pos="3720"/>
        </w:tabs>
        <w:spacing w:line="240" w:lineRule="auto"/>
        <w:ind w:left="993" w:right="474"/>
        <w:jc w:val="both"/>
        <w:rPr>
          <w:rFonts w:ascii="Garamond" w:hAnsi="Garamond"/>
          <w:sz w:val="24"/>
          <w:szCs w:val="24"/>
        </w:rPr>
      </w:pPr>
    </w:p>
    <w:p w14:paraId="1816BF94" w14:textId="77777777" w:rsidR="00901AC0" w:rsidRP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En términos de contribución al total nacional, además de "Carreteras (excepto carreteras elevadas); calles", destacaron "Construcciones en minas" con una contribución de -0.03 puntos porcentuales y "Puentes y carreteras elevadas" con -0.02 puntos porcentuales. Las demás subclases tuvieron una contribución al total</w:t>
      </w:r>
      <w:r>
        <w:rPr>
          <w:rFonts w:ascii="Garamond" w:hAnsi="Garamond"/>
          <w:sz w:val="24"/>
          <w:szCs w:val="24"/>
        </w:rPr>
        <w:t xml:space="preserve"> </w:t>
      </w:r>
      <w:r w:rsidRPr="00901AC0">
        <w:rPr>
          <w:rFonts w:ascii="Garamond" w:hAnsi="Garamond"/>
          <w:sz w:val="24"/>
          <w:szCs w:val="24"/>
        </w:rPr>
        <w:t>nacional de -0.01 o 0.00 puntos porcentuales, lo que indica que, a pesar de sus variaciones individuales, su impacto en el ICOCIV general fue menor debido a su ponderación o a variaciones más contenidas.</w:t>
      </w:r>
    </w:p>
    <w:p w14:paraId="3BC04A63" w14:textId="77777777" w:rsidR="00901AC0" w:rsidRPr="00901AC0" w:rsidRDefault="00901AC0" w:rsidP="00901AC0">
      <w:pPr>
        <w:tabs>
          <w:tab w:val="left" w:pos="3720"/>
        </w:tabs>
        <w:spacing w:line="240" w:lineRule="auto"/>
        <w:ind w:left="993" w:right="474"/>
        <w:jc w:val="both"/>
        <w:rPr>
          <w:rFonts w:ascii="Garamond" w:hAnsi="Garamond"/>
          <w:b/>
          <w:sz w:val="24"/>
          <w:szCs w:val="24"/>
        </w:rPr>
      </w:pPr>
      <w:r w:rsidRPr="00901AC0">
        <w:rPr>
          <w:rFonts w:ascii="Garamond" w:hAnsi="Garamond"/>
          <w:b/>
          <w:sz w:val="24"/>
          <w:szCs w:val="24"/>
        </w:rPr>
        <w:t>Estadísticas de Cemento Gris.</w:t>
      </w:r>
    </w:p>
    <w:p w14:paraId="5AF28597" w14:textId="6BCAB170" w:rsid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En cuanto a la producción de cemento gris, se observa un aumento significativo de 2024 a 2025. En mayo de 2024, la producción fue de 1.093,7 miles de toneladas, mientras que para el mismo mes en 2025, la cifra se elevó a 1.195,3 miles de toneladas. Esto representa un incremento de aproximadamente 101,6 miles de toneladas, indicando una mayor capacidad o demanda de producción de cemento gris en 2025.</w:t>
      </w:r>
    </w:p>
    <w:p w14:paraId="5A05F392" w14:textId="77777777" w:rsidR="00901AC0" w:rsidRPr="00901AC0" w:rsidRDefault="00901AC0" w:rsidP="00901AC0">
      <w:pPr>
        <w:tabs>
          <w:tab w:val="left" w:pos="3720"/>
        </w:tabs>
        <w:spacing w:line="240" w:lineRule="auto"/>
        <w:ind w:left="993" w:right="474"/>
        <w:jc w:val="both"/>
        <w:rPr>
          <w:rFonts w:ascii="Garamond" w:hAnsi="Garamond"/>
          <w:sz w:val="24"/>
          <w:szCs w:val="24"/>
        </w:rPr>
      </w:pPr>
    </w:p>
    <w:p w14:paraId="2B706EDA" w14:textId="24FBD297" w:rsidR="00901AC0" w:rsidRPr="00901AC0" w:rsidRDefault="00901AC0" w:rsidP="00901AC0">
      <w:pPr>
        <w:tabs>
          <w:tab w:val="left" w:pos="3720"/>
        </w:tabs>
        <w:spacing w:line="240" w:lineRule="auto"/>
        <w:ind w:left="993" w:right="474"/>
        <w:jc w:val="center"/>
        <w:rPr>
          <w:rFonts w:ascii="Garamond" w:hAnsi="Garamond"/>
        </w:rPr>
      </w:pPr>
      <w:r w:rsidRPr="00901AC0">
        <w:rPr>
          <w:rFonts w:ascii="Garamond" w:hAnsi="Garamond"/>
        </w:rPr>
        <w:lastRenderedPageBreak/>
        <w:t>Producción y despachos de cemento gris (miles de toneladas) Total nacional Mayo (2024 – 2025 pr)</w:t>
      </w:r>
    </w:p>
    <w:p w14:paraId="673A0353" w14:textId="02ABB2FF" w:rsidR="00901AC0" w:rsidRDefault="00901AC0" w:rsidP="002A4BF2">
      <w:pPr>
        <w:tabs>
          <w:tab w:val="left" w:pos="3720"/>
        </w:tabs>
        <w:spacing w:line="240" w:lineRule="auto"/>
        <w:ind w:left="993" w:right="474"/>
        <w:jc w:val="both"/>
        <w:rPr>
          <w:rFonts w:ascii="Garamond" w:hAnsi="Garamond"/>
          <w:sz w:val="24"/>
          <w:szCs w:val="24"/>
        </w:rPr>
      </w:pPr>
      <w:r w:rsidRPr="00901AC0">
        <w:rPr>
          <w:rFonts w:ascii="Garamond" w:hAnsi="Garamond"/>
          <w:noProof/>
          <w:sz w:val="24"/>
          <w:szCs w:val="24"/>
          <w:lang w:eastAsia="es-CO"/>
        </w:rPr>
        <w:drawing>
          <wp:inline distT="0" distB="0" distL="0" distR="0" wp14:anchorId="0FFE8475" wp14:editId="553F16A9">
            <wp:extent cx="5807034" cy="3895725"/>
            <wp:effectExtent l="0" t="0" r="3810" b="0"/>
            <wp:docPr id="1125603591" name="Imagen 112560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813490" cy="3900056"/>
                    </a:xfrm>
                    <a:prstGeom prst="rect">
                      <a:avLst/>
                    </a:prstGeom>
                  </pic:spPr>
                </pic:pic>
              </a:graphicData>
            </a:graphic>
          </wp:inline>
        </w:drawing>
      </w:r>
    </w:p>
    <w:p w14:paraId="7E1BF88F" w14:textId="77777777" w:rsidR="00901AC0" w:rsidRDefault="00901AC0" w:rsidP="00901AC0">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2CA40512" w14:textId="77777777" w:rsidR="00901AC0" w:rsidRP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Respecto a los despachos nacionales de cemento gris, también se registró un incremento interanual. En mayo de 2024, los despachos alcanzaron los 1.003,3 miles de toneladas. Para mayo de 2025, esta cifra subió a 1.082,6 miles de toneladas, lo que supone un aumento de cerca de 79,3 miles de toneladas. Este crecimiento en los despachos sugiere una mayor actividad de consumo o demanda de cemento en el mercado nacional.</w:t>
      </w:r>
    </w:p>
    <w:p w14:paraId="2B636087" w14:textId="77777777" w:rsidR="00901AC0" w:rsidRP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Resultados anuales</w:t>
      </w:r>
    </w:p>
    <w:p w14:paraId="541269E4" w14:textId="6AB5DA71" w:rsid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En mayo de 2025, la producción de cemento gris a nivel nacional fue de 1.195,3 miles de toneladas, lo que representó una variación de 9,3% con relación al mismo mes de 2024. En el mes de análisis se despacharon al mercado nacional 1.082,6 miles de toneladas de cemento gris, lo que significó un crecimiento del 7,9% frente a mayo de 2024.</w:t>
      </w:r>
    </w:p>
    <w:p w14:paraId="54B3B9D3" w14:textId="77777777" w:rsidR="002167D2" w:rsidRDefault="002167D2" w:rsidP="00901AC0">
      <w:pPr>
        <w:tabs>
          <w:tab w:val="left" w:pos="3720"/>
        </w:tabs>
        <w:spacing w:line="240" w:lineRule="auto"/>
        <w:ind w:left="993" w:right="474"/>
        <w:jc w:val="center"/>
        <w:rPr>
          <w:rFonts w:ascii="Garamond" w:hAnsi="Garamond"/>
        </w:rPr>
      </w:pPr>
    </w:p>
    <w:p w14:paraId="4A6CBC18" w14:textId="77777777" w:rsidR="002167D2" w:rsidRDefault="002167D2" w:rsidP="00901AC0">
      <w:pPr>
        <w:tabs>
          <w:tab w:val="left" w:pos="3720"/>
        </w:tabs>
        <w:spacing w:line="240" w:lineRule="auto"/>
        <w:ind w:left="993" w:right="474"/>
        <w:jc w:val="center"/>
        <w:rPr>
          <w:rFonts w:ascii="Garamond" w:hAnsi="Garamond"/>
        </w:rPr>
      </w:pPr>
    </w:p>
    <w:p w14:paraId="5B1F2686" w14:textId="77777777" w:rsidR="002167D2" w:rsidRDefault="002167D2" w:rsidP="00901AC0">
      <w:pPr>
        <w:tabs>
          <w:tab w:val="left" w:pos="3720"/>
        </w:tabs>
        <w:spacing w:line="240" w:lineRule="auto"/>
        <w:ind w:left="993" w:right="474"/>
        <w:jc w:val="center"/>
        <w:rPr>
          <w:rFonts w:ascii="Garamond" w:hAnsi="Garamond"/>
        </w:rPr>
      </w:pPr>
    </w:p>
    <w:p w14:paraId="422F7AF9" w14:textId="77777777" w:rsidR="002167D2" w:rsidRDefault="002167D2" w:rsidP="00901AC0">
      <w:pPr>
        <w:tabs>
          <w:tab w:val="left" w:pos="3720"/>
        </w:tabs>
        <w:spacing w:line="240" w:lineRule="auto"/>
        <w:ind w:left="993" w:right="474"/>
        <w:jc w:val="center"/>
        <w:rPr>
          <w:rFonts w:ascii="Garamond" w:hAnsi="Garamond"/>
        </w:rPr>
      </w:pPr>
    </w:p>
    <w:p w14:paraId="7A7B8F0B" w14:textId="77777777" w:rsidR="002167D2" w:rsidRDefault="002167D2" w:rsidP="00901AC0">
      <w:pPr>
        <w:tabs>
          <w:tab w:val="left" w:pos="3720"/>
        </w:tabs>
        <w:spacing w:line="240" w:lineRule="auto"/>
        <w:ind w:left="993" w:right="474"/>
        <w:jc w:val="center"/>
        <w:rPr>
          <w:rFonts w:ascii="Garamond" w:hAnsi="Garamond"/>
        </w:rPr>
      </w:pPr>
    </w:p>
    <w:p w14:paraId="2FB835D3" w14:textId="77777777" w:rsidR="002167D2" w:rsidRDefault="002167D2" w:rsidP="00901AC0">
      <w:pPr>
        <w:tabs>
          <w:tab w:val="left" w:pos="3720"/>
        </w:tabs>
        <w:spacing w:line="240" w:lineRule="auto"/>
        <w:ind w:left="993" w:right="474"/>
        <w:jc w:val="center"/>
        <w:rPr>
          <w:rFonts w:ascii="Garamond" w:hAnsi="Garamond"/>
        </w:rPr>
      </w:pPr>
    </w:p>
    <w:p w14:paraId="5D89FF02" w14:textId="712B9320" w:rsidR="00901AC0" w:rsidRPr="00901AC0" w:rsidRDefault="00901AC0" w:rsidP="00901AC0">
      <w:pPr>
        <w:tabs>
          <w:tab w:val="left" w:pos="3720"/>
        </w:tabs>
        <w:spacing w:line="240" w:lineRule="auto"/>
        <w:ind w:left="993" w:right="474"/>
        <w:jc w:val="center"/>
        <w:rPr>
          <w:rFonts w:ascii="Garamond" w:hAnsi="Garamond"/>
        </w:rPr>
      </w:pPr>
      <w:r w:rsidRPr="00901AC0">
        <w:rPr>
          <w:rFonts w:ascii="Garamond" w:hAnsi="Garamond"/>
        </w:rPr>
        <w:lastRenderedPageBreak/>
        <w:t>Producción y despachos de cemento gris (miles de toneladas y variación anual) Total nacional Enero (2022) - mayo (2025 pr)</w:t>
      </w:r>
    </w:p>
    <w:p w14:paraId="7AA19DDF" w14:textId="21A914C1" w:rsid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noProof/>
          <w:sz w:val="24"/>
          <w:szCs w:val="24"/>
          <w:lang w:eastAsia="es-CO"/>
        </w:rPr>
        <w:drawing>
          <wp:inline distT="0" distB="0" distL="0" distR="0" wp14:anchorId="6E8DEB27" wp14:editId="1ABDC8E2">
            <wp:extent cx="6257925" cy="2802576"/>
            <wp:effectExtent l="0" t="0" r="0" b="0"/>
            <wp:docPr id="1125603593" name="Imagen 112560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261480" cy="2804168"/>
                    </a:xfrm>
                    <a:prstGeom prst="rect">
                      <a:avLst/>
                    </a:prstGeom>
                  </pic:spPr>
                </pic:pic>
              </a:graphicData>
            </a:graphic>
          </wp:inline>
        </w:drawing>
      </w:r>
    </w:p>
    <w:p w14:paraId="4B56F24D" w14:textId="77777777" w:rsidR="00901AC0" w:rsidRDefault="00901AC0" w:rsidP="00901AC0">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451C8555" w14:textId="77777777" w:rsidR="00901AC0" w:rsidRP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Resultados año corrido</w:t>
      </w:r>
    </w:p>
    <w:p w14:paraId="7233F8CD" w14:textId="48F5BB97" w:rsid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En el período enero – mayo 2025 la producción de cemento gris alcanzó los 5.437,1 miles de toneladas, presentando una disminución de 0,3% con relación al mismo periodo del año anterior. Los despachos al mercado nacional acumularon 4.988,7 miles de toneladas dando como resultado una variación positiva de 0,8% con respecto al periodo enero - mayo 2024.</w:t>
      </w:r>
    </w:p>
    <w:p w14:paraId="162A64D4" w14:textId="736ACBBD" w:rsidR="002167D2" w:rsidRDefault="002167D2" w:rsidP="00901AC0">
      <w:pPr>
        <w:tabs>
          <w:tab w:val="left" w:pos="3720"/>
        </w:tabs>
        <w:spacing w:line="240" w:lineRule="auto"/>
        <w:ind w:left="993" w:right="474"/>
        <w:jc w:val="both"/>
        <w:rPr>
          <w:rFonts w:ascii="Garamond" w:hAnsi="Garamond"/>
          <w:sz w:val="24"/>
          <w:szCs w:val="24"/>
        </w:rPr>
      </w:pPr>
    </w:p>
    <w:p w14:paraId="631710BD" w14:textId="06E9FEE7" w:rsidR="002167D2" w:rsidRDefault="002167D2" w:rsidP="00901AC0">
      <w:pPr>
        <w:tabs>
          <w:tab w:val="left" w:pos="3720"/>
        </w:tabs>
        <w:spacing w:line="240" w:lineRule="auto"/>
        <w:ind w:left="993" w:right="474"/>
        <w:jc w:val="both"/>
        <w:rPr>
          <w:rFonts w:ascii="Garamond" w:hAnsi="Garamond"/>
          <w:sz w:val="24"/>
          <w:szCs w:val="24"/>
        </w:rPr>
      </w:pPr>
    </w:p>
    <w:p w14:paraId="59E48808" w14:textId="2F4389E0" w:rsidR="002167D2" w:rsidRDefault="002167D2" w:rsidP="00901AC0">
      <w:pPr>
        <w:tabs>
          <w:tab w:val="left" w:pos="3720"/>
        </w:tabs>
        <w:spacing w:line="240" w:lineRule="auto"/>
        <w:ind w:left="993" w:right="474"/>
        <w:jc w:val="both"/>
        <w:rPr>
          <w:rFonts w:ascii="Garamond" w:hAnsi="Garamond"/>
          <w:sz w:val="24"/>
          <w:szCs w:val="24"/>
        </w:rPr>
      </w:pPr>
    </w:p>
    <w:p w14:paraId="4D0D3097" w14:textId="0E0DDF02" w:rsidR="002167D2" w:rsidRDefault="002167D2" w:rsidP="00901AC0">
      <w:pPr>
        <w:tabs>
          <w:tab w:val="left" w:pos="3720"/>
        </w:tabs>
        <w:spacing w:line="240" w:lineRule="auto"/>
        <w:ind w:left="993" w:right="474"/>
        <w:jc w:val="both"/>
        <w:rPr>
          <w:rFonts w:ascii="Garamond" w:hAnsi="Garamond"/>
          <w:sz w:val="24"/>
          <w:szCs w:val="24"/>
        </w:rPr>
      </w:pPr>
    </w:p>
    <w:p w14:paraId="45311483" w14:textId="06ECB5B1" w:rsidR="002167D2" w:rsidRDefault="002167D2" w:rsidP="00901AC0">
      <w:pPr>
        <w:tabs>
          <w:tab w:val="left" w:pos="3720"/>
        </w:tabs>
        <w:spacing w:line="240" w:lineRule="auto"/>
        <w:ind w:left="993" w:right="474"/>
        <w:jc w:val="both"/>
        <w:rPr>
          <w:rFonts w:ascii="Garamond" w:hAnsi="Garamond"/>
          <w:sz w:val="24"/>
          <w:szCs w:val="24"/>
        </w:rPr>
      </w:pPr>
    </w:p>
    <w:p w14:paraId="42030172" w14:textId="085B4A75" w:rsidR="002167D2" w:rsidRDefault="002167D2" w:rsidP="00901AC0">
      <w:pPr>
        <w:tabs>
          <w:tab w:val="left" w:pos="3720"/>
        </w:tabs>
        <w:spacing w:line="240" w:lineRule="auto"/>
        <w:ind w:left="993" w:right="474"/>
        <w:jc w:val="both"/>
        <w:rPr>
          <w:rFonts w:ascii="Garamond" w:hAnsi="Garamond"/>
          <w:sz w:val="24"/>
          <w:szCs w:val="24"/>
        </w:rPr>
      </w:pPr>
    </w:p>
    <w:p w14:paraId="31442E64" w14:textId="1FB47B89" w:rsidR="002167D2" w:rsidRDefault="002167D2" w:rsidP="00901AC0">
      <w:pPr>
        <w:tabs>
          <w:tab w:val="left" w:pos="3720"/>
        </w:tabs>
        <w:spacing w:line="240" w:lineRule="auto"/>
        <w:ind w:left="993" w:right="474"/>
        <w:jc w:val="both"/>
        <w:rPr>
          <w:rFonts w:ascii="Garamond" w:hAnsi="Garamond"/>
          <w:sz w:val="24"/>
          <w:szCs w:val="24"/>
        </w:rPr>
      </w:pPr>
    </w:p>
    <w:p w14:paraId="69F3FC00" w14:textId="501785E8" w:rsidR="002167D2" w:rsidRDefault="002167D2" w:rsidP="00901AC0">
      <w:pPr>
        <w:tabs>
          <w:tab w:val="left" w:pos="3720"/>
        </w:tabs>
        <w:spacing w:line="240" w:lineRule="auto"/>
        <w:ind w:left="993" w:right="474"/>
        <w:jc w:val="both"/>
        <w:rPr>
          <w:rFonts w:ascii="Garamond" w:hAnsi="Garamond"/>
          <w:sz w:val="24"/>
          <w:szCs w:val="24"/>
        </w:rPr>
      </w:pPr>
    </w:p>
    <w:p w14:paraId="3179036D" w14:textId="0A8546E4" w:rsidR="002167D2" w:rsidRDefault="002167D2" w:rsidP="00901AC0">
      <w:pPr>
        <w:tabs>
          <w:tab w:val="left" w:pos="3720"/>
        </w:tabs>
        <w:spacing w:line="240" w:lineRule="auto"/>
        <w:ind w:left="993" w:right="474"/>
        <w:jc w:val="both"/>
        <w:rPr>
          <w:rFonts w:ascii="Garamond" w:hAnsi="Garamond"/>
          <w:sz w:val="24"/>
          <w:szCs w:val="24"/>
        </w:rPr>
      </w:pPr>
    </w:p>
    <w:p w14:paraId="35FD4796" w14:textId="50B00628" w:rsidR="002167D2" w:rsidRDefault="002167D2" w:rsidP="00901AC0">
      <w:pPr>
        <w:tabs>
          <w:tab w:val="left" w:pos="3720"/>
        </w:tabs>
        <w:spacing w:line="240" w:lineRule="auto"/>
        <w:ind w:left="993" w:right="474"/>
        <w:jc w:val="both"/>
        <w:rPr>
          <w:rFonts w:ascii="Garamond" w:hAnsi="Garamond"/>
          <w:sz w:val="24"/>
          <w:szCs w:val="24"/>
        </w:rPr>
      </w:pPr>
    </w:p>
    <w:p w14:paraId="0BE8FD02" w14:textId="043EEC5A" w:rsidR="002167D2" w:rsidRDefault="002167D2" w:rsidP="00901AC0">
      <w:pPr>
        <w:tabs>
          <w:tab w:val="left" w:pos="3720"/>
        </w:tabs>
        <w:spacing w:line="240" w:lineRule="auto"/>
        <w:ind w:left="993" w:right="474"/>
        <w:jc w:val="both"/>
        <w:rPr>
          <w:rFonts w:ascii="Garamond" w:hAnsi="Garamond"/>
          <w:sz w:val="24"/>
          <w:szCs w:val="24"/>
        </w:rPr>
      </w:pPr>
    </w:p>
    <w:p w14:paraId="7CFDFC21" w14:textId="36BE6A1C" w:rsidR="002167D2" w:rsidRDefault="002167D2" w:rsidP="00901AC0">
      <w:pPr>
        <w:tabs>
          <w:tab w:val="left" w:pos="3720"/>
        </w:tabs>
        <w:spacing w:line="240" w:lineRule="auto"/>
        <w:ind w:left="993" w:right="474"/>
        <w:jc w:val="both"/>
        <w:rPr>
          <w:rFonts w:ascii="Garamond" w:hAnsi="Garamond"/>
          <w:sz w:val="24"/>
          <w:szCs w:val="24"/>
        </w:rPr>
      </w:pPr>
    </w:p>
    <w:p w14:paraId="41F99235" w14:textId="77777777" w:rsidR="002167D2" w:rsidRPr="00901AC0" w:rsidRDefault="002167D2" w:rsidP="00901AC0">
      <w:pPr>
        <w:tabs>
          <w:tab w:val="left" w:pos="3720"/>
        </w:tabs>
        <w:spacing w:line="240" w:lineRule="auto"/>
        <w:ind w:left="993" w:right="474"/>
        <w:jc w:val="both"/>
        <w:rPr>
          <w:rFonts w:ascii="Garamond" w:hAnsi="Garamond"/>
          <w:sz w:val="24"/>
          <w:szCs w:val="24"/>
        </w:rPr>
      </w:pPr>
    </w:p>
    <w:p w14:paraId="7AC9F226" w14:textId="4EDCB207" w:rsidR="00901AC0" w:rsidRPr="00901AC0" w:rsidRDefault="00901AC0" w:rsidP="00901AC0">
      <w:pPr>
        <w:tabs>
          <w:tab w:val="left" w:pos="3720"/>
        </w:tabs>
        <w:spacing w:line="240" w:lineRule="auto"/>
        <w:ind w:left="993" w:right="474"/>
        <w:jc w:val="center"/>
        <w:rPr>
          <w:rFonts w:ascii="Garamond" w:hAnsi="Garamond"/>
        </w:rPr>
      </w:pPr>
      <w:r w:rsidRPr="00901AC0">
        <w:rPr>
          <w:rFonts w:ascii="Garamond" w:hAnsi="Garamond"/>
        </w:rPr>
        <w:lastRenderedPageBreak/>
        <w:t>Producción y despachos de cemento gris (miles de toneladas y variación año corrido) Total nacional Enero – mayo (2022 – 2025 pr)</w:t>
      </w:r>
    </w:p>
    <w:p w14:paraId="4596A93C" w14:textId="33E81E3F" w:rsidR="00901AC0" w:rsidRDefault="00901AC0" w:rsidP="002A4BF2">
      <w:pPr>
        <w:tabs>
          <w:tab w:val="left" w:pos="3720"/>
        </w:tabs>
        <w:spacing w:line="240" w:lineRule="auto"/>
        <w:ind w:left="993" w:right="474"/>
        <w:jc w:val="both"/>
        <w:rPr>
          <w:rFonts w:ascii="Garamond" w:hAnsi="Garamond"/>
          <w:sz w:val="24"/>
          <w:szCs w:val="24"/>
        </w:rPr>
      </w:pPr>
      <w:r w:rsidRPr="00901AC0">
        <w:rPr>
          <w:rFonts w:ascii="Garamond" w:hAnsi="Garamond"/>
          <w:noProof/>
          <w:sz w:val="24"/>
          <w:szCs w:val="24"/>
          <w:lang w:eastAsia="es-CO"/>
        </w:rPr>
        <w:drawing>
          <wp:inline distT="0" distB="0" distL="0" distR="0" wp14:anchorId="6ADD2988" wp14:editId="7588AA7A">
            <wp:extent cx="6163293" cy="3124200"/>
            <wp:effectExtent l="0" t="0" r="9525" b="0"/>
            <wp:docPr id="1125603594" name="Imagen 112560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67251" cy="3126207"/>
                    </a:xfrm>
                    <a:prstGeom prst="rect">
                      <a:avLst/>
                    </a:prstGeom>
                  </pic:spPr>
                </pic:pic>
              </a:graphicData>
            </a:graphic>
          </wp:inline>
        </w:drawing>
      </w:r>
    </w:p>
    <w:p w14:paraId="21FFFCE9" w14:textId="77777777" w:rsidR="00901AC0" w:rsidRDefault="00901AC0" w:rsidP="00901AC0">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0BD75014" w14:textId="3788FD60" w:rsidR="00901AC0" w:rsidRPr="00901AC0" w:rsidRDefault="00901AC0" w:rsidP="002A4BF2">
      <w:pPr>
        <w:tabs>
          <w:tab w:val="left" w:pos="3720"/>
        </w:tabs>
        <w:spacing w:line="240" w:lineRule="auto"/>
        <w:ind w:left="993" w:right="474"/>
        <w:jc w:val="both"/>
        <w:rPr>
          <w:rFonts w:ascii="Garamond" w:hAnsi="Garamond"/>
          <w:b/>
          <w:sz w:val="24"/>
          <w:szCs w:val="24"/>
        </w:rPr>
      </w:pPr>
      <w:r w:rsidRPr="00901AC0">
        <w:rPr>
          <w:rFonts w:ascii="Garamond" w:hAnsi="Garamond"/>
          <w:b/>
          <w:sz w:val="24"/>
          <w:szCs w:val="24"/>
        </w:rPr>
        <w:t>Despachos Nacionales de Cemento Gris</w:t>
      </w:r>
    </w:p>
    <w:p w14:paraId="3F444D57" w14:textId="77777777" w:rsidR="00901AC0" w:rsidRPr="00901AC0" w:rsidRDefault="00901AC0" w:rsidP="00901AC0">
      <w:pPr>
        <w:tabs>
          <w:tab w:val="left" w:pos="3720"/>
        </w:tabs>
        <w:spacing w:line="240" w:lineRule="auto"/>
        <w:ind w:left="993" w:right="474"/>
        <w:jc w:val="both"/>
        <w:rPr>
          <w:rFonts w:ascii="Garamond" w:hAnsi="Garamond"/>
          <w:b/>
          <w:sz w:val="24"/>
          <w:szCs w:val="24"/>
        </w:rPr>
      </w:pPr>
      <w:r w:rsidRPr="00901AC0">
        <w:rPr>
          <w:rFonts w:ascii="Garamond" w:hAnsi="Garamond"/>
          <w:b/>
          <w:sz w:val="24"/>
          <w:szCs w:val="24"/>
        </w:rPr>
        <w:t>Según canal de distribución y tipo de empaque</w:t>
      </w:r>
    </w:p>
    <w:p w14:paraId="3A57D960" w14:textId="77777777" w:rsidR="00901AC0" w:rsidRP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En mayo de 2025 comparado con el mismo mes de 2024, el resultado total de los despachos de cemento gris se explicó principalmente por el crecimiento presentado en el canal de Canal de Comercialización (14,6%), el cual sumó 8,1 puntos porcentuales a la variación total de 7,9%.</w:t>
      </w:r>
    </w:p>
    <w:p w14:paraId="38AB6A92" w14:textId="0C57D6DE" w:rsidR="00901AC0" w:rsidRDefault="00901AC0" w:rsidP="00901AC0">
      <w:pPr>
        <w:tabs>
          <w:tab w:val="left" w:pos="3720"/>
        </w:tabs>
        <w:spacing w:line="240" w:lineRule="auto"/>
        <w:ind w:left="993" w:right="474"/>
        <w:jc w:val="both"/>
        <w:rPr>
          <w:rFonts w:ascii="Garamond" w:hAnsi="Garamond"/>
          <w:sz w:val="24"/>
          <w:szCs w:val="24"/>
        </w:rPr>
      </w:pPr>
      <w:r w:rsidRPr="00901AC0">
        <w:rPr>
          <w:rFonts w:ascii="Garamond" w:hAnsi="Garamond"/>
          <w:sz w:val="24"/>
          <w:szCs w:val="24"/>
        </w:rPr>
        <w:t>En el quinto mes del año 2025, el crecimiento presentado en los despachos de cemento gris al canal de Constructores y Contratistas (19,9%), sumó 3,5 puntos porcentuales a la variación total de cemento gris a granel (2,0%). Por su parte, el aumento del cemento gris empacado obedeció primordialmente al canal de Comercialización (14,6%), el cual sumó 12,2 puntos porcentuales ala variación de 10,9%.</w:t>
      </w:r>
    </w:p>
    <w:p w14:paraId="15B20B62" w14:textId="426EBB96" w:rsidR="00901AC0" w:rsidRDefault="00652037" w:rsidP="00652037">
      <w:pPr>
        <w:tabs>
          <w:tab w:val="left" w:pos="3720"/>
        </w:tabs>
        <w:spacing w:line="240" w:lineRule="auto"/>
        <w:ind w:left="993" w:right="474"/>
        <w:jc w:val="center"/>
        <w:rPr>
          <w:rFonts w:ascii="Garamond" w:hAnsi="Garamond"/>
          <w:sz w:val="24"/>
          <w:szCs w:val="24"/>
        </w:rPr>
      </w:pPr>
      <w:r w:rsidRPr="00652037">
        <w:rPr>
          <w:rFonts w:ascii="Garamond" w:hAnsi="Garamond"/>
        </w:rPr>
        <w:t>Variación y contribución anual de los despachos de cemento gris por tipo de empaque según canal de distribución. Total nacional Mayo (2025 pr / 2024)</w:t>
      </w:r>
    </w:p>
    <w:p w14:paraId="35A9D5EA" w14:textId="3C872B06" w:rsidR="00901AC0" w:rsidRDefault="00652037" w:rsidP="00901AC0">
      <w:pPr>
        <w:tabs>
          <w:tab w:val="left" w:pos="3720"/>
        </w:tabs>
        <w:spacing w:line="240" w:lineRule="auto"/>
        <w:ind w:left="993" w:right="474"/>
        <w:jc w:val="both"/>
        <w:rPr>
          <w:rFonts w:ascii="Garamond" w:hAnsi="Garamond"/>
          <w:sz w:val="24"/>
          <w:szCs w:val="24"/>
        </w:rPr>
      </w:pPr>
      <w:r w:rsidRPr="00652037">
        <w:rPr>
          <w:rFonts w:ascii="Garamond" w:hAnsi="Garamond"/>
          <w:noProof/>
          <w:sz w:val="24"/>
          <w:szCs w:val="24"/>
          <w:lang w:eastAsia="es-CO"/>
        </w:rPr>
        <w:drawing>
          <wp:inline distT="0" distB="0" distL="0" distR="0" wp14:anchorId="288A5FEB" wp14:editId="49509A8C">
            <wp:extent cx="6032665" cy="1628775"/>
            <wp:effectExtent l="0" t="0" r="6350" b="0"/>
            <wp:docPr id="1125603595" name="Imagen 112560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37014" cy="1629949"/>
                    </a:xfrm>
                    <a:prstGeom prst="rect">
                      <a:avLst/>
                    </a:prstGeom>
                  </pic:spPr>
                </pic:pic>
              </a:graphicData>
            </a:graphic>
          </wp:inline>
        </w:drawing>
      </w:r>
    </w:p>
    <w:p w14:paraId="632A51D6" w14:textId="77777777" w:rsidR="00652037" w:rsidRDefault="00652037" w:rsidP="00652037">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082116AC" w14:textId="77777777" w:rsidR="00652037" w:rsidRP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lastRenderedPageBreak/>
        <w:t>Resumen de las estadísticas de Cemento Gris</w:t>
      </w:r>
    </w:p>
    <w:p w14:paraId="754902A9" w14:textId="786F751C"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La producción de cemento gris mostró un crecimiento anual del 9.3% en mayo de 2025 en comparación con mayo de 2024. Sin embargo, en la variación de año corrido (enero-mayo 2025 vs. enero-mayo 2024) y en la variación de doce meses (junio 2024-mayo 2025 vs. junio 2023-mayo 2024), la producción registró descensos del -0.3% y -3.5% respectivamente. Los despachos siguieron una tendencia similar con un aumento anual del 7.9% en mayo 2025/mayo 2024, y caídas del -0.8% en el año corrido y del -3.4% en los doce meses.</w:t>
      </w:r>
    </w:p>
    <w:p w14:paraId="2145CE51" w14:textId="1A1B89B1" w:rsidR="00652037" w:rsidRDefault="00652037" w:rsidP="00652037">
      <w:pPr>
        <w:tabs>
          <w:tab w:val="left" w:pos="3720"/>
        </w:tabs>
        <w:spacing w:line="240" w:lineRule="auto"/>
        <w:ind w:left="993" w:right="474"/>
        <w:jc w:val="center"/>
        <w:rPr>
          <w:rFonts w:ascii="Garamond" w:hAnsi="Garamond"/>
          <w:sz w:val="24"/>
          <w:szCs w:val="24"/>
        </w:rPr>
      </w:pPr>
      <w:r w:rsidRPr="00652037">
        <w:rPr>
          <w:rFonts w:ascii="Garamond" w:hAnsi="Garamond"/>
          <w:sz w:val="24"/>
          <w:szCs w:val="24"/>
        </w:rPr>
        <w:t>Variaciones de la producción y despachos de cemento gris Total nacional Mayo 2025</w:t>
      </w:r>
    </w:p>
    <w:p w14:paraId="00592F03" w14:textId="29190BC7" w:rsidR="00652037" w:rsidRDefault="00652037" w:rsidP="002A4BF2">
      <w:pPr>
        <w:tabs>
          <w:tab w:val="left" w:pos="3720"/>
        </w:tabs>
        <w:spacing w:line="240" w:lineRule="auto"/>
        <w:ind w:left="993" w:right="474"/>
        <w:jc w:val="both"/>
        <w:rPr>
          <w:rFonts w:ascii="Garamond" w:hAnsi="Garamond"/>
          <w:sz w:val="24"/>
          <w:szCs w:val="24"/>
        </w:rPr>
      </w:pPr>
      <w:r w:rsidRPr="00652037">
        <w:rPr>
          <w:rFonts w:ascii="Garamond" w:hAnsi="Garamond"/>
          <w:noProof/>
          <w:sz w:val="24"/>
          <w:szCs w:val="24"/>
          <w:lang w:eastAsia="es-CO"/>
        </w:rPr>
        <w:drawing>
          <wp:inline distT="0" distB="0" distL="0" distR="0" wp14:anchorId="40E59B8C" wp14:editId="438D23EC">
            <wp:extent cx="5849166" cy="2695951"/>
            <wp:effectExtent l="0" t="0" r="0" b="9525"/>
            <wp:docPr id="1125603596" name="Imagen 112560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849166" cy="2695951"/>
                    </a:xfrm>
                    <a:prstGeom prst="rect">
                      <a:avLst/>
                    </a:prstGeom>
                  </pic:spPr>
                </pic:pic>
              </a:graphicData>
            </a:graphic>
          </wp:inline>
        </w:drawing>
      </w:r>
    </w:p>
    <w:p w14:paraId="4640B6B4" w14:textId="77777777" w:rsidR="00652037" w:rsidRDefault="00652037" w:rsidP="00652037">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351FABE3" w14:textId="77777777" w:rsidR="00652037" w:rsidRP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Al analizar las variaciones según el canal de distribución, se observa que las "Concreteras" experimentaron disminuciones significativas en todos los periodos (-5.1% anual, -7.4% año corrido, -9.5% doce meses). En contraste, el canal de "Comercialización" mostró un crecimiento robusto, con un aumento del 14.6% anual y 7.0% en el año corrido, aunque con un leve crecimiento del 0.8% en los doce meses. Los "Contratistas y constructores" tuvieron un crecimiento anual del 4.5% pero caídas en el año corrido (-5.1%) y doce meses (-4.1%). El canal de "Otros*" registró un fuerte crecimiento anual del 10.3%, pero disminuciones considerables en el año corrido (-9.0%) y doce meses (-15.8%).</w:t>
      </w:r>
    </w:p>
    <w:p w14:paraId="12B350EE" w14:textId="1D184089"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Finalmente, al examinar las variaciones según el tipo de empaque, el cemento Granel tuvo un crecimiento anual del 2.0% pero disminuciones en el año corrido (-4.8%) y doce meses (-5.0%). Por otro lado, el cemento Empacado mostró un notable crecimiento anual del 10.9% y un aumento del 3.7% en el año corrido, aunque una caída del -2.6% en los doce meses.</w:t>
      </w:r>
    </w:p>
    <w:p w14:paraId="1E36D219" w14:textId="77777777" w:rsidR="00652037" w:rsidRPr="00652037" w:rsidRDefault="00652037" w:rsidP="00652037">
      <w:pPr>
        <w:tabs>
          <w:tab w:val="left" w:pos="3720"/>
        </w:tabs>
        <w:spacing w:line="240" w:lineRule="auto"/>
        <w:ind w:left="993" w:right="474"/>
        <w:jc w:val="both"/>
        <w:rPr>
          <w:rFonts w:ascii="Garamond" w:hAnsi="Garamond"/>
          <w:b/>
          <w:sz w:val="24"/>
          <w:szCs w:val="24"/>
        </w:rPr>
      </w:pPr>
      <w:r w:rsidRPr="00652037">
        <w:rPr>
          <w:rFonts w:ascii="Garamond" w:hAnsi="Garamond"/>
          <w:b/>
          <w:sz w:val="24"/>
          <w:szCs w:val="24"/>
        </w:rPr>
        <w:t>Estadísticas de Concreto Premezclado (EC)</w:t>
      </w:r>
    </w:p>
    <w:p w14:paraId="46708642" w14:textId="2D95D1A3"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En abril de 2025, la producción de concreto premezclado fue de 592,9 miles de metros cúbicos, lo que significó una disminución del 12,9% frente al mismo mes de 2024, en el que se produjeron 681,0 miles de metros cúbicos.</w:t>
      </w:r>
    </w:p>
    <w:p w14:paraId="679827B0" w14:textId="53378418" w:rsidR="00652037" w:rsidRDefault="00652037" w:rsidP="00652037">
      <w:pPr>
        <w:tabs>
          <w:tab w:val="left" w:pos="3720"/>
        </w:tabs>
        <w:spacing w:line="240" w:lineRule="auto"/>
        <w:ind w:left="993" w:right="474"/>
        <w:jc w:val="both"/>
        <w:rPr>
          <w:rFonts w:ascii="Garamond" w:hAnsi="Garamond"/>
          <w:sz w:val="24"/>
          <w:szCs w:val="24"/>
        </w:rPr>
      </w:pPr>
    </w:p>
    <w:p w14:paraId="13D381E9" w14:textId="342B7E6B" w:rsidR="00652037" w:rsidRDefault="00652037" w:rsidP="00652037">
      <w:pPr>
        <w:tabs>
          <w:tab w:val="left" w:pos="3720"/>
        </w:tabs>
        <w:spacing w:line="240" w:lineRule="auto"/>
        <w:ind w:left="993" w:right="474"/>
        <w:jc w:val="both"/>
        <w:rPr>
          <w:rFonts w:ascii="Garamond" w:hAnsi="Garamond"/>
          <w:sz w:val="24"/>
          <w:szCs w:val="24"/>
        </w:rPr>
      </w:pPr>
    </w:p>
    <w:p w14:paraId="3092A244" w14:textId="381F8DF5" w:rsidR="00652037" w:rsidRPr="00652037" w:rsidRDefault="00652037" w:rsidP="00652037">
      <w:pPr>
        <w:tabs>
          <w:tab w:val="left" w:pos="3720"/>
        </w:tabs>
        <w:spacing w:line="240" w:lineRule="auto"/>
        <w:ind w:left="993" w:right="474"/>
        <w:jc w:val="center"/>
        <w:rPr>
          <w:rFonts w:ascii="Garamond" w:hAnsi="Garamond"/>
        </w:rPr>
      </w:pPr>
      <w:r w:rsidRPr="00652037">
        <w:rPr>
          <w:rFonts w:ascii="Garamond" w:hAnsi="Garamond"/>
        </w:rPr>
        <w:lastRenderedPageBreak/>
        <w:t>Variación anual, año corrido y doce meses de la producción de concreto premezclado Total nacional - abril 2025 p</w:t>
      </w:r>
    </w:p>
    <w:p w14:paraId="4FAD1604" w14:textId="7E48D727"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noProof/>
          <w:sz w:val="24"/>
          <w:szCs w:val="24"/>
          <w:lang w:eastAsia="es-CO"/>
        </w:rPr>
        <w:drawing>
          <wp:inline distT="0" distB="0" distL="0" distR="0" wp14:anchorId="4B72DCAB" wp14:editId="01777A32">
            <wp:extent cx="6163293" cy="1809750"/>
            <wp:effectExtent l="0" t="0" r="9525" b="0"/>
            <wp:docPr id="1125603597" name="Imagen 112560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68602" cy="1811309"/>
                    </a:xfrm>
                    <a:prstGeom prst="rect">
                      <a:avLst/>
                    </a:prstGeom>
                  </pic:spPr>
                </pic:pic>
              </a:graphicData>
            </a:graphic>
          </wp:inline>
        </w:drawing>
      </w:r>
    </w:p>
    <w:p w14:paraId="4953C258" w14:textId="77777777" w:rsidR="00652037" w:rsidRDefault="00652037" w:rsidP="00652037">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5FD57773" w14:textId="77777777" w:rsidR="00652037" w:rsidRP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En el sector de Vivienda, la producción de concreto premezclado experimentó una disminución significativa. En abril de 2024, se produjeron 407.0 miles de metros cúbicos, mientras que en abril de 2025, esta cifra descendió a 356.4 miles de metros cúbicos. Esto representa una reducción de 50.6 miles de metros cúbicos, lo que sugiere una menor actividad en la construcción de viviendas. Las Obras Civiles también mostraron una reducción en la demanda de concreto premezclado. De 154.9 miles de metros cúbicos en abril de 2024, la producción bajó a 137.1 miles de metros cúbicos en abril de 2025, lo que implica un descenso de 17.8 miles de metros cúbicos.</w:t>
      </w:r>
    </w:p>
    <w:p w14:paraId="2EEF2A67" w14:textId="1B545FE8"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En el segmento de Edificaciones, la tendencia es similar, con una disminución en la producción de concreto premezclado. En abril de 2024, se registraron 104.4 miles de metros cúbicos, cayendo a 89.3 miles de metros cúbicos en abril de 2025. Esta reducción de 15.1 miles de metros cúbicos indica una menor actividad en la construcción de edificaciones no residenciales.</w:t>
      </w:r>
    </w:p>
    <w:p w14:paraId="277942E5" w14:textId="170107AE" w:rsidR="00652037" w:rsidRDefault="00652037" w:rsidP="004E682F">
      <w:pPr>
        <w:tabs>
          <w:tab w:val="left" w:pos="3720"/>
        </w:tabs>
        <w:spacing w:line="240" w:lineRule="auto"/>
        <w:ind w:left="993" w:right="474"/>
        <w:jc w:val="center"/>
        <w:rPr>
          <w:rFonts w:ascii="Garamond" w:hAnsi="Garamond"/>
          <w:sz w:val="24"/>
          <w:szCs w:val="24"/>
        </w:rPr>
      </w:pPr>
      <w:r w:rsidRPr="00652037">
        <w:rPr>
          <w:rFonts w:ascii="Garamond" w:hAnsi="Garamond"/>
        </w:rPr>
        <w:t>Producción de concreto premezclado según destinos (miles de metros cúbicos) Total nacional Abril (2024-2025p)</w:t>
      </w:r>
      <w:r w:rsidRPr="00652037">
        <w:rPr>
          <w:rFonts w:ascii="Garamond" w:hAnsi="Garamond"/>
          <w:noProof/>
          <w:sz w:val="24"/>
          <w:szCs w:val="24"/>
          <w:lang w:eastAsia="es-CO"/>
        </w:rPr>
        <w:drawing>
          <wp:inline distT="0" distB="0" distL="0" distR="0" wp14:anchorId="64E43EE5" wp14:editId="41E72428">
            <wp:extent cx="5593278" cy="2801734"/>
            <wp:effectExtent l="0" t="0" r="7620" b="0"/>
            <wp:docPr id="1125603598" name="Imagen 112560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07315" cy="2808765"/>
                    </a:xfrm>
                    <a:prstGeom prst="rect">
                      <a:avLst/>
                    </a:prstGeom>
                  </pic:spPr>
                </pic:pic>
              </a:graphicData>
            </a:graphic>
          </wp:inline>
        </w:drawing>
      </w:r>
    </w:p>
    <w:p w14:paraId="33953886" w14:textId="77777777" w:rsidR="00652037" w:rsidRDefault="00652037" w:rsidP="00652037">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697BE9E9" w14:textId="77777777" w:rsidR="00652037" w:rsidRP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lastRenderedPageBreak/>
        <w:t>Finalmente, la categoría de Otros*, aunque representa un volumen menor, también experimentó una ligera disminución, pasando de 14.7 miles de metros cúbicos en abril de 2024 a 10.1 miles de metros cúbicos en abril de 2025.</w:t>
      </w:r>
    </w:p>
    <w:p w14:paraId="51C980EF" w14:textId="77777777" w:rsidR="00652037" w:rsidRPr="00652037" w:rsidRDefault="00652037" w:rsidP="00652037">
      <w:pPr>
        <w:tabs>
          <w:tab w:val="left" w:pos="3720"/>
        </w:tabs>
        <w:spacing w:line="240" w:lineRule="auto"/>
        <w:ind w:left="993" w:right="474"/>
        <w:jc w:val="both"/>
        <w:rPr>
          <w:rFonts w:ascii="Garamond" w:hAnsi="Garamond"/>
          <w:b/>
          <w:sz w:val="24"/>
          <w:szCs w:val="24"/>
        </w:rPr>
      </w:pPr>
      <w:r w:rsidRPr="00652037">
        <w:rPr>
          <w:rFonts w:ascii="Garamond" w:hAnsi="Garamond"/>
          <w:b/>
          <w:sz w:val="24"/>
          <w:szCs w:val="24"/>
        </w:rPr>
        <w:t>RESULTADOS GENERALES.</w:t>
      </w:r>
    </w:p>
    <w:p w14:paraId="3A64433E" w14:textId="77777777" w:rsidR="00652037" w:rsidRP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Resultados anuales (abril 2025p / abril 2024).</w:t>
      </w:r>
    </w:p>
    <w:p w14:paraId="3CE35CB1" w14:textId="33746303"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En abril de 2025, la producción de concreto premezclado fue de 592,9 miles de metros cúbicos, lo que significó una disminución del 12,9% frente al mismo mes de 2024, en el que se produjeron 681,0 miles de metros cúbicos.</w:t>
      </w:r>
    </w:p>
    <w:p w14:paraId="1D79D97A" w14:textId="3C2342AE" w:rsidR="00652037" w:rsidRPr="00652037" w:rsidRDefault="00652037" w:rsidP="00652037">
      <w:pPr>
        <w:tabs>
          <w:tab w:val="left" w:pos="3720"/>
        </w:tabs>
        <w:spacing w:line="240" w:lineRule="auto"/>
        <w:ind w:left="993" w:right="474"/>
        <w:jc w:val="center"/>
        <w:rPr>
          <w:rFonts w:ascii="Garamond" w:hAnsi="Garamond"/>
        </w:rPr>
      </w:pPr>
      <w:r w:rsidRPr="00652037">
        <w:rPr>
          <w:rFonts w:ascii="Garamond" w:hAnsi="Garamond"/>
        </w:rPr>
        <w:t>Producción de concreto premezclado (miles de metros cúbicos y variación anual) Total nacional Enero 2023 – abril 2025p</w:t>
      </w:r>
    </w:p>
    <w:p w14:paraId="12E1CD81" w14:textId="51302C39"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noProof/>
          <w:sz w:val="24"/>
          <w:szCs w:val="24"/>
          <w:lang w:eastAsia="es-CO"/>
        </w:rPr>
        <w:drawing>
          <wp:inline distT="0" distB="0" distL="0" distR="0" wp14:anchorId="401D5AA1" wp14:editId="7850BED0">
            <wp:extent cx="6103917" cy="2001320"/>
            <wp:effectExtent l="0" t="0" r="0" b="0"/>
            <wp:docPr id="1125603599" name="Imagen 112560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119399" cy="2006396"/>
                    </a:xfrm>
                    <a:prstGeom prst="rect">
                      <a:avLst/>
                    </a:prstGeom>
                  </pic:spPr>
                </pic:pic>
              </a:graphicData>
            </a:graphic>
          </wp:inline>
        </w:drawing>
      </w:r>
    </w:p>
    <w:p w14:paraId="4C36459F" w14:textId="77777777" w:rsidR="00652037" w:rsidRDefault="00652037" w:rsidP="00652037">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038C67C4" w14:textId="77777777" w:rsidR="00652037" w:rsidRP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En lo corrido del año, la producción de concreto premezclado alcanzó los 2.313,4 miles de metros cúbicos, con una variación de -8,3% en comparación con lo registrado en el período enero – abril de 2024, en el que se produjeron 2.524,1 miles de metros cúbicos.</w:t>
      </w:r>
    </w:p>
    <w:p w14:paraId="49CF0158" w14:textId="022F9037"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Producción y variación anual</w:t>
      </w:r>
    </w:p>
    <w:p w14:paraId="75BC3E75" w14:textId="4B11100F"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La variación anual de -12,9% en la producción del concreto premezclado para abril de 2025 comparado con el mismo mes de 2024, se explicó principalmente por el decrecimiento presentado en el destino Vivienda (-12,4%), el cual restó 7,4 puntos porcentuales a la variación total.</w:t>
      </w:r>
    </w:p>
    <w:p w14:paraId="646509B3" w14:textId="77777777" w:rsidR="00652037" w:rsidRDefault="00652037" w:rsidP="00652037">
      <w:pPr>
        <w:tabs>
          <w:tab w:val="left" w:pos="3720"/>
        </w:tabs>
        <w:spacing w:line="240" w:lineRule="auto"/>
        <w:ind w:left="993" w:right="474"/>
        <w:jc w:val="center"/>
        <w:rPr>
          <w:rFonts w:ascii="Garamond" w:hAnsi="Garamond"/>
        </w:rPr>
      </w:pPr>
    </w:p>
    <w:p w14:paraId="7E49811E" w14:textId="77777777" w:rsidR="00652037" w:rsidRDefault="00652037" w:rsidP="00652037">
      <w:pPr>
        <w:tabs>
          <w:tab w:val="left" w:pos="3720"/>
        </w:tabs>
        <w:spacing w:line="240" w:lineRule="auto"/>
        <w:ind w:left="993" w:right="474"/>
        <w:jc w:val="center"/>
        <w:rPr>
          <w:rFonts w:ascii="Garamond" w:hAnsi="Garamond"/>
        </w:rPr>
      </w:pPr>
    </w:p>
    <w:p w14:paraId="3527B889" w14:textId="77777777" w:rsidR="00652037" w:rsidRDefault="00652037" w:rsidP="00652037">
      <w:pPr>
        <w:tabs>
          <w:tab w:val="left" w:pos="3720"/>
        </w:tabs>
        <w:spacing w:line="240" w:lineRule="auto"/>
        <w:ind w:left="993" w:right="474"/>
        <w:jc w:val="center"/>
        <w:rPr>
          <w:rFonts w:ascii="Garamond" w:hAnsi="Garamond"/>
        </w:rPr>
      </w:pPr>
    </w:p>
    <w:p w14:paraId="3E732CB8" w14:textId="77777777" w:rsidR="00652037" w:rsidRDefault="00652037" w:rsidP="00652037">
      <w:pPr>
        <w:tabs>
          <w:tab w:val="left" w:pos="3720"/>
        </w:tabs>
        <w:spacing w:line="240" w:lineRule="auto"/>
        <w:ind w:left="993" w:right="474"/>
        <w:jc w:val="center"/>
        <w:rPr>
          <w:rFonts w:ascii="Garamond" w:hAnsi="Garamond"/>
        </w:rPr>
      </w:pPr>
    </w:p>
    <w:p w14:paraId="5CF8B10C" w14:textId="77777777" w:rsidR="00652037" w:rsidRDefault="00652037" w:rsidP="00652037">
      <w:pPr>
        <w:tabs>
          <w:tab w:val="left" w:pos="3720"/>
        </w:tabs>
        <w:spacing w:line="240" w:lineRule="auto"/>
        <w:ind w:left="993" w:right="474"/>
        <w:jc w:val="center"/>
        <w:rPr>
          <w:rFonts w:ascii="Garamond" w:hAnsi="Garamond"/>
        </w:rPr>
      </w:pPr>
    </w:p>
    <w:p w14:paraId="45E95277" w14:textId="77777777" w:rsidR="00652037" w:rsidRDefault="00652037" w:rsidP="00652037">
      <w:pPr>
        <w:tabs>
          <w:tab w:val="left" w:pos="3720"/>
        </w:tabs>
        <w:spacing w:line="240" w:lineRule="auto"/>
        <w:ind w:left="993" w:right="474"/>
        <w:jc w:val="center"/>
        <w:rPr>
          <w:rFonts w:ascii="Garamond" w:hAnsi="Garamond"/>
        </w:rPr>
      </w:pPr>
    </w:p>
    <w:p w14:paraId="5754D46D" w14:textId="77777777" w:rsidR="00652037" w:rsidRDefault="00652037" w:rsidP="00652037">
      <w:pPr>
        <w:tabs>
          <w:tab w:val="left" w:pos="3720"/>
        </w:tabs>
        <w:spacing w:line="240" w:lineRule="auto"/>
        <w:ind w:left="993" w:right="474"/>
        <w:jc w:val="center"/>
        <w:rPr>
          <w:rFonts w:ascii="Garamond" w:hAnsi="Garamond"/>
        </w:rPr>
      </w:pPr>
    </w:p>
    <w:p w14:paraId="27E44075" w14:textId="77777777" w:rsidR="00652037" w:rsidRDefault="00652037" w:rsidP="00652037">
      <w:pPr>
        <w:tabs>
          <w:tab w:val="left" w:pos="3720"/>
        </w:tabs>
        <w:spacing w:line="240" w:lineRule="auto"/>
        <w:ind w:left="993" w:right="474"/>
        <w:jc w:val="center"/>
        <w:rPr>
          <w:rFonts w:ascii="Garamond" w:hAnsi="Garamond"/>
        </w:rPr>
      </w:pPr>
    </w:p>
    <w:p w14:paraId="08C4CE15" w14:textId="77777777" w:rsidR="00652037" w:rsidRDefault="00652037" w:rsidP="00652037">
      <w:pPr>
        <w:tabs>
          <w:tab w:val="left" w:pos="3720"/>
        </w:tabs>
        <w:spacing w:line="240" w:lineRule="auto"/>
        <w:ind w:left="993" w:right="474"/>
        <w:jc w:val="center"/>
        <w:rPr>
          <w:rFonts w:ascii="Garamond" w:hAnsi="Garamond"/>
        </w:rPr>
      </w:pPr>
    </w:p>
    <w:p w14:paraId="2741DE31" w14:textId="28FB26A3" w:rsidR="00652037" w:rsidRPr="00652037" w:rsidRDefault="00652037" w:rsidP="00652037">
      <w:pPr>
        <w:tabs>
          <w:tab w:val="left" w:pos="3720"/>
        </w:tabs>
        <w:spacing w:line="240" w:lineRule="auto"/>
        <w:ind w:left="993" w:right="474"/>
        <w:jc w:val="center"/>
        <w:rPr>
          <w:rFonts w:ascii="Garamond" w:hAnsi="Garamond"/>
        </w:rPr>
      </w:pPr>
      <w:r w:rsidRPr="00652037">
        <w:rPr>
          <w:rFonts w:ascii="Garamond" w:hAnsi="Garamond"/>
        </w:rPr>
        <w:lastRenderedPageBreak/>
        <w:t>Producción, variación, contribución y participación anual de concreto premezclado según destino, tipo de vivienda y grupos de obra (miles de metros cúbicos, variación porcentual y contribución) Total nacional Abril (2025p / 2024)</w:t>
      </w:r>
    </w:p>
    <w:p w14:paraId="576FA28B" w14:textId="105E1266" w:rsidR="00652037" w:rsidRDefault="00652037" w:rsidP="002A4BF2">
      <w:pPr>
        <w:tabs>
          <w:tab w:val="left" w:pos="3720"/>
        </w:tabs>
        <w:spacing w:line="240" w:lineRule="auto"/>
        <w:ind w:left="993" w:right="474"/>
        <w:jc w:val="both"/>
        <w:rPr>
          <w:rFonts w:ascii="Garamond" w:hAnsi="Garamond"/>
          <w:sz w:val="24"/>
          <w:szCs w:val="24"/>
        </w:rPr>
      </w:pPr>
      <w:r w:rsidRPr="00652037">
        <w:rPr>
          <w:rFonts w:ascii="Garamond" w:hAnsi="Garamond"/>
          <w:noProof/>
          <w:sz w:val="24"/>
          <w:szCs w:val="24"/>
          <w:lang w:eastAsia="es-CO"/>
        </w:rPr>
        <w:drawing>
          <wp:inline distT="0" distB="0" distL="0" distR="0" wp14:anchorId="03F48A22" wp14:editId="2795251B">
            <wp:extent cx="6198919" cy="2602230"/>
            <wp:effectExtent l="0" t="0" r="0" b="7620"/>
            <wp:docPr id="1125603600" name="Imagen 112560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203070" cy="2603973"/>
                    </a:xfrm>
                    <a:prstGeom prst="rect">
                      <a:avLst/>
                    </a:prstGeom>
                  </pic:spPr>
                </pic:pic>
              </a:graphicData>
            </a:graphic>
          </wp:inline>
        </w:drawing>
      </w:r>
    </w:p>
    <w:p w14:paraId="54FAFCD8" w14:textId="77777777" w:rsidR="00652037" w:rsidRDefault="00652037" w:rsidP="00652037">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6EFFE2BF" w14:textId="41258AA1" w:rsidR="00652037" w:rsidRDefault="00652037" w:rsidP="002A4BF2">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En abril de 2025 comparado con el mismo mes del año anterior, la disminución de -12,4% en la producción de concreto premezclado para el destino Vivienda, obedece al decrecimiento de 20,3% en la vivienda VIS y de 4,8% en la vivienda No VIS. La producción de concreto premezclado para el destino Obras Civiles presentó una variación de -11,5%, explicado principalmente por el decrecimiento en el grupo de obra 530201 (9,3%) Carreteras, calles, vías férreas y pistas de aterrizaje, puentes, carreteras elevadas y túneles, el cual resto 1,5 puntos porcentuales a la variación total.</w:t>
      </w:r>
    </w:p>
    <w:p w14:paraId="646FAD38" w14:textId="77777777" w:rsidR="00652037" w:rsidRPr="00652037" w:rsidRDefault="00652037" w:rsidP="00652037">
      <w:pPr>
        <w:tabs>
          <w:tab w:val="left" w:pos="3720"/>
        </w:tabs>
        <w:spacing w:line="240" w:lineRule="auto"/>
        <w:ind w:left="993" w:right="474"/>
        <w:jc w:val="both"/>
        <w:rPr>
          <w:rFonts w:ascii="Garamond" w:hAnsi="Garamond"/>
          <w:b/>
          <w:sz w:val="24"/>
          <w:szCs w:val="24"/>
        </w:rPr>
      </w:pPr>
      <w:r w:rsidRPr="00652037">
        <w:rPr>
          <w:rFonts w:ascii="Garamond" w:hAnsi="Garamond"/>
          <w:b/>
          <w:sz w:val="24"/>
          <w:szCs w:val="24"/>
        </w:rPr>
        <w:t>Indicador de Mezcla Asfáltica (IMA)</w:t>
      </w:r>
    </w:p>
    <w:p w14:paraId="54E98FAD" w14:textId="14FD2493"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El gráfico de barras ilustra las variaciones porcentuales del Indicador de Mezcla Asfáltica (IMA) para la producción y los despachos, comparando diferentes períodos: anual (abril 2025 vs. abril 2024), año corrido (enero-abril 2025 vs. enero-abril 2024) y doce meses (mayo 2024-abril 2025 vs. mayo 2023-abril 2024). En lo que respecta a la producción de mezcla asfáltica, se observa un ligero aumento del 0.4% en la comparación anual (abril de 2025 frente a abril de 2024), lo que sugiere un modesto repunte reciente. Sin embargo, al analizar periodos más amplios, la tendencia es negativa. La variación en el año corrido (acumulado de enero a abril de 2025) muestra una disminución del -3.9% en comparación con el mismo lapso del año anterior. La contracción es aún más pronunciada en el periodo de doce meses, donde la producción experimentó una caída significativa del -17.9%.</w:t>
      </w:r>
    </w:p>
    <w:p w14:paraId="4E70E50E" w14:textId="5C103921" w:rsidR="00652037" w:rsidRDefault="00652037" w:rsidP="00652037">
      <w:pPr>
        <w:tabs>
          <w:tab w:val="left" w:pos="3720"/>
        </w:tabs>
        <w:spacing w:line="240" w:lineRule="auto"/>
        <w:ind w:left="993" w:right="474"/>
        <w:jc w:val="both"/>
        <w:rPr>
          <w:rFonts w:ascii="Garamond" w:hAnsi="Garamond"/>
          <w:sz w:val="24"/>
          <w:szCs w:val="24"/>
        </w:rPr>
      </w:pPr>
    </w:p>
    <w:p w14:paraId="756C882B" w14:textId="5FB0CA03" w:rsidR="00652037" w:rsidRDefault="00652037" w:rsidP="00652037">
      <w:pPr>
        <w:tabs>
          <w:tab w:val="left" w:pos="3720"/>
        </w:tabs>
        <w:spacing w:line="240" w:lineRule="auto"/>
        <w:ind w:left="993" w:right="474"/>
        <w:jc w:val="both"/>
        <w:rPr>
          <w:rFonts w:ascii="Garamond" w:hAnsi="Garamond"/>
          <w:sz w:val="24"/>
          <w:szCs w:val="24"/>
        </w:rPr>
      </w:pPr>
    </w:p>
    <w:p w14:paraId="1C42C09D" w14:textId="47E4139D" w:rsidR="00652037" w:rsidRDefault="00652037" w:rsidP="00652037">
      <w:pPr>
        <w:tabs>
          <w:tab w:val="left" w:pos="3720"/>
        </w:tabs>
        <w:spacing w:line="240" w:lineRule="auto"/>
        <w:ind w:left="993" w:right="474"/>
        <w:jc w:val="both"/>
        <w:rPr>
          <w:rFonts w:ascii="Garamond" w:hAnsi="Garamond"/>
          <w:sz w:val="24"/>
          <w:szCs w:val="24"/>
        </w:rPr>
      </w:pPr>
    </w:p>
    <w:p w14:paraId="13D139F1" w14:textId="5CA8861A" w:rsidR="00652037" w:rsidRDefault="00652037" w:rsidP="00652037">
      <w:pPr>
        <w:tabs>
          <w:tab w:val="left" w:pos="3720"/>
        </w:tabs>
        <w:spacing w:line="240" w:lineRule="auto"/>
        <w:ind w:left="993" w:right="474"/>
        <w:jc w:val="both"/>
        <w:rPr>
          <w:rFonts w:ascii="Garamond" w:hAnsi="Garamond"/>
          <w:sz w:val="24"/>
          <w:szCs w:val="24"/>
        </w:rPr>
      </w:pPr>
    </w:p>
    <w:p w14:paraId="482D6C16" w14:textId="77777777" w:rsidR="00652037" w:rsidRDefault="00652037" w:rsidP="00652037">
      <w:pPr>
        <w:tabs>
          <w:tab w:val="left" w:pos="3720"/>
        </w:tabs>
        <w:spacing w:line="240" w:lineRule="auto"/>
        <w:ind w:left="993" w:right="474"/>
        <w:jc w:val="both"/>
        <w:rPr>
          <w:rFonts w:ascii="Garamond" w:hAnsi="Garamond"/>
          <w:sz w:val="24"/>
          <w:szCs w:val="24"/>
        </w:rPr>
      </w:pPr>
    </w:p>
    <w:p w14:paraId="032E16C7" w14:textId="2F07448A" w:rsidR="00652037" w:rsidRPr="00652037" w:rsidRDefault="00652037" w:rsidP="00652037">
      <w:pPr>
        <w:tabs>
          <w:tab w:val="left" w:pos="3720"/>
        </w:tabs>
        <w:spacing w:line="240" w:lineRule="auto"/>
        <w:ind w:left="993" w:right="474"/>
        <w:jc w:val="center"/>
        <w:rPr>
          <w:rFonts w:ascii="Garamond" w:hAnsi="Garamond"/>
        </w:rPr>
      </w:pPr>
      <w:r w:rsidRPr="00652037">
        <w:rPr>
          <w:rFonts w:ascii="Garamond" w:hAnsi="Garamond"/>
        </w:rPr>
        <w:lastRenderedPageBreak/>
        <w:t>Variación anual, año corrido y doce meses de la producción y los despachos Abril (2025 / 2024)pr</w:t>
      </w:r>
    </w:p>
    <w:p w14:paraId="3B2C32B2" w14:textId="0E6C5E19" w:rsidR="00652037" w:rsidRDefault="00652037" w:rsidP="002A4BF2">
      <w:pPr>
        <w:tabs>
          <w:tab w:val="left" w:pos="3720"/>
        </w:tabs>
        <w:spacing w:line="240" w:lineRule="auto"/>
        <w:ind w:left="993" w:right="474"/>
        <w:jc w:val="both"/>
        <w:rPr>
          <w:rFonts w:ascii="Garamond" w:hAnsi="Garamond"/>
          <w:sz w:val="24"/>
          <w:szCs w:val="24"/>
        </w:rPr>
      </w:pPr>
      <w:r w:rsidRPr="00652037">
        <w:rPr>
          <w:rFonts w:ascii="Garamond" w:hAnsi="Garamond"/>
          <w:noProof/>
          <w:sz w:val="24"/>
          <w:szCs w:val="24"/>
          <w:lang w:eastAsia="es-CO"/>
        </w:rPr>
        <w:drawing>
          <wp:inline distT="0" distB="0" distL="0" distR="0" wp14:anchorId="6E62A9DD" wp14:editId="5A1B79BF">
            <wp:extent cx="5506218" cy="2057687"/>
            <wp:effectExtent l="0" t="0" r="0" b="0"/>
            <wp:docPr id="1125603601" name="Imagen 112560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506218" cy="2057687"/>
                    </a:xfrm>
                    <a:prstGeom prst="rect">
                      <a:avLst/>
                    </a:prstGeom>
                  </pic:spPr>
                </pic:pic>
              </a:graphicData>
            </a:graphic>
          </wp:inline>
        </w:drawing>
      </w:r>
    </w:p>
    <w:p w14:paraId="11985D44" w14:textId="77777777" w:rsidR="00652037" w:rsidRDefault="00652037" w:rsidP="00652037">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58268685" w14:textId="77777777" w:rsidR="00652037" w:rsidRP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Para los despachos de mezcla asfáltica, el comportamiento es idéntico al de la producción. En la variación anual, los despachos también registraron un incremento marginal del 0.4% en abril de 2025 en comparación con abril de 2024. No obstante, al igual que la producción, los despachos acumulados en el año corrido (enero-abril de 2025) disminuyeron un -3.9% respecto al mismo período de 2024. La caída más drástica se observa en el análisis de los doce meses, con una reducción del -17.9%.</w:t>
      </w:r>
    </w:p>
    <w:p w14:paraId="59038644" w14:textId="77777777" w:rsidR="00652037" w:rsidRP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Producción de mezcla asfáltica, según tipo de mezcla</w:t>
      </w:r>
    </w:p>
    <w:p w14:paraId="394DE9EF" w14:textId="7742B265" w:rsidR="00652037" w:rsidRDefault="00652037" w:rsidP="00652037">
      <w:pPr>
        <w:tabs>
          <w:tab w:val="left" w:pos="3720"/>
        </w:tabs>
        <w:spacing w:line="240" w:lineRule="auto"/>
        <w:ind w:left="993" w:right="474"/>
        <w:jc w:val="both"/>
        <w:rPr>
          <w:rFonts w:ascii="Garamond" w:hAnsi="Garamond"/>
          <w:sz w:val="24"/>
          <w:szCs w:val="24"/>
        </w:rPr>
      </w:pPr>
      <w:r w:rsidRPr="00652037">
        <w:rPr>
          <w:rFonts w:ascii="Garamond" w:hAnsi="Garamond"/>
          <w:sz w:val="24"/>
          <w:szCs w:val="24"/>
        </w:rPr>
        <w:t>En abril de 2025 comparado con el mismo mes de 2024, el resultado de la variación positiva de la producción de mezcla asfáltica se explica según tipo de mezcla, por el aumento de las mezclas asfálticas semidensas que registro una variación positiva de 30,3% sumando 8,2 puntos porcentuales a la variación total. Por otra parte, la mezcla asfáltica densa registra una variación negativa de 15,0% restando 10,7 puntos porcentuales a la variación total y las mezclas asfálticas de categoría Otras1 registraron una variación positiva de 249,9% sumando 3,4 puntos a la variación anual de la producción total (0,8%).</w:t>
      </w:r>
    </w:p>
    <w:p w14:paraId="0FD677B5" w14:textId="49A8E726" w:rsidR="00652037" w:rsidRPr="00652037" w:rsidRDefault="00652037" w:rsidP="00652037">
      <w:pPr>
        <w:tabs>
          <w:tab w:val="left" w:pos="3720"/>
        </w:tabs>
        <w:spacing w:line="240" w:lineRule="auto"/>
        <w:ind w:left="993" w:right="474"/>
        <w:jc w:val="center"/>
        <w:rPr>
          <w:rFonts w:ascii="Garamond" w:hAnsi="Garamond"/>
        </w:rPr>
      </w:pPr>
      <w:r w:rsidRPr="00652037">
        <w:rPr>
          <w:rFonts w:ascii="Garamond" w:hAnsi="Garamond"/>
        </w:rPr>
        <w:t>Variación y contribución anual de la producción de mezcla asfáltica, según tipo de mezcla Total nacional Abril 2025Pr / 2024Pr</w:t>
      </w:r>
    </w:p>
    <w:p w14:paraId="7273A434" w14:textId="1E6EF77B" w:rsidR="00652037" w:rsidRDefault="003B4F74" w:rsidP="002A4BF2">
      <w:pPr>
        <w:tabs>
          <w:tab w:val="left" w:pos="3720"/>
        </w:tabs>
        <w:spacing w:line="240" w:lineRule="auto"/>
        <w:ind w:left="993" w:right="474"/>
        <w:jc w:val="both"/>
        <w:rPr>
          <w:rFonts w:ascii="Garamond" w:hAnsi="Garamond"/>
          <w:sz w:val="24"/>
          <w:szCs w:val="24"/>
        </w:rPr>
      </w:pPr>
      <w:r w:rsidRPr="003B4F74">
        <w:rPr>
          <w:rFonts w:ascii="Garamond" w:hAnsi="Garamond"/>
          <w:noProof/>
          <w:sz w:val="24"/>
          <w:szCs w:val="24"/>
          <w:lang w:eastAsia="es-CO"/>
        </w:rPr>
        <w:drawing>
          <wp:inline distT="0" distB="0" distL="0" distR="0" wp14:anchorId="2218DD03" wp14:editId="2EE37FD4">
            <wp:extent cx="6411220" cy="1867161"/>
            <wp:effectExtent l="0" t="0" r="0" b="0"/>
            <wp:docPr id="1125603602" name="Imagen 112560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411220" cy="1867161"/>
                    </a:xfrm>
                    <a:prstGeom prst="rect">
                      <a:avLst/>
                    </a:prstGeom>
                  </pic:spPr>
                </pic:pic>
              </a:graphicData>
            </a:graphic>
          </wp:inline>
        </w:drawing>
      </w:r>
    </w:p>
    <w:p w14:paraId="43B539A4" w14:textId="77777777" w:rsidR="003B4F74" w:rsidRDefault="003B4F74" w:rsidP="003B4F74">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7C5A7E0B" w14:textId="77777777" w:rsidR="003B4F74" w:rsidRDefault="003B4F74" w:rsidP="003B4F74">
      <w:pPr>
        <w:tabs>
          <w:tab w:val="left" w:pos="3720"/>
        </w:tabs>
        <w:spacing w:line="240" w:lineRule="auto"/>
        <w:ind w:left="993" w:right="474"/>
        <w:jc w:val="both"/>
        <w:rPr>
          <w:rFonts w:ascii="Garamond" w:hAnsi="Garamond"/>
          <w:sz w:val="24"/>
          <w:szCs w:val="24"/>
        </w:rPr>
      </w:pPr>
    </w:p>
    <w:p w14:paraId="4B19A823" w14:textId="5E6C5089" w:rsidR="003B4F74" w:rsidRPr="003B4F74" w:rsidRDefault="003B4F74" w:rsidP="003B4F74">
      <w:pPr>
        <w:tabs>
          <w:tab w:val="left" w:pos="3720"/>
        </w:tabs>
        <w:spacing w:line="240" w:lineRule="auto"/>
        <w:ind w:left="993" w:right="474"/>
        <w:jc w:val="both"/>
        <w:rPr>
          <w:rFonts w:ascii="Garamond" w:hAnsi="Garamond"/>
          <w:sz w:val="24"/>
          <w:szCs w:val="24"/>
        </w:rPr>
      </w:pPr>
      <w:r w:rsidRPr="003B4F74">
        <w:rPr>
          <w:rFonts w:ascii="Garamond" w:hAnsi="Garamond"/>
          <w:sz w:val="24"/>
          <w:szCs w:val="24"/>
        </w:rPr>
        <w:lastRenderedPageBreak/>
        <w:t>Despachos nacionales de mezcla asfáltica.</w:t>
      </w:r>
    </w:p>
    <w:p w14:paraId="619A9EEC" w14:textId="32541311" w:rsidR="003B4F74" w:rsidRDefault="003B4F74" w:rsidP="003B4F74">
      <w:pPr>
        <w:tabs>
          <w:tab w:val="left" w:pos="3720"/>
        </w:tabs>
        <w:spacing w:line="240" w:lineRule="auto"/>
        <w:ind w:left="993" w:right="474"/>
        <w:jc w:val="both"/>
        <w:rPr>
          <w:rFonts w:ascii="Garamond" w:hAnsi="Garamond"/>
          <w:sz w:val="24"/>
          <w:szCs w:val="24"/>
        </w:rPr>
      </w:pPr>
      <w:r w:rsidRPr="003B4F74">
        <w:rPr>
          <w:rFonts w:ascii="Garamond" w:hAnsi="Garamond"/>
          <w:sz w:val="24"/>
          <w:szCs w:val="24"/>
        </w:rPr>
        <w:t>En abril de 2025 frente al mismo mes de 2024, los despachos nacionales de mezcla asfáltica registraron una variación positiva de 0,9%, este resultado se explica principalmente por el aumento en los despachos de infraestructura vial urbana, que registraron una variación de 3,9% sumando 1,4 puntos porcentuales a la variación total. Los despachos a diferentes destinos de uso agrupados en la categoría Otros presentaron mayores despachos con relación al mismo mes de 2024 con una variación positiva de 6,1% sumando 0,2 puntos porcentuales a la variación total. Por último, la infraestructura vial interurbana registró una variación de -1,3% restando 0,8 puntos porcentuales a la variación anual de los despachos nacionales (0,9%).</w:t>
      </w:r>
    </w:p>
    <w:p w14:paraId="505E10BE" w14:textId="2CFCC495" w:rsidR="003B4F74" w:rsidRPr="003B4F74" w:rsidRDefault="003B4F74" w:rsidP="003B4F74">
      <w:pPr>
        <w:tabs>
          <w:tab w:val="left" w:pos="3720"/>
        </w:tabs>
        <w:spacing w:line="240" w:lineRule="auto"/>
        <w:ind w:left="993" w:right="474"/>
        <w:jc w:val="center"/>
        <w:rPr>
          <w:rFonts w:ascii="Garamond" w:hAnsi="Garamond"/>
        </w:rPr>
      </w:pPr>
      <w:r w:rsidRPr="003B4F74">
        <w:rPr>
          <w:rFonts w:ascii="Garamond" w:hAnsi="Garamond"/>
        </w:rPr>
        <w:t>Variación y contribución anual de los despachos de mezcla asfáltica, según destino de uso Total nacional Abril 2025Pr / 2024 Pr</w:t>
      </w:r>
    </w:p>
    <w:p w14:paraId="780E627D" w14:textId="6D1746BE" w:rsidR="003B4F74" w:rsidRDefault="003B4F74" w:rsidP="002A4BF2">
      <w:pPr>
        <w:tabs>
          <w:tab w:val="left" w:pos="3720"/>
        </w:tabs>
        <w:spacing w:line="240" w:lineRule="auto"/>
        <w:ind w:left="993" w:right="474"/>
        <w:jc w:val="both"/>
        <w:rPr>
          <w:rFonts w:ascii="Garamond" w:hAnsi="Garamond"/>
          <w:sz w:val="24"/>
          <w:szCs w:val="24"/>
        </w:rPr>
      </w:pPr>
      <w:r w:rsidRPr="003B4F74">
        <w:rPr>
          <w:rFonts w:ascii="Garamond" w:hAnsi="Garamond"/>
          <w:noProof/>
          <w:sz w:val="24"/>
          <w:szCs w:val="24"/>
          <w:lang w:eastAsia="es-CO"/>
        </w:rPr>
        <w:drawing>
          <wp:inline distT="0" distB="0" distL="0" distR="0" wp14:anchorId="3101DD90" wp14:editId="12E70B6C">
            <wp:extent cx="5783283" cy="1724025"/>
            <wp:effectExtent l="0" t="0" r="8255" b="0"/>
            <wp:docPr id="1125603603" name="Imagen 112560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87351" cy="1725238"/>
                    </a:xfrm>
                    <a:prstGeom prst="rect">
                      <a:avLst/>
                    </a:prstGeom>
                  </pic:spPr>
                </pic:pic>
              </a:graphicData>
            </a:graphic>
          </wp:inline>
        </w:drawing>
      </w:r>
    </w:p>
    <w:p w14:paraId="4B595391" w14:textId="77777777" w:rsidR="003B4F74" w:rsidRDefault="003B4F74" w:rsidP="003B4F74">
      <w:pPr>
        <w:tabs>
          <w:tab w:val="left" w:pos="3720"/>
        </w:tabs>
        <w:spacing w:line="240" w:lineRule="auto"/>
        <w:ind w:left="993" w:right="474"/>
        <w:jc w:val="center"/>
        <w:rPr>
          <w:rFonts w:ascii="Garamond" w:hAnsi="Garamond"/>
          <w:sz w:val="24"/>
          <w:szCs w:val="24"/>
        </w:rPr>
      </w:pPr>
      <w:r w:rsidRPr="00355E5A">
        <w:rPr>
          <w:rFonts w:ascii="Garamond" w:hAnsi="Garamond"/>
        </w:rPr>
        <w:t>Fuente: DANE (2025)</w:t>
      </w:r>
    </w:p>
    <w:p w14:paraId="320A43B5" w14:textId="77777777" w:rsidR="003B4F74" w:rsidRPr="003B4F74" w:rsidRDefault="003B4F74" w:rsidP="003B4F74">
      <w:pPr>
        <w:tabs>
          <w:tab w:val="left" w:pos="3720"/>
        </w:tabs>
        <w:spacing w:line="240" w:lineRule="auto"/>
        <w:ind w:left="993" w:right="474"/>
        <w:jc w:val="both"/>
        <w:rPr>
          <w:rFonts w:ascii="Garamond" w:hAnsi="Garamond"/>
          <w:b/>
          <w:sz w:val="24"/>
          <w:szCs w:val="24"/>
        </w:rPr>
      </w:pPr>
      <w:r w:rsidRPr="003B4F74">
        <w:rPr>
          <w:rFonts w:ascii="Garamond" w:hAnsi="Garamond"/>
          <w:b/>
          <w:sz w:val="24"/>
          <w:szCs w:val="24"/>
        </w:rPr>
        <w:t>Observatorio de Desarrollo Económico de Bogotá.</w:t>
      </w:r>
    </w:p>
    <w:p w14:paraId="4ED43D69" w14:textId="77777777" w:rsidR="003B4F74" w:rsidRPr="003B4F74" w:rsidRDefault="003B4F74" w:rsidP="003B4F74">
      <w:pPr>
        <w:tabs>
          <w:tab w:val="left" w:pos="3720"/>
        </w:tabs>
        <w:spacing w:line="240" w:lineRule="auto"/>
        <w:ind w:left="993" w:right="474"/>
        <w:jc w:val="both"/>
        <w:rPr>
          <w:rFonts w:ascii="Garamond" w:hAnsi="Garamond"/>
          <w:sz w:val="24"/>
          <w:szCs w:val="24"/>
        </w:rPr>
      </w:pPr>
      <w:r w:rsidRPr="003B4F74">
        <w:rPr>
          <w:rFonts w:ascii="Garamond" w:hAnsi="Garamond"/>
          <w:sz w:val="24"/>
          <w:szCs w:val="24"/>
        </w:rPr>
        <w:t>Observatorio de desarrollo económico de Bogotá presenta un análisis estadístico del personal ocupado en el sector de la construcción e inmobiliario en Bogotá y Colombia durante el trimestre móvil diciembre 2024 - febrero 2025. En Bogotá, el total de ocupados en estos sectores fue de 4.227,5 mil personas, lo que representa un aumento del 3,7 % frente al mismo periodo del año anterior, con una variación absoluta de 152,5 mil personas. Dentro de este grupo, los ocupados en construcción fueron 242,2 mil (8,1 % de crecimiento), mientras que las actividades inmobiliarias sumaron 127 mil ocupados, mostrando un crecimiento significativo del 29,9 %, es decir, 29,3 mil personas adicionales.</w:t>
      </w:r>
    </w:p>
    <w:p w14:paraId="2B6875E7" w14:textId="3F44CA00" w:rsidR="003B4F74" w:rsidRDefault="003B4F74" w:rsidP="003B4F74">
      <w:pPr>
        <w:tabs>
          <w:tab w:val="left" w:pos="3720"/>
        </w:tabs>
        <w:spacing w:line="240" w:lineRule="auto"/>
        <w:ind w:left="993" w:right="474"/>
        <w:jc w:val="both"/>
        <w:rPr>
          <w:rFonts w:ascii="Garamond" w:hAnsi="Garamond"/>
          <w:sz w:val="24"/>
          <w:szCs w:val="24"/>
        </w:rPr>
      </w:pPr>
      <w:r w:rsidRPr="003B4F74">
        <w:rPr>
          <w:rFonts w:ascii="Garamond" w:hAnsi="Garamond"/>
          <w:sz w:val="24"/>
          <w:szCs w:val="24"/>
        </w:rPr>
        <w:t>A nivel nacional, el total de personas ocupadas en estos sectores alcanzó los 11.028 mil, con un crecimiento del 2,9 % respecto al mismo trimestre del año anterior, equivalente a 315,2 mil personas adicionales. El subsector de la construcción concentró 754,2 mil ocupados, un incremento del 10,5 %, mientras que las actividades inmobiliarias registraron 253 mil personas ocupadas, lo que representa un alza del 16,3 %. Estas cifras reflejan una recuperación sostenida del sector, tanto en Bogotá como en el resto del país, con mayor dinamismo en las actividades inmobiliarias en la capital.</w:t>
      </w:r>
    </w:p>
    <w:p w14:paraId="4132E4E9" w14:textId="2A57C15D" w:rsidR="003B4F74" w:rsidRDefault="003B4F74" w:rsidP="002A4BF2">
      <w:pPr>
        <w:tabs>
          <w:tab w:val="left" w:pos="3720"/>
        </w:tabs>
        <w:spacing w:line="240" w:lineRule="auto"/>
        <w:ind w:left="993" w:right="474"/>
        <w:jc w:val="both"/>
        <w:rPr>
          <w:rFonts w:ascii="Garamond" w:hAnsi="Garamond"/>
          <w:sz w:val="24"/>
          <w:szCs w:val="24"/>
        </w:rPr>
      </w:pPr>
      <w:r w:rsidRPr="003B4F74">
        <w:rPr>
          <w:rFonts w:ascii="Garamond" w:hAnsi="Garamond"/>
          <w:sz w:val="24"/>
          <w:szCs w:val="24"/>
        </w:rPr>
        <w:t xml:space="preserve">Los gráficos complementarios muestran la evolución del personal ocupado desde 2020 hasta 2025. En el caso de la construcción, se observa una recuperación gradual después de una caída en 2021, especialmente en Bogotá, donde el crecimiento ha sido sostenido desde 2022. Por su parte, en el sector inmobiliario también se evidencia una tendencia ascendente desde 2021, con un crecimiento más pronunciado en Colombia que en Bogotá. Estos datos consolidan la percepción </w:t>
      </w:r>
      <w:r w:rsidRPr="003B4F74">
        <w:rPr>
          <w:rFonts w:ascii="Garamond" w:hAnsi="Garamond"/>
          <w:sz w:val="24"/>
          <w:szCs w:val="24"/>
        </w:rPr>
        <w:lastRenderedPageBreak/>
        <w:t>de un repunte del empleo en ambos sectores, alineado con los indicadores de recuperación económica post-pandemia.</w:t>
      </w:r>
    </w:p>
    <w:p w14:paraId="2F890776" w14:textId="19BE0EA7" w:rsidR="003B4F74" w:rsidRDefault="003B4F74" w:rsidP="003B4F74">
      <w:pPr>
        <w:tabs>
          <w:tab w:val="left" w:pos="3720"/>
        </w:tabs>
        <w:spacing w:line="240" w:lineRule="auto"/>
        <w:ind w:left="993" w:right="474"/>
        <w:jc w:val="center"/>
        <w:rPr>
          <w:rFonts w:ascii="Garamond" w:hAnsi="Garamond"/>
          <w:sz w:val="24"/>
          <w:szCs w:val="24"/>
        </w:rPr>
      </w:pPr>
      <w:r w:rsidRPr="003B4F74">
        <w:rPr>
          <w:rFonts w:ascii="Garamond" w:hAnsi="Garamond"/>
        </w:rPr>
        <w:t>Gráfico 5. Personal ocupado sector de la construcción.</w:t>
      </w:r>
    </w:p>
    <w:p w14:paraId="32C67D36" w14:textId="7A748A7D" w:rsidR="003B4F74" w:rsidRDefault="003B4F74" w:rsidP="003B4F74">
      <w:pPr>
        <w:tabs>
          <w:tab w:val="left" w:pos="3720"/>
        </w:tabs>
        <w:spacing w:line="240" w:lineRule="auto"/>
        <w:ind w:left="993" w:right="474"/>
        <w:jc w:val="center"/>
        <w:rPr>
          <w:rFonts w:ascii="Garamond" w:hAnsi="Garamond"/>
          <w:sz w:val="24"/>
          <w:szCs w:val="24"/>
        </w:rPr>
      </w:pPr>
      <w:r w:rsidRPr="003B4F74">
        <w:rPr>
          <w:rFonts w:ascii="Garamond" w:hAnsi="Garamond"/>
          <w:noProof/>
          <w:sz w:val="24"/>
          <w:szCs w:val="24"/>
          <w:lang w:eastAsia="es-CO"/>
        </w:rPr>
        <w:drawing>
          <wp:inline distT="0" distB="0" distL="0" distR="0" wp14:anchorId="63F1C8B5" wp14:editId="427CA679">
            <wp:extent cx="5173386" cy="3408218"/>
            <wp:effectExtent l="0" t="0" r="8255" b="1905"/>
            <wp:docPr id="1125603604" name="Imagen 112560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185469" cy="3416178"/>
                    </a:xfrm>
                    <a:prstGeom prst="rect">
                      <a:avLst/>
                    </a:prstGeom>
                  </pic:spPr>
                </pic:pic>
              </a:graphicData>
            </a:graphic>
          </wp:inline>
        </w:drawing>
      </w:r>
    </w:p>
    <w:p w14:paraId="099AF5F9" w14:textId="1EEBE06D" w:rsidR="003B4F74" w:rsidRDefault="003B4F74" w:rsidP="003B4F74">
      <w:pPr>
        <w:tabs>
          <w:tab w:val="left" w:pos="3720"/>
        </w:tabs>
        <w:spacing w:line="240" w:lineRule="auto"/>
        <w:ind w:left="993" w:right="474"/>
        <w:jc w:val="center"/>
        <w:rPr>
          <w:rFonts w:ascii="Garamond" w:hAnsi="Garamond"/>
          <w:sz w:val="24"/>
          <w:szCs w:val="24"/>
        </w:rPr>
      </w:pPr>
      <w:r w:rsidRPr="00355E5A">
        <w:rPr>
          <w:rFonts w:ascii="Garamond" w:hAnsi="Garamond"/>
        </w:rPr>
        <w:t xml:space="preserve">Fuente: </w:t>
      </w:r>
      <w:r w:rsidRPr="003B4F74">
        <w:rPr>
          <w:rFonts w:ascii="Garamond" w:hAnsi="Garamond"/>
        </w:rPr>
        <w:t xml:space="preserve">Observatorio de Desarrollo Económico </w:t>
      </w:r>
      <w:r w:rsidRPr="00355E5A">
        <w:rPr>
          <w:rFonts w:ascii="Garamond" w:hAnsi="Garamond"/>
        </w:rPr>
        <w:t>(2025)</w:t>
      </w:r>
    </w:p>
    <w:p w14:paraId="64F010B6" w14:textId="77777777" w:rsidR="003B4F74" w:rsidRPr="003B4F74" w:rsidRDefault="003B4F74" w:rsidP="003B4F74">
      <w:pPr>
        <w:tabs>
          <w:tab w:val="left" w:pos="3720"/>
        </w:tabs>
        <w:spacing w:line="240" w:lineRule="auto"/>
        <w:ind w:left="993" w:right="474"/>
        <w:jc w:val="both"/>
        <w:rPr>
          <w:rFonts w:ascii="Garamond" w:hAnsi="Garamond"/>
          <w:sz w:val="24"/>
          <w:szCs w:val="24"/>
        </w:rPr>
      </w:pPr>
      <w:r w:rsidRPr="003B4F74">
        <w:rPr>
          <w:rFonts w:ascii="Garamond" w:hAnsi="Garamond"/>
          <w:sz w:val="24"/>
          <w:szCs w:val="24"/>
        </w:rPr>
        <w:t>En cuanto a los insumos de la construcción para obras civiles importados a Bogotá durante el periodo enero-febrero de 2025, se observa una fuerte caída del 86,3 % en el valor total importado respecto al mismo bimestre de 2024, al pasar de USD 186,621 mil a solo USD 25,510 mil. Este descenso se explica principalmente por la caída del 35,1 % en enero de 2025 frente al mismo mes del año anterior. A pesar de un leve crecimiento del 5,4 % en febrero, el acumulado evidencia una desaceleración significativa en las importaciones de insumos.</w:t>
      </w:r>
    </w:p>
    <w:p w14:paraId="6FF2A819" w14:textId="7D669024" w:rsidR="003B4F74" w:rsidRPr="003D57C6" w:rsidRDefault="003B4F74" w:rsidP="002A4BF2">
      <w:pPr>
        <w:tabs>
          <w:tab w:val="left" w:pos="3720"/>
        </w:tabs>
        <w:spacing w:line="240" w:lineRule="auto"/>
        <w:ind w:left="993" w:right="474"/>
        <w:jc w:val="both"/>
        <w:rPr>
          <w:rFonts w:ascii="Garamond" w:hAnsi="Garamond"/>
        </w:rPr>
      </w:pPr>
      <w:r w:rsidRPr="003B4F74">
        <w:rPr>
          <w:rFonts w:ascii="Garamond" w:hAnsi="Garamond"/>
          <w:sz w:val="24"/>
          <w:szCs w:val="24"/>
        </w:rPr>
        <w:t>El análisis del año corrido muestra que, entre enero y febrero de 2025, las importaciones acumularon USD 25,510 mil, lo que representa una caída del 16,5 % frente al mismo periodo de 2024, cuando se habían alcanzado USD 30,535 mil. Si se compara con 2023, la disminución es aún más pronunciada, con una variación negativa del 53,2 %. Esto refleja una tendencia decreciente en la dependencia de insumos importados para obras civiles, posiblemente relacionada con factores como la sustitución por producción nacional, menores niveles de ejecución de obras o retrasos en los proyectos de infraestructura.</w:t>
      </w:r>
    </w:p>
    <w:p w14:paraId="4A421567" w14:textId="77777777" w:rsidR="003D57C6" w:rsidRDefault="003D57C6" w:rsidP="003D57C6">
      <w:pPr>
        <w:tabs>
          <w:tab w:val="left" w:pos="3720"/>
        </w:tabs>
        <w:spacing w:line="240" w:lineRule="auto"/>
        <w:ind w:left="993" w:right="474"/>
        <w:jc w:val="center"/>
        <w:rPr>
          <w:rFonts w:ascii="Garamond" w:hAnsi="Garamond"/>
        </w:rPr>
      </w:pPr>
    </w:p>
    <w:p w14:paraId="693D9BA8" w14:textId="77777777" w:rsidR="003D57C6" w:rsidRDefault="003D57C6" w:rsidP="003D57C6">
      <w:pPr>
        <w:tabs>
          <w:tab w:val="left" w:pos="3720"/>
        </w:tabs>
        <w:spacing w:line="240" w:lineRule="auto"/>
        <w:ind w:left="993" w:right="474"/>
        <w:jc w:val="center"/>
        <w:rPr>
          <w:rFonts w:ascii="Garamond" w:hAnsi="Garamond"/>
        </w:rPr>
      </w:pPr>
    </w:p>
    <w:p w14:paraId="6084A89A" w14:textId="77777777" w:rsidR="003D57C6" w:rsidRDefault="003D57C6" w:rsidP="003D57C6">
      <w:pPr>
        <w:tabs>
          <w:tab w:val="left" w:pos="3720"/>
        </w:tabs>
        <w:spacing w:line="240" w:lineRule="auto"/>
        <w:ind w:left="993" w:right="474"/>
        <w:jc w:val="center"/>
        <w:rPr>
          <w:rFonts w:ascii="Garamond" w:hAnsi="Garamond"/>
        </w:rPr>
      </w:pPr>
    </w:p>
    <w:p w14:paraId="5F5911E0" w14:textId="77777777" w:rsidR="003D57C6" w:rsidRDefault="003D57C6" w:rsidP="003D57C6">
      <w:pPr>
        <w:tabs>
          <w:tab w:val="left" w:pos="3720"/>
        </w:tabs>
        <w:spacing w:line="240" w:lineRule="auto"/>
        <w:ind w:left="993" w:right="474"/>
        <w:jc w:val="center"/>
        <w:rPr>
          <w:rFonts w:ascii="Garamond" w:hAnsi="Garamond"/>
        </w:rPr>
      </w:pPr>
    </w:p>
    <w:p w14:paraId="2F8B2268" w14:textId="77777777" w:rsidR="003D57C6" w:rsidRDefault="003D57C6" w:rsidP="003D57C6">
      <w:pPr>
        <w:tabs>
          <w:tab w:val="left" w:pos="3720"/>
        </w:tabs>
        <w:spacing w:line="240" w:lineRule="auto"/>
        <w:ind w:left="993" w:right="474"/>
        <w:jc w:val="center"/>
        <w:rPr>
          <w:rFonts w:ascii="Garamond" w:hAnsi="Garamond"/>
        </w:rPr>
      </w:pPr>
    </w:p>
    <w:p w14:paraId="179B26D1" w14:textId="77777777" w:rsidR="003D57C6" w:rsidRDefault="003D57C6" w:rsidP="003D57C6">
      <w:pPr>
        <w:tabs>
          <w:tab w:val="left" w:pos="3720"/>
        </w:tabs>
        <w:spacing w:line="240" w:lineRule="auto"/>
        <w:ind w:left="993" w:right="474"/>
        <w:jc w:val="center"/>
        <w:rPr>
          <w:rFonts w:ascii="Garamond" w:hAnsi="Garamond"/>
        </w:rPr>
      </w:pPr>
    </w:p>
    <w:p w14:paraId="4BCDDE9D" w14:textId="07B3CBB9" w:rsidR="003B4F74" w:rsidRPr="003D57C6" w:rsidRDefault="003D57C6" w:rsidP="003D57C6">
      <w:pPr>
        <w:tabs>
          <w:tab w:val="left" w:pos="3720"/>
        </w:tabs>
        <w:spacing w:line="240" w:lineRule="auto"/>
        <w:ind w:left="993" w:right="474"/>
        <w:jc w:val="center"/>
        <w:rPr>
          <w:rFonts w:ascii="Garamond" w:hAnsi="Garamond"/>
        </w:rPr>
      </w:pPr>
      <w:r w:rsidRPr="003D57C6">
        <w:rPr>
          <w:rFonts w:ascii="Garamond" w:hAnsi="Garamond"/>
        </w:rPr>
        <w:lastRenderedPageBreak/>
        <w:t>Gráfico 6. Insumos para la construcción de obras civiles importados a Bogotá</w:t>
      </w:r>
    </w:p>
    <w:p w14:paraId="02C99E8F" w14:textId="7EF72BF5" w:rsidR="003B4F74" w:rsidRDefault="003D57C6" w:rsidP="003D57C6">
      <w:pPr>
        <w:tabs>
          <w:tab w:val="left" w:pos="3720"/>
        </w:tabs>
        <w:spacing w:line="240" w:lineRule="auto"/>
        <w:ind w:left="993" w:right="474"/>
        <w:jc w:val="center"/>
        <w:rPr>
          <w:rFonts w:ascii="Garamond" w:hAnsi="Garamond"/>
          <w:sz w:val="24"/>
          <w:szCs w:val="24"/>
        </w:rPr>
      </w:pPr>
      <w:r w:rsidRPr="003D57C6">
        <w:rPr>
          <w:rFonts w:ascii="Garamond" w:hAnsi="Garamond"/>
          <w:noProof/>
          <w:sz w:val="24"/>
          <w:szCs w:val="24"/>
          <w:lang w:eastAsia="es-CO"/>
        </w:rPr>
        <w:drawing>
          <wp:inline distT="0" distB="0" distL="0" distR="0" wp14:anchorId="6B5E63FE" wp14:editId="58E3514B">
            <wp:extent cx="4892634" cy="3980255"/>
            <wp:effectExtent l="0" t="0" r="3810" b="1270"/>
            <wp:docPr id="1125603605" name="Imagen 112560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897443" cy="3984167"/>
                    </a:xfrm>
                    <a:prstGeom prst="rect">
                      <a:avLst/>
                    </a:prstGeom>
                  </pic:spPr>
                </pic:pic>
              </a:graphicData>
            </a:graphic>
          </wp:inline>
        </w:drawing>
      </w:r>
    </w:p>
    <w:p w14:paraId="408BE311" w14:textId="77777777" w:rsidR="003D57C6" w:rsidRDefault="003D57C6" w:rsidP="003D57C6">
      <w:pPr>
        <w:tabs>
          <w:tab w:val="left" w:pos="3720"/>
        </w:tabs>
        <w:spacing w:line="240" w:lineRule="auto"/>
        <w:ind w:left="993" w:right="474"/>
        <w:jc w:val="center"/>
        <w:rPr>
          <w:rFonts w:ascii="Garamond" w:hAnsi="Garamond"/>
          <w:sz w:val="24"/>
          <w:szCs w:val="24"/>
        </w:rPr>
      </w:pPr>
      <w:r w:rsidRPr="00355E5A">
        <w:rPr>
          <w:rFonts w:ascii="Garamond" w:hAnsi="Garamond"/>
        </w:rPr>
        <w:t xml:space="preserve">Fuente: </w:t>
      </w:r>
      <w:r w:rsidRPr="003B4F74">
        <w:rPr>
          <w:rFonts w:ascii="Garamond" w:hAnsi="Garamond"/>
        </w:rPr>
        <w:t xml:space="preserve">Observatorio de Desarrollo Económico </w:t>
      </w:r>
      <w:r w:rsidRPr="00355E5A">
        <w:rPr>
          <w:rFonts w:ascii="Garamond" w:hAnsi="Garamond"/>
        </w:rPr>
        <w:t>(2025)</w:t>
      </w:r>
    </w:p>
    <w:p w14:paraId="1A367B11" w14:textId="77777777" w:rsidR="003D57C6" w:rsidRPr="003D57C6" w:rsidRDefault="003D57C6" w:rsidP="003D57C6">
      <w:pPr>
        <w:tabs>
          <w:tab w:val="left" w:pos="3720"/>
        </w:tabs>
        <w:spacing w:line="240" w:lineRule="auto"/>
        <w:ind w:left="993" w:right="474"/>
        <w:jc w:val="both"/>
        <w:rPr>
          <w:rFonts w:ascii="Garamond" w:hAnsi="Garamond"/>
          <w:sz w:val="24"/>
          <w:szCs w:val="24"/>
        </w:rPr>
      </w:pPr>
      <w:r w:rsidRPr="003D57C6">
        <w:rPr>
          <w:rFonts w:ascii="Garamond" w:hAnsi="Garamond"/>
          <w:sz w:val="24"/>
          <w:szCs w:val="24"/>
        </w:rPr>
        <w:t>En el gráfico inferior anterior se presenta el promedio móvil de 12 meses del valor de los insumos importados para construcción en Bogotá desde 2021 hasta 2025. Se observa un incremento sostenido entre 2021 y mediados de 2023, alcanzando un pico alrededor de febrero-marzo de 2023. A partir de ese punto, la tendencia comienza a descender gradualmente, estabilizándose en valores bajos en 2024 y 2025. Esta trayectoria sugiere que el sector ha reducido su demanda de insumos importados, lo cual puede estar influenciado por cambios en la dinámica del mercado, restricciones comerciales o transformaciones en la cadena de suministro.</w:t>
      </w:r>
    </w:p>
    <w:p w14:paraId="371BF027" w14:textId="77777777" w:rsidR="003D57C6" w:rsidRPr="003D57C6" w:rsidRDefault="003D57C6" w:rsidP="003D57C6">
      <w:pPr>
        <w:tabs>
          <w:tab w:val="left" w:pos="3720"/>
        </w:tabs>
        <w:spacing w:line="240" w:lineRule="auto"/>
        <w:ind w:left="993" w:right="474"/>
        <w:jc w:val="both"/>
        <w:rPr>
          <w:rFonts w:ascii="Garamond" w:hAnsi="Garamond"/>
          <w:sz w:val="24"/>
          <w:szCs w:val="24"/>
        </w:rPr>
      </w:pPr>
      <w:r w:rsidRPr="003D57C6">
        <w:rPr>
          <w:rFonts w:ascii="Garamond" w:hAnsi="Garamond"/>
          <w:sz w:val="24"/>
          <w:szCs w:val="24"/>
        </w:rPr>
        <w:t>Adicionalmente se presenta la evolución mensual de la producción de concreto premezclado para obras civiles en Bogotá entre 2020 y 2025, medida en miles de metros cúbicos. Durante los dos primeros meses de 2025, la producción alcanzó los 109 mil m³, lo que representa una disminución del 80,7 % frente al mismo periodo de 2024 (567 mil m³). A pesar de esta caída anual, febrero de 2025 mostró un fuerte repunte con una producción de 62 mil m³, lo que significó un crecimiento del 86,4 % respecto a febrero del año anterior, y un impresionante aumento del 186,4 % en comparación con el promedio de los cinco años anteriores para ese mes.</w:t>
      </w:r>
    </w:p>
    <w:p w14:paraId="637A4E5C" w14:textId="45D8CBC1" w:rsidR="003B4F74" w:rsidRDefault="003D57C6" w:rsidP="003D57C6">
      <w:pPr>
        <w:tabs>
          <w:tab w:val="left" w:pos="3720"/>
        </w:tabs>
        <w:spacing w:line="240" w:lineRule="auto"/>
        <w:ind w:left="993" w:right="474"/>
        <w:jc w:val="both"/>
        <w:rPr>
          <w:rFonts w:ascii="Garamond" w:hAnsi="Garamond"/>
          <w:sz w:val="24"/>
          <w:szCs w:val="24"/>
        </w:rPr>
      </w:pPr>
      <w:r w:rsidRPr="003D57C6">
        <w:rPr>
          <w:rFonts w:ascii="Garamond" w:hAnsi="Garamond"/>
          <w:sz w:val="24"/>
          <w:szCs w:val="24"/>
        </w:rPr>
        <w:t xml:space="preserve">El comportamiento acumulado del año corrido muestra que la producción en enero y febrero de 2025 fue de 109 mil m³, lo que representa un incremento del 69,9 % respecto al mismo periodo de 2024 (64 mil m³). Aunque el valor total del bimestre aún está lejos del pico registrado en 2023 (567 mil m³), esta recuperación parcial indica una reactivación del sector de obras civiles, especialmente en lo relacionado con proyectos que demandan concreto premezclado, </w:t>
      </w:r>
      <w:r w:rsidRPr="003D57C6">
        <w:rPr>
          <w:rFonts w:ascii="Garamond" w:hAnsi="Garamond"/>
          <w:sz w:val="24"/>
          <w:szCs w:val="24"/>
        </w:rPr>
        <w:lastRenderedPageBreak/>
        <w:t>probablemente impulsados por una mayor inversión en infraestructura o reanudación de obras detenidas.</w:t>
      </w:r>
    </w:p>
    <w:p w14:paraId="0264FC11" w14:textId="670DFDCD" w:rsidR="003B4F74" w:rsidRPr="003D57C6" w:rsidRDefault="003D57C6" w:rsidP="003D57C6">
      <w:pPr>
        <w:tabs>
          <w:tab w:val="left" w:pos="3720"/>
        </w:tabs>
        <w:spacing w:line="240" w:lineRule="auto"/>
        <w:ind w:left="993" w:right="474"/>
        <w:jc w:val="center"/>
        <w:rPr>
          <w:rFonts w:ascii="Garamond" w:hAnsi="Garamond"/>
        </w:rPr>
      </w:pPr>
      <w:r w:rsidRPr="003D57C6">
        <w:rPr>
          <w:rFonts w:ascii="Garamond" w:hAnsi="Garamond"/>
        </w:rPr>
        <w:t>Producción de concreto premezclado para obras civiles</w:t>
      </w:r>
    </w:p>
    <w:p w14:paraId="23FE32C3" w14:textId="6FA869C3" w:rsidR="003B4F74" w:rsidRDefault="003D57C6" w:rsidP="002A4BF2">
      <w:pPr>
        <w:tabs>
          <w:tab w:val="left" w:pos="3720"/>
        </w:tabs>
        <w:spacing w:line="240" w:lineRule="auto"/>
        <w:ind w:left="993" w:right="474"/>
        <w:jc w:val="both"/>
        <w:rPr>
          <w:rFonts w:ascii="Garamond" w:hAnsi="Garamond"/>
          <w:sz w:val="24"/>
          <w:szCs w:val="24"/>
        </w:rPr>
      </w:pPr>
      <w:r w:rsidRPr="003D57C6">
        <w:rPr>
          <w:rFonts w:ascii="Garamond" w:hAnsi="Garamond"/>
          <w:noProof/>
          <w:sz w:val="24"/>
          <w:szCs w:val="24"/>
          <w:lang w:eastAsia="es-CO"/>
        </w:rPr>
        <w:drawing>
          <wp:inline distT="0" distB="0" distL="0" distR="0" wp14:anchorId="2AEE46AB" wp14:editId="17D07E9B">
            <wp:extent cx="5772956" cy="4715533"/>
            <wp:effectExtent l="0" t="0" r="0" b="8890"/>
            <wp:docPr id="1125603606" name="Imagen 112560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72956" cy="4715533"/>
                    </a:xfrm>
                    <a:prstGeom prst="rect">
                      <a:avLst/>
                    </a:prstGeom>
                  </pic:spPr>
                </pic:pic>
              </a:graphicData>
            </a:graphic>
          </wp:inline>
        </w:drawing>
      </w:r>
    </w:p>
    <w:p w14:paraId="6FF19B0A" w14:textId="22D5CF23" w:rsidR="003B4F74" w:rsidRDefault="003B4F74" w:rsidP="002A4BF2">
      <w:pPr>
        <w:tabs>
          <w:tab w:val="left" w:pos="3720"/>
        </w:tabs>
        <w:spacing w:line="240" w:lineRule="auto"/>
        <w:ind w:left="993" w:right="474"/>
        <w:jc w:val="both"/>
        <w:rPr>
          <w:rFonts w:ascii="Garamond" w:hAnsi="Garamond"/>
          <w:sz w:val="24"/>
          <w:szCs w:val="24"/>
        </w:rPr>
      </w:pPr>
    </w:p>
    <w:p w14:paraId="116C4FE7" w14:textId="336B4F8B" w:rsidR="003B4F74" w:rsidRDefault="003D57C6" w:rsidP="004E682F">
      <w:pPr>
        <w:tabs>
          <w:tab w:val="left" w:pos="3720"/>
        </w:tabs>
        <w:spacing w:line="240" w:lineRule="auto"/>
        <w:ind w:left="993" w:right="474"/>
        <w:jc w:val="center"/>
        <w:rPr>
          <w:rFonts w:ascii="Garamond" w:hAnsi="Garamond"/>
          <w:sz w:val="24"/>
          <w:szCs w:val="24"/>
        </w:rPr>
      </w:pPr>
      <w:r w:rsidRPr="00355E5A">
        <w:rPr>
          <w:rFonts w:ascii="Garamond" w:hAnsi="Garamond"/>
        </w:rPr>
        <w:t xml:space="preserve">Fuente: </w:t>
      </w:r>
      <w:r w:rsidRPr="003B4F74">
        <w:rPr>
          <w:rFonts w:ascii="Garamond" w:hAnsi="Garamond"/>
        </w:rPr>
        <w:t xml:space="preserve">Observatorio de Desarrollo Económico </w:t>
      </w:r>
      <w:r w:rsidRPr="00355E5A">
        <w:rPr>
          <w:rFonts w:ascii="Garamond" w:hAnsi="Garamond"/>
        </w:rPr>
        <w:t>(2025)</w:t>
      </w:r>
    </w:p>
    <w:p w14:paraId="7273EC56" w14:textId="552415A8" w:rsidR="00CA6979" w:rsidRPr="00CA6979" w:rsidRDefault="004E682F" w:rsidP="004E682F">
      <w:pPr>
        <w:tabs>
          <w:tab w:val="left" w:pos="3720"/>
        </w:tabs>
        <w:spacing w:line="240" w:lineRule="auto"/>
        <w:ind w:left="993" w:right="474"/>
        <w:jc w:val="both"/>
        <w:rPr>
          <w:rFonts w:ascii="Garamond" w:hAnsi="Garamond"/>
          <w:b/>
          <w:sz w:val="11"/>
        </w:rPr>
        <w:sectPr w:rsidR="00CA6979" w:rsidRPr="00CA6979" w:rsidSect="00767A56">
          <w:headerReference w:type="default" r:id="rId53"/>
          <w:footerReference w:type="default" r:id="rId54"/>
          <w:pgSz w:w="12240" w:h="15840"/>
          <w:pgMar w:top="1200" w:right="1080" w:bottom="280" w:left="720" w:header="464" w:footer="0" w:gutter="0"/>
          <w:cols w:space="720"/>
        </w:sectPr>
      </w:pPr>
      <w:r w:rsidRPr="004E682F">
        <w:rPr>
          <w:rFonts w:ascii="Garamond" w:hAnsi="Garamond"/>
          <w:sz w:val="24"/>
          <w:szCs w:val="24"/>
        </w:rPr>
        <w:t>El gráfico inferior, que muestra el promedio móvil de 12 meses desde 2021 hasta 2025, revela una clara tendencia de crecimiento sostenido en la producción de concreto premezclado desde mediados de 2024, luego de una ligera caída durante 2023. Esta tendencia sugiere que, a pesar de las fluctuaciones mensuales, el mercado ha ido recuperando dinamismo, reflejando una mejora en la actividad constructiva y una mayor demanda de insumos como el concreto premezclado en la ciudad.</w:t>
      </w:r>
    </w:p>
    <w:p w14:paraId="5CAD503E" w14:textId="57F8DD98" w:rsidR="00D82F11" w:rsidRPr="00D82F11" w:rsidRDefault="00D82F11" w:rsidP="003A1825">
      <w:pPr>
        <w:pStyle w:val="Textoindependiente"/>
        <w:numPr>
          <w:ilvl w:val="2"/>
          <w:numId w:val="1"/>
        </w:numPr>
        <w:spacing w:before="93"/>
        <w:ind w:left="851"/>
        <w:rPr>
          <w:rFonts w:ascii="Garamond" w:hAnsi="Garamond"/>
          <w:b/>
          <w:sz w:val="24"/>
          <w:szCs w:val="24"/>
        </w:rPr>
      </w:pPr>
      <w:r w:rsidRPr="00D82F11">
        <w:rPr>
          <w:rFonts w:ascii="Garamond" w:hAnsi="Garamond"/>
          <w:b/>
          <w:sz w:val="24"/>
          <w:szCs w:val="24"/>
        </w:rPr>
        <w:lastRenderedPageBreak/>
        <w:t>VARIABLES ECONÓMICAS QUE AFECTAN EL SECTOR</w:t>
      </w:r>
    </w:p>
    <w:p w14:paraId="7FEC4C43" w14:textId="77777777" w:rsidR="00D82F11" w:rsidRPr="00D82F11" w:rsidRDefault="00D82F11" w:rsidP="002A4BF2">
      <w:pPr>
        <w:pStyle w:val="Textoindependiente"/>
        <w:spacing w:before="93"/>
        <w:rPr>
          <w:rFonts w:ascii="Garamond" w:hAnsi="Garamond"/>
          <w:sz w:val="24"/>
          <w:szCs w:val="24"/>
        </w:rPr>
      </w:pPr>
    </w:p>
    <w:p w14:paraId="27369C34" w14:textId="77777777" w:rsidR="00D82F11" w:rsidRPr="00D82F11" w:rsidRDefault="00D82F11" w:rsidP="002A4BF2">
      <w:pPr>
        <w:pStyle w:val="Textoindependiente"/>
        <w:spacing w:after="240"/>
        <w:rPr>
          <w:rFonts w:ascii="Garamond" w:hAnsi="Garamond"/>
          <w:b/>
          <w:sz w:val="24"/>
          <w:szCs w:val="24"/>
        </w:rPr>
      </w:pPr>
      <w:r w:rsidRPr="00D82F11">
        <w:rPr>
          <w:rFonts w:ascii="Garamond" w:hAnsi="Garamond"/>
          <w:b/>
          <w:sz w:val="24"/>
          <w:szCs w:val="24"/>
        </w:rPr>
        <w:t>Entorno Macroeconómico</w:t>
      </w:r>
    </w:p>
    <w:p w14:paraId="75134616"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La afectación a la salud pública y al normal funcionamiento de la economía, ocasionada por la pandemia del Covid-19 y las medidas de aislamiento social que buscan contener sus impactos, han llevado a que diferentes analistas pronostiquen una contracción económica para 2020. En el escenario base, el Fondo Monetario Internacional proyecta que la tasa de crecimiento global sería de -3%, y que todos los países presentarían fuertes reducciones en sus economías.</w:t>
      </w:r>
    </w:p>
    <w:p w14:paraId="7F74B9F7"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El análisis actual del entorno económico global está fuertemente influenciado por la gran incertidumbre acerca de la duración y magnitud de los efectos del Covid-19 sobre la salud pública y el impacto de las medidas de aislamiento social que buscan desacelerar su propagación. A su vez, se desconoce la efectividad del conjunto</w:t>
      </w:r>
      <w:r>
        <w:rPr>
          <w:rFonts w:ascii="Garamond" w:hAnsi="Garamond"/>
          <w:sz w:val="24"/>
          <w:szCs w:val="24"/>
        </w:rPr>
        <w:t xml:space="preserve"> </w:t>
      </w:r>
      <w:r w:rsidRPr="00D82F11">
        <w:rPr>
          <w:rFonts w:ascii="Garamond" w:hAnsi="Garamond"/>
          <w:sz w:val="24"/>
          <w:szCs w:val="24"/>
        </w:rPr>
        <w:t>de medidas, varias de estas no tradicionales, que se han implementado generalizadamente para proveer alivio financiero de manera parcial a los sectores más afectados. Estas últimas buscan reducir los impactos económicos y, por tanto, contribuir a una recuperación más rápida cuando sea posible flexibilizar las medidas de aislamiento social.</w:t>
      </w:r>
    </w:p>
    <w:p w14:paraId="3C0F4239" w14:textId="77777777" w:rsidR="00D82F11" w:rsidRPr="00D82F11" w:rsidRDefault="00D82F11" w:rsidP="002A4BF2">
      <w:pPr>
        <w:pStyle w:val="Textoindependiente"/>
        <w:spacing w:after="240"/>
        <w:jc w:val="both"/>
        <w:rPr>
          <w:rFonts w:ascii="Garamond" w:hAnsi="Garamond"/>
          <w:b/>
          <w:sz w:val="24"/>
          <w:szCs w:val="24"/>
        </w:rPr>
      </w:pPr>
      <w:r w:rsidRPr="00D82F11">
        <w:rPr>
          <w:rFonts w:ascii="Garamond" w:hAnsi="Garamond"/>
          <w:b/>
          <w:sz w:val="24"/>
          <w:szCs w:val="24"/>
        </w:rPr>
        <w:t>Política Monetaria</w:t>
      </w:r>
    </w:p>
    <w:p w14:paraId="306C6A89"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La política monetaria en Colombia tiene como objetivo mantener una tasa de inflación baja y estable, y alcanzar el máximo nivel sostenible del producto y del empleo. De esta forma, la política monetaria cumple con el mandato de la Constitución de velar por mantener el poder adquisitivo del peso y contribuye a mejorar el bienestar de la población.</w:t>
      </w:r>
    </w:p>
    <w:p w14:paraId="4A3FDDD7"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Para lograr sus objetivos, el Banco de la República sigue un esquema de inflación objetivo en un régimen de tipo de cambio flexible. Bajo este esquema, las acciones de política monetaria están encaminadas a que la inflación futura se sitúe en la meta fijada en el horizonte de política. En Colombia, dicha meta fue fijada por la Junta Directiva del Banco de la República JDBR en 3% (con un margen admisible de desviación de ±1 punto porcentual). Esta meta se refiere a la inflación de precios al consumidor, que se mide estadísticamente como la variación anual del Índice de Precios al Consumidor (IPC).</w:t>
      </w:r>
    </w:p>
    <w:p w14:paraId="0F2E534E"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Con el objetivo de alcanzar la meta de inflación, el Banco de la República fija la tasa de interés de referencia, también conocida como tasa de interés de política monetaria o de intervención. El Banco ajusta la oferta de dinero para garantizar que el Indicador Bancario de Referencia (IBR) a un día esté cerca de la tasa de interés de política monetaria. Los cambios en la tasa de referencia afectan la inflación y el crecimiento de corto plazo a través de distintos mecanismos de transmisión.</w:t>
      </w:r>
    </w:p>
    <w:p w14:paraId="7F3E94C6"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 xml:space="preserve">La flexibilidad del tipo de cambio que acompaña el esquema de inflación objetivo tiene dos objetivos. Primero, le permite al Banco de la República tener una política monetaria independiente que tenga en cuenta la situación de la economía colombiana y que le posibilita cumplir con sus funciones constitucionales. Segundo, la tasa de cambio flexible suaviza el efecto que choques externos, como variaciones en el precio internacional del petróleo, podrían tener </w:t>
      </w:r>
      <w:r w:rsidRPr="00D82F11">
        <w:rPr>
          <w:rFonts w:ascii="Garamond" w:hAnsi="Garamond"/>
          <w:sz w:val="24"/>
          <w:szCs w:val="24"/>
        </w:rPr>
        <w:lastRenderedPageBreak/>
        <w:t>sobre la economía.</w:t>
      </w:r>
    </w:p>
    <w:p w14:paraId="1EDE6E09" w14:textId="77777777" w:rsidR="00D82F11" w:rsidRPr="00EA1D77" w:rsidRDefault="00D82F11" w:rsidP="002A4BF2">
      <w:pPr>
        <w:pStyle w:val="Textoindependiente"/>
        <w:spacing w:after="240"/>
        <w:jc w:val="both"/>
        <w:rPr>
          <w:rFonts w:ascii="Garamond" w:hAnsi="Garamond"/>
          <w:b/>
          <w:sz w:val="24"/>
          <w:szCs w:val="24"/>
        </w:rPr>
      </w:pPr>
      <w:r w:rsidRPr="00EA1D77">
        <w:rPr>
          <w:rFonts w:ascii="Garamond" w:hAnsi="Garamond"/>
          <w:b/>
          <w:sz w:val="24"/>
          <w:szCs w:val="24"/>
        </w:rPr>
        <w:t>Política Cambiaria</w:t>
      </w:r>
    </w:p>
    <w:p w14:paraId="56301DB8"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La flexibilidad cambiaria es considerada un elemento crucial para el logro de una tasa de inflación baja y estable, y la preservación de la estabilidad financiera y del sistema de pagos. La tasa de cambio opera como una variable de ajuste ante los choques que recibe la economía, reduciendo la volatilidad de la actividad económica. De igual forma, la flexibilidad cambiaria permite utilizar de forma independiente la tasa de interés como un instrumento para acercar la inflación y el producto a sus valores deseados. Por último, reduce los incentivos a la toma excesiva de riesgo cambiario por parte de los agentes de la economía, lo cual es primordial para mantener la estabilidad financiera.</w:t>
      </w:r>
    </w:p>
    <w:p w14:paraId="0EF0FC81"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No obstante, lo anterior, el Banco de la República como autoridad cambiaria tiene la potestad de intervenir en el mercado de divisas buscando incrementar el nivel de reservas internacionales para reducir la vulnerabilidad externa y mejorar las condiciones de acceso al crédito externo; así como mitigar movimientos de la tasa de cambio que no reflejen claramente el comportamiento de la economía y que puedan afectar negativamente la inflación y la actividad económica; y moderar desviaciones rápidas y sostenidas de la tasa de cambio respecto a su tendencia con el fin de evitar comportamientos desordenados de los mercados financieros.</w:t>
      </w:r>
    </w:p>
    <w:p w14:paraId="4E13A07A" w14:textId="77777777" w:rsidR="00D82F11" w:rsidRPr="00EA1D77" w:rsidRDefault="00D82F11" w:rsidP="002A4BF2">
      <w:pPr>
        <w:pStyle w:val="Textoindependiente"/>
        <w:spacing w:after="240"/>
        <w:jc w:val="both"/>
        <w:rPr>
          <w:rFonts w:ascii="Garamond" w:hAnsi="Garamond"/>
          <w:b/>
          <w:sz w:val="24"/>
          <w:szCs w:val="24"/>
        </w:rPr>
      </w:pPr>
      <w:r w:rsidRPr="00EA1D77">
        <w:rPr>
          <w:rFonts w:ascii="Garamond" w:hAnsi="Garamond"/>
          <w:b/>
          <w:sz w:val="24"/>
          <w:szCs w:val="24"/>
        </w:rPr>
        <w:t>Política Fiscal</w:t>
      </w:r>
    </w:p>
    <w:p w14:paraId="62004A53"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A través de la Política Fiscal, el Estado cumple con tres grandes funciones:</w:t>
      </w:r>
    </w:p>
    <w:p w14:paraId="40304278"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w:t>
      </w:r>
      <w:r w:rsidRPr="00D82F11">
        <w:rPr>
          <w:rFonts w:ascii="Garamond" w:hAnsi="Garamond"/>
          <w:sz w:val="24"/>
          <w:szCs w:val="24"/>
        </w:rPr>
        <w:tab/>
        <w:t>La reasignación de recursos Eficiencia</w:t>
      </w:r>
    </w:p>
    <w:p w14:paraId="1672DA26"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w:t>
      </w:r>
      <w:r w:rsidRPr="00D82F11">
        <w:rPr>
          <w:rFonts w:ascii="Garamond" w:hAnsi="Garamond"/>
          <w:sz w:val="24"/>
          <w:szCs w:val="24"/>
        </w:rPr>
        <w:tab/>
        <w:t>La redistribución del ingreso Equidad</w:t>
      </w:r>
    </w:p>
    <w:p w14:paraId="4F27B480"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w:t>
      </w:r>
      <w:r w:rsidRPr="00D82F11">
        <w:rPr>
          <w:rFonts w:ascii="Garamond" w:hAnsi="Garamond"/>
          <w:sz w:val="24"/>
          <w:szCs w:val="24"/>
        </w:rPr>
        <w:tab/>
        <w:t>La estabilización Macro y el estímulo al crecimiento económico</w:t>
      </w:r>
    </w:p>
    <w:p w14:paraId="41448464"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Sus instrumentos se manifiestan a través del manejo de los impuestos (tarifas, bases gravables, exenciones etc.</w:t>
      </w:r>
    </w:p>
    <w:p w14:paraId="7C97CDC3" w14:textId="77777777" w:rsidR="00D82F11" w:rsidRP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También mediante los precios administrados por el Estado: gasolina, tarifas servicios, cotizaciones a la SS, etc.), mediante la decisión del gasto público en diversos programas: educación, salud, pensiones, justicia, seguridad y defensa, infraestructura, etc, y el manejo de la deuda pública que termina afectando el mercado de capitales y la macroeconomía.</w:t>
      </w:r>
    </w:p>
    <w:p w14:paraId="66BD9F15" w14:textId="779A63B1" w:rsidR="00D82F11" w:rsidRDefault="00D82F11" w:rsidP="002A4BF2">
      <w:pPr>
        <w:pStyle w:val="Textoindependiente"/>
        <w:spacing w:after="240"/>
        <w:jc w:val="both"/>
        <w:rPr>
          <w:rFonts w:ascii="Garamond" w:hAnsi="Garamond"/>
          <w:sz w:val="24"/>
          <w:szCs w:val="24"/>
        </w:rPr>
      </w:pPr>
      <w:r w:rsidRPr="00D82F11">
        <w:rPr>
          <w:rFonts w:ascii="Garamond" w:hAnsi="Garamond"/>
          <w:sz w:val="24"/>
          <w:szCs w:val="24"/>
        </w:rPr>
        <w:t>Hablando propiamente del instrumento de política fiscal denominado gasto público, se define como aquel enfocado en servicios básicos del Estado como la seguridad y defensa, justicia, capital humano (educación, R&amp;D), salud, infraestructura. Estimula el uso y la acumulación de los factores básicos (capital y trabajo), su productividad y el progreso tecnológico.</w:t>
      </w:r>
    </w:p>
    <w:p w14:paraId="78EF854B" w14:textId="17D9822A" w:rsidR="00D01498" w:rsidRDefault="00D01498" w:rsidP="002A4BF2">
      <w:pPr>
        <w:pStyle w:val="Textoindependiente"/>
        <w:spacing w:after="240"/>
        <w:jc w:val="both"/>
        <w:rPr>
          <w:rFonts w:ascii="Garamond" w:hAnsi="Garamond"/>
          <w:sz w:val="24"/>
          <w:szCs w:val="24"/>
        </w:rPr>
      </w:pPr>
    </w:p>
    <w:p w14:paraId="0E6338BD" w14:textId="77777777" w:rsidR="00D01498" w:rsidRPr="00D82F11" w:rsidRDefault="00D01498" w:rsidP="002A4BF2">
      <w:pPr>
        <w:pStyle w:val="Textoindependiente"/>
        <w:spacing w:after="240"/>
        <w:jc w:val="both"/>
        <w:rPr>
          <w:rFonts w:ascii="Garamond" w:hAnsi="Garamond"/>
          <w:sz w:val="24"/>
          <w:szCs w:val="24"/>
        </w:rPr>
      </w:pPr>
    </w:p>
    <w:p w14:paraId="138CE28A" w14:textId="1C37B8E2" w:rsidR="008503EF" w:rsidRPr="00EA1D77" w:rsidRDefault="00EA1D77" w:rsidP="003A1825">
      <w:pPr>
        <w:pStyle w:val="Textoindependiente"/>
        <w:numPr>
          <w:ilvl w:val="0"/>
          <w:numId w:val="1"/>
        </w:numPr>
        <w:spacing w:before="93"/>
        <w:jc w:val="both"/>
        <w:rPr>
          <w:rFonts w:ascii="Garamond" w:hAnsi="Garamond"/>
          <w:sz w:val="24"/>
          <w:szCs w:val="24"/>
        </w:rPr>
      </w:pPr>
      <w:r>
        <w:rPr>
          <w:rFonts w:ascii="Garamond" w:hAnsi="Garamond"/>
          <w:b/>
          <w:sz w:val="24"/>
          <w:szCs w:val="24"/>
        </w:rPr>
        <w:lastRenderedPageBreak/>
        <w:t>ANÁLISIS TÉCNICO</w:t>
      </w:r>
    </w:p>
    <w:p w14:paraId="1EDB8FEB" w14:textId="77777777" w:rsidR="00EA1D77" w:rsidRDefault="00EA1D77" w:rsidP="002A4BF2">
      <w:pPr>
        <w:pStyle w:val="Standard"/>
        <w:jc w:val="both"/>
        <w:rPr>
          <w:rFonts w:ascii="Garamond" w:eastAsia="Arial Narrow" w:hAnsi="Garamond" w:cs="Arial"/>
          <w:sz w:val="22"/>
          <w:szCs w:val="24"/>
          <w:lang w:bidi="hi-IN"/>
        </w:rPr>
      </w:pPr>
      <w:bookmarkStart w:id="2" w:name="_Hlk79056338"/>
    </w:p>
    <w:p w14:paraId="682CDE4B" w14:textId="77777777" w:rsidR="00EA1D77" w:rsidRDefault="00EA1D77" w:rsidP="002A4BF2">
      <w:pPr>
        <w:pStyle w:val="Standard"/>
        <w:jc w:val="both"/>
        <w:rPr>
          <w:rFonts w:ascii="Garamond" w:eastAsia="Arial Narrow" w:hAnsi="Garamond" w:cs="Arial"/>
          <w:sz w:val="22"/>
          <w:szCs w:val="24"/>
          <w:lang w:bidi="hi-IN"/>
        </w:rPr>
      </w:pPr>
      <w:r>
        <w:rPr>
          <w:rFonts w:ascii="Garamond" w:eastAsia="Arial Narrow" w:hAnsi="Garamond" w:cs="Arial"/>
          <w:sz w:val="22"/>
          <w:szCs w:val="24"/>
          <w:lang w:bidi="hi-IN"/>
        </w:rPr>
        <w:t xml:space="preserve">Los ítems / equipos a adquirir, corresponden a </w:t>
      </w:r>
      <w:r>
        <w:rPr>
          <w:rFonts w:ascii="Garamond" w:eastAsia="Arial Narrow" w:hAnsi="Garamond" w:cs="Arial"/>
          <w:b/>
          <w:bCs/>
          <w:sz w:val="22"/>
          <w:szCs w:val="24"/>
          <w:lang w:bidi="hi-IN"/>
        </w:rPr>
        <w:t>DOS (2</w:t>
      </w:r>
      <w:r w:rsidRPr="00592D1D">
        <w:rPr>
          <w:rFonts w:ascii="Garamond" w:eastAsia="Arial Narrow" w:hAnsi="Garamond" w:cs="Arial"/>
          <w:b/>
          <w:bCs/>
          <w:sz w:val="22"/>
          <w:szCs w:val="24"/>
          <w:lang w:bidi="hi-IN"/>
        </w:rPr>
        <w:t xml:space="preserve">) </w:t>
      </w:r>
      <w:r>
        <w:rPr>
          <w:rFonts w:ascii="Garamond" w:eastAsia="Arial Narrow" w:hAnsi="Garamond" w:cs="Arial"/>
          <w:b/>
          <w:bCs/>
          <w:sz w:val="22"/>
          <w:szCs w:val="24"/>
          <w:lang w:bidi="hi-IN"/>
        </w:rPr>
        <w:t>actividades</w:t>
      </w:r>
      <w:r>
        <w:rPr>
          <w:rFonts w:ascii="Garamond" w:eastAsia="Arial Narrow" w:hAnsi="Garamond" w:cs="Arial"/>
          <w:sz w:val="22"/>
          <w:szCs w:val="24"/>
          <w:lang w:bidi="hi-IN"/>
        </w:rPr>
        <w:t>, que tendrán como mínimo las siguientes características y en las cantidades requeridas a continuación:</w:t>
      </w:r>
    </w:p>
    <w:p w14:paraId="1C58DEBB" w14:textId="77777777" w:rsidR="00EA1D77" w:rsidRDefault="00EA1D77" w:rsidP="002A4BF2">
      <w:pPr>
        <w:pStyle w:val="Standard"/>
        <w:jc w:val="both"/>
        <w:rPr>
          <w:rFonts w:ascii="Garamond" w:eastAsia="Arial Narrow" w:hAnsi="Garamond" w:cs="Arial"/>
          <w:sz w:val="22"/>
          <w:szCs w:val="24"/>
          <w:lang w:bidi="hi-IN"/>
        </w:rPr>
      </w:pPr>
    </w:p>
    <w:tbl>
      <w:tblPr>
        <w:tblW w:w="5873"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33"/>
        <w:gridCol w:w="1595"/>
        <w:gridCol w:w="2260"/>
        <w:gridCol w:w="4121"/>
        <w:gridCol w:w="931"/>
        <w:gridCol w:w="929"/>
      </w:tblGrid>
      <w:tr w:rsidR="00EA1D77" w:rsidRPr="001E2115" w14:paraId="470FC4AF" w14:textId="77777777" w:rsidTr="00767A56">
        <w:trPr>
          <w:trHeight w:val="567"/>
        </w:trPr>
        <w:tc>
          <w:tcPr>
            <w:tcW w:w="257" w:type="pct"/>
            <w:shd w:val="clear" w:color="auto" w:fill="F2F2F2"/>
          </w:tcPr>
          <w:p w14:paraId="18656C99" w14:textId="77777777" w:rsidR="00EA1D77" w:rsidRDefault="00EA1D77" w:rsidP="002A4BF2">
            <w:pPr>
              <w:spacing w:line="240" w:lineRule="auto"/>
              <w:jc w:val="center"/>
              <w:rPr>
                <w:rFonts w:ascii="Garamond" w:hAnsi="Garamond" w:cs="Arial"/>
                <w:b/>
                <w:bCs/>
              </w:rPr>
            </w:pPr>
            <w:r>
              <w:rPr>
                <w:rFonts w:ascii="Garamond" w:hAnsi="Garamond" w:cs="Arial"/>
                <w:b/>
                <w:bCs/>
              </w:rPr>
              <w:t>No.</w:t>
            </w:r>
          </w:p>
        </w:tc>
        <w:tc>
          <w:tcPr>
            <w:tcW w:w="769" w:type="pct"/>
            <w:shd w:val="clear" w:color="auto" w:fill="F2F2F2"/>
            <w:tcMar>
              <w:top w:w="0" w:type="dxa"/>
              <w:left w:w="70" w:type="dxa"/>
              <w:bottom w:w="0" w:type="dxa"/>
              <w:right w:w="70" w:type="dxa"/>
            </w:tcMar>
            <w:vAlign w:val="center"/>
            <w:hideMark/>
          </w:tcPr>
          <w:p w14:paraId="0603FA0F" w14:textId="77777777" w:rsidR="00EA1D77" w:rsidRPr="001E2115" w:rsidRDefault="00EA1D77" w:rsidP="002A4BF2">
            <w:pPr>
              <w:spacing w:line="240" w:lineRule="auto"/>
              <w:jc w:val="center"/>
              <w:rPr>
                <w:rFonts w:ascii="Garamond" w:hAnsi="Garamond" w:cs="Arial"/>
                <w:b/>
                <w:bCs/>
              </w:rPr>
            </w:pPr>
            <w:r>
              <w:rPr>
                <w:rFonts w:ascii="Garamond" w:hAnsi="Garamond" w:cs="Arial"/>
                <w:b/>
                <w:bCs/>
              </w:rPr>
              <w:t>Elemento</w:t>
            </w:r>
          </w:p>
        </w:tc>
        <w:tc>
          <w:tcPr>
            <w:tcW w:w="1090" w:type="pct"/>
            <w:shd w:val="clear" w:color="auto" w:fill="F2F2F2"/>
            <w:tcMar>
              <w:top w:w="0" w:type="dxa"/>
              <w:left w:w="70" w:type="dxa"/>
              <w:bottom w:w="0" w:type="dxa"/>
              <w:right w:w="70" w:type="dxa"/>
            </w:tcMar>
            <w:vAlign w:val="center"/>
            <w:hideMark/>
          </w:tcPr>
          <w:p w14:paraId="619CC812" w14:textId="77777777" w:rsidR="00EA1D77" w:rsidRPr="001E2115" w:rsidRDefault="00EA1D77" w:rsidP="002A4BF2">
            <w:pPr>
              <w:spacing w:line="240" w:lineRule="auto"/>
              <w:jc w:val="center"/>
              <w:rPr>
                <w:rFonts w:ascii="Garamond" w:hAnsi="Garamond" w:cs="Arial"/>
                <w:b/>
                <w:bCs/>
              </w:rPr>
            </w:pPr>
            <w:r>
              <w:rPr>
                <w:rFonts w:ascii="Garamond" w:hAnsi="Garamond" w:cs="Arial"/>
                <w:b/>
                <w:bCs/>
              </w:rPr>
              <w:t>Descripción y Condiciones Técnicas Mínimas</w:t>
            </w:r>
          </w:p>
        </w:tc>
        <w:tc>
          <w:tcPr>
            <w:tcW w:w="1987" w:type="pct"/>
            <w:shd w:val="clear" w:color="auto" w:fill="F2F2F2"/>
            <w:tcMar>
              <w:top w:w="0" w:type="dxa"/>
              <w:left w:w="70" w:type="dxa"/>
              <w:bottom w:w="0" w:type="dxa"/>
              <w:right w:w="70" w:type="dxa"/>
            </w:tcMar>
            <w:vAlign w:val="center"/>
            <w:hideMark/>
          </w:tcPr>
          <w:p w14:paraId="56B44456" w14:textId="77777777" w:rsidR="00EA1D77" w:rsidRPr="001E2115" w:rsidRDefault="00EA1D77" w:rsidP="002A4BF2">
            <w:pPr>
              <w:spacing w:line="240" w:lineRule="auto"/>
              <w:jc w:val="center"/>
              <w:rPr>
                <w:rFonts w:ascii="Garamond" w:hAnsi="Garamond" w:cs="Arial"/>
                <w:b/>
                <w:bCs/>
              </w:rPr>
            </w:pPr>
            <w:r>
              <w:rPr>
                <w:rFonts w:ascii="Garamond" w:hAnsi="Garamond" w:cs="Arial"/>
                <w:b/>
                <w:bCs/>
              </w:rPr>
              <w:t>Imagen referencia</w:t>
            </w:r>
          </w:p>
        </w:tc>
        <w:tc>
          <w:tcPr>
            <w:tcW w:w="449" w:type="pct"/>
            <w:shd w:val="clear" w:color="auto" w:fill="F2F2F2"/>
            <w:tcMar>
              <w:top w:w="0" w:type="dxa"/>
              <w:left w:w="70" w:type="dxa"/>
              <w:bottom w:w="0" w:type="dxa"/>
              <w:right w:w="70" w:type="dxa"/>
            </w:tcMar>
            <w:vAlign w:val="center"/>
            <w:hideMark/>
          </w:tcPr>
          <w:p w14:paraId="5CAE835D" w14:textId="77777777" w:rsidR="00EA1D77" w:rsidRPr="001E2115" w:rsidRDefault="00EA1D77" w:rsidP="002A4BF2">
            <w:pPr>
              <w:spacing w:line="240" w:lineRule="auto"/>
              <w:jc w:val="center"/>
              <w:rPr>
                <w:rFonts w:ascii="Garamond" w:hAnsi="Garamond" w:cs="Arial"/>
                <w:b/>
                <w:bCs/>
              </w:rPr>
            </w:pPr>
            <w:r>
              <w:rPr>
                <w:rFonts w:ascii="Garamond" w:hAnsi="Garamond" w:cs="Arial"/>
                <w:b/>
                <w:bCs/>
              </w:rPr>
              <w:t>Cantidad</w:t>
            </w:r>
          </w:p>
        </w:tc>
        <w:tc>
          <w:tcPr>
            <w:tcW w:w="448" w:type="pct"/>
            <w:shd w:val="clear" w:color="auto" w:fill="F2F2F2"/>
            <w:vAlign w:val="center"/>
          </w:tcPr>
          <w:p w14:paraId="2DF264BF" w14:textId="77777777" w:rsidR="00EA1D77" w:rsidRPr="001E2115" w:rsidRDefault="00EA1D77" w:rsidP="002A4BF2">
            <w:pPr>
              <w:spacing w:line="240" w:lineRule="auto"/>
              <w:jc w:val="center"/>
              <w:rPr>
                <w:rFonts w:ascii="Garamond" w:hAnsi="Garamond" w:cs="Arial"/>
                <w:b/>
                <w:bCs/>
              </w:rPr>
            </w:pPr>
            <w:r>
              <w:rPr>
                <w:rFonts w:ascii="Garamond" w:hAnsi="Garamond" w:cs="Arial"/>
                <w:b/>
                <w:bCs/>
              </w:rPr>
              <w:t>Unidad de Medida</w:t>
            </w:r>
          </w:p>
        </w:tc>
      </w:tr>
      <w:tr w:rsidR="00EA1D77" w:rsidRPr="00847446" w14:paraId="3C0F3BD9" w14:textId="77777777" w:rsidTr="00767A56">
        <w:trPr>
          <w:trHeight w:val="238"/>
        </w:trPr>
        <w:tc>
          <w:tcPr>
            <w:tcW w:w="257" w:type="pct"/>
          </w:tcPr>
          <w:p w14:paraId="42F94A7C" w14:textId="77777777" w:rsidR="00EA1D77" w:rsidRPr="00B05CFA" w:rsidRDefault="00EA1D77" w:rsidP="002A4BF2">
            <w:pPr>
              <w:spacing w:line="240" w:lineRule="auto"/>
              <w:jc w:val="center"/>
              <w:rPr>
                <w:rFonts w:ascii="Garamond" w:hAnsi="Garamond" w:cs="Arial"/>
              </w:rPr>
            </w:pPr>
          </w:p>
          <w:p w14:paraId="70AB59E0" w14:textId="77777777" w:rsidR="00EA1D77" w:rsidRPr="00B05CFA" w:rsidRDefault="00EA1D77" w:rsidP="002A4BF2">
            <w:pPr>
              <w:spacing w:line="240" w:lineRule="auto"/>
              <w:jc w:val="center"/>
              <w:rPr>
                <w:rFonts w:ascii="Garamond" w:hAnsi="Garamond" w:cs="Arial"/>
              </w:rPr>
            </w:pPr>
          </w:p>
          <w:p w14:paraId="78A3D69D" w14:textId="77777777" w:rsidR="00EA1D77" w:rsidRPr="00B05CFA" w:rsidRDefault="00EA1D77" w:rsidP="002A4BF2">
            <w:pPr>
              <w:spacing w:line="240" w:lineRule="auto"/>
              <w:jc w:val="center"/>
              <w:rPr>
                <w:rFonts w:ascii="Garamond" w:hAnsi="Garamond" w:cs="Arial"/>
              </w:rPr>
            </w:pPr>
          </w:p>
          <w:p w14:paraId="406D4922" w14:textId="77777777" w:rsidR="00EA1D77" w:rsidRPr="00B05CFA" w:rsidRDefault="00EA1D77" w:rsidP="002A4BF2">
            <w:pPr>
              <w:spacing w:line="240" w:lineRule="auto"/>
              <w:jc w:val="center"/>
              <w:rPr>
                <w:rFonts w:ascii="Garamond" w:hAnsi="Garamond" w:cs="Arial"/>
              </w:rPr>
            </w:pPr>
          </w:p>
          <w:p w14:paraId="3B9B802F" w14:textId="77777777" w:rsidR="00EA1D77" w:rsidRPr="00B05CFA" w:rsidRDefault="00EA1D77" w:rsidP="002A4BF2">
            <w:pPr>
              <w:spacing w:line="240" w:lineRule="auto"/>
              <w:jc w:val="center"/>
              <w:rPr>
                <w:rFonts w:ascii="Garamond" w:hAnsi="Garamond" w:cs="Arial"/>
              </w:rPr>
            </w:pPr>
            <w:r w:rsidRPr="00B05CFA">
              <w:rPr>
                <w:rFonts w:ascii="Garamond" w:hAnsi="Garamond" w:cs="Arial"/>
              </w:rPr>
              <w:t>1</w:t>
            </w:r>
          </w:p>
        </w:tc>
        <w:tc>
          <w:tcPr>
            <w:tcW w:w="769" w:type="pct"/>
            <w:tcMar>
              <w:top w:w="0" w:type="dxa"/>
              <w:left w:w="70" w:type="dxa"/>
              <w:bottom w:w="0" w:type="dxa"/>
              <w:right w:w="70" w:type="dxa"/>
            </w:tcMar>
            <w:vAlign w:val="center"/>
          </w:tcPr>
          <w:p w14:paraId="579154F4" w14:textId="45CE37F3" w:rsidR="00EA1D77" w:rsidRPr="00B05CFA" w:rsidRDefault="00EA1D77" w:rsidP="002A4BF2">
            <w:pPr>
              <w:spacing w:line="240" w:lineRule="auto"/>
              <w:jc w:val="both"/>
              <w:rPr>
                <w:rFonts w:ascii="Garamond" w:hAnsi="Garamond" w:cs="Arial"/>
              </w:rPr>
            </w:pPr>
            <w:r w:rsidRPr="00334DE5">
              <w:rPr>
                <w:rFonts w:ascii="Garamond" w:hAnsi="Garamond" w:cs="Arial"/>
              </w:rPr>
              <w:t xml:space="preserve">SUMINISTRO E INSTALACIÓN CERRAMIENTO DE SEGURIDAD </w:t>
            </w:r>
            <w:r w:rsidR="00A10BAD">
              <w:rPr>
                <w:rFonts w:ascii="Garamond" w:hAnsi="Garamond" w:cs="Arial"/>
              </w:rPr>
              <w:t xml:space="preserve">TIPO </w:t>
            </w:r>
            <w:r w:rsidRPr="00334DE5">
              <w:rPr>
                <w:rFonts w:ascii="Garamond" w:hAnsi="Garamond" w:cs="Arial"/>
              </w:rPr>
              <w:t>PANEL REYCO ELECTROSOLDADO 2.5 MT X 2.5 MT</w:t>
            </w:r>
          </w:p>
        </w:tc>
        <w:tc>
          <w:tcPr>
            <w:tcW w:w="1090" w:type="pct"/>
            <w:shd w:val="clear" w:color="auto" w:fill="auto"/>
            <w:tcMar>
              <w:top w:w="0" w:type="dxa"/>
              <w:left w:w="70" w:type="dxa"/>
              <w:bottom w:w="0" w:type="dxa"/>
              <w:right w:w="70" w:type="dxa"/>
            </w:tcMar>
            <w:vAlign w:val="center"/>
          </w:tcPr>
          <w:p w14:paraId="7D74F239" w14:textId="77777777" w:rsidR="00EA1D77" w:rsidRDefault="00EA1D77" w:rsidP="002A4BF2">
            <w:pPr>
              <w:spacing w:line="240" w:lineRule="auto"/>
              <w:jc w:val="both"/>
              <w:rPr>
                <w:rFonts w:ascii="Garamond" w:hAnsi="Garamond" w:cs="Arial"/>
              </w:rPr>
            </w:pPr>
            <w:r>
              <w:rPr>
                <w:rFonts w:ascii="Garamond" w:hAnsi="Garamond" w:cs="Arial"/>
              </w:rPr>
              <w:t>Reja de acero en forma de panel de malla metálica fabricada por varillas de acero calibre 6 (500mm) con un extremo proceso de galvanizado y un recubrimiento en PVC por inmersión.</w:t>
            </w:r>
          </w:p>
          <w:p w14:paraId="0A7D6FE5" w14:textId="77777777" w:rsidR="00EA1D77" w:rsidRDefault="00EA1D77" w:rsidP="002A4BF2">
            <w:pPr>
              <w:spacing w:line="240" w:lineRule="auto"/>
              <w:rPr>
                <w:rFonts w:ascii="Garamond" w:hAnsi="Garamond" w:cs="Arial"/>
              </w:rPr>
            </w:pPr>
          </w:p>
          <w:p w14:paraId="093A48FC" w14:textId="77777777" w:rsidR="00EA1D77" w:rsidRPr="00CF44E4" w:rsidRDefault="00EA1D77" w:rsidP="002A4BF2">
            <w:pPr>
              <w:spacing w:line="240" w:lineRule="auto"/>
              <w:jc w:val="both"/>
              <w:rPr>
                <w:rFonts w:ascii="Garamond" w:hAnsi="Garamond" w:cs="Arial"/>
                <w:b/>
              </w:rPr>
            </w:pPr>
            <w:r w:rsidRPr="00CF44E4">
              <w:rPr>
                <w:rFonts w:ascii="Garamond" w:hAnsi="Garamond" w:cs="Arial"/>
                <w:b/>
              </w:rPr>
              <w:t>Especificaciones técnicas</w:t>
            </w:r>
          </w:p>
          <w:p w14:paraId="1C0EA625"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Ancho de panel: 2,50 Metros</w:t>
            </w:r>
          </w:p>
          <w:p w14:paraId="79088E90"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Altura del panel: 2,50 Metros</w:t>
            </w:r>
          </w:p>
          <w:p w14:paraId="58522232"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Hueco de la malla: 50x100 mm</w:t>
            </w:r>
          </w:p>
          <w:p w14:paraId="61F6C9FA" w14:textId="77777777" w:rsidR="00EA1D77" w:rsidRDefault="00EA1D77" w:rsidP="002A4BF2">
            <w:pPr>
              <w:spacing w:line="240" w:lineRule="auto"/>
              <w:jc w:val="both"/>
              <w:rPr>
                <w:rFonts w:ascii="Garamond" w:hAnsi="Garamond" w:cs="Arial"/>
              </w:rPr>
            </w:pPr>
          </w:p>
          <w:p w14:paraId="53AF78A6" w14:textId="6FB0A932" w:rsidR="00EA1D77" w:rsidRDefault="00EA1D77" w:rsidP="002A4BF2">
            <w:pPr>
              <w:spacing w:line="240" w:lineRule="auto"/>
              <w:jc w:val="both"/>
              <w:rPr>
                <w:rFonts w:ascii="Garamond" w:hAnsi="Garamond" w:cs="Arial"/>
              </w:rPr>
            </w:pPr>
            <w:r>
              <w:rPr>
                <w:rFonts w:ascii="Garamond" w:hAnsi="Garamond" w:cs="Arial"/>
              </w:rPr>
              <w:t xml:space="preserve">El ítem </w:t>
            </w:r>
            <w:r w:rsidR="00CE50EE">
              <w:rPr>
                <w:rFonts w:ascii="Garamond" w:hAnsi="Garamond" w:cs="Arial"/>
              </w:rPr>
              <w:t>APU</w:t>
            </w:r>
            <w:r>
              <w:rPr>
                <w:rFonts w:ascii="Garamond" w:hAnsi="Garamond" w:cs="Arial"/>
              </w:rPr>
              <w:t xml:space="preserve">-001 incluye cada uno de los elementos necesarios para la instalación del cerramiento de seguridad correspondientes a: </w:t>
            </w:r>
          </w:p>
          <w:p w14:paraId="0DB469AD" w14:textId="77777777" w:rsidR="00EA1D77" w:rsidRDefault="00EA1D77" w:rsidP="002A4BF2">
            <w:pPr>
              <w:spacing w:line="240" w:lineRule="auto"/>
              <w:jc w:val="both"/>
              <w:rPr>
                <w:rFonts w:ascii="Garamond" w:hAnsi="Garamond" w:cs="Arial"/>
              </w:rPr>
            </w:pPr>
          </w:p>
          <w:p w14:paraId="5D46BE81"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Panel</w:t>
            </w:r>
          </w:p>
          <w:p w14:paraId="7E073E97"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Taquete</w:t>
            </w:r>
          </w:p>
          <w:p w14:paraId="76F91DFD"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Abrazaderas</w:t>
            </w:r>
          </w:p>
          <w:p w14:paraId="4E006BEB"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Poste – tubo</w:t>
            </w:r>
          </w:p>
          <w:p w14:paraId="0138FDB4"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Tapón cuadrado</w:t>
            </w:r>
          </w:p>
          <w:p w14:paraId="02698204" w14:textId="77777777" w:rsidR="00EA1D77" w:rsidRDefault="00EA1D77" w:rsidP="003A1825">
            <w:pPr>
              <w:numPr>
                <w:ilvl w:val="0"/>
                <w:numId w:val="3"/>
              </w:numPr>
              <w:suppressAutoHyphens/>
              <w:spacing w:after="0" w:line="240" w:lineRule="auto"/>
              <w:jc w:val="both"/>
              <w:rPr>
                <w:rFonts w:ascii="Garamond" w:hAnsi="Garamond" w:cs="Arial"/>
              </w:rPr>
            </w:pPr>
            <w:r>
              <w:rPr>
                <w:rFonts w:ascii="Garamond" w:hAnsi="Garamond" w:cs="Arial"/>
              </w:rPr>
              <w:t>Base metálica*</w:t>
            </w:r>
          </w:p>
          <w:p w14:paraId="24AD7998" w14:textId="77777777" w:rsidR="00EA1D77" w:rsidRDefault="00EA1D77" w:rsidP="002A4BF2">
            <w:pPr>
              <w:spacing w:line="240" w:lineRule="auto"/>
              <w:ind w:left="720"/>
              <w:jc w:val="both"/>
              <w:rPr>
                <w:rFonts w:ascii="Garamond" w:hAnsi="Garamond" w:cs="Arial"/>
              </w:rPr>
            </w:pPr>
          </w:p>
          <w:p w14:paraId="2E1E8CA7" w14:textId="77777777" w:rsidR="00EA1D77" w:rsidRDefault="00EA1D77" w:rsidP="002A4BF2">
            <w:pPr>
              <w:spacing w:line="240" w:lineRule="auto"/>
              <w:jc w:val="both"/>
              <w:rPr>
                <w:rFonts w:ascii="Garamond" w:hAnsi="Garamond" w:cs="Arial"/>
                <w:b/>
                <w:bCs/>
              </w:rPr>
            </w:pPr>
            <w:r w:rsidRPr="00FD2E94">
              <w:rPr>
                <w:rFonts w:ascii="Garamond" w:hAnsi="Garamond" w:cs="Arial"/>
                <w:b/>
                <w:bCs/>
              </w:rPr>
              <w:lastRenderedPageBreak/>
              <w:t>*(No incluye dados en concreto para su instalación)</w:t>
            </w:r>
          </w:p>
          <w:p w14:paraId="6506B859" w14:textId="77777777" w:rsidR="00EA1D77" w:rsidRDefault="00EA1D77" w:rsidP="002A4BF2">
            <w:pPr>
              <w:spacing w:line="240" w:lineRule="auto"/>
              <w:jc w:val="both"/>
              <w:rPr>
                <w:rFonts w:ascii="Garamond" w:hAnsi="Garamond" w:cs="Arial"/>
                <w:b/>
                <w:bCs/>
              </w:rPr>
            </w:pPr>
          </w:p>
          <w:p w14:paraId="4DDB1013" w14:textId="77777777" w:rsidR="00EA1D77" w:rsidRPr="00FD2E94" w:rsidRDefault="00EA1D77" w:rsidP="002A4BF2">
            <w:pPr>
              <w:spacing w:line="240" w:lineRule="auto"/>
              <w:rPr>
                <w:rFonts w:ascii="Garamond" w:hAnsi="Garamond" w:cs="Arial"/>
                <w:b/>
                <w:bCs/>
              </w:rPr>
            </w:pPr>
          </w:p>
        </w:tc>
        <w:tc>
          <w:tcPr>
            <w:tcW w:w="1987" w:type="pct"/>
            <w:tcMar>
              <w:top w:w="0" w:type="dxa"/>
              <w:left w:w="70" w:type="dxa"/>
              <w:bottom w:w="0" w:type="dxa"/>
              <w:right w:w="70" w:type="dxa"/>
            </w:tcMar>
            <w:vAlign w:val="center"/>
          </w:tcPr>
          <w:p w14:paraId="6804940C" w14:textId="77777777" w:rsidR="00EA1D77" w:rsidRDefault="00EA1D77" w:rsidP="002A4BF2">
            <w:pPr>
              <w:pStyle w:val="Default"/>
              <w:jc w:val="center"/>
              <w:rPr>
                <w:noProof/>
              </w:rPr>
            </w:pPr>
          </w:p>
          <w:p w14:paraId="12B086D3" w14:textId="77777777" w:rsidR="00EA1D77" w:rsidRDefault="00EA1D77" w:rsidP="002A4BF2">
            <w:pPr>
              <w:pStyle w:val="Default"/>
              <w:jc w:val="center"/>
              <w:rPr>
                <w:noProof/>
              </w:rPr>
            </w:pPr>
            <w:r w:rsidRPr="007F2B5E">
              <w:rPr>
                <w:noProof/>
              </w:rPr>
              <w:drawing>
                <wp:inline distT="0" distB="0" distL="0" distR="0" wp14:anchorId="6F5B73BA" wp14:editId="2273A414">
                  <wp:extent cx="2477135" cy="2689860"/>
                  <wp:effectExtent l="0" t="0" r="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477135" cy="2689860"/>
                          </a:xfrm>
                          <a:prstGeom prst="rect">
                            <a:avLst/>
                          </a:prstGeom>
                          <a:noFill/>
                          <a:ln>
                            <a:noFill/>
                          </a:ln>
                        </pic:spPr>
                      </pic:pic>
                    </a:graphicData>
                  </a:graphic>
                </wp:inline>
              </w:drawing>
            </w:r>
          </w:p>
          <w:p w14:paraId="193106CD" w14:textId="77777777" w:rsidR="00EA1D77" w:rsidRDefault="00EA1D77" w:rsidP="002A4BF2">
            <w:pPr>
              <w:pStyle w:val="Default"/>
              <w:jc w:val="center"/>
              <w:rPr>
                <w:noProof/>
              </w:rPr>
            </w:pPr>
          </w:p>
          <w:p w14:paraId="08DE9827" w14:textId="77777777" w:rsidR="00EA1D77" w:rsidRDefault="00EA1D77" w:rsidP="002A4BF2">
            <w:pPr>
              <w:pStyle w:val="Default"/>
              <w:jc w:val="center"/>
              <w:rPr>
                <w:noProof/>
              </w:rPr>
            </w:pPr>
            <w:r w:rsidRPr="007F2B5E">
              <w:rPr>
                <w:noProof/>
              </w:rPr>
              <w:drawing>
                <wp:inline distT="0" distB="0" distL="0" distR="0" wp14:anchorId="496A5055" wp14:editId="0E98A825">
                  <wp:extent cx="2498725" cy="1541780"/>
                  <wp:effectExtent l="0" t="0" r="0" b="127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98725" cy="1541780"/>
                          </a:xfrm>
                          <a:prstGeom prst="rect">
                            <a:avLst/>
                          </a:prstGeom>
                          <a:noFill/>
                          <a:ln>
                            <a:noFill/>
                          </a:ln>
                        </pic:spPr>
                      </pic:pic>
                    </a:graphicData>
                  </a:graphic>
                </wp:inline>
              </w:drawing>
            </w:r>
          </w:p>
          <w:p w14:paraId="5E7FD40D" w14:textId="77777777" w:rsidR="00EA1D77" w:rsidRDefault="00EA1D77" w:rsidP="002A4BF2">
            <w:pPr>
              <w:pStyle w:val="Default"/>
              <w:jc w:val="center"/>
              <w:rPr>
                <w:noProof/>
              </w:rPr>
            </w:pPr>
          </w:p>
          <w:p w14:paraId="68F6E64A" w14:textId="77777777" w:rsidR="00EA1D77" w:rsidRDefault="00EA1D77" w:rsidP="002A4BF2">
            <w:pPr>
              <w:pStyle w:val="Default"/>
              <w:jc w:val="center"/>
              <w:rPr>
                <w:noProof/>
              </w:rPr>
            </w:pPr>
            <w:r w:rsidRPr="007F2B5E">
              <w:rPr>
                <w:noProof/>
              </w:rPr>
              <w:drawing>
                <wp:inline distT="0" distB="0" distL="0" distR="0" wp14:anchorId="11775010" wp14:editId="29472744">
                  <wp:extent cx="2137410" cy="1339850"/>
                  <wp:effectExtent l="0" t="0" r="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137410" cy="1339850"/>
                          </a:xfrm>
                          <a:prstGeom prst="rect">
                            <a:avLst/>
                          </a:prstGeom>
                          <a:noFill/>
                          <a:ln>
                            <a:noFill/>
                          </a:ln>
                        </pic:spPr>
                      </pic:pic>
                    </a:graphicData>
                  </a:graphic>
                </wp:inline>
              </w:drawing>
            </w:r>
          </w:p>
          <w:p w14:paraId="62ED907A" w14:textId="77777777" w:rsidR="00EA1D77" w:rsidRDefault="00EA1D77" w:rsidP="002A4BF2">
            <w:pPr>
              <w:pStyle w:val="Default"/>
              <w:jc w:val="center"/>
              <w:rPr>
                <w:noProof/>
              </w:rPr>
            </w:pPr>
            <w:r w:rsidRPr="007F2B5E">
              <w:rPr>
                <w:noProof/>
              </w:rPr>
              <w:lastRenderedPageBreak/>
              <w:drawing>
                <wp:inline distT="0" distB="0" distL="0" distR="0" wp14:anchorId="29BA310C" wp14:editId="66F86EED">
                  <wp:extent cx="2286000" cy="1754505"/>
                  <wp:effectExtent l="0" t="0" r="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286000" cy="1754505"/>
                          </a:xfrm>
                          <a:prstGeom prst="rect">
                            <a:avLst/>
                          </a:prstGeom>
                          <a:noFill/>
                          <a:ln>
                            <a:noFill/>
                          </a:ln>
                        </pic:spPr>
                      </pic:pic>
                    </a:graphicData>
                  </a:graphic>
                </wp:inline>
              </w:drawing>
            </w:r>
          </w:p>
          <w:p w14:paraId="4ECC923A" w14:textId="77777777" w:rsidR="00EA1D77" w:rsidRDefault="00EA1D77" w:rsidP="002A4BF2">
            <w:pPr>
              <w:pStyle w:val="Default"/>
              <w:jc w:val="center"/>
              <w:rPr>
                <w:noProof/>
              </w:rPr>
            </w:pPr>
            <w:r w:rsidRPr="007F2B5E">
              <w:rPr>
                <w:noProof/>
              </w:rPr>
              <w:drawing>
                <wp:inline distT="0" distB="0" distL="0" distR="0" wp14:anchorId="63C46492" wp14:editId="00531327">
                  <wp:extent cx="2700655" cy="1595120"/>
                  <wp:effectExtent l="0" t="0" r="4445" b="508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00655" cy="1595120"/>
                          </a:xfrm>
                          <a:prstGeom prst="rect">
                            <a:avLst/>
                          </a:prstGeom>
                          <a:noFill/>
                          <a:ln>
                            <a:noFill/>
                          </a:ln>
                        </pic:spPr>
                      </pic:pic>
                    </a:graphicData>
                  </a:graphic>
                </wp:inline>
              </w:drawing>
            </w:r>
          </w:p>
          <w:p w14:paraId="1912A938" w14:textId="77777777" w:rsidR="00EA1D77" w:rsidRDefault="00EA1D77" w:rsidP="002A4BF2">
            <w:pPr>
              <w:pStyle w:val="Default"/>
              <w:jc w:val="center"/>
              <w:rPr>
                <w:noProof/>
              </w:rPr>
            </w:pPr>
          </w:p>
          <w:p w14:paraId="7BF27D44" w14:textId="77777777" w:rsidR="00EA1D77" w:rsidRDefault="00EA1D77" w:rsidP="002A4BF2">
            <w:pPr>
              <w:pStyle w:val="Default"/>
              <w:jc w:val="center"/>
              <w:rPr>
                <w:noProof/>
              </w:rPr>
            </w:pPr>
            <w:r w:rsidRPr="007F2B5E">
              <w:rPr>
                <w:noProof/>
              </w:rPr>
              <w:drawing>
                <wp:inline distT="0" distB="0" distL="0" distR="0" wp14:anchorId="0E12780B" wp14:editId="7593EC4D">
                  <wp:extent cx="2700655" cy="1562735"/>
                  <wp:effectExtent l="0" t="0" r="4445" b="0"/>
                  <wp:docPr id="1475888063" name="Imagen 147588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700655" cy="1562735"/>
                          </a:xfrm>
                          <a:prstGeom prst="rect">
                            <a:avLst/>
                          </a:prstGeom>
                          <a:noFill/>
                          <a:ln>
                            <a:noFill/>
                          </a:ln>
                        </pic:spPr>
                      </pic:pic>
                    </a:graphicData>
                  </a:graphic>
                </wp:inline>
              </w:drawing>
            </w:r>
          </w:p>
          <w:p w14:paraId="20BC9530" w14:textId="77777777" w:rsidR="00EA1D77" w:rsidRDefault="00EA1D77" w:rsidP="002A4BF2">
            <w:pPr>
              <w:pStyle w:val="Default"/>
              <w:jc w:val="center"/>
              <w:rPr>
                <w:noProof/>
              </w:rPr>
            </w:pPr>
          </w:p>
          <w:p w14:paraId="7DB41319" w14:textId="77777777" w:rsidR="00EA1D77" w:rsidRDefault="00EA1D77" w:rsidP="002A4BF2">
            <w:pPr>
              <w:pStyle w:val="Default"/>
              <w:jc w:val="center"/>
              <w:rPr>
                <w:noProof/>
              </w:rPr>
            </w:pPr>
            <w:r w:rsidRPr="007F2B5E">
              <w:rPr>
                <w:noProof/>
              </w:rPr>
              <w:drawing>
                <wp:inline distT="0" distB="0" distL="0" distR="0" wp14:anchorId="46DD37EB" wp14:editId="2FB71EA5">
                  <wp:extent cx="2700655" cy="1477645"/>
                  <wp:effectExtent l="0" t="0" r="4445" b="8255"/>
                  <wp:docPr id="1475888062" name="Imagen 1475888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00655" cy="1477645"/>
                          </a:xfrm>
                          <a:prstGeom prst="rect">
                            <a:avLst/>
                          </a:prstGeom>
                          <a:noFill/>
                          <a:ln>
                            <a:noFill/>
                          </a:ln>
                        </pic:spPr>
                      </pic:pic>
                    </a:graphicData>
                  </a:graphic>
                </wp:inline>
              </w:drawing>
            </w:r>
          </w:p>
          <w:p w14:paraId="004D9CEC" w14:textId="77777777" w:rsidR="00EA1D77" w:rsidRPr="00B05CFA" w:rsidRDefault="00EA1D77" w:rsidP="002A4BF2">
            <w:pPr>
              <w:pStyle w:val="Default"/>
              <w:jc w:val="center"/>
              <w:rPr>
                <w:color w:val="auto"/>
                <w:sz w:val="20"/>
                <w:szCs w:val="20"/>
              </w:rPr>
            </w:pPr>
            <w:r w:rsidRPr="007F2B5E">
              <w:rPr>
                <w:noProof/>
              </w:rPr>
              <w:lastRenderedPageBreak/>
              <w:drawing>
                <wp:inline distT="0" distB="0" distL="0" distR="0" wp14:anchorId="1F1F657A" wp14:editId="1284C261">
                  <wp:extent cx="2700655" cy="2105025"/>
                  <wp:effectExtent l="0" t="0" r="4445" b="9525"/>
                  <wp:docPr id="1475888061" name="Imagen 1475888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00655" cy="2105025"/>
                          </a:xfrm>
                          <a:prstGeom prst="rect">
                            <a:avLst/>
                          </a:prstGeom>
                          <a:noFill/>
                          <a:ln>
                            <a:noFill/>
                          </a:ln>
                        </pic:spPr>
                      </pic:pic>
                    </a:graphicData>
                  </a:graphic>
                </wp:inline>
              </w:drawing>
            </w:r>
          </w:p>
        </w:tc>
        <w:tc>
          <w:tcPr>
            <w:tcW w:w="449" w:type="pct"/>
            <w:tcBorders>
              <w:top w:val="single" w:sz="4" w:space="0" w:color="auto"/>
              <w:left w:val="nil"/>
              <w:bottom w:val="single" w:sz="4" w:space="0" w:color="auto"/>
              <w:right w:val="single" w:sz="4" w:space="0" w:color="auto"/>
            </w:tcBorders>
            <w:shd w:val="clear" w:color="auto" w:fill="auto"/>
            <w:tcMar>
              <w:top w:w="0" w:type="dxa"/>
              <w:left w:w="70" w:type="dxa"/>
              <w:bottom w:w="0" w:type="dxa"/>
              <w:right w:w="70" w:type="dxa"/>
            </w:tcMar>
            <w:vAlign w:val="center"/>
          </w:tcPr>
          <w:p w14:paraId="3C89C082" w14:textId="186832BE" w:rsidR="00EA1D77" w:rsidRPr="00B05CFA" w:rsidRDefault="00D93591" w:rsidP="002A4BF2">
            <w:pPr>
              <w:spacing w:line="240" w:lineRule="auto"/>
              <w:jc w:val="center"/>
              <w:rPr>
                <w:rFonts w:ascii="Garamond" w:hAnsi="Garamond"/>
                <w:b/>
                <w:lang w:eastAsia="es-CO"/>
              </w:rPr>
            </w:pPr>
            <w:r>
              <w:rPr>
                <w:rFonts w:ascii="Garamond" w:hAnsi="Garamond"/>
                <w:b/>
              </w:rPr>
              <w:lastRenderedPageBreak/>
              <w:t>35</w:t>
            </w:r>
            <w:r w:rsidR="00EA1D77">
              <w:rPr>
                <w:rFonts w:ascii="Garamond" w:hAnsi="Garamond"/>
                <w:b/>
              </w:rPr>
              <w:t>,00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BAB0C9B" w14:textId="77777777" w:rsidR="00EA1D77" w:rsidRDefault="00EA1D77" w:rsidP="002A4BF2">
            <w:pPr>
              <w:spacing w:line="240" w:lineRule="auto"/>
              <w:jc w:val="center"/>
              <w:rPr>
                <w:rFonts w:ascii="Garamond" w:hAnsi="Garamond"/>
                <w:lang w:eastAsia="es-CO"/>
              </w:rPr>
            </w:pPr>
            <w:r>
              <w:rPr>
                <w:rFonts w:ascii="Garamond" w:hAnsi="Garamond"/>
              </w:rPr>
              <w:t>UN</w:t>
            </w:r>
          </w:p>
        </w:tc>
      </w:tr>
      <w:bookmarkEnd w:id="2"/>
      <w:tr w:rsidR="00EA1D77" w14:paraId="3BDAF634" w14:textId="77777777" w:rsidTr="00767A56">
        <w:trPr>
          <w:trHeight w:val="238"/>
        </w:trPr>
        <w:tc>
          <w:tcPr>
            <w:tcW w:w="257" w:type="pct"/>
          </w:tcPr>
          <w:p w14:paraId="2F77CDBF" w14:textId="77777777" w:rsidR="00EA1D77" w:rsidRPr="00B05CFA" w:rsidRDefault="00EA1D77" w:rsidP="002A4BF2">
            <w:pPr>
              <w:spacing w:line="240" w:lineRule="auto"/>
              <w:jc w:val="center"/>
              <w:rPr>
                <w:rFonts w:ascii="Garamond" w:hAnsi="Garamond" w:cs="Arial"/>
              </w:rPr>
            </w:pPr>
          </w:p>
          <w:p w14:paraId="221CF107" w14:textId="77777777" w:rsidR="00EA1D77" w:rsidRPr="00B05CFA" w:rsidRDefault="00EA1D77" w:rsidP="002A4BF2">
            <w:pPr>
              <w:spacing w:line="240" w:lineRule="auto"/>
              <w:jc w:val="center"/>
              <w:rPr>
                <w:rFonts w:ascii="Garamond" w:hAnsi="Garamond" w:cs="Arial"/>
              </w:rPr>
            </w:pPr>
          </w:p>
          <w:p w14:paraId="4B576ED0" w14:textId="77777777" w:rsidR="00EA1D77" w:rsidRPr="00B05CFA" w:rsidRDefault="00EA1D77" w:rsidP="002A4BF2">
            <w:pPr>
              <w:spacing w:line="240" w:lineRule="auto"/>
              <w:jc w:val="center"/>
              <w:rPr>
                <w:rFonts w:ascii="Garamond" w:hAnsi="Garamond" w:cs="Arial"/>
              </w:rPr>
            </w:pPr>
          </w:p>
          <w:p w14:paraId="7442F029" w14:textId="77777777" w:rsidR="00EA1D77" w:rsidRPr="00B05CFA" w:rsidRDefault="00EA1D77" w:rsidP="002A4BF2">
            <w:pPr>
              <w:spacing w:line="240" w:lineRule="auto"/>
              <w:jc w:val="center"/>
              <w:rPr>
                <w:rFonts w:ascii="Garamond" w:hAnsi="Garamond" w:cs="Arial"/>
              </w:rPr>
            </w:pPr>
          </w:p>
          <w:p w14:paraId="4704437D" w14:textId="77777777" w:rsidR="00EA1D77" w:rsidRDefault="00EA1D77" w:rsidP="002A4BF2">
            <w:pPr>
              <w:spacing w:line="240" w:lineRule="auto"/>
              <w:jc w:val="center"/>
              <w:rPr>
                <w:rFonts w:ascii="Garamond" w:hAnsi="Garamond" w:cs="Arial"/>
              </w:rPr>
            </w:pPr>
          </w:p>
          <w:p w14:paraId="099DF026" w14:textId="77777777" w:rsidR="00EA1D77" w:rsidRDefault="00EA1D77" w:rsidP="002A4BF2">
            <w:pPr>
              <w:spacing w:line="240" w:lineRule="auto"/>
              <w:jc w:val="center"/>
              <w:rPr>
                <w:rFonts w:ascii="Garamond" w:hAnsi="Garamond" w:cs="Arial"/>
              </w:rPr>
            </w:pPr>
          </w:p>
          <w:p w14:paraId="0B129E33" w14:textId="77777777" w:rsidR="00EA1D77" w:rsidRDefault="00EA1D77" w:rsidP="002A4BF2">
            <w:pPr>
              <w:spacing w:line="240" w:lineRule="auto"/>
              <w:jc w:val="center"/>
              <w:rPr>
                <w:rFonts w:ascii="Garamond" w:hAnsi="Garamond" w:cs="Arial"/>
              </w:rPr>
            </w:pPr>
          </w:p>
          <w:p w14:paraId="644BCD70" w14:textId="77777777" w:rsidR="00EA1D77" w:rsidRDefault="00EA1D77" w:rsidP="002A4BF2">
            <w:pPr>
              <w:spacing w:line="240" w:lineRule="auto"/>
              <w:jc w:val="center"/>
              <w:rPr>
                <w:rFonts w:ascii="Garamond" w:hAnsi="Garamond" w:cs="Arial"/>
              </w:rPr>
            </w:pPr>
          </w:p>
          <w:p w14:paraId="4B152365" w14:textId="77777777" w:rsidR="00EA1D77" w:rsidRDefault="00EA1D77" w:rsidP="002A4BF2">
            <w:pPr>
              <w:spacing w:line="240" w:lineRule="auto"/>
              <w:jc w:val="center"/>
              <w:rPr>
                <w:rFonts w:ascii="Garamond" w:hAnsi="Garamond" w:cs="Arial"/>
              </w:rPr>
            </w:pPr>
          </w:p>
          <w:p w14:paraId="04FBAE24" w14:textId="77777777" w:rsidR="00EA1D77" w:rsidRDefault="00EA1D77" w:rsidP="002A4BF2">
            <w:pPr>
              <w:spacing w:line="240" w:lineRule="auto"/>
              <w:jc w:val="center"/>
              <w:rPr>
                <w:rFonts w:ascii="Garamond" w:hAnsi="Garamond" w:cs="Arial"/>
              </w:rPr>
            </w:pPr>
          </w:p>
          <w:p w14:paraId="46544364" w14:textId="77777777" w:rsidR="00EA1D77" w:rsidRDefault="00EA1D77" w:rsidP="002A4BF2">
            <w:pPr>
              <w:spacing w:line="240" w:lineRule="auto"/>
              <w:jc w:val="center"/>
              <w:rPr>
                <w:rFonts w:ascii="Garamond" w:hAnsi="Garamond" w:cs="Arial"/>
              </w:rPr>
            </w:pPr>
          </w:p>
          <w:p w14:paraId="29AA2287" w14:textId="77777777" w:rsidR="00EA1D77" w:rsidRDefault="00EA1D77" w:rsidP="002A4BF2">
            <w:pPr>
              <w:spacing w:line="240" w:lineRule="auto"/>
              <w:jc w:val="center"/>
              <w:rPr>
                <w:rFonts w:ascii="Garamond" w:hAnsi="Garamond" w:cs="Arial"/>
              </w:rPr>
            </w:pPr>
          </w:p>
          <w:p w14:paraId="7EFB6EA7" w14:textId="77777777" w:rsidR="00EA1D77" w:rsidRPr="00B05CFA" w:rsidRDefault="00EA1D77" w:rsidP="002A4BF2">
            <w:pPr>
              <w:spacing w:line="240" w:lineRule="auto"/>
              <w:jc w:val="center"/>
              <w:rPr>
                <w:rFonts w:ascii="Garamond" w:hAnsi="Garamond" w:cs="Arial"/>
              </w:rPr>
            </w:pPr>
            <w:r>
              <w:rPr>
                <w:rFonts w:ascii="Garamond" w:hAnsi="Garamond" w:cs="Arial"/>
              </w:rPr>
              <w:t>2</w:t>
            </w:r>
          </w:p>
        </w:tc>
        <w:tc>
          <w:tcPr>
            <w:tcW w:w="769" w:type="pct"/>
            <w:tcMar>
              <w:top w:w="0" w:type="dxa"/>
              <w:left w:w="70" w:type="dxa"/>
              <w:bottom w:w="0" w:type="dxa"/>
              <w:right w:w="70" w:type="dxa"/>
            </w:tcMar>
            <w:vAlign w:val="center"/>
          </w:tcPr>
          <w:p w14:paraId="0ED1062A" w14:textId="77777777" w:rsidR="00EA1D77" w:rsidRPr="00B05CFA" w:rsidRDefault="00EA1D77" w:rsidP="002A4BF2">
            <w:pPr>
              <w:spacing w:line="240" w:lineRule="auto"/>
              <w:jc w:val="both"/>
              <w:rPr>
                <w:rFonts w:ascii="Garamond" w:hAnsi="Garamond" w:cs="Arial"/>
              </w:rPr>
            </w:pPr>
            <w:r w:rsidRPr="00FD2E94">
              <w:rPr>
                <w:rFonts w:ascii="Garamond" w:hAnsi="Garamond" w:cs="Arial"/>
              </w:rPr>
              <w:t>Dado concreto 2500 PSI 30x30x50 sin refuerzo + formal</w:t>
            </w:r>
          </w:p>
        </w:tc>
        <w:tc>
          <w:tcPr>
            <w:tcW w:w="1090" w:type="pct"/>
            <w:shd w:val="clear" w:color="auto" w:fill="auto"/>
            <w:tcMar>
              <w:top w:w="0" w:type="dxa"/>
              <w:left w:w="70" w:type="dxa"/>
              <w:bottom w:w="0" w:type="dxa"/>
              <w:right w:w="70" w:type="dxa"/>
            </w:tcMar>
            <w:vAlign w:val="center"/>
          </w:tcPr>
          <w:p w14:paraId="03E638BA" w14:textId="77777777" w:rsidR="00EA1D77" w:rsidRDefault="00EA1D77" w:rsidP="002A4BF2">
            <w:pPr>
              <w:spacing w:line="240" w:lineRule="auto"/>
              <w:jc w:val="both"/>
              <w:rPr>
                <w:rFonts w:ascii="Garamond" w:hAnsi="Garamond" w:cs="Arial"/>
              </w:rPr>
            </w:pPr>
            <w:r w:rsidRPr="00910AF4">
              <w:rPr>
                <w:rFonts w:ascii="Garamond" w:hAnsi="Garamond" w:cs="Arial"/>
              </w:rPr>
              <w:t>Ejecución de dado de cimentación en concreto simple, con resistencia característica a la compresión de 2.500 PSI (17.5 MPa) a 28 días, de dimensiones 30 x 30 cm en planta y 50 cm de altura, fundido en el sitio.</w:t>
            </w:r>
          </w:p>
          <w:p w14:paraId="321AE547" w14:textId="77777777" w:rsidR="00EA1D77" w:rsidRDefault="00EA1D77" w:rsidP="002A4BF2">
            <w:pPr>
              <w:spacing w:line="240" w:lineRule="auto"/>
              <w:rPr>
                <w:rFonts w:ascii="Garamond" w:hAnsi="Garamond" w:cs="Arial"/>
              </w:rPr>
            </w:pPr>
          </w:p>
          <w:p w14:paraId="4CDAA6FD" w14:textId="77777777" w:rsidR="00EA1D77" w:rsidRDefault="00EA1D77" w:rsidP="002A4BF2">
            <w:pPr>
              <w:spacing w:line="240" w:lineRule="auto"/>
              <w:jc w:val="both"/>
              <w:rPr>
                <w:rFonts w:ascii="Garamond" w:hAnsi="Garamond" w:cs="Arial"/>
                <w:b/>
              </w:rPr>
            </w:pPr>
            <w:r w:rsidRPr="00CF44E4">
              <w:rPr>
                <w:rFonts w:ascii="Garamond" w:hAnsi="Garamond" w:cs="Arial"/>
                <w:b/>
              </w:rPr>
              <w:t>Especificaciones técnicas</w:t>
            </w:r>
          </w:p>
          <w:p w14:paraId="7B451BB6" w14:textId="77777777" w:rsidR="00EA1D77" w:rsidRPr="005E3D29" w:rsidRDefault="00EA1D77" w:rsidP="002A4BF2">
            <w:pPr>
              <w:spacing w:line="240" w:lineRule="auto"/>
              <w:jc w:val="both"/>
              <w:rPr>
                <w:rFonts w:ascii="Garamond" w:hAnsi="Garamond" w:cs="Arial"/>
                <w:bCs/>
              </w:rPr>
            </w:pPr>
            <w:r w:rsidRPr="005E3D29">
              <w:rPr>
                <w:rFonts w:ascii="Garamond" w:hAnsi="Garamond" w:cs="Arial"/>
                <w:bCs/>
              </w:rPr>
              <w:t>Resistencia: f´c = 2.500 PSI (17.5 MPa).</w:t>
            </w:r>
          </w:p>
          <w:p w14:paraId="25451339" w14:textId="77777777" w:rsidR="00EA1D77" w:rsidRPr="005E3D29" w:rsidRDefault="00EA1D77" w:rsidP="002A4BF2">
            <w:pPr>
              <w:spacing w:line="240" w:lineRule="auto"/>
              <w:jc w:val="both"/>
              <w:rPr>
                <w:rFonts w:ascii="Garamond" w:hAnsi="Garamond" w:cs="Arial"/>
                <w:bCs/>
              </w:rPr>
            </w:pPr>
            <w:r w:rsidRPr="005E3D29">
              <w:rPr>
                <w:rFonts w:ascii="Garamond" w:hAnsi="Garamond" w:cs="Arial"/>
                <w:bCs/>
              </w:rPr>
              <w:t>Dosificación según diseño de mezcla aprobado.</w:t>
            </w:r>
          </w:p>
          <w:p w14:paraId="65FF4028" w14:textId="77777777" w:rsidR="00EA1D77" w:rsidRPr="005E3D29" w:rsidRDefault="00EA1D77" w:rsidP="002A4BF2">
            <w:pPr>
              <w:spacing w:line="240" w:lineRule="auto"/>
              <w:jc w:val="both"/>
              <w:rPr>
                <w:rFonts w:ascii="Garamond" w:hAnsi="Garamond" w:cs="Arial"/>
                <w:bCs/>
              </w:rPr>
            </w:pPr>
            <w:r w:rsidRPr="005E3D29">
              <w:rPr>
                <w:rFonts w:ascii="Garamond" w:hAnsi="Garamond" w:cs="Arial"/>
                <w:bCs/>
              </w:rPr>
              <w:t>Agregados cumpliendo NTC 174 / ASTM C33.</w:t>
            </w:r>
          </w:p>
          <w:p w14:paraId="0C4D1F31" w14:textId="77777777" w:rsidR="00EA1D77" w:rsidRPr="005E3D29" w:rsidRDefault="00EA1D77" w:rsidP="002A4BF2">
            <w:pPr>
              <w:spacing w:line="240" w:lineRule="auto"/>
              <w:jc w:val="both"/>
              <w:rPr>
                <w:rFonts w:ascii="Garamond" w:hAnsi="Garamond" w:cs="Arial"/>
                <w:bCs/>
              </w:rPr>
            </w:pPr>
            <w:r w:rsidRPr="005E3D29">
              <w:rPr>
                <w:rFonts w:ascii="Garamond" w:hAnsi="Garamond" w:cs="Arial"/>
                <w:bCs/>
              </w:rPr>
              <w:t>Sin refuerzo interno (elemento no estructural).</w:t>
            </w:r>
          </w:p>
          <w:p w14:paraId="05B25A6B" w14:textId="77777777" w:rsidR="00EA1D77" w:rsidRPr="00FD2E94" w:rsidRDefault="00EA1D77" w:rsidP="002A4BF2">
            <w:pPr>
              <w:spacing w:line="240" w:lineRule="auto"/>
              <w:jc w:val="both"/>
              <w:rPr>
                <w:rFonts w:ascii="Garamond" w:hAnsi="Garamond" w:cs="Arial"/>
                <w:b/>
                <w:bCs/>
              </w:rPr>
            </w:pPr>
            <w:r w:rsidRPr="005E3D29">
              <w:rPr>
                <w:rFonts w:ascii="Garamond" w:hAnsi="Garamond" w:cs="Arial"/>
                <w:bCs/>
              </w:rPr>
              <w:t>Dimensiones finales: 0.30 m x 0.30 m x 0.50 m = 0.045 m³.</w:t>
            </w:r>
          </w:p>
        </w:tc>
        <w:tc>
          <w:tcPr>
            <w:tcW w:w="1987" w:type="pct"/>
            <w:tcMar>
              <w:top w:w="0" w:type="dxa"/>
              <w:left w:w="70" w:type="dxa"/>
              <w:bottom w:w="0" w:type="dxa"/>
              <w:right w:w="70" w:type="dxa"/>
            </w:tcMar>
            <w:vAlign w:val="center"/>
          </w:tcPr>
          <w:p w14:paraId="26437684" w14:textId="77777777" w:rsidR="00EA1D77" w:rsidRDefault="00EA1D77" w:rsidP="002A4BF2">
            <w:pPr>
              <w:pStyle w:val="Default"/>
              <w:jc w:val="center"/>
              <w:rPr>
                <w:noProof/>
              </w:rPr>
            </w:pPr>
          </w:p>
          <w:p w14:paraId="05266FE9" w14:textId="77777777" w:rsidR="00EA1D77" w:rsidRDefault="00EA1D77" w:rsidP="002A4BF2">
            <w:pPr>
              <w:pStyle w:val="Default"/>
              <w:jc w:val="center"/>
              <w:rPr>
                <w:noProof/>
              </w:rPr>
            </w:pPr>
            <w:r w:rsidRPr="007F2B5E">
              <w:rPr>
                <w:noProof/>
              </w:rPr>
              <w:drawing>
                <wp:inline distT="0" distB="0" distL="0" distR="0" wp14:anchorId="0A21BA8A" wp14:editId="4AFDF58E">
                  <wp:extent cx="2052320" cy="2519680"/>
                  <wp:effectExtent l="0" t="0" r="5080" b="0"/>
                  <wp:docPr id="1475888060" name="Imagen 1475888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52320" cy="2519680"/>
                          </a:xfrm>
                          <a:prstGeom prst="rect">
                            <a:avLst/>
                          </a:prstGeom>
                          <a:noFill/>
                          <a:ln>
                            <a:noFill/>
                          </a:ln>
                        </pic:spPr>
                      </pic:pic>
                    </a:graphicData>
                  </a:graphic>
                </wp:inline>
              </w:drawing>
            </w:r>
          </w:p>
          <w:p w14:paraId="2E9FFBD6" w14:textId="77777777" w:rsidR="00EA1D77" w:rsidRPr="00B05CFA" w:rsidRDefault="00EA1D77" w:rsidP="002A4BF2">
            <w:pPr>
              <w:pStyle w:val="Default"/>
              <w:jc w:val="center"/>
              <w:rPr>
                <w:color w:val="auto"/>
                <w:sz w:val="20"/>
                <w:szCs w:val="20"/>
              </w:rPr>
            </w:pPr>
          </w:p>
        </w:tc>
        <w:tc>
          <w:tcPr>
            <w:tcW w:w="449" w:type="pct"/>
            <w:tcBorders>
              <w:top w:val="single" w:sz="4" w:space="0" w:color="auto"/>
              <w:left w:val="nil"/>
              <w:bottom w:val="single" w:sz="4" w:space="0" w:color="auto"/>
              <w:right w:val="single" w:sz="4" w:space="0" w:color="auto"/>
            </w:tcBorders>
            <w:shd w:val="clear" w:color="auto" w:fill="auto"/>
            <w:tcMar>
              <w:top w:w="0" w:type="dxa"/>
              <w:left w:w="70" w:type="dxa"/>
              <w:bottom w:w="0" w:type="dxa"/>
              <w:right w:w="70" w:type="dxa"/>
            </w:tcMar>
            <w:vAlign w:val="center"/>
          </w:tcPr>
          <w:p w14:paraId="4A8D1171" w14:textId="43523502" w:rsidR="00EA1D77" w:rsidRPr="00B05CFA" w:rsidRDefault="00D93591" w:rsidP="002A4BF2">
            <w:pPr>
              <w:spacing w:line="240" w:lineRule="auto"/>
              <w:jc w:val="center"/>
              <w:rPr>
                <w:rFonts w:ascii="Garamond" w:hAnsi="Garamond"/>
                <w:b/>
                <w:lang w:eastAsia="es-CO"/>
              </w:rPr>
            </w:pPr>
            <w:r>
              <w:rPr>
                <w:rFonts w:ascii="Garamond" w:hAnsi="Garamond"/>
                <w:b/>
              </w:rPr>
              <w:t>35</w:t>
            </w:r>
            <w:r w:rsidR="00EA1D77">
              <w:rPr>
                <w:rFonts w:ascii="Garamond" w:hAnsi="Garamond"/>
                <w:b/>
              </w:rPr>
              <w:t>,00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0E2E795" w14:textId="77777777" w:rsidR="00EA1D77" w:rsidRDefault="00EA1D77" w:rsidP="002A4BF2">
            <w:pPr>
              <w:spacing w:line="240" w:lineRule="auto"/>
              <w:jc w:val="center"/>
              <w:rPr>
                <w:rFonts w:ascii="Garamond" w:hAnsi="Garamond"/>
                <w:lang w:eastAsia="es-CO"/>
              </w:rPr>
            </w:pPr>
            <w:r>
              <w:rPr>
                <w:rFonts w:ascii="Garamond" w:hAnsi="Garamond"/>
              </w:rPr>
              <w:t>UN</w:t>
            </w:r>
          </w:p>
        </w:tc>
      </w:tr>
    </w:tbl>
    <w:p w14:paraId="5A23EFC6" w14:textId="5657A920" w:rsidR="00EA1D77" w:rsidRDefault="00EA1D77" w:rsidP="002A4BF2">
      <w:pPr>
        <w:spacing w:line="240" w:lineRule="auto"/>
        <w:jc w:val="both"/>
        <w:rPr>
          <w:color w:val="FF0000"/>
        </w:rPr>
      </w:pPr>
    </w:p>
    <w:p w14:paraId="7C000EF5" w14:textId="1DB53095" w:rsidR="00D01498" w:rsidRDefault="00D01498" w:rsidP="002A4BF2">
      <w:pPr>
        <w:spacing w:line="240" w:lineRule="auto"/>
        <w:jc w:val="both"/>
        <w:rPr>
          <w:rFonts w:ascii="Garamond" w:hAnsi="Garamond"/>
        </w:rPr>
      </w:pPr>
      <w:r w:rsidRPr="00D01498">
        <w:rPr>
          <w:rFonts w:ascii="Garamond" w:hAnsi="Garamond"/>
        </w:rPr>
        <w:t xml:space="preserve">Que, el FDLAN, en cumplimiento del principio de planeación previsto en el artículo 25 de la Ley 80 de 1993, realizó el Análisis de Precios Unitarios (APU) correspondiente a la actividad denominada APU 001 “Suministro e instalación de cerramiento de seguridad tipo panel Reyco electrosoldado 2.5 m x 2.5 m”. Dicho análisis se elaboró con base en la información obtenida de UNA (1) cotización solicitada el 6 de </w:t>
      </w:r>
      <w:r w:rsidRPr="00D01498">
        <w:rPr>
          <w:rFonts w:ascii="Garamond" w:hAnsi="Garamond"/>
        </w:rPr>
        <w:lastRenderedPageBreak/>
        <w:t xml:space="preserve">agosto de 2025 por parte del proveedor REYCO S.A.S, complementada con los precios de referencia publicados por el Instituto Distrital de Recreación y Deporte – IDRD en su última actualización (marzo </w:t>
      </w:r>
      <w:r w:rsidR="008815C9" w:rsidRPr="008815C9">
        <w:drawing>
          <wp:anchor distT="0" distB="0" distL="114300" distR="114300" simplePos="0" relativeHeight="251730944" behindDoc="0" locked="0" layoutInCell="1" allowOverlap="1" wp14:anchorId="3447B556" wp14:editId="6792E908">
            <wp:simplePos x="0" y="0"/>
            <wp:positionH relativeFrom="column">
              <wp:posOffset>-38735</wp:posOffset>
            </wp:positionH>
            <wp:positionV relativeFrom="paragraph">
              <wp:posOffset>567055</wp:posOffset>
            </wp:positionV>
            <wp:extent cx="6055213" cy="5041900"/>
            <wp:effectExtent l="0" t="0" r="3175" b="635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055213" cy="5041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1498">
        <w:rPr>
          <w:rFonts w:ascii="Garamond" w:hAnsi="Garamond"/>
        </w:rPr>
        <w:t>de 2025).</w:t>
      </w:r>
    </w:p>
    <w:p w14:paraId="4ABF093A" w14:textId="78F658AF" w:rsidR="00D01498" w:rsidRDefault="00D01498" w:rsidP="002A4BF2">
      <w:pPr>
        <w:spacing w:line="240" w:lineRule="auto"/>
        <w:jc w:val="both"/>
        <w:rPr>
          <w:rFonts w:ascii="Garamond" w:hAnsi="Garamond"/>
        </w:rPr>
      </w:pPr>
    </w:p>
    <w:p w14:paraId="132DC5D2" w14:textId="5E0AD6D7" w:rsidR="00D01498" w:rsidRDefault="00D01498" w:rsidP="002A4BF2">
      <w:pPr>
        <w:spacing w:line="240" w:lineRule="auto"/>
        <w:jc w:val="both"/>
        <w:rPr>
          <w:rFonts w:ascii="Garamond" w:hAnsi="Garamond"/>
        </w:rPr>
      </w:pPr>
    </w:p>
    <w:p w14:paraId="60E0CFDE" w14:textId="2B9368B8" w:rsidR="00D01498" w:rsidRDefault="00D01498" w:rsidP="002A4BF2">
      <w:pPr>
        <w:spacing w:line="240" w:lineRule="auto"/>
        <w:jc w:val="both"/>
        <w:rPr>
          <w:rFonts w:ascii="Garamond" w:hAnsi="Garamond"/>
        </w:rPr>
      </w:pPr>
    </w:p>
    <w:p w14:paraId="512511FE" w14:textId="16300B20" w:rsidR="00D01498" w:rsidRDefault="00D01498" w:rsidP="002A4BF2">
      <w:pPr>
        <w:spacing w:line="240" w:lineRule="auto"/>
        <w:jc w:val="both"/>
        <w:rPr>
          <w:rFonts w:ascii="Garamond" w:hAnsi="Garamond"/>
        </w:rPr>
      </w:pPr>
    </w:p>
    <w:p w14:paraId="4C2799E6" w14:textId="2647ED24" w:rsidR="00D01498" w:rsidRDefault="00D01498" w:rsidP="002A4BF2">
      <w:pPr>
        <w:spacing w:line="240" w:lineRule="auto"/>
        <w:jc w:val="both"/>
        <w:rPr>
          <w:rFonts w:ascii="Garamond" w:hAnsi="Garamond"/>
        </w:rPr>
      </w:pPr>
    </w:p>
    <w:p w14:paraId="306136BA" w14:textId="1C7D3D56" w:rsidR="00D01498" w:rsidRDefault="00D01498" w:rsidP="002A4BF2">
      <w:pPr>
        <w:spacing w:line="240" w:lineRule="auto"/>
        <w:jc w:val="both"/>
        <w:rPr>
          <w:rFonts w:ascii="Garamond" w:hAnsi="Garamond"/>
        </w:rPr>
      </w:pPr>
    </w:p>
    <w:p w14:paraId="0BA6D5D3" w14:textId="1A65C15E" w:rsidR="00D01498" w:rsidRDefault="00D01498" w:rsidP="002A4BF2">
      <w:pPr>
        <w:spacing w:line="240" w:lineRule="auto"/>
        <w:jc w:val="both"/>
        <w:rPr>
          <w:rFonts w:ascii="Garamond" w:hAnsi="Garamond"/>
        </w:rPr>
      </w:pPr>
    </w:p>
    <w:p w14:paraId="4CB7F216" w14:textId="47CF2603" w:rsidR="00D01498" w:rsidRDefault="00D01498" w:rsidP="002A4BF2">
      <w:pPr>
        <w:spacing w:line="240" w:lineRule="auto"/>
        <w:jc w:val="both"/>
        <w:rPr>
          <w:rFonts w:ascii="Garamond" w:hAnsi="Garamond"/>
        </w:rPr>
      </w:pPr>
    </w:p>
    <w:p w14:paraId="70F209C5" w14:textId="106DABC0" w:rsidR="00D01498" w:rsidRDefault="00D01498" w:rsidP="002A4BF2">
      <w:pPr>
        <w:spacing w:line="240" w:lineRule="auto"/>
        <w:jc w:val="both"/>
        <w:rPr>
          <w:rFonts w:ascii="Garamond" w:hAnsi="Garamond"/>
        </w:rPr>
      </w:pPr>
    </w:p>
    <w:p w14:paraId="5A62AEDA" w14:textId="16DAD3B0" w:rsidR="00D01498" w:rsidRDefault="00D01498" w:rsidP="002A4BF2">
      <w:pPr>
        <w:spacing w:line="240" w:lineRule="auto"/>
        <w:jc w:val="both"/>
        <w:rPr>
          <w:rFonts w:ascii="Garamond" w:hAnsi="Garamond"/>
        </w:rPr>
      </w:pPr>
    </w:p>
    <w:p w14:paraId="63F7CF64" w14:textId="34DC21F8" w:rsidR="00D01498" w:rsidRDefault="00D01498" w:rsidP="002A4BF2">
      <w:pPr>
        <w:spacing w:line="240" w:lineRule="auto"/>
        <w:jc w:val="both"/>
        <w:rPr>
          <w:rFonts w:ascii="Garamond" w:hAnsi="Garamond"/>
        </w:rPr>
      </w:pPr>
    </w:p>
    <w:p w14:paraId="7C0FFD7C" w14:textId="0C7C6873" w:rsidR="00D01498" w:rsidRDefault="00D01498" w:rsidP="002A4BF2">
      <w:pPr>
        <w:spacing w:line="240" w:lineRule="auto"/>
        <w:jc w:val="both"/>
        <w:rPr>
          <w:rFonts w:ascii="Garamond" w:hAnsi="Garamond"/>
        </w:rPr>
      </w:pPr>
    </w:p>
    <w:p w14:paraId="1BBFB48F" w14:textId="247E8EF1" w:rsidR="00D01498" w:rsidRDefault="00D01498" w:rsidP="002A4BF2">
      <w:pPr>
        <w:spacing w:line="240" w:lineRule="auto"/>
        <w:jc w:val="both"/>
        <w:rPr>
          <w:rFonts w:ascii="Garamond" w:hAnsi="Garamond"/>
        </w:rPr>
      </w:pPr>
    </w:p>
    <w:p w14:paraId="263E87D9" w14:textId="47EE5092" w:rsidR="00D01498" w:rsidRDefault="00D01498" w:rsidP="002A4BF2">
      <w:pPr>
        <w:spacing w:line="240" w:lineRule="auto"/>
        <w:jc w:val="both"/>
        <w:rPr>
          <w:rFonts w:ascii="Garamond" w:hAnsi="Garamond"/>
        </w:rPr>
      </w:pPr>
    </w:p>
    <w:p w14:paraId="1C95C87C" w14:textId="3938EF8D" w:rsidR="00D01498" w:rsidRDefault="00D01498" w:rsidP="002A4BF2">
      <w:pPr>
        <w:spacing w:line="240" w:lineRule="auto"/>
        <w:jc w:val="both"/>
        <w:rPr>
          <w:rFonts w:ascii="Garamond" w:hAnsi="Garamond"/>
        </w:rPr>
      </w:pPr>
    </w:p>
    <w:p w14:paraId="584AB808" w14:textId="4582F382" w:rsidR="00D01498" w:rsidRDefault="00D01498" w:rsidP="002A4BF2">
      <w:pPr>
        <w:spacing w:line="240" w:lineRule="auto"/>
        <w:jc w:val="both"/>
        <w:rPr>
          <w:rFonts w:ascii="Garamond" w:hAnsi="Garamond"/>
        </w:rPr>
      </w:pPr>
    </w:p>
    <w:p w14:paraId="4BC48B95" w14:textId="4E2BA64C" w:rsidR="00D01498" w:rsidRDefault="00D01498" w:rsidP="002A4BF2">
      <w:pPr>
        <w:spacing w:line="240" w:lineRule="auto"/>
        <w:jc w:val="both"/>
        <w:rPr>
          <w:rFonts w:ascii="Garamond" w:hAnsi="Garamond"/>
        </w:rPr>
      </w:pPr>
    </w:p>
    <w:p w14:paraId="7B97A346" w14:textId="035FA354" w:rsidR="00D01498" w:rsidRDefault="00D01498" w:rsidP="002A4BF2">
      <w:pPr>
        <w:spacing w:line="240" w:lineRule="auto"/>
        <w:jc w:val="both"/>
        <w:rPr>
          <w:rFonts w:ascii="Garamond" w:hAnsi="Garamond"/>
        </w:rPr>
      </w:pPr>
    </w:p>
    <w:p w14:paraId="07097A67" w14:textId="11A96D54" w:rsidR="00D01498" w:rsidRDefault="00D01498" w:rsidP="002A4BF2">
      <w:pPr>
        <w:spacing w:line="240" w:lineRule="auto"/>
        <w:jc w:val="both"/>
        <w:rPr>
          <w:rFonts w:ascii="Garamond" w:hAnsi="Garamond"/>
        </w:rPr>
      </w:pPr>
    </w:p>
    <w:p w14:paraId="7DFCF583" w14:textId="77777777" w:rsidR="00061F42" w:rsidRDefault="00061F42" w:rsidP="00D01498">
      <w:pPr>
        <w:tabs>
          <w:tab w:val="left" w:pos="38"/>
        </w:tabs>
        <w:jc w:val="center"/>
        <w:rPr>
          <w:rFonts w:ascii="Garamond" w:hAnsi="Garamond" w:cs="Arial"/>
          <w:szCs w:val="20"/>
        </w:rPr>
      </w:pPr>
    </w:p>
    <w:p w14:paraId="0B57C38A" w14:textId="458A61D6" w:rsidR="00D01498" w:rsidRPr="00D01498" w:rsidRDefault="00D01498" w:rsidP="00D01498">
      <w:pPr>
        <w:tabs>
          <w:tab w:val="left" w:pos="38"/>
        </w:tabs>
        <w:jc w:val="center"/>
        <w:rPr>
          <w:rFonts w:ascii="Garamond" w:hAnsi="Garamond" w:cs="Arial"/>
          <w:szCs w:val="20"/>
        </w:rPr>
      </w:pPr>
      <w:r w:rsidRPr="00D01498">
        <w:rPr>
          <w:rFonts w:ascii="Garamond" w:hAnsi="Garamond" w:cs="Arial"/>
          <w:szCs w:val="20"/>
        </w:rPr>
        <w:t xml:space="preserve">Análisis de precios unitarios – APU 001, ítem </w:t>
      </w:r>
      <w:r w:rsidRPr="00D01498">
        <w:rPr>
          <w:rFonts w:ascii="Garamond" w:hAnsi="Garamond" w:cs="Arial"/>
          <w:i/>
          <w:iCs/>
          <w:szCs w:val="20"/>
        </w:rPr>
        <w:t xml:space="preserve">SUMINISTRO E INSTALACIÓN CERRAMIENTO DE SEGURIDAD </w:t>
      </w:r>
      <w:r w:rsidR="00A10BAD">
        <w:rPr>
          <w:rFonts w:ascii="Garamond" w:hAnsi="Garamond" w:cs="Arial"/>
          <w:i/>
          <w:iCs/>
          <w:szCs w:val="20"/>
        </w:rPr>
        <w:t xml:space="preserve">TIPO </w:t>
      </w:r>
      <w:r w:rsidRPr="00D01498">
        <w:rPr>
          <w:rFonts w:ascii="Garamond" w:hAnsi="Garamond" w:cs="Arial"/>
          <w:i/>
          <w:iCs/>
          <w:szCs w:val="20"/>
        </w:rPr>
        <w:t>PANEL REYCO ELECTROSOLDADO 2.5 MT X 2.5 MT</w:t>
      </w:r>
      <w:r>
        <w:rPr>
          <w:rFonts w:ascii="Garamond" w:hAnsi="Garamond" w:cs="Arial"/>
          <w:i/>
          <w:iCs/>
          <w:szCs w:val="20"/>
        </w:rPr>
        <w:t xml:space="preserve"> </w:t>
      </w:r>
      <w:r w:rsidRPr="00D01498">
        <w:rPr>
          <w:rFonts w:ascii="Garamond" w:hAnsi="Garamond" w:cs="Arial"/>
          <w:szCs w:val="20"/>
        </w:rPr>
        <w:t>Fuente: Formulario 1– Formulario de Presupuesto Oficial, FDLAN</w:t>
      </w:r>
    </w:p>
    <w:p w14:paraId="5972C798" w14:textId="7A88EB16" w:rsidR="00D01498" w:rsidRDefault="00061F42" w:rsidP="00061F42">
      <w:pPr>
        <w:spacing w:line="240" w:lineRule="auto"/>
        <w:jc w:val="both"/>
        <w:rPr>
          <w:rFonts w:ascii="Garamond" w:hAnsi="Garamond"/>
          <w:sz w:val="24"/>
          <w:szCs w:val="24"/>
        </w:rPr>
      </w:pPr>
      <w:r w:rsidRPr="00061F42">
        <w:rPr>
          <w:rFonts w:ascii="Garamond" w:hAnsi="Garamond"/>
          <w:sz w:val="24"/>
          <w:szCs w:val="24"/>
        </w:rPr>
        <w:t xml:space="preserve">Que, el FDLAN, en cumplimiento del principio de planeación previsto en el artículo 25 de la Ley 80 de 1993, realizó el Análisis de Precios Unitarios (APU) correspondiente a la actividad denominada “DADO CONCRETO 2500 PSI 30x30x50 sin refuerzo + formaleta (Incluye excavación y retiro)”. Dicho análisis se elaboró con base en los precios de referencia </w:t>
      </w:r>
      <w:r w:rsidR="00A10BAD">
        <w:rPr>
          <w:rFonts w:ascii="Garamond" w:hAnsi="Garamond"/>
          <w:sz w:val="24"/>
          <w:szCs w:val="24"/>
        </w:rPr>
        <w:t>d</w:t>
      </w:r>
      <w:r w:rsidRPr="00061F42">
        <w:rPr>
          <w:rFonts w:ascii="Garamond" w:hAnsi="Garamond"/>
          <w:sz w:val="24"/>
          <w:szCs w:val="24"/>
        </w:rPr>
        <w:t>el Instituto</w:t>
      </w:r>
      <w:r w:rsidRPr="00061F42">
        <w:t xml:space="preserve"> </w:t>
      </w:r>
      <w:r w:rsidRPr="00061F42">
        <w:rPr>
          <w:rFonts w:ascii="Garamond" w:hAnsi="Garamond"/>
          <w:sz w:val="24"/>
          <w:szCs w:val="24"/>
        </w:rPr>
        <w:t>Distrital de Recreación y Deporte – IDRD en su última actualización (marzo de 2025).</w:t>
      </w:r>
    </w:p>
    <w:p w14:paraId="71AF9769" w14:textId="69FC2AA1" w:rsidR="00A10BAD" w:rsidRDefault="00A10BAD" w:rsidP="00061F42">
      <w:pPr>
        <w:spacing w:line="240" w:lineRule="auto"/>
        <w:jc w:val="both"/>
        <w:rPr>
          <w:rFonts w:ascii="Garamond" w:hAnsi="Garamond"/>
          <w:sz w:val="24"/>
          <w:szCs w:val="24"/>
        </w:rPr>
      </w:pPr>
    </w:p>
    <w:p w14:paraId="09FC41CD" w14:textId="77777777" w:rsidR="00B26E66" w:rsidRDefault="00B26E66" w:rsidP="00061F42">
      <w:pPr>
        <w:spacing w:line="240" w:lineRule="auto"/>
        <w:jc w:val="both"/>
        <w:rPr>
          <w:rFonts w:ascii="Garamond" w:hAnsi="Garamond"/>
          <w:sz w:val="24"/>
          <w:szCs w:val="24"/>
        </w:rPr>
      </w:pPr>
    </w:p>
    <w:p w14:paraId="6F938B02" w14:textId="0A48B800" w:rsidR="00061F42" w:rsidRPr="00061F42" w:rsidRDefault="00061F42" w:rsidP="00061F42">
      <w:pPr>
        <w:spacing w:line="240" w:lineRule="auto"/>
        <w:jc w:val="both"/>
        <w:rPr>
          <w:rFonts w:ascii="Garamond" w:hAnsi="Garamond"/>
          <w:sz w:val="24"/>
          <w:szCs w:val="24"/>
        </w:rPr>
      </w:pPr>
      <w:r w:rsidRPr="00D91B1D">
        <w:rPr>
          <w:noProof/>
          <w:lang w:eastAsia="es-CO"/>
        </w:rPr>
        <w:lastRenderedPageBreak/>
        <w:drawing>
          <wp:anchor distT="0" distB="0" distL="114300" distR="114300" simplePos="0" relativeHeight="251709440" behindDoc="0" locked="0" layoutInCell="1" allowOverlap="1" wp14:anchorId="22C79D9C" wp14:editId="2C97B343">
            <wp:simplePos x="0" y="0"/>
            <wp:positionH relativeFrom="column">
              <wp:posOffset>-462618</wp:posOffset>
            </wp:positionH>
            <wp:positionV relativeFrom="paragraph">
              <wp:posOffset>107710</wp:posOffset>
            </wp:positionV>
            <wp:extent cx="6792686" cy="4723243"/>
            <wp:effectExtent l="0" t="0" r="8255" b="1270"/>
            <wp:wrapNone/>
            <wp:docPr id="1125603610" name="Imagen 112560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796701" cy="47260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65D354" w14:textId="2A691CE7" w:rsidR="00D01498" w:rsidRDefault="00D01498" w:rsidP="002A4BF2">
      <w:pPr>
        <w:spacing w:line="240" w:lineRule="auto"/>
        <w:jc w:val="both"/>
        <w:rPr>
          <w:rFonts w:ascii="Garamond" w:hAnsi="Garamond"/>
        </w:rPr>
      </w:pPr>
    </w:p>
    <w:p w14:paraId="1D86862A" w14:textId="4CD5AE3B" w:rsidR="00D01498" w:rsidRDefault="00D01498" w:rsidP="002A4BF2">
      <w:pPr>
        <w:spacing w:line="240" w:lineRule="auto"/>
        <w:jc w:val="both"/>
        <w:rPr>
          <w:rFonts w:ascii="Garamond" w:hAnsi="Garamond"/>
        </w:rPr>
      </w:pPr>
    </w:p>
    <w:p w14:paraId="3C89F762" w14:textId="13E43E4D" w:rsidR="00D01498" w:rsidRDefault="00D01498" w:rsidP="002A4BF2">
      <w:pPr>
        <w:spacing w:line="240" w:lineRule="auto"/>
        <w:jc w:val="both"/>
        <w:rPr>
          <w:rFonts w:ascii="Garamond" w:hAnsi="Garamond"/>
        </w:rPr>
      </w:pPr>
    </w:p>
    <w:p w14:paraId="3636BF54" w14:textId="6D56CB8F" w:rsidR="00D01498" w:rsidRDefault="00D01498" w:rsidP="002A4BF2">
      <w:pPr>
        <w:spacing w:line="240" w:lineRule="auto"/>
        <w:jc w:val="both"/>
        <w:rPr>
          <w:rFonts w:ascii="Garamond" w:hAnsi="Garamond"/>
        </w:rPr>
      </w:pPr>
    </w:p>
    <w:p w14:paraId="6F049F07" w14:textId="27103B35" w:rsidR="00D01498" w:rsidRDefault="00D01498" w:rsidP="002A4BF2">
      <w:pPr>
        <w:spacing w:line="240" w:lineRule="auto"/>
        <w:jc w:val="both"/>
        <w:rPr>
          <w:rFonts w:ascii="Garamond" w:hAnsi="Garamond"/>
        </w:rPr>
      </w:pPr>
    </w:p>
    <w:p w14:paraId="34BC160E" w14:textId="2EA6DA99" w:rsidR="00061F42" w:rsidRDefault="00061F42" w:rsidP="002A4BF2">
      <w:pPr>
        <w:spacing w:line="240" w:lineRule="auto"/>
        <w:jc w:val="both"/>
        <w:rPr>
          <w:rFonts w:ascii="Garamond" w:hAnsi="Garamond"/>
        </w:rPr>
      </w:pPr>
    </w:p>
    <w:p w14:paraId="521CEC4F" w14:textId="3AA26C8A" w:rsidR="00061F42" w:rsidRDefault="00061F42" w:rsidP="002A4BF2">
      <w:pPr>
        <w:spacing w:line="240" w:lineRule="auto"/>
        <w:jc w:val="both"/>
        <w:rPr>
          <w:rFonts w:ascii="Garamond" w:hAnsi="Garamond"/>
        </w:rPr>
      </w:pPr>
    </w:p>
    <w:p w14:paraId="042ABBCF" w14:textId="7673A739" w:rsidR="00061F42" w:rsidRDefault="00061F42" w:rsidP="002A4BF2">
      <w:pPr>
        <w:spacing w:line="240" w:lineRule="auto"/>
        <w:jc w:val="both"/>
        <w:rPr>
          <w:rFonts w:ascii="Garamond" w:hAnsi="Garamond"/>
        </w:rPr>
      </w:pPr>
    </w:p>
    <w:p w14:paraId="4DE32A4C" w14:textId="1EDA715D" w:rsidR="00061F42" w:rsidRDefault="00061F42" w:rsidP="002A4BF2">
      <w:pPr>
        <w:spacing w:line="240" w:lineRule="auto"/>
        <w:jc w:val="both"/>
        <w:rPr>
          <w:rFonts w:ascii="Garamond" w:hAnsi="Garamond"/>
        </w:rPr>
      </w:pPr>
    </w:p>
    <w:p w14:paraId="3D3BC8C3" w14:textId="3991C1B9" w:rsidR="00061F42" w:rsidRDefault="00061F42" w:rsidP="002A4BF2">
      <w:pPr>
        <w:spacing w:line="240" w:lineRule="auto"/>
        <w:jc w:val="both"/>
        <w:rPr>
          <w:rFonts w:ascii="Garamond" w:hAnsi="Garamond"/>
        </w:rPr>
      </w:pPr>
    </w:p>
    <w:p w14:paraId="27C1AABA" w14:textId="4BBF7737" w:rsidR="00061F42" w:rsidRDefault="00061F42" w:rsidP="002A4BF2">
      <w:pPr>
        <w:spacing w:line="240" w:lineRule="auto"/>
        <w:jc w:val="both"/>
        <w:rPr>
          <w:rFonts w:ascii="Garamond" w:hAnsi="Garamond"/>
        </w:rPr>
      </w:pPr>
    </w:p>
    <w:p w14:paraId="0B4D4410" w14:textId="2E38CD71" w:rsidR="00061F42" w:rsidRDefault="00061F42" w:rsidP="002A4BF2">
      <w:pPr>
        <w:spacing w:line="240" w:lineRule="auto"/>
        <w:jc w:val="both"/>
        <w:rPr>
          <w:rFonts w:ascii="Garamond" w:hAnsi="Garamond"/>
        </w:rPr>
      </w:pPr>
    </w:p>
    <w:p w14:paraId="542E214C" w14:textId="08C031C3" w:rsidR="00061F42" w:rsidRDefault="00061F42" w:rsidP="002A4BF2">
      <w:pPr>
        <w:spacing w:line="240" w:lineRule="auto"/>
        <w:jc w:val="both"/>
        <w:rPr>
          <w:rFonts w:ascii="Garamond" w:hAnsi="Garamond"/>
        </w:rPr>
      </w:pPr>
    </w:p>
    <w:p w14:paraId="5041AE73" w14:textId="02CE5CDB" w:rsidR="00061F42" w:rsidRDefault="00061F42" w:rsidP="002A4BF2">
      <w:pPr>
        <w:spacing w:line="240" w:lineRule="auto"/>
        <w:jc w:val="both"/>
        <w:rPr>
          <w:rFonts w:ascii="Garamond" w:hAnsi="Garamond"/>
        </w:rPr>
      </w:pPr>
    </w:p>
    <w:p w14:paraId="41CCE053" w14:textId="6BC6B4C8" w:rsidR="00061F42" w:rsidRDefault="00061F42" w:rsidP="002A4BF2">
      <w:pPr>
        <w:spacing w:line="240" w:lineRule="auto"/>
        <w:jc w:val="both"/>
        <w:rPr>
          <w:rFonts w:ascii="Garamond" w:hAnsi="Garamond"/>
        </w:rPr>
      </w:pPr>
    </w:p>
    <w:p w14:paraId="41124B53" w14:textId="75E093EE" w:rsidR="00061F42" w:rsidRDefault="00061F42" w:rsidP="002A4BF2">
      <w:pPr>
        <w:spacing w:line="240" w:lineRule="auto"/>
        <w:jc w:val="both"/>
        <w:rPr>
          <w:rFonts w:ascii="Garamond" w:hAnsi="Garamond"/>
        </w:rPr>
      </w:pPr>
    </w:p>
    <w:p w14:paraId="4397F710" w14:textId="37EE0657" w:rsidR="00061F42" w:rsidRDefault="00061F42" w:rsidP="002A4BF2">
      <w:pPr>
        <w:spacing w:line="240" w:lineRule="auto"/>
        <w:jc w:val="both"/>
        <w:rPr>
          <w:rFonts w:ascii="Garamond" w:hAnsi="Garamond"/>
        </w:rPr>
      </w:pPr>
    </w:p>
    <w:p w14:paraId="4176162A" w14:textId="6A3D2BF0" w:rsidR="00061F42" w:rsidRDefault="00061F42" w:rsidP="002A4BF2">
      <w:pPr>
        <w:spacing w:line="240" w:lineRule="auto"/>
        <w:jc w:val="both"/>
        <w:rPr>
          <w:rFonts w:ascii="Garamond" w:hAnsi="Garamond"/>
        </w:rPr>
      </w:pPr>
    </w:p>
    <w:p w14:paraId="1FA9A521" w14:textId="496FF235" w:rsidR="00061F42" w:rsidRPr="00061F42" w:rsidRDefault="00061F42" w:rsidP="00061F42">
      <w:pPr>
        <w:spacing w:line="240" w:lineRule="auto"/>
        <w:jc w:val="center"/>
        <w:rPr>
          <w:rFonts w:ascii="Garamond" w:hAnsi="Garamond"/>
        </w:rPr>
      </w:pPr>
      <w:r w:rsidRPr="00061F42">
        <w:rPr>
          <w:rFonts w:ascii="Garamond" w:hAnsi="Garamond"/>
        </w:rPr>
        <w:t>Imagen 13. Análisis de precios unitarios – APU 002, ítem DADO CONCRETO 2500 PSI 30x30x50 sin refuerzo + formaleta (Incluye excavación y retiro)”</w:t>
      </w:r>
      <w:r>
        <w:rPr>
          <w:rFonts w:ascii="Garamond" w:hAnsi="Garamond"/>
        </w:rPr>
        <w:t xml:space="preserve"> </w:t>
      </w:r>
      <w:r w:rsidRPr="00061F42">
        <w:rPr>
          <w:rFonts w:ascii="Garamond" w:hAnsi="Garamond"/>
        </w:rPr>
        <w:t>Fuente: Formulario 1– Formulario de Presupuesto Oficial, FDLAN</w:t>
      </w:r>
    </w:p>
    <w:p w14:paraId="4B926B04" w14:textId="44B8800A" w:rsidR="00061F42" w:rsidRDefault="00061F42" w:rsidP="002A4BF2">
      <w:pPr>
        <w:spacing w:line="240" w:lineRule="auto"/>
        <w:jc w:val="both"/>
        <w:rPr>
          <w:rFonts w:ascii="Garamond" w:hAnsi="Garamond"/>
          <w:sz w:val="24"/>
          <w:szCs w:val="24"/>
        </w:rPr>
      </w:pPr>
      <w:r w:rsidRPr="00061F42">
        <w:rPr>
          <w:rFonts w:ascii="Garamond" w:hAnsi="Garamond"/>
          <w:sz w:val="24"/>
          <w:szCs w:val="24"/>
        </w:rPr>
        <w:t>El desglose de los Análisis de Precios Unitarios – APUS,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Anexo 2 – Cronograma para la presentación de observaciones al proyecto de Pliego de Condiciones para que la Entidad los pueda estudiar.</w:t>
      </w:r>
    </w:p>
    <w:p w14:paraId="7514DD4A" w14:textId="5FBA1C85" w:rsidR="00061F42" w:rsidRDefault="00061F42" w:rsidP="002A4BF2">
      <w:pPr>
        <w:spacing w:line="240" w:lineRule="auto"/>
        <w:jc w:val="both"/>
        <w:rPr>
          <w:rFonts w:ascii="Garamond" w:hAnsi="Garamond"/>
          <w:sz w:val="24"/>
          <w:szCs w:val="24"/>
        </w:rPr>
      </w:pPr>
      <w:r w:rsidRPr="00061F42">
        <w:rPr>
          <w:rFonts w:ascii="Garamond" w:hAnsi="Garamond"/>
          <w:sz w:val="24"/>
          <w:szCs w:val="24"/>
        </w:rPr>
        <w:t>A continuación, el FDLAN se permite presentar la medición hecha en sitio:</w:t>
      </w:r>
    </w:p>
    <w:p w14:paraId="3E0FBA60" w14:textId="7C6DDD2C" w:rsidR="00061F42" w:rsidRDefault="00061F42" w:rsidP="002A4BF2">
      <w:pPr>
        <w:spacing w:line="240" w:lineRule="auto"/>
        <w:jc w:val="both"/>
        <w:rPr>
          <w:rFonts w:ascii="Garamond" w:hAnsi="Garamond"/>
          <w:sz w:val="24"/>
          <w:szCs w:val="24"/>
        </w:rPr>
      </w:pPr>
    </w:p>
    <w:p w14:paraId="1DCADB32" w14:textId="55A560C0" w:rsidR="00061F42" w:rsidRDefault="00061F42" w:rsidP="002A4BF2">
      <w:pPr>
        <w:spacing w:line="240" w:lineRule="auto"/>
        <w:jc w:val="both"/>
        <w:rPr>
          <w:rFonts w:ascii="Garamond" w:hAnsi="Garamond"/>
          <w:sz w:val="24"/>
          <w:szCs w:val="24"/>
        </w:rPr>
      </w:pPr>
    </w:p>
    <w:p w14:paraId="447D84AF" w14:textId="1E580CBC" w:rsidR="00061F42" w:rsidRDefault="00061F42" w:rsidP="002A4BF2">
      <w:pPr>
        <w:spacing w:line="240" w:lineRule="auto"/>
        <w:jc w:val="both"/>
        <w:rPr>
          <w:rFonts w:ascii="Garamond" w:hAnsi="Garamond"/>
          <w:sz w:val="24"/>
          <w:szCs w:val="24"/>
        </w:rPr>
      </w:pPr>
    </w:p>
    <w:p w14:paraId="32ED5600" w14:textId="5608FF56" w:rsidR="00061F42" w:rsidRDefault="00061F42" w:rsidP="002A4BF2">
      <w:pPr>
        <w:spacing w:line="240" w:lineRule="auto"/>
        <w:jc w:val="both"/>
        <w:rPr>
          <w:rFonts w:ascii="Garamond" w:hAnsi="Garamond"/>
          <w:sz w:val="24"/>
          <w:szCs w:val="24"/>
        </w:rPr>
      </w:pPr>
    </w:p>
    <w:p w14:paraId="21DD8AA7" w14:textId="3B142334" w:rsidR="00061F42" w:rsidRDefault="00061F42" w:rsidP="00061F42">
      <w:pPr>
        <w:rPr>
          <w:rFonts w:ascii="Garamond" w:hAnsi="Garamond" w:cs="Arial"/>
          <w:sz w:val="18"/>
          <w:szCs w:val="18"/>
        </w:rPr>
      </w:pPr>
      <w:r>
        <w:rPr>
          <w:rFonts w:ascii="Garamond" w:hAnsi="Garamond" w:cs="Garamond"/>
          <w:noProof/>
          <w:color w:val="FF3333"/>
          <w:lang w:eastAsia="es-CO"/>
        </w:rPr>
        <w:lastRenderedPageBreak/>
        <mc:AlternateContent>
          <mc:Choice Requires="wps">
            <w:drawing>
              <wp:anchor distT="0" distB="0" distL="114300" distR="114300" simplePos="0" relativeHeight="251713536" behindDoc="0" locked="0" layoutInCell="1" allowOverlap="1" wp14:anchorId="0FE747E2" wp14:editId="36BD6F03">
                <wp:simplePos x="0" y="0"/>
                <wp:positionH relativeFrom="column">
                  <wp:posOffset>4387215</wp:posOffset>
                </wp:positionH>
                <wp:positionV relativeFrom="paragraph">
                  <wp:posOffset>170815</wp:posOffset>
                </wp:positionV>
                <wp:extent cx="819150" cy="371475"/>
                <wp:effectExtent l="0" t="0" r="0" b="0"/>
                <wp:wrapNone/>
                <wp:docPr id="1125603611" name="Cuadro de texto 1125603611"/>
                <wp:cNvGraphicFramePr/>
                <a:graphic xmlns:a="http://schemas.openxmlformats.org/drawingml/2006/main">
                  <a:graphicData uri="http://schemas.microsoft.com/office/word/2010/wordprocessingShape">
                    <wps:wsp>
                      <wps:cNvSpPr txBox="1"/>
                      <wps:spPr>
                        <a:xfrm>
                          <a:off x="0" y="0"/>
                          <a:ext cx="819150" cy="371475"/>
                        </a:xfrm>
                        <a:prstGeom prst="rect">
                          <a:avLst/>
                        </a:prstGeom>
                        <a:noFill/>
                        <a:ln w="6350">
                          <a:noFill/>
                        </a:ln>
                      </wps:spPr>
                      <wps:txbx>
                        <w:txbxContent>
                          <w:p w14:paraId="3A09BD70" w14:textId="77777777" w:rsidR="0077032A" w:rsidRPr="00BE3DF0" w:rsidRDefault="0077032A" w:rsidP="00061F42">
                            <w:pPr>
                              <w:rPr>
                                <w:rFonts w:ascii="Verdana" w:hAnsi="Verdana"/>
                                <w:b/>
                                <w:szCs w:val="20"/>
                              </w:rPr>
                            </w:pPr>
                            <w:r w:rsidRPr="00BE3DF0">
                              <w:rPr>
                                <w:rFonts w:ascii="Verdana" w:hAnsi="Verdana"/>
                                <w:b/>
                                <w:szCs w:val="20"/>
                              </w:rPr>
                              <w:t>1,6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747E2" id="_x0000_t202" coordsize="21600,21600" o:spt="202" path="m,l,21600r21600,l21600,xe">
                <v:stroke joinstyle="miter"/>
                <v:path gradientshapeok="t" o:connecttype="rect"/>
              </v:shapetype>
              <v:shape id="Cuadro de texto 1125603611" o:spid="_x0000_s1026" type="#_x0000_t202" style="position:absolute;margin-left:345.45pt;margin-top:13.45pt;width:64.5pt;height:29.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" filled="f" stroked="f" strokeweight=".5pt">
                <v:textbox>
                  <w:txbxContent>
                    <w:p w14:paraId="3A09BD70" w14:textId="77777777" w:rsidR="0077032A" w:rsidRPr="00BE3DF0" w:rsidRDefault="0077032A" w:rsidP="00061F42">
                      <w:pPr>
                        <w:rPr>
                          <w:rFonts w:ascii="Verdana" w:hAnsi="Verdana"/>
                          <w:b/>
                          <w:szCs w:val="20"/>
                        </w:rPr>
                      </w:pPr>
                      <w:r w:rsidRPr="00BE3DF0">
                        <w:rPr>
                          <w:rFonts w:ascii="Verdana" w:hAnsi="Verdana"/>
                          <w:b/>
                          <w:szCs w:val="20"/>
                        </w:rPr>
                        <w:t>1,6 ml</w:t>
                      </w:r>
                    </w:p>
                  </w:txbxContent>
                </v:textbox>
              </v:shape>
            </w:pict>
          </mc:Fallback>
        </mc:AlternateContent>
      </w:r>
    </w:p>
    <w:p w14:paraId="4B1CF0AC" w14:textId="193D66E1" w:rsidR="00061F42" w:rsidRDefault="00061F42" w:rsidP="00061F42">
      <w:pPr>
        <w:tabs>
          <w:tab w:val="left" w:pos="38"/>
        </w:tabs>
        <w:jc w:val="center"/>
        <w:rPr>
          <w:rFonts w:ascii="Garamond" w:hAnsi="Garamond" w:cs="Arial"/>
          <w:sz w:val="18"/>
          <w:szCs w:val="18"/>
        </w:rPr>
      </w:pPr>
      <w:r>
        <w:rPr>
          <w:rFonts w:ascii="Garamond" w:hAnsi="Garamond" w:cs="Garamond"/>
          <w:noProof/>
          <w:color w:val="FF3333"/>
          <w:lang w:eastAsia="es-CO"/>
        </w:rPr>
        <mc:AlternateContent>
          <mc:Choice Requires="wps">
            <w:drawing>
              <wp:anchor distT="0" distB="0" distL="114300" distR="114300" simplePos="0" relativeHeight="251712512" behindDoc="0" locked="0" layoutInCell="1" allowOverlap="1" wp14:anchorId="79E47B03" wp14:editId="05953BCD">
                <wp:simplePos x="0" y="0"/>
                <wp:positionH relativeFrom="column">
                  <wp:posOffset>463657</wp:posOffset>
                </wp:positionH>
                <wp:positionV relativeFrom="paragraph">
                  <wp:posOffset>247056</wp:posOffset>
                </wp:positionV>
                <wp:extent cx="2101933" cy="2006930"/>
                <wp:effectExtent l="0" t="0" r="12700" b="12700"/>
                <wp:wrapNone/>
                <wp:docPr id="1997869477" name="Cuadro de texto 1997869477"/>
                <wp:cNvGraphicFramePr/>
                <a:graphic xmlns:a="http://schemas.openxmlformats.org/drawingml/2006/main">
                  <a:graphicData uri="http://schemas.microsoft.com/office/word/2010/wordprocessingShape">
                    <wps:wsp>
                      <wps:cNvSpPr txBox="1"/>
                      <wps:spPr>
                        <a:xfrm>
                          <a:off x="0" y="0"/>
                          <a:ext cx="2101933" cy="2006930"/>
                        </a:xfrm>
                        <a:prstGeom prst="rect">
                          <a:avLst/>
                        </a:prstGeom>
                        <a:solidFill>
                          <a:schemeClr val="lt1"/>
                        </a:solidFill>
                        <a:ln w="6350">
                          <a:solidFill>
                            <a:prstClr val="black"/>
                          </a:solidFill>
                        </a:ln>
                      </wps:spPr>
                      <wps:txbx>
                        <w:txbxContent>
                          <w:p w14:paraId="12E3E97F" w14:textId="77777777" w:rsidR="0077032A" w:rsidRPr="00061F42" w:rsidRDefault="0077032A" w:rsidP="00061F42">
                            <w:pPr>
                              <w:rPr>
                                <w:rFonts w:ascii="Garamond" w:hAnsi="Garamond"/>
                              </w:rPr>
                            </w:pPr>
                            <w:r w:rsidRPr="00061F42">
                              <w:rPr>
                                <w:rFonts w:ascii="Garamond" w:hAnsi="Garamond"/>
                                <w:b/>
                              </w:rPr>
                              <w:t>Longitud total</w:t>
                            </w:r>
                            <w:r w:rsidRPr="00061F42">
                              <w:rPr>
                                <w:rFonts w:ascii="Garamond" w:hAnsi="Garamond"/>
                              </w:rPr>
                              <w:t xml:space="preserve"> = </w:t>
                            </w:r>
                            <w:bookmarkStart w:id="3" w:name="_Hlk212120286"/>
                            <w:r w:rsidRPr="00061F42">
                              <w:rPr>
                                <w:rFonts w:ascii="Garamond" w:hAnsi="Garamond"/>
                                <w:b/>
                                <w:bCs/>
                              </w:rPr>
                              <w:t xml:space="preserve">85,76 ml </w:t>
                            </w:r>
                            <w:bookmarkEnd w:id="3"/>
                            <w:r w:rsidRPr="00061F42">
                              <w:rPr>
                                <w:rFonts w:ascii="Garamond" w:hAnsi="Garamond"/>
                              </w:rPr>
                              <w:t>/ 2,5</w:t>
                            </w:r>
                          </w:p>
                          <w:p w14:paraId="4C817272" w14:textId="77777777" w:rsidR="0077032A" w:rsidRPr="00061F42" w:rsidRDefault="0077032A" w:rsidP="00061F42">
                            <w:pPr>
                              <w:rPr>
                                <w:rFonts w:ascii="Garamond" w:hAnsi="Garamond"/>
                              </w:rPr>
                            </w:pPr>
                          </w:p>
                          <w:p w14:paraId="1D1059EE" w14:textId="77777777" w:rsidR="0077032A" w:rsidRPr="00061F42" w:rsidRDefault="0077032A" w:rsidP="00061F42">
                            <w:pPr>
                              <w:rPr>
                                <w:rFonts w:ascii="Garamond" w:hAnsi="Garamond"/>
                                <w:b/>
                              </w:rPr>
                            </w:pPr>
                            <w:r w:rsidRPr="00061F42">
                              <w:rPr>
                                <w:rFonts w:ascii="Garamond" w:hAnsi="Garamond"/>
                                <w:b/>
                              </w:rPr>
                              <w:t xml:space="preserve">Longitud Paneles = </w:t>
                            </w:r>
                            <w:r w:rsidRPr="00061F42">
                              <w:rPr>
                                <w:rFonts w:ascii="Garamond" w:hAnsi="Garamond"/>
                                <w:bCs/>
                              </w:rPr>
                              <w:t>2,5 x 2,5</w:t>
                            </w:r>
                          </w:p>
                          <w:p w14:paraId="1756C320" w14:textId="77777777" w:rsidR="0077032A" w:rsidRPr="00061F42" w:rsidRDefault="0077032A" w:rsidP="00061F42">
                            <w:pPr>
                              <w:rPr>
                                <w:rFonts w:ascii="Garamond" w:hAnsi="Garamond"/>
                                <w:b/>
                              </w:rPr>
                            </w:pPr>
                          </w:p>
                          <w:p w14:paraId="768856EC" w14:textId="77777777" w:rsidR="0077032A" w:rsidRPr="00061F42" w:rsidRDefault="0077032A" w:rsidP="00061F42">
                            <w:pPr>
                              <w:rPr>
                                <w:rFonts w:ascii="Garamond" w:hAnsi="Garamond"/>
                                <w:b/>
                              </w:rPr>
                            </w:pPr>
                            <w:r w:rsidRPr="00061F42">
                              <w:rPr>
                                <w:rFonts w:ascii="Garamond" w:hAnsi="Garamond"/>
                                <w:b/>
                              </w:rPr>
                              <w:t>Paneles necesarios= 34,30 UN</w:t>
                            </w:r>
                          </w:p>
                          <w:p w14:paraId="677B93B1" w14:textId="77777777" w:rsidR="0077032A" w:rsidRPr="00061F42" w:rsidRDefault="0077032A" w:rsidP="00061F42">
                            <w:pPr>
                              <w:rPr>
                                <w:rFonts w:ascii="Garamond" w:hAnsi="Garamond"/>
                                <w:b/>
                              </w:rPr>
                            </w:pPr>
                          </w:p>
                          <w:p w14:paraId="0ADDE62A" w14:textId="77777777" w:rsidR="0077032A" w:rsidRPr="00061F42" w:rsidRDefault="0077032A" w:rsidP="00061F42">
                            <w:pPr>
                              <w:rPr>
                                <w:rFonts w:ascii="Garamond" w:hAnsi="Garamond"/>
                                <w:b/>
                              </w:rPr>
                            </w:pPr>
                            <w:r w:rsidRPr="00061F42">
                              <w:rPr>
                                <w:rFonts w:ascii="Garamond" w:hAnsi="Garamond"/>
                                <w:b/>
                              </w:rPr>
                              <w:t>35 PANELES</w:t>
                            </w:r>
                          </w:p>
                          <w:p w14:paraId="7DD38C35" w14:textId="77777777" w:rsidR="0077032A" w:rsidRPr="00061F42" w:rsidRDefault="0077032A" w:rsidP="00061F42"/>
                          <w:p w14:paraId="37B6BAE0" w14:textId="77777777" w:rsidR="0077032A" w:rsidRPr="00061F42" w:rsidRDefault="0077032A" w:rsidP="00061F42"/>
                          <w:p w14:paraId="782BF352" w14:textId="77777777" w:rsidR="0077032A" w:rsidRPr="00061F42" w:rsidRDefault="0077032A" w:rsidP="00061F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47B03" id="Cuadro de texto 1997869477" o:spid="_x0000_s1027" type="#_x0000_t202" style="position:absolute;left:0;text-align:left;margin-left:36.5pt;margin-top:19.45pt;width:165.5pt;height:158.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" fillcolor="white [3201]" strokeweight=".5pt">
                <v:textbox>
                  <w:txbxContent>
                    <w:p w14:paraId="12E3E97F" w14:textId="77777777" w:rsidR="0077032A" w:rsidRPr="00061F42" w:rsidRDefault="0077032A" w:rsidP="00061F42">
                      <w:pPr>
                        <w:rPr>
                          <w:rFonts w:ascii="Garamond" w:hAnsi="Garamond"/>
                        </w:rPr>
                      </w:pPr>
                      <w:r w:rsidRPr="00061F42">
                        <w:rPr>
                          <w:rFonts w:ascii="Garamond" w:hAnsi="Garamond"/>
                          <w:b/>
                        </w:rPr>
                        <w:t>Longitud total</w:t>
                      </w:r>
                      <w:r w:rsidRPr="00061F42">
                        <w:rPr>
                          <w:rFonts w:ascii="Garamond" w:hAnsi="Garamond"/>
                        </w:rPr>
                        <w:t xml:space="preserve"> = </w:t>
                      </w:r>
                      <w:bookmarkStart w:id="4" w:name="_Hlk212120286"/>
                      <w:r w:rsidRPr="00061F42">
                        <w:rPr>
                          <w:rFonts w:ascii="Garamond" w:hAnsi="Garamond"/>
                          <w:b/>
                          <w:bCs/>
                        </w:rPr>
                        <w:t xml:space="preserve">85,76 ml </w:t>
                      </w:r>
                      <w:bookmarkEnd w:id="4"/>
                      <w:r w:rsidRPr="00061F42">
                        <w:rPr>
                          <w:rFonts w:ascii="Garamond" w:hAnsi="Garamond"/>
                        </w:rPr>
                        <w:t>/ 2,5</w:t>
                      </w:r>
                    </w:p>
                    <w:p w14:paraId="4C817272" w14:textId="77777777" w:rsidR="0077032A" w:rsidRPr="00061F42" w:rsidRDefault="0077032A" w:rsidP="00061F42">
                      <w:pPr>
                        <w:rPr>
                          <w:rFonts w:ascii="Garamond" w:hAnsi="Garamond"/>
                        </w:rPr>
                      </w:pPr>
                    </w:p>
                    <w:p w14:paraId="1D1059EE" w14:textId="77777777" w:rsidR="0077032A" w:rsidRPr="00061F42" w:rsidRDefault="0077032A" w:rsidP="00061F42">
                      <w:pPr>
                        <w:rPr>
                          <w:rFonts w:ascii="Garamond" w:hAnsi="Garamond"/>
                          <w:b/>
                        </w:rPr>
                      </w:pPr>
                      <w:r w:rsidRPr="00061F42">
                        <w:rPr>
                          <w:rFonts w:ascii="Garamond" w:hAnsi="Garamond"/>
                          <w:b/>
                        </w:rPr>
                        <w:t xml:space="preserve">Longitud Paneles = </w:t>
                      </w:r>
                      <w:r w:rsidRPr="00061F42">
                        <w:rPr>
                          <w:rFonts w:ascii="Garamond" w:hAnsi="Garamond"/>
                          <w:bCs/>
                        </w:rPr>
                        <w:t>2,5 x 2,5</w:t>
                      </w:r>
                    </w:p>
                    <w:p w14:paraId="1756C320" w14:textId="77777777" w:rsidR="0077032A" w:rsidRPr="00061F42" w:rsidRDefault="0077032A" w:rsidP="00061F42">
                      <w:pPr>
                        <w:rPr>
                          <w:rFonts w:ascii="Garamond" w:hAnsi="Garamond"/>
                          <w:b/>
                        </w:rPr>
                      </w:pPr>
                    </w:p>
                    <w:p w14:paraId="768856EC" w14:textId="77777777" w:rsidR="0077032A" w:rsidRPr="00061F42" w:rsidRDefault="0077032A" w:rsidP="00061F42">
                      <w:pPr>
                        <w:rPr>
                          <w:rFonts w:ascii="Garamond" w:hAnsi="Garamond"/>
                          <w:b/>
                        </w:rPr>
                      </w:pPr>
                      <w:r w:rsidRPr="00061F42">
                        <w:rPr>
                          <w:rFonts w:ascii="Garamond" w:hAnsi="Garamond"/>
                          <w:b/>
                        </w:rPr>
                        <w:t>Paneles necesarios= 34,30 UN</w:t>
                      </w:r>
                    </w:p>
                    <w:p w14:paraId="677B93B1" w14:textId="77777777" w:rsidR="0077032A" w:rsidRPr="00061F42" w:rsidRDefault="0077032A" w:rsidP="00061F42">
                      <w:pPr>
                        <w:rPr>
                          <w:rFonts w:ascii="Garamond" w:hAnsi="Garamond"/>
                          <w:b/>
                        </w:rPr>
                      </w:pPr>
                    </w:p>
                    <w:p w14:paraId="0ADDE62A" w14:textId="77777777" w:rsidR="0077032A" w:rsidRPr="00061F42" w:rsidRDefault="0077032A" w:rsidP="00061F42">
                      <w:pPr>
                        <w:rPr>
                          <w:rFonts w:ascii="Garamond" w:hAnsi="Garamond"/>
                          <w:b/>
                        </w:rPr>
                      </w:pPr>
                      <w:r w:rsidRPr="00061F42">
                        <w:rPr>
                          <w:rFonts w:ascii="Garamond" w:hAnsi="Garamond"/>
                          <w:b/>
                        </w:rPr>
                        <w:t>35 PANELES</w:t>
                      </w:r>
                    </w:p>
                    <w:p w14:paraId="7DD38C35" w14:textId="77777777" w:rsidR="0077032A" w:rsidRPr="00061F42" w:rsidRDefault="0077032A" w:rsidP="00061F42"/>
                    <w:p w14:paraId="37B6BAE0" w14:textId="77777777" w:rsidR="0077032A" w:rsidRPr="00061F42" w:rsidRDefault="0077032A" w:rsidP="00061F42"/>
                    <w:p w14:paraId="782BF352" w14:textId="77777777" w:rsidR="0077032A" w:rsidRPr="00061F42" w:rsidRDefault="0077032A" w:rsidP="00061F42"/>
                  </w:txbxContent>
                </v:textbox>
              </v:shape>
            </w:pict>
          </mc:Fallback>
        </mc:AlternateContent>
      </w:r>
      <w:r>
        <w:rPr>
          <w:rFonts w:ascii="Garamond" w:hAnsi="Garamond" w:cs="Garamond"/>
          <w:noProof/>
          <w:color w:val="FF3333"/>
          <w:lang w:eastAsia="es-CO"/>
        </w:rPr>
        <mc:AlternateContent>
          <mc:Choice Requires="wps">
            <w:drawing>
              <wp:anchor distT="0" distB="0" distL="114300" distR="114300" simplePos="0" relativeHeight="251717632" behindDoc="0" locked="0" layoutInCell="1" allowOverlap="1" wp14:anchorId="1C588BA0" wp14:editId="0BF1422F">
                <wp:simplePos x="0" y="0"/>
                <wp:positionH relativeFrom="column">
                  <wp:posOffset>874395</wp:posOffset>
                </wp:positionH>
                <wp:positionV relativeFrom="paragraph">
                  <wp:posOffset>5253355</wp:posOffset>
                </wp:positionV>
                <wp:extent cx="762000" cy="24765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762000" cy="247650"/>
                        </a:xfrm>
                        <a:prstGeom prst="rect">
                          <a:avLst/>
                        </a:prstGeom>
                        <a:noFill/>
                        <a:ln w="6350">
                          <a:noFill/>
                        </a:ln>
                      </wps:spPr>
                      <wps:txbx>
                        <w:txbxContent>
                          <w:p w14:paraId="22B5387F" w14:textId="77777777" w:rsidR="0077032A" w:rsidRPr="00BE3DF0" w:rsidRDefault="0077032A" w:rsidP="00061F42">
                            <w:pPr>
                              <w:rPr>
                                <w:rFonts w:ascii="Verdana" w:hAnsi="Verdana"/>
                                <w:b/>
                                <w:szCs w:val="20"/>
                              </w:rPr>
                            </w:pPr>
                            <w:r w:rsidRPr="00BE3DF0">
                              <w:rPr>
                                <w:rFonts w:ascii="Verdana" w:hAnsi="Verdana"/>
                                <w:b/>
                                <w:szCs w:val="20"/>
                              </w:rPr>
                              <w:t>6,5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88BA0" id="Cuadro de texto 2" o:spid="_x0000_s1028" type="#_x0000_t202" style="position:absolute;left:0;text-align:left;margin-left:68.85pt;margin-top:413.65pt;width:60pt;height:1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" filled="f" stroked="f" strokeweight=".5pt">
                <v:textbox>
                  <w:txbxContent>
                    <w:p w14:paraId="22B5387F" w14:textId="77777777" w:rsidR="0077032A" w:rsidRPr="00BE3DF0" w:rsidRDefault="0077032A" w:rsidP="00061F42">
                      <w:pPr>
                        <w:rPr>
                          <w:rFonts w:ascii="Verdana" w:hAnsi="Verdana"/>
                          <w:b/>
                          <w:szCs w:val="20"/>
                        </w:rPr>
                      </w:pPr>
                      <w:r w:rsidRPr="00BE3DF0">
                        <w:rPr>
                          <w:rFonts w:ascii="Verdana" w:hAnsi="Verdana"/>
                          <w:b/>
                          <w:szCs w:val="20"/>
                        </w:rPr>
                        <w:t>6,5 ml</w:t>
                      </w:r>
                    </w:p>
                  </w:txbxContent>
                </v:textbox>
              </v:shape>
            </w:pict>
          </mc:Fallback>
        </mc:AlternateContent>
      </w:r>
      <w:r>
        <w:rPr>
          <w:rFonts w:ascii="Garamond" w:hAnsi="Garamond" w:cs="Garamond"/>
          <w:noProof/>
          <w:color w:val="FF3333"/>
          <w:lang w:eastAsia="es-CO"/>
        </w:rPr>
        <mc:AlternateContent>
          <mc:Choice Requires="wps">
            <w:drawing>
              <wp:anchor distT="0" distB="0" distL="114300" distR="114300" simplePos="0" relativeHeight="251719680" behindDoc="0" locked="0" layoutInCell="1" allowOverlap="1" wp14:anchorId="4184BC5F" wp14:editId="1C3B644D">
                <wp:simplePos x="0" y="0"/>
                <wp:positionH relativeFrom="column">
                  <wp:posOffset>-13335</wp:posOffset>
                </wp:positionH>
                <wp:positionV relativeFrom="paragraph">
                  <wp:posOffset>5253990</wp:posOffset>
                </wp:positionV>
                <wp:extent cx="819150" cy="371475"/>
                <wp:effectExtent l="0" t="0" r="0" b="0"/>
                <wp:wrapNone/>
                <wp:docPr id="1125603612" name="Cuadro de texto 1125603612"/>
                <wp:cNvGraphicFramePr/>
                <a:graphic xmlns:a="http://schemas.openxmlformats.org/drawingml/2006/main">
                  <a:graphicData uri="http://schemas.microsoft.com/office/word/2010/wordprocessingShape">
                    <wps:wsp>
                      <wps:cNvSpPr txBox="1"/>
                      <wps:spPr>
                        <a:xfrm>
                          <a:off x="0" y="0"/>
                          <a:ext cx="819150" cy="371475"/>
                        </a:xfrm>
                        <a:prstGeom prst="rect">
                          <a:avLst/>
                        </a:prstGeom>
                        <a:noFill/>
                        <a:ln w="6350">
                          <a:noFill/>
                        </a:ln>
                      </wps:spPr>
                      <wps:txbx>
                        <w:txbxContent>
                          <w:p w14:paraId="1D452C91" w14:textId="77777777" w:rsidR="0077032A" w:rsidRPr="00BE3DF0" w:rsidRDefault="0077032A" w:rsidP="00061F42">
                            <w:pPr>
                              <w:rPr>
                                <w:rFonts w:ascii="Verdana" w:hAnsi="Verdana"/>
                                <w:b/>
                                <w:szCs w:val="20"/>
                              </w:rPr>
                            </w:pPr>
                            <w:r w:rsidRPr="00BE3DF0">
                              <w:rPr>
                                <w:rFonts w:ascii="Verdana" w:hAnsi="Verdana"/>
                                <w:b/>
                                <w:szCs w:val="20"/>
                              </w:rPr>
                              <w:t>1,6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4BC5F" id="Cuadro de texto 1125603612" o:spid="_x0000_s1029" type="#_x0000_t202" style="position:absolute;left:0;text-align:left;margin-left:-1.05pt;margin-top:413.7pt;width:64.5pt;height:29.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" filled="f" stroked="f" strokeweight=".5pt">
                <v:textbox>
                  <w:txbxContent>
                    <w:p w14:paraId="1D452C91" w14:textId="77777777" w:rsidR="0077032A" w:rsidRPr="00BE3DF0" w:rsidRDefault="0077032A" w:rsidP="00061F42">
                      <w:pPr>
                        <w:rPr>
                          <w:rFonts w:ascii="Verdana" w:hAnsi="Verdana"/>
                          <w:b/>
                          <w:szCs w:val="20"/>
                        </w:rPr>
                      </w:pPr>
                      <w:r w:rsidRPr="00BE3DF0">
                        <w:rPr>
                          <w:rFonts w:ascii="Verdana" w:hAnsi="Verdana"/>
                          <w:b/>
                          <w:szCs w:val="20"/>
                        </w:rPr>
                        <w:t>1,6 ml</w:t>
                      </w:r>
                    </w:p>
                  </w:txbxContent>
                </v:textbox>
              </v:shape>
            </w:pict>
          </mc:Fallback>
        </mc:AlternateContent>
      </w:r>
      <w:r>
        <w:rPr>
          <w:rFonts w:ascii="Garamond" w:hAnsi="Garamond" w:cs="Garamond"/>
          <w:noProof/>
          <w:color w:val="FF3333"/>
          <w:lang w:eastAsia="es-CO"/>
        </w:rPr>
        <mc:AlternateContent>
          <mc:Choice Requires="wps">
            <w:drawing>
              <wp:anchor distT="0" distB="0" distL="114300" distR="114300" simplePos="0" relativeHeight="251718656" behindDoc="0" locked="0" layoutInCell="1" allowOverlap="1" wp14:anchorId="2D83A502" wp14:editId="2E5DF8B2">
                <wp:simplePos x="0" y="0"/>
                <wp:positionH relativeFrom="column">
                  <wp:posOffset>1005840</wp:posOffset>
                </wp:positionH>
                <wp:positionV relativeFrom="paragraph">
                  <wp:posOffset>5634990</wp:posOffset>
                </wp:positionV>
                <wp:extent cx="762000" cy="381000"/>
                <wp:effectExtent l="0" t="0" r="0" b="0"/>
                <wp:wrapNone/>
                <wp:docPr id="1125603613" name="Cuadro de texto 1125603613"/>
                <wp:cNvGraphicFramePr/>
                <a:graphic xmlns:a="http://schemas.openxmlformats.org/drawingml/2006/main">
                  <a:graphicData uri="http://schemas.microsoft.com/office/word/2010/wordprocessingShape">
                    <wps:wsp>
                      <wps:cNvSpPr txBox="1"/>
                      <wps:spPr>
                        <a:xfrm>
                          <a:off x="0" y="0"/>
                          <a:ext cx="762000" cy="381000"/>
                        </a:xfrm>
                        <a:prstGeom prst="rect">
                          <a:avLst/>
                        </a:prstGeom>
                        <a:noFill/>
                        <a:ln w="6350">
                          <a:noFill/>
                        </a:ln>
                      </wps:spPr>
                      <wps:txbx>
                        <w:txbxContent>
                          <w:p w14:paraId="01CB74A5" w14:textId="77777777" w:rsidR="0077032A" w:rsidRPr="00BE3DF0" w:rsidRDefault="0077032A" w:rsidP="00061F42">
                            <w:pPr>
                              <w:rPr>
                                <w:rFonts w:ascii="Verdana" w:hAnsi="Verdana"/>
                                <w:b/>
                                <w:szCs w:val="20"/>
                              </w:rPr>
                            </w:pPr>
                            <w:r w:rsidRPr="00BE3DF0">
                              <w:rPr>
                                <w:rFonts w:ascii="Verdana" w:hAnsi="Verdana"/>
                                <w:b/>
                                <w:szCs w:val="20"/>
                              </w:rPr>
                              <w:t>7,7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3A502" id="Cuadro de texto 1125603613" o:spid="_x0000_s1030" type="#_x0000_t202" style="position:absolute;left:0;text-align:left;margin-left:79.2pt;margin-top:443.7pt;width:60pt;height:30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" filled="f" stroked="f" strokeweight=".5pt">
                <v:textbox>
                  <w:txbxContent>
                    <w:p w14:paraId="01CB74A5" w14:textId="77777777" w:rsidR="0077032A" w:rsidRPr="00BE3DF0" w:rsidRDefault="0077032A" w:rsidP="00061F42">
                      <w:pPr>
                        <w:rPr>
                          <w:rFonts w:ascii="Verdana" w:hAnsi="Verdana"/>
                          <w:b/>
                          <w:szCs w:val="20"/>
                        </w:rPr>
                      </w:pPr>
                      <w:r w:rsidRPr="00BE3DF0">
                        <w:rPr>
                          <w:rFonts w:ascii="Verdana" w:hAnsi="Verdana"/>
                          <w:b/>
                          <w:szCs w:val="20"/>
                        </w:rPr>
                        <w:t>7,7 ml</w:t>
                      </w:r>
                    </w:p>
                  </w:txbxContent>
                </v:textbox>
              </v:shape>
            </w:pict>
          </mc:Fallback>
        </mc:AlternateContent>
      </w:r>
      <w:r>
        <w:rPr>
          <w:rFonts w:ascii="Garamond" w:hAnsi="Garamond" w:cs="Garamond"/>
          <w:noProof/>
          <w:color w:val="FF3333"/>
          <w:lang w:eastAsia="es-CO"/>
        </w:rPr>
        <mc:AlternateContent>
          <mc:Choice Requires="wps">
            <w:drawing>
              <wp:anchor distT="0" distB="0" distL="114300" distR="114300" simplePos="0" relativeHeight="251716608" behindDoc="0" locked="0" layoutInCell="1" allowOverlap="1" wp14:anchorId="661A9CA1" wp14:editId="25F7AFC5">
                <wp:simplePos x="0" y="0"/>
                <wp:positionH relativeFrom="column">
                  <wp:posOffset>2225040</wp:posOffset>
                </wp:positionH>
                <wp:positionV relativeFrom="paragraph">
                  <wp:posOffset>5958840</wp:posOffset>
                </wp:positionV>
                <wp:extent cx="914400" cy="2476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914400" cy="247650"/>
                        </a:xfrm>
                        <a:prstGeom prst="rect">
                          <a:avLst/>
                        </a:prstGeom>
                        <a:noFill/>
                        <a:ln w="6350">
                          <a:noFill/>
                        </a:ln>
                      </wps:spPr>
                      <wps:txbx>
                        <w:txbxContent>
                          <w:p w14:paraId="754699BB" w14:textId="77777777" w:rsidR="0077032A" w:rsidRPr="00BE3DF0" w:rsidRDefault="0077032A" w:rsidP="00061F42">
                            <w:pPr>
                              <w:rPr>
                                <w:rFonts w:ascii="Verdana" w:hAnsi="Verdana"/>
                                <w:b/>
                                <w:szCs w:val="20"/>
                              </w:rPr>
                            </w:pPr>
                            <w:r w:rsidRPr="00BE3DF0">
                              <w:rPr>
                                <w:rFonts w:ascii="Verdana" w:hAnsi="Verdana"/>
                                <w:b/>
                                <w:szCs w:val="20"/>
                              </w:rPr>
                              <w:t>13,80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A9CA1" id="Cuadro de texto 4" o:spid="_x0000_s1031" type="#_x0000_t202" style="position:absolute;left:0;text-align:left;margin-left:175.2pt;margin-top:469.2pt;width:1in;height:1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" filled="f" stroked="f" strokeweight=".5pt">
                <v:textbox>
                  <w:txbxContent>
                    <w:p w14:paraId="754699BB" w14:textId="77777777" w:rsidR="0077032A" w:rsidRPr="00BE3DF0" w:rsidRDefault="0077032A" w:rsidP="00061F42">
                      <w:pPr>
                        <w:rPr>
                          <w:rFonts w:ascii="Verdana" w:hAnsi="Verdana"/>
                          <w:b/>
                          <w:szCs w:val="20"/>
                        </w:rPr>
                      </w:pPr>
                      <w:r w:rsidRPr="00BE3DF0">
                        <w:rPr>
                          <w:rFonts w:ascii="Verdana" w:hAnsi="Verdana"/>
                          <w:b/>
                          <w:szCs w:val="20"/>
                        </w:rPr>
                        <w:t>13,80 ml</w:t>
                      </w:r>
                    </w:p>
                  </w:txbxContent>
                </v:textbox>
              </v:shape>
            </w:pict>
          </mc:Fallback>
        </mc:AlternateContent>
      </w:r>
      <w:r>
        <w:rPr>
          <w:rFonts w:ascii="Garamond" w:hAnsi="Garamond" w:cs="Garamond"/>
          <w:noProof/>
          <w:color w:val="FF3333"/>
          <w:lang w:eastAsia="es-CO"/>
        </w:rPr>
        <mc:AlternateContent>
          <mc:Choice Requires="wps">
            <w:drawing>
              <wp:anchor distT="0" distB="0" distL="114300" distR="114300" simplePos="0" relativeHeight="251715584" behindDoc="0" locked="0" layoutInCell="1" allowOverlap="1" wp14:anchorId="2A1EE5E5" wp14:editId="7E66470C">
                <wp:simplePos x="0" y="0"/>
                <wp:positionH relativeFrom="column">
                  <wp:posOffset>3768090</wp:posOffset>
                </wp:positionH>
                <wp:positionV relativeFrom="paragraph">
                  <wp:posOffset>5577840</wp:posOffset>
                </wp:positionV>
                <wp:extent cx="895350" cy="361950"/>
                <wp:effectExtent l="0" t="0" r="0" b="0"/>
                <wp:wrapNone/>
                <wp:docPr id="1125603614" name="Cuadro de texto 1125603614"/>
                <wp:cNvGraphicFramePr/>
                <a:graphic xmlns:a="http://schemas.openxmlformats.org/drawingml/2006/main">
                  <a:graphicData uri="http://schemas.microsoft.com/office/word/2010/wordprocessingShape">
                    <wps:wsp>
                      <wps:cNvSpPr txBox="1"/>
                      <wps:spPr>
                        <a:xfrm>
                          <a:off x="0" y="0"/>
                          <a:ext cx="895350" cy="361950"/>
                        </a:xfrm>
                        <a:prstGeom prst="rect">
                          <a:avLst/>
                        </a:prstGeom>
                        <a:noFill/>
                        <a:ln w="6350">
                          <a:noFill/>
                        </a:ln>
                      </wps:spPr>
                      <wps:txbx>
                        <w:txbxContent>
                          <w:p w14:paraId="30849931" w14:textId="77777777" w:rsidR="0077032A" w:rsidRPr="00BE3DF0" w:rsidRDefault="0077032A" w:rsidP="00061F42">
                            <w:pPr>
                              <w:rPr>
                                <w:rFonts w:ascii="Verdana" w:hAnsi="Verdana"/>
                                <w:b/>
                                <w:szCs w:val="20"/>
                              </w:rPr>
                            </w:pPr>
                            <w:r w:rsidRPr="00BE3DF0">
                              <w:rPr>
                                <w:rFonts w:ascii="Verdana" w:hAnsi="Verdana"/>
                                <w:b/>
                                <w:szCs w:val="20"/>
                              </w:rPr>
                              <w:t>13,76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EE5E5" id="Cuadro de texto 1125603614" o:spid="_x0000_s1032" type="#_x0000_t202" style="position:absolute;left:0;text-align:left;margin-left:296.7pt;margin-top:439.2pt;width:70.5pt;height:2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" filled="f" stroked="f" strokeweight=".5pt">
                <v:textbox>
                  <w:txbxContent>
                    <w:p w14:paraId="30849931" w14:textId="77777777" w:rsidR="0077032A" w:rsidRPr="00BE3DF0" w:rsidRDefault="0077032A" w:rsidP="00061F42">
                      <w:pPr>
                        <w:rPr>
                          <w:rFonts w:ascii="Verdana" w:hAnsi="Verdana"/>
                          <w:b/>
                          <w:szCs w:val="20"/>
                        </w:rPr>
                      </w:pPr>
                      <w:r w:rsidRPr="00BE3DF0">
                        <w:rPr>
                          <w:rFonts w:ascii="Verdana" w:hAnsi="Verdana"/>
                          <w:b/>
                          <w:szCs w:val="20"/>
                        </w:rPr>
                        <w:t>13,76 ml</w:t>
                      </w:r>
                    </w:p>
                  </w:txbxContent>
                </v:textbox>
              </v:shape>
            </w:pict>
          </mc:Fallback>
        </mc:AlternateContent>
      </w:r>
      <w:r>
        <w:rPr>
          <w:noProof/>
          <w:lang w:eastAsia="es-CO"/>
        </w:rPr>
        <mc:AlternateContent>
          <mc:Choice Requires="wps">
            <w:drawing>
              <wp:anchor distT="0" distB="0" distL="114300" distR="114300" simplePos="0" relativeHeight="251711488" behindDoc="0" locked="0" layoutInCell="1" allowOverlap="1" wp14:anchorId="34C094CA" wp14:editId="5B18E5EB">
                <wp:simplePos x="0" y="0"/>
                <wp:positionH relativeFrom="column">
                  <wp:posOffset>558165</wp:posOffset>
                </wp:positionH>
                <wp:positionV relativeFrom="paragraph">
                  <wp:posOffset>57150</wp:posOffset>
                </wp:positionV>
                <wp:extent cx="4105275" cy="6115685"/>
                <wp:effectExtent l="76200" t="76200" r="28575" b="18415"/>
                <wp:wrapNone/>
                <wp:docPr id="1997869472" name="Forma libre: forma 14"/>
                <wp:cNvGraphicFramePr/>
                <a:graphic xmlns:a="http://schemas.openxmlformats.org/drawingml/2006/main">
                  <a:graphicData uri="http://schemas.microsoft.com/office/word/2010/wordprocessingShape">
                    <wps:wsp>
                      <wps:cNvSpPr/>
                      <wps:spPr>
                        <a:xfrm>
                          <a:off x="0" y="0"/>
                          <a:ext cx="4105275" cy="6115685"/>
                        </a:xfrm>
                        <a:custGeom>
                          <a:avLst/>
                          <a:gdLst>
                            <a:gd name="connsiteX0" fmla="*/ 3933825 w 4248150"/>
                            <a:gd name="connsiteY0" fmla="*/ 0 h 6448425"/>
                            <a:gd name="connsiteX1" fmla="*/ 4248150 w 4248150"/>
                            <a:gd name="connsiteY1" fmla="*/ 0 h 6448425"/>
                            <a:gd name="connsiteX2" fmla="*/ 4248150 w 4248150"/>
                            <a:gd name="connsiteY2" fmla="*/ 5486400 h 6448425"/>
                            <a:gd name="connsiteX3" fmla="*/ 3009900 w 4248150"/>
                            <a:gd name="connsiteY3" fmla="*/ 6448425 h 6448425"/>
                            <a:gd name="connsiteX4" fmla="*/ 1028700 w 4248150"/>
                            <a:gd name="connsiteY4" fmla="*/ 6448425 h 6448425"/>
                            <a:gd name="connsiteX5" fmla="*/ 1028700 w 4248150"/>
                            <a:gd name="connsiteY5" fmla="*/ 5667375 h 6448425"/>
                            <a:gd name="connsiteX6" fmla="*/ 0 w 4248150"/>
                            <a:gd name="connsiteY6" fmla="*/ 5667375 h 6448425"/>
                            <a:gd name="connsiteX7" fmla="*/ 0 w 4248150"/>
                            <a:gd name="connsiteY7" fmla="*/ 5419725 h 64484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4248150" h="6448425">
                              <a:moveTo>
                                <a:pt x="3933825" y="0"/>
                              </a:moveTo>
                              <a:lnTo>
                                <a:pt x="4248150" y="0"/>
                              </a:lnTo>
                              <a:lnTo>
                                <a:pt x="4248150" y="5486400"/>
                              </a:lnTo>
                              <a:lnTo>
                                <a:pt x="3009900" y="6448425"/>
                              </a:lnTo>
                              <a:lnTo>
                                <a:pt x="1028700" y="6448425"/>
                              </a:lnTo>
                              <a:lnTo>
                                <a:pt x="1028700" y="5667375"/>
                              </a:lnTo>
                              <a:lnTo>
                                <a:pt x="0" y="5667375"/>
                              </a:lnTo>
                              <a:lnTo>
                                <a:pt x="0" y="5419725"/>
                              </a:lnTo>
                            </a:path>
                          </a:pathLst>
                        </a:custGeom>
                        <a:noFill/>
                        <a:ln w="28575">
                          <a:solidFill>
                            <a:srgbClr val="FF0000"/>
                          </a:solidFill>
                          <a:prstDash val="dashDot"/>
                          <a:headEnd type="triangl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20ACC" id="Forma libre: forma 14" o:spid="_x0000_s1026" style="position:absolute;margin-left:43.95pt;margin-top:4.5pt;width:323.25pt;height:481.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48150,6448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" path="m3933825,r314325,l4248150,5486400,3009900,6448425r-1981200,l1028700,5667375,,5667375,,5419725e" filled="f" strokecolor="red" strokeweight="2.25pt">
                <v:stroke dashstyle="dashDot" startarrow="block" endarrow="block" joinstyle="miter"/>
                <v:path arrowok="t" o:connecttype="custom" o:connectlocs="3801521,0;4105275,0;4105275,5203301;2908670,6115685;994102,6115685;994102,5374937;0,5374937;0,5140066" o:connectangles="0,0,0,0,0,0,0,0"/>
              </v:shape>
            </w:pict>
          </mc:Fallback>
        </mc:AlternateContent>
      </w:r>
      <w:r>
        <w:rPr>
          <w:rFonts w:ascii="Garamond" w:hAnsi="Garamond" w:cs="Garamond"/>
          <w:noProof/>
          <w:color w:val="FF3333"/>
          <w:lang w:eastAsia="es-CO"/>
        </w:rPr>
        <mc:AlternateContent>
          <mc:Choice Requires="wps">
            <w:drawing>
              <wp:anchor distT="0" distB="0" distL="114300" distR="114300" simplePos="0" relativeHeight="251714560" behindDoc="0" locked="0" layoutInCell="1" allowOverlap="1" wp14:anchorId="65394EB9" wp14:editId="329C852B">
                <wp:simplePos x="0" y="0"/>
                <wp:positionH relativeFrom="column">
                  <wp:posOffset>4529455</wp:posOffset>
                </wp:positionH>
                <wp:positionV relativeFrom="paragraph">
                  <wp:posOffset>2796540</wp:posOffset>
                </wp:positionV>
                <wp:extent cx="866775" cy="361950"/>
                <wp:effectExtent l="0" t="0" r="0" b="0"/>
                <wp:wrapNone/>
                <wp:docPr id="1997869473" name="Cuadro de texto 1997869473"/>
                <wp:cNvGraphicFramePr/>
                <a:graphic xmlns:a="http://schemas.openxmlformats.org/drawingml/2006/main">
                  <a:graphicData uri="http://schemas.microsoft.com/office/word/2010/wordprocessingShape">
                    <wps:wsp>
                      <wps:cNvSpPr txBox="1"/>
                      <wps:spPr>
                        <a:xfrm>
                          <a:off x="0" y="0"/>
                          <a:ext cx="866775" cy="361950"/>
                        </a:xfrm>
                        <a:prstGeom prst="rect">
                          <a:avLst/>
                        </a:prstGeom>
                        <a:noFill/>
                        <a:ln w="6350">
                          <a:noFill/>
                        </a:ln>
                      </wps:spPr>
                      <wps:txbx>
                        <w:txbxContent>
                          <w:p w14:paraId="69F5B9C0" w14:textId="77777777" w:rsidR="0077032A" w:rsidRPr="00BE3DF0" w:rsidRDefault="0077032A" w:rsidP="00061F42">
                            <w:pPr>
                              <w:rPr>
                                <w:rFonts w:ascii="Verdana" w:hAnsi="Verdana"/>
                                <w:b/>
                                <w:szCs w:val="20"/>
                              </w:rPr>
                            </w:pPr>
                            <w:r w:rsidRPr="00BE3DF0">
                              <w:rPr>
                                <w:rFonts w:ascii="Verdana" w:hAnsi="Verdana"/>
                                <w:b/>
                                <w:szCs w:val="20"/>
                              </w:rPr>
                              <w:t>40,80 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94EB9" id="Cuadro de texto 1997869473" o:spid="_x0000_s1033" type="#_x0000_t202" style="position:absolute;left:0;text-align:left;margin-left:356.65pt;margin-top:220.2pt;width:68.25pt;height:2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" filled="f" stroked="f" strokeweight=".5pt">
                <v:textbox>
                  <w:txbxContent>
                    <w:p w14:paraId="69F5B9C0" w14:textId="77777777" w:rsidR="0077032A" w:rsidRPr="00BE3DF0" w:rsidRDefault="0077032A" w:rsidP="00061F42">
                      <w:pPr>
                        <w:rPr>
                          <w:rFonts w:ascii="Verdana" w:hAnsi="Verdana"/>
                          <w:b/>
                          <w:szCs w:val="20"/>
                        </w:rPr>
                      </w:pPr>
                      <w:r w:rsidRPr="00BE3DF0">
                        <w:rPr>
                          <w:rFonts w:ascii="Verdana" w:hAnsi="Verdana"/>
                          <w:b/>
                          <w:szCs w:val="20"/>
                        </w:rPr>
                        <w:t>40,80 ml</w:t>
                      </w:r>
                    </w:p>
                  </w:txbxContent>
                </v:textbox>
              </v:shape>
            </w:pict>
          </mc:Fallback>
        </mc:AlternateContent>
      </w:r>
      <w:r>
        <w:rPr>
          <w:noProof/>
          <w:lang w:eastAsia="es-CO"/>
        </w:rPr>
        <w:drawing>
          <wp:inline distT="0" distB="0" distL="0" distR="0" wp14:anchorId="1263957C" wp14:editId="116A6E3F">
            <wp:extent cx="4800600" cy="6173295"/>
            <wp:effectExtent l="0" t="0" r="0" b="0"/>
            <wp:docPr id="1997869480" name="Imagen 1997869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834171" cy="6216465"/>
                    </a:xfrm>
                    <a:prstGeom prst="rect">
                      <a:avLst/>
                    </a:prstGeom>
                  </pic:spPr>
                </pic:pic>
              </a:graphicData>
            </a:graphic>
          </wp:inline>
        </w:drawing>
      </w:r>
    </w:p>
    <w:p w14:paraId="3049E5AE" w14:textId="77777777" w:rsidR="00061F42" w:rsidRDefault="00061F42" w:rsidP="00061F42">
      <w:pPr>
        <w:tabs>
          <w:tab w:val="left" w:pos="38"/>
        </w:tabs>
        <w:jc w:val="center"/>
        <w:rPr>
          <w:rFonts w:ascii="Garamond" w:hAnsi="Garamond" w:cs="Arial"/>
          <w:sz w:val="18"/>
          <w:szCs w:val="18"/>
        </w:rPr>
      </w:pPr>
    </w:p>
    <w:p w14:paraId="14CC6870" w14:textId="77777777" w:rsidR="00061F42" w:rsidRPr="00061F42" w:rsidRDefault="00061F42" w:rsidP="00061F42">
      <w:pPr>
        <w:tabs>
          <w:tab w:val="left" w:pos="38"/>
        </w:tabs>
        <w:spacing w:after="0"/>
        <w:jc w:val="center"/>
        <w:rPr>
          <w:rFonts w:ascii="Garamond" w:hAnsi="Garamond" w:cs="Arial"/>
          <w:szCs w:val="20"/>
        </w:rPr>
      </w:pPr>
      <w:r w:rsidRPr="00061F42">
        <w:rPr>
          <w:rFonts w:ascii="Garamond" w:hAnsi="Garamond" w:cs="Arial"/>
          <w:szCs w:val="20"/>
        </w:rPr>
        <w:t>Plano de medidas y cantidades necesarias para la obra</w:t>
      </w:r>
    </w:p>
    <w:p w14:paraId="587D3D39" w14:textId="239E8E78" w:rsidR="00061F42" w:rsidRPr="00061F42" w:rsidRDefault="00061F42" w:rsidP="00061F42">
      <w:pPr>
        <w:tabs>
          <w:tab w:val="left" w:pos="38"/>
        </w:tabs>
        <w:spacing w:after="0"/>
        <w:jc w:val="center"/>
        <w:rPr>
          <w:rFonts w:ascii="Garamond" w:hAnsi="Garamond" w:cs="Arial"/>
          <w:szCs w:val="20"/>
        </w:rPr>
      </w:pPr>
      <w:r w:rsidRPr="00061F42">
        <w:rPr>
          <w:rFonts w:ascii="Garamond" w:hAnsi="Garamond" w:cs="Arial"/>
          <w:iCs/>
          <w:szCs w:val="20"/>
        </w:rPr>
        <w:t>Fuente: IPES – Planimetría C.E.D El Centenario (Bogotá D.C.)</w:t>
      </w:r>
    </w:p>
    <w:p w14:paraId="32386F11" w14:textId="77777777" w:rsidR="00061F42" w:rsidRDefault="00061F42" w:rsidP="002A4BF2">
      <w:pPr>
        <w:spacing w:line="240" w:lineRule="auto"/>
        <w:jc w:val="both"/>
        <w:rPr>
          <w:rFonts w:ascii="Garamond" w:hAnsi="Garamond"/>
          <w:sz w:val="24"/>
          <w:szCs w:val="24"/>
        </w:rPr>
      </w:pPr>
    </w:p>
    <w:p w14:paraId="66D3CCBC" w14:textId="40D86537" w:rsidR="00061F42" w:rsidRPr="00061F42" w:rsidRDefault="00061F42" w:rsidP="00061F42">
      <w:pPr>
        <w:spacing w:line="240" w:lineRule="auto"/>
        <w:jc w:val="both"/>
        <w:rPr>
          <w:rFonts w:ascii="Garamond" w:hAnsi="Garamond"/>
          <w:sz w:val="24"/>
          <w:szCs w:val="24"/>
        </w:rPr>
      </w:pPr>
      <w:r w:rsidRPr="00061F42">
        <w:rPr>
          <w:rFonts w:ascii="Garamond" w:hAnsi="Garamond"/>
          <w:sz w:val="24"/>
          <w:szCs w:val="24"/>
        </w:rPr>
        <w:t xml:space="preserve">Que, el presente proceso de Selección Abreviada de Menor Cuantía, su Estudio previo y Formulario 1 – Formulario de Presupuesto oficial, se estructuraron bajo el esquema de precios </w:t>
      </w:r>
      <w:r w:rsidRPr="00061F42">
        <w:rPr>
          <w:rFonts w:ascii="Garamond" w:hAnsi="Garamond"/>
          <w:sz w:val="24"/>
          <w:szCs w:val="24"/>
        </w:rPr>
        <w:lastRenderedPageBreak/>
        <w:t xml:space="preserve">unitarios, en el cual se establece que el valor de cada ítem incluye el correspondiente porcentaje de A.I.U. (Administración, Imprevistos y Utilidad). </w:t>
      </w:r>
    </w:p>
    <w:p w14:paraId="5FEC518E" w14:textId="48AFC91E" w:rsidR="00061F42" w:rsidRPr="00061F42" w:rsidRDefault="00061F42" w:rsidP="00061F42">
      <w:pPr>
        <w:spacing w:line="240" w:lineRule="auto"/>
        <w:jc w:val="both"/>
        <w:rPr>
          <w:rFonts w:ascii="Garamond" w:hAnsi="Garamond"/>
          <w:sz w:val="24"/>
          <w:szCs w:val="24"/>
        </w:rPr>
      </w:pPr>
      <w:r w:rsidRPr="00061F42">
        <w:rPr>
          <w:rFonts w:ascii="Garamond" w:hAnsi="Garamond"/>
          <w:sz w:val="24"/>
          <w:szCs w:val="24"/>
        </w:rPr>
        <w:t>Teniendo en cuenta la aplicación del porcentaje de Administración, Imprevistos y Utilidad - AIU el cual fue estimado en 40,60% sobre el presupuesto total del proyecto, se obtiene un subtotal de costos de obra por valor total de $ 42.673.504,16 valor que corresponde al total disponible para ejecutar las actividades por valor con cantidades.</w:t>
      </w:r>
    </w:p>
    <w:p w14:paraId="2BAEFF43" w14:textId="1B591939" w:rsidR="00061F42" w:rsidRDefault="00061F42" w:rsidP="00061F42">
      <w:pPr>
        <w:spacing w:line="240" w:lineRule="auto"/>
        <w:jc w:val="both"/>
        <w:rPr>
          <w:rFonts w:ascii="Verdana" w:hAnsi="Verdana"/>
        </w:rPr>
      </w:pPr>
      <w:r w:rsidRPr="00061F42">
        <w:rPr>
          <w:rFonts w:ascii="Garamond" w:hAnsi="Garamond"/>
          <w:sz w:val="24"/>
          <w:szCs w:val="24"/>
        </w:rPr>
        <w:t>En consecuencia, el AIU adoptado para el presente proceso se considera razonable y ajustado a la normativa vigente, en tanto refleja las condiciones técnicas, financieras y logísticas necesarias para la correcta ejecución de las obras de mitigación del riesgo, garantizando la aplicación de los principios de economía, planeación y responsabilidad previstos en el Estatuto General de Contratación de la Administración Pública.</w:t>
      </w:r>
    </w:p>
    <w:p w14:paraId="73838261" w14:textId="1A59A953" w:rsidR="00061F42" w:rsidRDefault="00FE3553" w:rsidP="00061F42">
      <w:pPr>
        <w:tabs>
          <w:tab w:val="left" w:pos="1860"/>
        </w:tabs>
        <w:rPr>
          <w:rFonts w:ascii="Garamond" w:eastAsia="Arial,Calibri" w:hAnsi="Garamond" w:cs="Arial"/>
          <w:color w:val="000000" w:themeColor="text1"/>
          <w:lang w:val="es-MX"/>
        </w:rPr>
      </w:pPr>
      <w:r w:rsidRPr="00656905">
        <w:rPr>
          <w:rFonts w:eastAsia="Arial,Calibri"/>
          <w:noProof/>
        </w:rPr>
        <w:drawing>
          <wp:inline distT="0" distB="0" distL="0" distR="0" wp14:anchorId="7CC18806" wp14:editId="278C5B32">
            <wp:extent cx="5334200" cy="56388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45789" cy="5651051"/>
                    </a:xfrm>
                    <a:prstGeom prst="rect">
                      <a:avLst/>
                    </a:prstGeom>
                    <a:noFill/>
                    <a:ln>
                      <a:noFill/>
                    </a:ln>
                  </pic:spPr>
                </pic:pic>
              </a:graphicData>
            </a:graphic>
          </wp:inline>
        </w:drawing>
      </w:r>
    </w:p>
    <w:p w14:paraId="3FCCFBB0" w14:textId="38C5A2CC" w:rsidR="00061F42" w:rsidRDefault="00061F42" w:rsidP="00061F42">
      <w:pPr>
        <w:tabs>
          <w:tab w:val="left" w:pos="1860"/>
        </w:tabs>
        <w:rPr>
          <w:rFonts w:ascii="Garamond" w:eastAsia="Arial,Calibri" w:hAnsi="Garamond" w:cs="Arial"/>
          <w:color w:val="000000" w:themeColor="text1"/>
          <w:lang w:val="es-MX"/>
        </w:rPr>
      </w:pPr>
    </w:p>
    <w:p w14:paraId="163997C5" w14:textId="6CEF1424" w:rsidR="00061F42" w:rsidRPr="00061F42" w:rsidRDefault="00061F42" w:rsidP="00061F42">
      <w:pPr>
        <w:tabs>
          <w:tab w:val="left" w:pos="38"/>
        </w:tabs>
        <w:spacing w:after="0"/>
        <w:jc w:val="center"/>
        <w:rPr>
          <w:rFonts w:ascii="Garamond" w:hAnsi="Garamond" w:cs="Arial"/>
          <w:szCs w:val="20"/>
        </w:rPr>
      </w:pPr>
      <w:r w:rsidRPr="00061F42">
        <w:rPr>
          <w:rFonts w:ascii="Garamond" w:hAnsi="Garamond" w:cs="Arial"/>
          <w:szCs w:val="20"/>
        </w:rPr>
        <w:t>Desglose del AIU del proceso</w:t>
      </w:r>
    </w:p>
    <w:p w14:paraId="2AE4A77C" w14:textId="6B101C7A" w:rsidR="00061F42" w:rsidRPr="00061F42" w:rsidRDefault="00061F42" w:rsidP="00061F42">
      <w:pPr>
        <w:tabs>
          <w:tab w:val="left" w:pos="38"/>
        </w:tabs>
        <w:spacing w:after="0"/>
        <w:jc w:val="center"/>
        <w:rPr>
          <w:rFonts w:ascii="Garamond" w:hAnsi="Garamond" w:cs="Arial"/>
          <w:iCs/>
          <w:szCs w:val="20"/>
        </w:rPr>
      </w:pPr>
      <w:r w:rsidRPr="00061F42">
        <w:rPr>
          <w:rFonts w:ascii="Garamond" w:hAnsi="Garamond" w:cs="Arial"/>
          <w:iCs/>
          <w:szCs w:val="20"/>
        </w:rPr>
        <w:t>Fuente: FDLAN, Estudio de mercado y desglose del A.I.U de la entidad. Bogotá D.C. 2025</w:t>
      </w:r>
    </w:p>
    <w:p w14:paraId="2876025C" w14:textId="77777777" w:rsidR="00061F42" w:rsidRDefault="00061F42" w:rsidP="00061F42">
      <w:pPr>
        <w:jc w:val="both"/>
        <w:rPr>
          <w:rFonts w:ascii="Garamond" w:hAnsi="Garamond"/>
          <w:sz w:val="24"/>
          <w:szCs w:val="24"/>
        </w:rPr>
      </w:pPr>
    </w:p>
    <w:p w14:paraId="257A8F02" w14:textId="662B5C04" w:rsidR="00061F42" w:rsidRPr="00061F42" w:rsidRDefault="00061F42" w:rsidP="00061F42">
      <w:pPr>
        <w:jc w:val="both"/>
        <w:rPr>
          <w:rFonts w:ascii="Garamond" w:hAnsi="Garamond"/>
          <w:sz w:val="24"/>
          <w:szCs w:val="24"/>
        </w:rPr>
      </w:pPr>
      <w:r w:rsidRPr="00061F42">
        <w:rPr>
          <w:rFonts w:ascii="Garamond" w:hAnsi="Garamond"/>
          <w:sz w:val="24"/>
          <w:szCs w:val="24"/>
        </w:rPr>
        <w:t>En cumplimiento de lo dispuesto por el Decreto 1082 de 2015 y con el fin de garantizar claridad y transparencia en la estructuración económica del proceso, la Entidad presenta a continuación la discriminación de los impuestos, tasas y contribuciones que aplican al presente contrato. Esta información deberá ser tenida en cuenta por los oferentes al momento de formular su propuesta económica, toda vez que forma parte integral del presupuesto oficial y condiciona la determinación del valor total de la oferta. Los tributos aplicables se muestran a continuación:</w:t>
      </w:r>
    </w:p>
    <w:p w14:paraId="69CD0A6E" w14:textId="6625DF46" w:rsidR="00061F42" w:rsidRDefault="00FE3553" w:rsidP="00061F42">
      <w:pPr>
        <w:rPr>
          <w:rFonts w:ascii="Verdana" w:hAnsi="Verdana"/>
        </w:rPr>
      </w:pPr>
      <w:r w:rsidRPr="000D5031">
        <w:rPr>
          <w:noProof/>
        </w:rPr>
        <w:drawing>
          <wp:anchor distT="0" distB="0" distL="114300" distR="114300" simplePos="0" relativeHeight="251729920" behindDoc="0" locked="0" layoutInCell="1" allowOverlap="1" wp14:anchorId="55F368CE" wp14:editId="360F0F4A">
            <wp:simplePos x="0" y="0"/>
            <wp:positionH relativeFrom="column">
              <wp:posOffset>-459648</wp:posOffset>
            </wp:positionH>
            <wp:positionV relativeFrom="paragraph">
              <wp:posOffset>-1089</wp:posOffset>
            </wp:positionV>
            <wp:extent cx="6836228" cy="848995"/>
            <wp:effectExtent l="0" t="0" r="3175"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94801" cy="85626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15FB78" w14:textId="77777777" w:rsidR="00061F42" w:rsidRDefault="00061F42" w:rsidP="00061F42">
      <w:pPr>
        <w:rPr>
          <w:rFonts w:ascii="Verdana" w:hAnsi="Verdana"/>
        </w:rPr>
      </w:pPr>
    </w:p>
    <w:p w14:paraId="385D1ECF" w14:textId="77777777" w:rsidR="00061F42" w:rsidRDefault="00061F42" w:rsidP="00061F42">
      <w:pPr>
        <w:tabs>
          <w:tab w:val="left" w:pos="1860"/>
        </w:tabs>
        <w:spacing w:after="200"/>
        <w:rPr>
          <w:rFonts w:ascii="Garamond" w:hAnsi="Garamond" w:cs="Arial"/>
          <w:color w:val="000000" w:themeColor="text1"/>
        </w:rPr>
      </w:pPr>
    </w:p>
    <w:p w14:paraId="5EE20868" w14:textId="52455565" w:rsidR="00061F42" w:rsidRPr="00061F42" w:rsidRDefault="00061F42" w:rsidP="00061F42">
      <w:pPr>
        <w:tabs>
          <w:tab w:val="left" w:pos="38"/>
        </w:tabs>
        <w:spacing w:after="0"/>
        <w:jc w:val="center"/>
        <w:rPr>
          <w:rFonts w:ascii="Garamond" w:hAnsi="Garamond" w:cs="Arial"/>
          <w:i/>
          <w:iCs/>
          <w:szCs w:val="20"/>
        </w:rPr>
      </w:pPr>
      <w:r w:rsidRPr="00061F42">
        <w:rPr>
          <w:rFonts w:ascii="Garamond" w:hAnsi="Garamond" w:cs="Arial"/>
          <w:szCs w:val="20"/>
        </w:rPr>
        <w:t>Impuestos, tasas y contribuciones</w:t>
      </w:r>
    </w:p>
    <w:p w14:paraId="20696A34" w14:textId="77777777" w:rsidR="00061F42" w:rsidRPr="00061F42" w:rsidRDefault="00061F42" w:rsidP="00061F42">
      <w:pPr>
        <w:tabs>
          <w:tab w:val="left" w:pos="38"/>
        </w:tabs>
        <w:spacing w:after="0"/>
        <w:jc w:val="center"/>
        <w:rPr>
          <w:rFonts w:ascii="Garamond" w:hAnsi="Garamond" w:cs="Arial"/>
          <w:szCs w:val="20"/>
        </w:rPr>
      </w:pPr>
      <w:r w:rsidRPr="00061F42">
        <w:rPr>
          <w:rFonts w:ascii="Garamond" w:hAnsi="Garamond" w:cs="Arial"/>
          <w:szCs w:val="20"/>
        </w:rPr>
        <w:t>Fuente: FDLAN - Estudio de mercado y desglose del A.I.U de la entidad. Bogotá D.C. 2025.</w:t>
      </w:r>
    </w:p>
    <w:p w14:paraId="071C205D" w14:textId="77777777" w:rsidR="00061F42" w:rsidRPr="002701BB" w:rsidRDefault="00061F42" w:rsidP="00061F42">
      <w:pPr>
        <w:rPr>
          <w:rFonts w:ascii="Verdana" w:hAnsi="Verdana"/>
        </w:rPr>
      </w:pPr>
    </w:p>
    <w:p w14:paraId="22AADBFE" w14:textId="7CA878B3" w:rsidR="00061F42" w:rsidRPr="00061F42" w:rsidRDefault="00061F42" w:rsidP="00061F42">
      <w:pPr>
        <w:jc w:val="both"/>
        <w:rPr>
          <w:rFonts w:ascii="Garamond" w:hAnsi="Garamond"/>
          <w:sz w:val="24"/>
          <w:szCs w:val="24"/>
        </w:rPr>
      </w:pPr>
      <w:r w:rsidRPr="00061F42">
        <w:rPr>
          <w:rFonts w:ascii="Garamond" w:hAnsi="Garamond"/>
          <w:sz w:val="24"/>
          <w:szCs w:val="24"/>
        </w:rPr>
        <w:t xml:space="preserve">Las obras proyectadas corresponden a una intervención puntual, preventiva y de carácter temporal, orientada a la instalación de un cerramiento perimetral de seguridad alrededor del inmueble C.E.D. El Centenario, con el fin de mitigar riesgos, controlar el acceso y proteger el bien patrimonial frente a actos de vandalismo y deterioro adicional. </w:t>
      </w:r>
    </w:p>
    <w:p w14:paraId="4B5DA800" w14:textId="3359A858" w:rsidR="00061F42" w:rsidRPr="00061F42" w:rsidRDefault="00061F42" w:rsidP="00061F42">
      <w:pPr>
        <w:jc w:val="both"/>
        <w:rPr>
          <w:rFonts w:ascii="Garamond" w:hAnsi="Garamond"/>
          <w:sz w:val="24"/>
          <w:szCs w:val="24"/>
        </w:rPr>
      </w:pPr>
      <w:r w:rsidRPr="00061F42">
        <w:rPr>
          <w:rFonts w:ascii="Garamond" w:hAnsi="Garamond"/>
          <w:sz w:val="24"/>
          <w:szCs w:val="24"/>
        </w:rPr>
        <w:t>El alcance de la obra se limita exclusivamente al cerramiento externo del predio, sin que el contratista esté autorizado para intervenir el interior del inmueble, ni efectuar trabajos que impliquen modificación, contacto directo o afectación sobre la fachada o los elementos arquitectónicos del Bien de Interés Cultural (BIC). Todas las actividades deberán ejecutarse bajo criterios de estabilidad, seguridad y reversibilidad, respetando las condiciones patrimoniales y urbanísticas definidas por el Instituto Distrital de Patrimonio Cultural – IDPC y el Departamento Administrativo de la Defensoría del Espacio Público – DADEP.</w:t>
      </w:r>
    </w:p>
    <w:p w14:paraId="024DF362" w14:textId="097D550A" w:rsidR="00061F42" w:rsidRPr="00061F42" w:rsidRDefault="00061F42" w:rsidP="00061F42">
      <w:pPr>
        <w:jc w:val="both"/>
        <w:rPr>
          <w:rFonts w:ascii="Garamond" w:hAnsi="Garamond"/>
          <w:sz w:val="24"/>
          <w:szCs w:val="24"/>
        </w:rPr>
      </w:pPr>
      <w:r w:rsidRPr="00061F42">
        <w:rPr>
          <w:rFonts w:ascii="Garamond" w:hAnsi="Garamond"/>
          <w:sz w:val="24"/>
          <w:szCs w:val="24"/>
        </w:rPr>
        <w:t xml:space="preserve">Que, mediante el </w:t>
      </w:r>
      <w:r w:rsidRPr="00FE3553">
        <w:rPr>
          <w:rFonts w:ascii="Garamond" w:hAnsi="Garamond"/>
          <w:sz w:val="24"/>
          <w:szCs w:val="24"/>
        </w:rPr>
        <w:t xml:space="preserve">Convenio </w:t>
      </w:r>
      <w:r w:rsidR="00FE3553" w:rsidRPr="00FE3553">
        <w:rPr>
          <w:rFonts w:ascii="Garamond" w:hAnsi="Garamond" w:cs="Garamond"/>
          <w:sz w:val="24"/>
          <w:szCs w:val="24"/>
        </w:rPr>
        <w:t>Interadministrativo No. FDLAN-CIA-004-2025 del 07/11/2025, suscrito entre el IPES y el FDLAN</w:t>
      </w:r>
      <w:r w:rsidRPr="00FE3553">
        <w:rPr>
          <w:rFonts w:ascii="Garamond" w:hAnsi="Garamond"/>
          <w:sz w:val="24"/>
          <w:szCs w:val="24"/>
        </w:rPr>
        <w:t>, el IPES delegará a favor del FDLAN el uso y la autorización expresa para realizar las obras de cerramiento</w:t>
      </w:r>
      <w:r w:rsidRPr="00061F42">
        <w:rPr>
          <w:rFonts w:ascii="Garamond" w:hAnsi="Garamond"/>
          <w:sz w:val="24"/>
          <w:szCs w:val="24"/>
        </w:rPr>
        <w:t xml:space="preserve"> y las intervenciones previstas, conforme a los alcances, condiciones y límites que fije el acto de convenio y siempre sujetas al cumplimiento de los conceptos y autorizaciones emitidos por el IDPC, el DADEP y el IDIGER. En esa medida, el comodato proveerá el soporte jurídico necesario para que el FDLAN asuma la ejecución material de las obras, mientras que las autorizaciones técnicas y patrimoniales (IDPC/DADEP) y el concepto de riesgo (IDIGER) seguirán siendo requisitos previos y vinculantes para la ejecución y supervisión de las obras.</w:t>
      </w:r>
    </w:p>
    <w:p w14:paraId="7F31942D" w14:textId="1FEA5AC2" w:rsidR="00061F42" w:rsidRPr="00061F42" w:rsidRDefault="00061F42" w:rsidP="00061F42">
      <w:pPr>
        <w:jc w:val="both"/>
        <w:rPr>
          <w:rFonts w:ascii="Garamond" w:hAnsi="Garamond"/>
          <w:sz w:val="24"/>
          <w:szCs w:val="24"/>
        </w:rPr>
      </w:pPr>
      <w:r w:rsidRPr="00061F42">
        <w:rPr>
          <w:rFonts w:ascii="Garamond" w:hAnsi="Garamond"/>
          <w:sz w:val="24"/>
          <w:szCs w:val="24"/>
        </w:rPr>
        <w:lastRenderedPageBreak/>
        <w:t>En consecuencia, las especificaciones técnicas y el alcance definido garantizan la ejecución eficiente, segura y transparente del objeto contractual, asegurando el cumplimiento de los principios de planeación, economía, eficiencia y responsabilidad consagrados en la Ley 80 de 1993, la Ley 1150 de 2007 y el Decreto 1082 de 2015, así como la protección integral del patrimonio arquitectónico y cultural del Distrito Capital.</w:t>
      </w:r>
    </w:p>
    <w:p w14:paraId="429979A5" w14:textId="1F8C3011" w:rsidR="00061F42" w:rsidRDefault="00061F42" w:rsidP="002A4BF2">
      <w:pPr>
        <w:spacing w:line="240" w:lineRule="auto"/>
        <w:jc w:val="both"/>
        <w:rPr>
          <w:rFonts w:ascii="Garamond" w:hAnsi="Garamond"/>
          <w:sz w:val="24"/>
          <w:szCs w:val="24"/>
        </w:rPr>
      </w:pPr>
      <w:r w:rsidRPr="00061F42">
        <w:rPr>
          <w:rFonts w:ascii="Garamond" w:hAnsi="Garamond"/>
          <w:sz w:val="24"/>
          <w:szCs w:val="24"/>
        </w:rPr>
        <w:t>Para el presente proceso de contratación, la forma de pago adoptada corresponde a la modalidad de pago a precios unitarios, en atención a la naturaleza del objeto contractual. Esta modalidad resulta la más adecuada, dado que permite reconocer al contratista los valores efectivamente ejecutados conforme a las cantidades de obra verificadas en el sitio de intervención, garantizando transparencia, control y trazabilidad en el uso de los recursos públicos.</w:t>
      </w:r>
    </w:p>
    <w:p w14:paraId="601CD052" w14:textId="77777777" w:rsidR="007A5621" w:rsidRDefault="007A5621" w:rsidP="002A4BF2">
      <w:pPr>
        <w:spacing w:line="240" w:lineRule="auto"/>
        <w:jc w:val="both"/>
        <w:rPr>
          <w:rFonts w:ascii="Garamond" w:hAnsi="Garamond"/>
          <w:sz w:val="24"/>
          <w:szCs w:val="24"/>
        </w:rPr>
      </w:pPr>
    </w:p>
    <w:p w14:paraId="670D1A5C" w14:textId="1BA7448A" w:rsidR="007C3D72" w:rsidRPr="00061F42" w:rsidRDefault="00EA1D77" w:rsidP="003A1825">
      <w:pPr>
        <w:pStyle w:val="Textoindependiente"/>
        <w:numPr>
          <w:ilvl w:val="0"/>
          <w:numId w:val="1"/>
        </w:numPr>
        <w:spacing w:before="93"/>
        <w:ind w:left="0" w:firstLine="0"/>
        <w:jc w:val="both"/>
        <w:rPr>
          <w:rFonts w:ascii="Garamond" w:hAnsi="Garamond"/>
          <w:sz w:val="24"/>
          <w:szCs w:val="24"/>
        </w:rPr>
      </w:pPr>
      <w:r w:rsidRPr="00061F42">
        <w:rPr>
          <w:rFonts w:ascii="Garamond" w:hAnsi="Garamond"/>
          <w:b/>
          <w:sz w:val="24"/>
          <w:szCs w:val="24"/>
        </w:rPr>
        <w:t>ANÁLISIS REGULATORIO</w:t>
      </w:r>
    </w:p>
    <w:p w14:paraId="7AFD239E" w14:textId="77777777" w:rsidR="00061F42" w:rsidRPr="00061F42" w:rsidRDefault="00061F42" w:rsidP="00061F42">
      <w:pPr>
        <w:pStyle w:val="Textoindependiente"/>
        <w:spacing w:before="93"/>
        <w:jc w:val="both"/>
        <w:rPr>
          <w:rFonts w:ascii="Garamond" w:hAnsi="Garamond"/>
          <w:sz w:val="24"/>
          <w:szCs w:val="24"/>
        </w:rPr>
      </w:pPr>
    </w:p>
    <w:p w14:paraId="7CB91DF3" w14:textId="0DA21C04" w:rsidR="00EA1D77" w:rsidRDefault="00EA1D77" w:rsidP="002A4BF2">
      <w:pPr>
        <w:pStyle w:val="Textoindependiente"/>
        <w:spacing w:before="93"/>
        <w:jc w:val="both"/>
        <w:rPr>
          <w:rFonts w:ascii="Garamond" w:hAnsi="Garamond"/>
          <w:sz w:val="24"/>
          <w:szCs w:val="24"/>
        </w:rPr>
      </w:pPr>
      <w:r w:rsidRPr="00EA1D77">
        <w:rPr>
          <w:rFonts w:ascii="Garamond" w:hAnsi="Garamond"/>
          <w:sz w:val="24"/>
          <w:szCs w:val="24"/>
        </w:rPr>
        <w:t xml:space="preserve">La Entidad identifica la siguiente regulación aplicable al objeto del proceso de </w:t>
      </w:r>
      <w:r w:rsidR="00DC6ED4">
        <w:rPr>
          <w:rFonts w:ascii="Garamond" w:hAnsi="Garamond"/>
          <w:sz w:val="24"/>
          <w:szCs w:val="24"/>
        </w:rPr>
        <w:t>Selección Abreviada de Menor Cuantía-</w:t>
      </w:r>
    </w:p>
    <w:p w14:paraId="3B9E094C" w14:textId="77777777" w:rsidR="00061F42" w:rsidRDefault="00061F42" w:rsidP="002A4BF2">
      <w:pPr>
        <w:pStyle w:val="Textoindependiente"/>
        <w:spacing w:before="93"/>
        <w:jc w:val="both"/>
        <w:rPr>
          <w:rFonts w:ascii="Garamond" w:hAnsi="Garamond"/>
          <w:sz w:val="24"/>
          <w:szCs w:val="24"/>
        </w:rPr>
      </w:pPr>
    </w:p>
    <w:p w14:paraId="0BBDB0F3" w14:textId="03AE6FC3" w:rsidR="00EA1D77" w:rsidRPr="00306D47" w:rsidRDefault="00EA1D77" w:rsidP="003A1825">
      <w:pPr>
        <w:pStyle w:val="Textoindependiente"/>
        <w:numPr>
          <w:ilvl w:val="1"/>
          <w:numId w:val="8"/>
        </w:numPr>
        <w:spacing w:before="93"/>
        <w:jc w:val="both"/>
        <w:rPr>
          <w:rFonts w:ascii="Garamond" w:hAnsi="Garamond"/>
          <w:sz w:val="24"/>
          <w:szCs w:val="24"/>
        </w:rPr>
      </w:pPr>
      <w:r>
        <w:rPr>
          <w:rFonts w:ascii="Garamond" w:hAnsi="Garamond"/>
          <w:b/>
          <w:sz w:val="24"/>
          <w:szCs w:val="24"/>
        </w:rPr>
        <w:t>MARCO LEGAL DE CONTRATACIÓN PÚBLICA</w:t>
      </w:r>
    </w:p>
    <w:p w14:paraId="073A152D" w14:textId="77777777" w:rsidR="00306D47" w:rsidRDefault="00306D47" w:rsidP="002A4BF2">
      <w:pPr>
        <w:pStyle w:val="Textoindependiente"/>
        <w:spacing w:before="93"/>
        <w:jc w:val="both"/>
        <w:rPr>
          <w:rFonts w:ascii="Garamond" w:hAnsi="Garamond"/>
          <w:b/>
          <w:sz w:val="24"/>
          <w:szCs w:val="24"/>
        </w:rPr>
      </w:pPr>
    </w:p>
    <w:tbl>
      <w:tblPr>
        <w:tblStyle w:val="NormalTable0"/>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6232"/>
      </w:tblGrid>
      <w:tr w:rsidR="00306D47" w:rsidRPr="00306D47" w14:paraId="7DA44C71" w14:textId="77777777" w:rsidTr="00767A56">
        <w:trPr>
          <w:trHeight w:val="251"/>
        </w:trPr>
        <w:tc>
          <w:tcPr>
            <w:tcW w:w="2264" w:type="dxa"/>
            <w:shd w:val="clear" w:color="auto" w:fill="D9D9D9"/>
          </w:tcPr>
          <w:p w14:paraId="5A4B09FB" w14:textId="77777777" w:rsidR="00306D47" w:rsidRPr="00306D47" w:rsidRDefault="00306D47" w:rsidP="002A4BF2">
            <w:pPr>
              <w:pStyle w:val="TableParagraph"/>
              <w:ind w:left="287"/>
              <w:rPr>
                <w:rFonts w:ascii="Garamond" w:hAnsi="Garamond" w:cs="Times New Roman"/>
                <w:b/>
                <w:i/>
              </w:rPr>
            </w:pPr>
            <w:r w:rsidRPr="00306D47">
              <w:rPr>
                <w:rFonts w:ascii="Garamond" w:hAnsi="Garamond" w:cs="Times New Roman"/>
                <w:b/>
                <w:i/>
                <w:w w:val="80"/>
              </w:rPr>
              <w:t>Acto</w:t>
            </w:r>
            <w:r w:rsidRPr="00306D47">
              <w:rPr>
                <w:rFonts w:ascii="Garamond" w:hAnsi="Garamond" w:cs="Times New Roman"/>
                <w:b/>
                <w:i/>
                <w:spacing w:val="13"/>
                <w:w w:val="80"/>
              </w:rPr>
              <w:t xml:space="preserve"> </w:t>
            </w:r>
            <w:r w:rsidRPr="00306D47">
              <w:rPr>
                <w:rFonts w:ascii="Garamond" w:hAnsi="Garamond" w:cs="Times New Roman"/>
                <w:b/>
                <w:i/>
                <w:w w:val="80"/>
              </w:rPr>
              <w:t>administrativo</w:t>
            </w:r>
          </w:p>
        </w:tc>
        <w:tc>
          <w:tcPr>
            <w:tcW w:w="6232" w:type="dxa"/>
            <w:shd w:val="clear" w:color="auto" w:fill="D9D9D9"/>
          </w:tcPr>
          <w:p w14:paraId="0BCAC997" w14:textId="77777777" w:rsidR="00306D47" w:rsidRPr="00306D47" w:rsidRDefault="00306D47" w:rsidP="002A4BF2">
            <w:pPr>
              <w:pStyle w:val="TableParagraph"/>
              <w:ind w:left="2697" w:right="2692"/>
              <w:jc w:val="center"/>
              <w:rPr>
                <w:rFonts w:ascii="Garamond" w:hAnsi="Garamond" w:cs="Times New Roman"/>
                <w:b/>
                <w:i/>
              </w:rPr>
            </w:pPr>
            <w:r w:rsidRPr="00306D47">
              <w:rPr>
                <w:rFonts w:ascii="Garamond" w:hAnsi="Garamond" w:cs="Times New Roman"/>
                <w:b/>
                <w:i/>
                <w:w w:val="90"/>
              </w:rPr>
              <w:t>Epígrafe</w:t>
            </w:r>
          </w:p>
        </w:tc>
      </w:tr>
      <w:tr w:rsidR="00306D47" w:rsidRPr="00306D47" w14:paraId="15FC3F21" w14:textId="77777777" w:rsidTr="00767A56">
        <w:trPr>
          <w:trHeight w:val="505"/>
        </w:trPr>
        <w:tc>
          <w:tcPr>
            <w:tcW w:w="2264" w:type="dxa"/>
          </w:tcPr>
          <w:p w14:paraId="231579CC"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t>Constitución Política de Colombia, 1991</w:t>
            </w:r>
          </w:p>
        </w:tc>
        <w:tc>
          <w:tcPr>
            <w:tcW w:w="6232" w:type="dxa"/>
          </w:tcPr>
          <w:p w14:paraId="09EE4C92"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tc>
      </w:tr>
      <w:tr w:rsidR="00306D47" w:rsidRPr="00306D47" w14:paraId="79EE65B7" w14:textId="77777777" w:rsidTr="00767A56">
        <w:trPr>
          <w:trHeight w:val="505"/>
        </w:trPr>
        <w:tc>
          <w:tcPr>
            <w:tcW w:w="2264" w:type="dxa"/>
          </w:tcPr>
          <w:p w14:paraId="090E9069"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t>Ley 80 de 1993</w:t>
            </w:r>
          </w:p>
        </w:tc>
        <w:tc>
          <w:tcPr>
            <w:tcW w:w="6232" w:type="dxa"/>
          </w:tcPr>
          <w:p w14:paraId="0EC6C132"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Define los principios de la contratación estatal, como la transparencia, la igualdad y la eficacia. Establece los requisitos para la contratación, incluyendo la necesidad de un proceso de selección transparente. </w:t>
            </w:r>
          </w:p>
        </w:tc>
      </w:tr>
      <w:tr w:rsidR="00306D47" w:rsidRPr="00306D47" w14:paraId="5E4722FF" w14:textId="77777777" w:rsidTr="00767A56">
        <w:trPr>
          <w:trHeight w:val="505"/>
        </w:trPr>
        <w:tc>
          <w:tcPr>
            <w:tcW w:w="2264" w:type="dxa"/>
          </w:tcPr>
          <w:p w14:paraId="49C1136B"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t>Ley 1150 de 2007</w:t>
            </w:r>
          </w:p>
        </w:tc>
        <w:tc>
          <w:tcPr>
            <w:tcW w:w="6232" w:type="dxa"/>
          </w:tcPr>
          <w:p w14:paraId="0F12C61E" w14:textId="77777777" w:rsidR="00306D47" w:rsidRPr="00306D47" w:rsidRDefault="00306D47" w:rsidP="002A4BF2">
            <w:pPr>
              <w:pStyle w:val="TableParagraph"/>
              <w:ind w:left="107" w:right="162"/>
              <w:jc w:val="both"/>
              <w:rPr>
                <w:rFonts w:ascii="Garamond" w:hAnsi="Garamond" w:cs="Times New Roman"/>
                <w:i/>
                <w:w w:val="80"/>
              </w:rPr>
            </w:pPr>
            <w:r w:rsidRPr="00306D47">
              <w:rPr>
                <w:rFonts w:ascii="Garamond" w:hAnsi="Garamond" w:cs="Times New Roman"/>
                <w:i/>
                <w:w w:val="80"/>
              </w:rPr>
              <w:t>Establece disposiciones importantes sobre la contratación estatal, incluyendo la creación del Sistema de Información para la Vigilancia de la Contratación Estatal (SICE), que busca garantizar la transparencia y el control de los procesos contractuales. </w:t>
            </w:r>
          </w:p>
        </w:tc>
      </w:tr>
      <w:tr w:rsidR="00306D47" w:rsidRPr="00306D47" w14:paraId="616AD492" w14:textId="77777777" w:rsidTr="00767A56">
        <w:trPr>
          <w:trHeight w:val="505"/>
        </w:trPr>
        <w:tc>
          <w:tcPr>
            <w:tcW w:w="2264" w:type="dxa"/>
          </w:tcPr>
          <w:p w14:paraId="6A167005"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t>Ley 1882 de 2018</w:t>
            </w:r>
          </w:p>
        </w:tc>
        <w:tc>
          <w:tcPr>
            <w:tcW w:w="6232" w:type="dxa"/>
          </w:tcPr>
          <w:p w14:paraId="79D4526B" w14:textId="77777777" w:rsidR="00306D47" w:rsidRPr="00306D47" w:rsidRDefault="00306D47" w:rsidP="002A4BF2">
            <w:pPr>
              <w:pStyle w:val="TableParagraph"/>
              <w:ind w:left="107" w:right="162"/>
              <w:jc w:val="both"/>
              <w:rPr>
                <w:rFonts w:ascii="Garamond" w:hAnsi="Garamond" w:cs="Times New Roman"/>
                <w:i/>
                <w:w w:val="80"/>
              </w:rPr>
            </w:pPr>
            <w:r w:rsidRPr="00306D47">
              <w:rPr>
                <w:rFonts w:ascii="Garamond" w:hAnsi="Garamond" w:cs="Times New Roman"/>
                <w:i/>
                <w:w w:val="80"/>
              </w:rPr>
              <w:t>Busca fortalecer la contratación pública, incluyendo la incorporación de medidas para la lucha contra la corrupción y la promoción de la participación de las Mipymes. </w:t>
            </w:r>
          </w:p>
        </w:tc>
      </w:tr>
      <w:tr w:rsidR="00306D47" w:rsidRPr="00306D47" w14:paraId="3F0FE0EB" w14:textId="77777777" w:rsidTr="00767A56">
        <w:trPr>
          <w:trHeight w:val="505"/>
        </w:trPr>
        <w:tc>
          <w:tcPr>
            <w:tcW w:w="2264" w:type="dxa"/>
          </w:tcPr>
          <w:p w14:paraId="5A69CF10"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t>Ley 2069 de 2020</w:t>
            </w:r>
          </w:p>
        </w:tc>
        <w:tc>
          <w:tcPr>
            <w:tcW w:w="6232" w:type="dxa"/>
          </w:tcPr>
          <w:p w14:paraId="2839737A"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Establece disposiciones especiales para la contratación de mínima cuantía</w:t>
            </w:r>
          </w:p>
        </w:tc>
      </w:tr>
      <w:tr w:rsidR="00306D47" w:rsidRPr="00306D47" w14:paraId="2DA55B19" w14:textId="77777777" w:rsidTr="00767A56">
        <w:trPr>
          <w:trHeight w:val="505"/>
        </w:trPr>
        <w:tc>
          <w:tcPr>
            <w:tcW w:w="2264" w:type="dxa"/>
          </w:tcPr>
          <w:p w14:paraId="5F3469CA"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t>Ley 2079 de 2021</w:t>
            </w:r>
          </w:p>
        </w:tc>
        <w:tc>
          <w:tcPr>
            <w:tcW w:w="6232" w:type="dxa"/>
          </w:tcPr>
          <w:p w14:paraId="78CB6317"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Establece políticas públicas para el hábitat y la vivienda, complementando la política habitacional urbana y rural del país. </w:t>
            </w:r>
          </w:p>
        </w:tc>
      </w:tr>
      <w:tr w:rsidR="00306D47" w:rsidRPr="00306D47" w14:paraId="09C1600B" w14:textId="77777777" w:rsidTr="00767A56">
        <w:trPr>
          <w:trHeight w:val="505"/>
        </w:trPr>
        <w:tc>
          <w:tcPr>
            <w:tcW w:w="2264" w:type="dxa"/>
          </w:tcPr>
          <w:p w14:paraId="3BA49DBB"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t>Reglamento Colombiano de Construcción Sismoresistente (NSR-10)</w:t>
            </w:r>
          </w:p>
        </w:tc>
        <w:tc>
          <w:tcPr>
            <w:tcW w:w="6232" w:type="dxa"/>
          </w:tcPr>
          <w:p w14:paraId="3543EBFF" w14:textId="77777777" w:rsidR="00306D47" w:rsidRPr="00306D47" w:rsidRDefault="00306D47" w:rsidP="002A4BF2">
            <w:pPr>
              <w:pStyle w:val="TableParagraph"/>
              <w:ind w:left="107" w:right="162"/>
              <w:rPr>
                <w:rFonts w:ascii="Garamond" w:hAnsi="Garamond" w:cs="Times New Roman"/>
                <w:i/>
              </w:rPr>
            </w:pPr>
            <w:r w:rsidRPr="00306D47">
              <w:rPr>
                <w:rFonts w:ascii="Garamond" w:hAnsi="Garamond" w:cs="Times New Roman"/>
                <w:i/>
                <w:w w:val="80"/>
              </w:rPr>
              <w:t>Establece los requisitos técnicos para el diseño y construcción de estructuras sismoresistentes, incluyendo aspectos como materiales, métodos constructivos y seguridad estructural. </w:t>
            </w:r>
          </w:p>
        </w:tc>
      </w:tr>
      <w:tr w:rsidR="00306D47" w:rsidRPr="00306D47" w14:paraId="18312F37" w14:textId="77777777" w:rsidTr="00767A56">
        <w:trPr>
          <w:trHeight w:val="757"/>
        </w:trPr>
        <w:tc>
          <w:tcPr>
            <w:tcW w:w="2264" w:type="dxa"/>
          </w:tcPr>
          <w:p w14:paraId="5A8E47A2" w14:textId="77777777" w:rsidR="00306D47" w:rsidRPr="00306D47" w:rsidRDefault="00306D47" w:rsidP="002A4BF2">
            <w:pPr>
              <w:pStyle w:val="TableParagraph"/>
              <w:spacing w:before="2"/>
              <w:ind w:left="107"/>
              <w:rPr>
                <w:rFonts w:ascii="Garamond" w:hAnsi="Garamond" w:cs="Times New Roman"/>
                <w:i/>
                <w:w w:val="80"/>
              </w:rPr>
            </w:pPr>
            <w:r w:rsidRPr="00306D47">
              <w:rPr>
                <w:rFonts w:ascii="Garamond" w:hAnsi="Garamond" w:cs="Times New Roman"/>
                <w:i/>
                <w:w w:val="80"/>
              </w:rPr>
              <w:t>Decreto 1082 de 2015</w:t>
            </w:r>
          </w:p>
        </w:tc>
        <w:tc>
          <w:tcPr>
            <w:tcW w:w="6232" w:type="dxa"/>
          </w:tcPr>
          <w:p w14:paraId="1F5EF030" w14:textId="77777777" w:rsidR="00306D47" w:rsidRPr="00306D47" w:rsidRDefault="00306D47" w:rsidP="002A4BF2">
            <w:pPr>
              <w:pStyle w:val="TableParagraph"/>
              <w:ind w:left="107" w:right="162"/>
              <w:rPr>
                <w:rFonts w:ascii="Garamond" w:hAnsi="Garamond" w:cs="Times New Roman"/>
                <w:i/>
              </w:rPr>
            </w:pPr>
            <w:r w:rsidRPr="00306D47">
              <w:rPr>
                <w:rFonts w:ascii="Garamond" w:hAnsi="Garamond" w:cs="Times New Roman"/>
                <w:i/>
                <w:w w:val="80"/>
              </w:rPr>
              <w:t>Reglamenta la Ley 80 de 1993, estableciendo los procedimientos específicos para la contratación en diferentes modalidades.</w:t>
            </w:r>
          </w:p>
        </w:tc>
      </w:tr>
      <w:tr w:rsidR="00306D47" w:rsidRPr="00306D47" w14:paraId="61F96B57" w14:textId="77777777" w:rsidTr="00767A56">
        <w:trPr>
          <w:trHeight w:val="551"/>
        </w:trPr>
        <w:tc>
          <w:tcPr>
            <w:tcW w:w="2264" w:type="dxa"/>
          </w:tcPr>
          <w:p w14:paraId="31ED194A"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lastRenderedPageBreak/>
              <w:t>Decreto 399 de 2021</w:t>
            </w:r>
          </w:p>
        </w:tc>
        <w:tc>
          <w:tcPr>
            <w:tcW w:w="6232" w:type="dxa"/>
          </w:tcPr>
          <w:p w14:paraId="6FEFEA38" w14:textId="77777777" w:rsidR="00306D47" w:rsidRPr="00306D47" w:rsidRDefault="00306D47" w:rsidP="002A4BF2">
            <w:pPr>
              <w:pStyle w:val="TableParagraph"/>
              <w:ind w:left="107"/>
              <w:rPr>
                <w:rFonts w:ascii="Garamond" w:hAnsi="Garamond" w:cs="Times New Roman"/>
                <w:i/>
                <w:w w:val="80"/>
              </w:rPr>
            </w:pPr>
            <w:r w:rsidRPr="00306D47">
              <w:rPr>
                <w:rFonts w:ascii="Garamond" w:hAnsi="Garamond" w:cs="Times New Roman"/>
                <w:i/>
                <w:w w:val="80"/>
              </w:rPr>
              <w:t>Modifica el Decreto 1082 de 2015, haciendo algunas modificaciones a los procedimientos de contratación. </w:t>
            </w:r>
          </w:p>
        </w:tc>
      </w:tr>
    </w:tbl>
    <w:p w14:paraId="325BC541" w14:textId="69259612" w:rsidR="00061F42" w:rsidRDefault="00061F42" w:rsidP="00061F42">
      <w:pPr>
        <w:pStyle w:val="Textoindependiente"/>
        <w:spacing w:before="93"/>
        <w:jc w:val="both"/>
        <w:rPr>
          <w:rFonts w:ascii="Garamond" w:hAnsi="Garamond"/>
          <w:sz w:val="24"/>
          <w:szCs w:val="24"/>
        </w:rPr>
      </w:pPr>
      <w:r>
        <w:rPr>
          <w:rFonts w:ascii="Garamond" w:hAnsi="Garamond"/>
          <w:sz w:val="24"/>
          <w:szCs w:val="24"/>
        </w:rPr>
        <w:t>Las demás normas que las modifiquen, complementen, supriman o corrijan</w:t>
      </w:r>
    </w:p>
    <w:p w14:paraId="6022CE93" w14:textId="77777777" w:rsidR="00061F42" w:rsidRDefault="00061F42" w:rsidP="002A4BF2">
      <w:pPr>
        <w:pStyle w:val="Textoindependiente"/>
        <w:spacing w:before="101"/>
        <w:ind w:left="1666"/>
        <w:rPr>
          <w:rFonts w:ascii="Garamond" w:hAnsi="Garamond" w:cs="Times New Roman"/>
          <w:w w:val="80"/>
        </w:rPr>
      </w:pPr>
    </w:p>
    <w:p w14:paraId="6EE81333" w14:textId="55D7EA8D" w:rsidR="00306D47" w:rsidRPr="00306D47" w:rsidRDefault="00306D47" w:rsidP="003A1825">
      <w:pPr>
        <w:pStyle w:val="Textoindependiente"/>
        <w:numPr>
          <w:ilvl w:val="1"/>
          <w:numId w:val="8"/>
        </w:numPr>
        <w:spacing w:before="93"/>
        <w:jc w:val="both"/>
        <w:rPr>
          <w:rFonts w:ascii="Garamond" w:hAnsi="Garamond"/>
          <w:sz w:val="24"/>
          <w:szCs w:val="24"/>
        </w:rPr>
      </w:pPr>
      <w:r>
        <w:rPr>
          <w:rFonts w:ascii="Garamond" w:hAnsi="Garamond"/>
          <w:b/>
          <w:sz w:val="24"/>
          <w:szCs w:val="24"/>
        </w:rPr>
        <w:t>MARCO LEGAL DEL SECTOR</w:t>
      </w:r>
    </w:p>
    <w:p w14:paraId="583582D0" w14:textId="77777777" w:rsidR="00306D47" w:rsidRPr="00306D47" w:rsidRDefault="00306D47" w:rsidP="002A4BF2">
      <w:pPr>
        <w:pStyle w:val="Textoindependiente"/>
        <w:spacing w:before="101"/>
        <w:ind w:left="1666"/>
        <w:rPr>
          <w:rFonts w:ascii="Garamond" w:hAnsi="Garamond" w:cs="Times New Roman"/>
          <w:w w:val="80"/>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6232"/>
      </w:tblGrid>
      <w:tr w:rsidR="00306D47" w:rsidRPr="00306D47" w14:paraId="4B0AC61F" w14:textId="77777777" w:rsidTr="00767A56">
        <w:trPr>
          <w:trHeight w:val="254"/>
          <w:jc w:val="center"/>
        </w:trPr>
        <w:tc>
          <w:tcPr>
            <w:tcW w:w="2264" w:type="dxa"/>
            <w:shd w:val="clear" w:color="auto" w:fill="D9D9D9"/>
          </w:tcPr>
          <w:p w14:paraId="17E845FF" w14:textId="77777777" w:rsidR="00306D47" w:rsidRPr="00306D47" w:rsidRDefault="00306D47" w:rsidP="002A4BF2">
            <w:pPr>
              <w:pStyle w:val="TableParagraph"/>
              <w:ind w:left="287"/>
              <w:rPr>
                <w:rFonts w:ascii="Garamond" w:hAnsi="Garamond" w:cs="Times New Roman"/>
                <w:b/>
                <w:i/>
              </w:rPr>
            </w:pPr>
            <w:r w:rsidRPr="00306D47">
              <w:rPr>
                <w:rFonts w:ascii="Garamond" w:hAnsi="Garamond" w:cs="Times New Roman"/>
                <w:b/>
                <w:i/>
                <w:w w:val="80"/>
              </w:rPr>
              <w:t>Acto</w:t>
            </w:r>
            <w:r w:rsidRPr="00306D47">
              <w:rPr>
                <w:rFonts w:ascii="Garamond" w:hAnsi="Garamond" w:cs="Times New Roman"/>
                <w:b/>
                <w:i/>
                <w:spacing w:val="13"/>
                <w:w w:val="80"/>
              </w:rPr>
              <w:t xml:space="preserve"> </w:t>
            </w:r>
            <w:r w:rsidRPr="00306D47">
              <w:rPr>
                <w:rFonts w:ascii="Garamond" w:hAnsi="Garamond" w:cs="Times New Roman"/>
                <w:b/>
                <w:i/>
                <w:w w:val="80"/>
              </w:rPr>
              <w:t>administrativo</w:t>
            </w:r>
          </w:p>
        </w:tc>
        <w:tc>
          <w:tcPr>
            <w:tcW w:w="6232" w:type="dxa"/>
            <w:shd w:val="clear" w:color="auto" w:fill="D9D9D9"/>
          </w:tcPr>
          <w:p w14:paraId="44D218B6" w14:textId="77777777" w:rsidR="00306D47" w:rsidRPr="00306D47" w:rsidRDefault="00306D47" w:rsidP="002A4BF2">
            <w:pPr>
              <w:pStyle w:val="TableParagraph"/>
              <w:ind w:left="2697" w:right="2692"/>
              <w:jc w:val="center"/>
              <w:rPr>
                <w:rFonts w:ascii="Garamond" w:hAnsi="Garamond" w:cs="Times New Roman"/>
                <w:b/>
                <w:i/>
              </w:rPr>
            </w:pPr>
            <w:r w:rsidRPr="00306D47">
              <w:rPr>
                <w:rFonts w:ascii="Garamond" w:hAnsi="Garamond" w:cs="Times New Roman"/>
                <w:b/>
                <w:i/>
                <w:w w:val="90"/>
              </w:rPr>
              <w:t>Epígrafe</w:t>
            </w:r>
          </w:p>
        </w:tc>
      </w:tr>
      <w:tr w:rsidR="00306D47" w:rsidRPr="00306D47" w14:paraId="30174B34" w14:textId="77777777" w:rsidTr="00767A56">
        <w:trPr>
          <w:trHeight w:val="503"/>
          <w:jc w:val="center"/>
        </w:trPr>
        <w:tc>
          <w:tcPr>
            <w:tcW w:w="2264" w:type="dxa"/>
          </w:tcPr>
          <w:p w14:paraId="775F8274"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Decreto 479 de 2024</w:t>
            </w:r>
          </w:p>
        </w:tc>
        <w:tc>
          <w:tcPr>
            <w:tcW w:w="6232" w:type="dxa"/>
          </w:tcPr>
          <w:p w14:paraId="261C8B43"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Por medio del cual se expide el Decreto Único Distrital del Sector Gestión Jurídica</w:t>
            </w:r>
          </w:p>
        </w:tc>
      </w:tr>
      <w:tr w:rsidR="00306D47" w:rsidRPr="00306D47" w14:paraId="53A3DA9D" w14:textId="77777777" w:rsidTr="00767A56">
        <w:trPr>
          <w:trHeight w:val="503"/>
          <w:jc w:val="center"/>
        </w:trPr>
        <w:tc>
          <w:tcPr>
            <w:tcW w:w="2264" w:type="dxa"/>
          </w:tcPr>
          <w:p w14:paraId="08ACD6C5"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Directiva 003 de 2023</w:t>
            </w:r>
          </w:p>
        </w:tc>
        <w:tc>
          <w:tcPr>
            <w:tcW w:w="6232" w:type="dxa"/>
          </w:tcPr>
          <w:p w14:paraId="69B804FA"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ADOPCIÓN DE LA POLÍTICA DE COMPRAS Y CONTRATACIÓN PÚBLICA PARA EL DISTRITO CAPITAL.</w:t>
            </w:r>
          </w:p>
        </w:tc>
      </w:tr>
      <w:tr w:rsidR="00306D47" w:rsidRPr="00306D47" w14:paraId="33A6E650" w14:textId="77777777" w:rsidTr="00767A56">
        <w:trPr>
          <w:trHeight w:val="503"/>
          <w:jc w:val="center"/>
        </w:trPr>
        <w:tc>
          <w:tcPr>
            <w:tcW w:w="2264" w:type="dxa"/>
          </w:tcPr>
          <w:p w14:paraId="5006932C"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Resolución 284 de 2024</w:t>
            </w:r>
          </w:p>
        </w:tc>
        <w:tc>
          <w:tcPr>
            <w:tcW w:w="6232" w:type="dxa"/>
          </w:tcPr>
          <w:p w14:paraId="2748EC88" w14:textId="77777777" w:rsidR="00306D47" w:rsidRPr="00306D47" w:rsidRDefault="00306D47" w:rsidP="002A4BF2">
            <w:pPr>
              <w:pStyle w:val="TableParagraph"/>
              <w:ind w:left="107" w:right="162"/>
              <w:jc w:val="both"/>
              <w:rPr>
                <w:rFonts w:ascii="Garamond" w:hAnsi="Garamond" w:cs="Times New Roman"/>
                <w:i/>
                <w:w w:val="80"/>
              </w:rPr>
            </w:pPr>
            <w:r w:rsidRPr="00306D47">
              <w:rPr>
                <w:rFonts w:ascii="Garamond" w:hAnsi="Garamond" w:cs="Times New Roman"/>
                <w:i/>
                <w:w w:val="80"/>
              </w:rPr>
              <w:t>Por la cual se establecen competencias y funcionamiento del Comité Asesor de Contratación y el Comité Evaluador en los procesos de contratación</w:t>
            </w:r>
          </w:p>
        </w:tc>
      </w:tr>
      <w:tr w:rsidR="00306D47" w:rsidRPr="00306D47" w14:paraId="1D277A02" w14:textId="77777777" w:rsidTr="00767A56">
        <w:trPr>
          <w:trHeight w:val="503"/>
          <w:jc w:val="center"/>
        </w:trPr>
        <w:tc>
          <w:tcPr>
            <w:tcW w:w="2264" w:type="dxa"/>
          </w:tcPr>
          <w:p w14:paraId="24DE5ACA"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Decreto 634 de 2023</w:t>
            </w:r>
          </w:p>
        </w:tc>
        <w:tc>
          <w:tcPr>
            <w:tcW w:w="6232" w:type="dxa"/>
          </w:tcPr>
          <w:p w14:paraId="014DB50E" w14:textId="77777777" w:rsidR="00306D47" w:rsidRPr="00306D47" w:rsidRDefault="00306D47" w:rsidP="002A4BF2">
            <w:pPr>
              <w:pStyle w:val="TableParagraph"/>
              <w:ind w:left="107" w:right="162"/>
              <w:jc w:val="both"/>
              <w:rPr>
                <w:rFonts w:ascii="Garamond" w:hAnsi="Garamond" w:cs="Times New Roman"/>
                <w:i/>
                <w:w w:val="80"/>
              </w:rPr>
            </w:pPr>
            <w:r w:rsidRPr="00306D47">
              <w:rPr>
                <w:rFonts w:ascii="Garamond" w:hAnsi="Garamond" w:cs="Times New Roman"/>
                <w:i/>
                <w:w w:val="80"/>
              </w:rPr>
              <w:t>Por medio del cual se modifica el Decreto Distrital 332 de 2020, que establece medidas afirmativas para promover la participación de las mujeres en la contratación del Distrito Capital</w:t>
            </w:r>
          </w:p>
        </w:tc>
      </w:tr>
      <w:tr w:rsidR="00306D47" w:rsidRPr="00306D47" w14:paraId="6126F6A3" w14:textId="77777777" w:rsidTr="00767A56">
        <w:trPr>
          <w:trHeight w:val="503"/>
          <w:jc w:val="center"/>
        </w:trPr>
        <w:tc>
          <w:tcPr>
            <w:tcW w:w="2264" w:type="dxa"/>
          </w:tcPr>
          <w:p w14:paraId="0E8060BE"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Decreto Distrital 807 de 2019</w:t>
            </w:r>
          </w:p>
        </w:tc>
        <w:tc>
          <w:tcPr>
            <w:tcW w:w="6232" w:type="dxa"/>
          </w:tcPr>
          <w:p w14:paraId="6E0C18F9"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Reglamenta el Sistema de Gestión en el Distrito Capital. . </w:t>
            </w:r>
          </w:p>
        </w:tc>
      </w:tr>
      <w:tr w:rsidR="00306D47" w:rsidRPr="00306D47" w14:paraId="1637B4F9" w14:textId="77777777" w:rsidTr="00767A56">
        <w:trPr>
          <w:trHeight w:val="503"/>
          <w:jc w:val="center"/>
        </w:trPr>
        <w:tc>
          <w:tcPr>
            <w:tcW w:w="2264" w:type="dxa"/>
          </w:tcPr>
          <w:p w14:paraId="2ED0BC48"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Decreto Distrital 430 de 2018</w:t>
            </w:r>
          </w:p>
        </w:tc>
        <w:tc>
          <w:tcPr>
            <w:tcW w:w="6232" w:type="dxa"/>
          </w:tcPr>
          <w:p w14:paraId="18D3F3AB"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Asigna funciones a la Secretaría Jurídica Distrital en materia de contratación, como la prevención del daño antijurídico</w:t>
            </w:r>
            <w:r w:rsidRPr="00306D47">
              <w:rPr>
                <w:rFonts w:ascii="Garamond" w:hAnsi="Garamond" w:cs="Times New Roman"/>
                <w:b/>
                <w:bCs/>
                <w:i/>
                <w:w w:val="80"/>
              </w:rPr>
              <w:t>. </w:t>
            </w:r>
          </w:p>
        </w:tc>
      </w:tr>
      <w:tr w:rsidR="00306D47" w:rsidRPr="00306D47" w14:paraId="57141009" w14:textId="77777777" w:rsidTr="00767A56">
        <w:trPr>
          <w:trHeight w:val="503"/>
          <w:jc w:val="center"/>
        </w:trPr>
        <w:tc>
          <w:tcPr>
            <w:tcW w:w="2264" w:type="dxa"/>
          </w:tcPr>
          <w:p w14:paraId="722683BA"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Directiva 003 de 2023</w:t>
            </w:r>
          </w:p>
        </w:tc>
        <w:tc>
          <w:tcPr>
            <w:tcW w:w="6232" w:type="dxa"/>
          </w:tcPr>
          <w:p w14:paraId="4A987D84"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Establece la Política de Gestión Contractual en el Distrito.</w:t>
            </w:r>
          </w:p>
        </w:tc>
      </w:tr>
      <w:tr w:rsidR="00306D47" w:rsidRPr="00306D47" w14:paraId="022EF7C3" w14:textId="77777777" w:rsidTr="00767A56">
        <w:trPr>
          <w:trHeight w:val="503"/>
          <w:jc w:val="center"/>
        </w:trPr>
        <w:tc>
          <w:tcPr>
            <w:tcW w:w="2264" w:type="dxa"/>
          </w:tcPr>
          <w:p w14:paraId="37B8165E"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Plan de Ordenamiento Territorial (POT) de Bogotá (Decreto 555 de 2021)</w:t>
            </w:r>
          </w:p>
        </w:tc>
        <w:tc>
          <w:tcPr>
            <w:tcW w:w="6232" w:type="dxa"/>
          </w:tcPr>
          <w:p w14:paraId="2C3ED99C" w14:textId="77777777" w:rsidR="00306D47" w:rsidRPr="00306D47" w:rsidRDefault="00306D47" w:rsidP="002A4BF2">
            <w:pPr>
              <w:pStyle w:val="TableParagraph"/>
              <w:ind w:left="107" w:right="162"/>
              <w:rPr>
                <w:rFonts w:ascii="Garamond" w:hAnsi="Garamond" w:cs="Times New Roman"/>
                <w:i/>
                <w:w w:val="80"/>
              </w:rPr>
            </w:pPr>
            <w:r w:rsidRPr="00306D47">
              <w:rPr>
                <w:rFonts w:ascii="Garamond" w:hAnsi="Garamond" w:cs="Times New Roman"/>
                <w:i/>
                <w:w w:val="80"/>
              </w:rPr>
              <w:t>Define las normas urbanísticas y de construcción aplicables a diferentes tipos de edificaciones en la ciudad, incluyendo áreas mínimas, alturas y usos permitidos. </w:t>
            </w:r>
          </w:p>
        </w:tc>
      </w:tr>
    </w:tbl>
    <w:p w14:paraId="5341740E" w14:textId="6863A7CC" w:rsidR="00061F42" w:rsidRDefault="00061F42" w:rsidP="00061F42">
      <w:pPr>
        <w:pStyle w:val="Textoindependiente"/>
        <w:spacing w:before="93"/>
        <w:jc w:val="both"/>
        <w:rPr>
          <w:rFonts w:ascii="Garamond" w:hAnsi="Garamond"/>
          <w:sz w:val="24"/>
          <w:szCs w:val="24"/>
        </w:rPr>
      </w:pPr>
    </w:p>
    <w:p w14:paraId="522928C8" w14:textId="11CC6AA6" w:rsidR="00061F42" w:rsidRDefault="00061F42" w:rsidP="00061F42">
      <w:pPr>
        <w:pStyle w:val="Textoindependiente"/>
        <w:spacing w:before="93"/>
        <w:jc w:val="both"/>
        <w:rPr>
          <w:rFonts w:ascii="Garamond" w:hAnsi="Garamond"/>
          <w:sz w:val="24"/>
          <w:szCs w:val="24"/>
        </w:rPr>
      </w:pPr>
      <w:r>
        <w:rPr>
          <w:rFonts w:ascii="Garamond" w:hAnsi="Garamond"/>
          <w:sz w:val="24"/>
          <w:szCs w:val="24"/>
        </w:rPr>
        <w:t>Las demás normas que las modifiquen, complementen, supriman o corrijan</w:t>
      </w:r>
    </w:p>
    <w:p w14:paraId="6A24169A" w14:textId="77777777" w:rsidR="00061F42" w:rsidRPr="00B14A7D" w:rsidRDefault="00061F42" w:rsidP="00061F42">
      <w:pPr>
        <w:pStyle w:val="Textoindependiente"/>
        <w:spacing w:before="93"/>
        <w:jc w:val="both"/>
        <w:rPr>
          <w:rFonts w:ascii="Garamond" w:hAnsi="Garamond"/>
          <w:sz w:val="24"/>
          <w:szCs w:val="24"/>
        </w:rPr>
      </w:pPr>
    </w:p>
    <w:p w14:paraId="4AC92733" w14:textId="776ED0D9" w:rsidR="000D1677" w:rsidRDefault="00171C33" w:rsidP="003A1825">
      <w:pPr>
        <w:pStyle w:val="Textoindependiente"/>
        <w:numPr>
          <w:ilvl w:val="0"/>
          <w:numId w:val="8"/>
        </w:numPr>
        <w:spacing w:before="93"/>
        <w:jc w:val="both"/>
        <w:rPr>
          <w:rFonts w:ascii="Garamond" w:hAnsi="Garamond"/>
          <w:sz w:val="24"/>
          <w:szCs w:val="24"/>
        </w:rPr>
      </w:pPr>
      <w:r>
        <w:rPr>
          <w:rFonts w:ascii="Garamond" w:hAnsi="Garamond"/>
          <w:b/>
          <w:sz w:val="24"/>
          <w:szCs w:val="24"/>
        </w:rPr>
        <w:t>ANÁLISIS</w:t>
      </w:r>
      <w:r w:rsidR="00306D47">
        <w:rPr>
          <w:rFonts w:ascii="Garamond" w:hAnsi="Garamond"/>
          <w:b/>
          <w:sz w:val="24"/>
          <w:szCs w:val="24"/>
        </w:rPr>
        <w:t xml:space="preserve"> DE LA OFERTA</w:t>
      </w:r>
    </w:p>
    <w:p w14:paraId="4F57BE4A" w14:textId="77777777" w:rsidR="00DC6ED4" w:rsidRDefault="00DC6ED4" w:rsidP="00DC6ED4">
      <w:pPr>
        <w:pStyle w:val="Textoindependiente"/>
        <w:spacing w:before="93"/>
        <w:jc w:val="both"/>
        <w:rPr>
          <w:rFonts w:ascii="Garamond" w:hAnsi="Garamond"/>
          <w:sz w:val="24"/>
          <w:szCs w:val="24"/>
        </w:rPr>
      </w:pPr>
    </w:p>
    <w:p w14:paraId="202575FA" w14:textId="257A0320" w:rsidR="00306D47" w:rsidRPr="00306D47" w:rsidRDefault="00C403C0" w:rsidP="003A1825">
      <w:pPr>
        <w:pStyle w:val="Textoindependiente"/>
        <w:numPr>
          <w:ilvl w:val="1"/>
          <w:numId w:val="8"/>
        </w:numPr>
        <w:spacing w:before="93"/>
        <w:jc w:val="both"/>
        <w:rPr>
          <w:rFonts w:ascii="Garamond" w:hAnsi="Garamond"/>
          <w:sz w:val="24"/>
          <w:szCs w:val="24"/>
        </w:rPr>
      </w:pPr>
      <w:r>
        <w:rPr>
          <w:rFonts w:ascii="Garamond" w:hAnsi="Garamond"/>
          <w:b/>
          <w:sz w:val="24"/>
          <w:szCs w:val="24"/>
        </w:rPr>
        <w:t>POTENCIALES PROVEEDORES (¿QUIÉN VENDE?)</w:t>
      </w:r>
    </w:p>
    <w:p w14:paraId="582BA873" w14:textId="77777777" w:rsidR="00306D47" w:rsidRPr="00306D47" w:rsidRDefault="00306D47" w:rsidP="002A4BF2">
      <w:pPr>
        <w:pStyle w:val="Textoindependiente"/>
        <w:spacing w:before="93"/>
        <w:jc w:val="both"/>
        <w:rPr>
          <w:rFonts w:ascii="Garamond" w:hAnsi="Garamond"/>
          <w:sz w:val="24"/>
          <w:szCs w:val="24"/>
        </w:rPr>
      </w:pPr>
    </w:p>
    <w:p w14:paraId="33993859" w14:textId="42E2FE83" w:rsidR="00DC6ED4" w:rsidRDefault="00DC6ED4" w:rsidP="00DC6ED4">
      <w:pPr>
        <w:pStyle w:val="Textoindependiente"/>
        <w:jc w:val="both"/>
        <w:rPr>
          <w:rFonts w:ascii="Garamond" w:hAnsi="Garamond"/>
          <w:sz w:val="24"/>
          <w:szCs w:val="24"/>
        </w:rPr>
      </w:pPr>
      <w:r w:rsidRPr="00DC6ED4">
        <w:rPr>
          <w:rFonts w:ascii="Garamond" w:hAnsi="Garamond"/>
          <w:sz w:val="24"/>
          <w:szCs w:val="24"/>
        </w:rPr>
        <w:t>El uso del Modelo de Abastecimiento Estratégico (MAE) garantiza que el proceso contractual se fundamente en un conocimiento integral del mercado, fortaleciendo la planeación contractual en cumplimiento del artículo 25 de la Ley 80 de 1993. Asimismo, el MAE permite asegurar la eficiencia, transparencia y trazabilidad de la gestión pública, al propiciar decisiones informadas respecto a la modalidad de selección, las condiciones técnicas y los niveles de competencia en el sector. En consecuencia, la aplicación de esta metodología contribuye a una contratación más efectiva, alineada con los principios de economía y responsabilidad que rigen la función administrativa.</w:t>
      </w:r>
    </w:p>
    <w:p w14:paraId="194ABAEA" w14:textId="77777777" w:rsidR="00DC6ED4" w:rsidRDefault="00DC6ED4" w:rsidP="00DC6ED4">
      <w:pPr>
        <w:pStyle w:val="Textoindependiente"/>
        <w:jc w:val="both"/>
        <w:rPr>
          <w:rFonts w:ascii="Garamond" w:hAnsi="Garamond"/>
          <w:sz w:val="24"/>
          <w:szCs w:val="24"/>
        </w:rPr>
      </w:pPr>
    </w:p>
    <w:p w14:paraId="1DEA1933" w14:textId="1EA824D1" w:rsidR="003B3061" w:rsidRDefault="00DC6ED4" w:rsidP="00DC6ED4">
      <w:pPr>
        <w:spacing w:line="240" w:lineRule="auto"/>
        <w:jc w:val="both"/>
        <w:rPr>
          <w:rFonts w:ascii="Garamond" w:eastAsia="Arial MT" w:hAnsi="Garamond" w:cs="Arial MT"/>
          <w:sz w:val="24"/>
          <w:szCs w:val="24"/>
          <w:lang w:val="es-ES"/>
        </w:rPr>
      </w:pPr>
      <w:r w:rsidRPr="00DC6ED4">
        <w:rPr>
          <w:rFonts w:ascii="Garamond" w:eastAsia="Arial MT" w:hAnsi="Garamond" w:cs="Arial MT"/>
          <w:sz w:val="24"/>
          <w:szCs w:val="24"/>
          <w:lang w:val="es-ES"/>
        </w:rPr>
        <w:t xml:space="preserve">En aplicación del Modelo de Abastecimiento Estratégico – MAE, diseñado por la Agencia Nacional de Contratación Pública – Colombia Compra Eficiente, se realizó el análisis del mercado con el fin de identificar la oferta existente a nivel nacional y distrital del servicio </w:t>
      </w:r>
      <w:r w:rsidRPr="00DC6ED4">
        <w:rPr>
          <w:rFonts w:ascii="Garamond" w:eastAsia="Arial MT" w:hAnsi="Garamond" w:cs="Arial MT"/>
          <w:sz w:val="24"/>
          <w:szCs w:val="24"/>
          <w:lang w:val="es-ES"/>
        </w:rPr>
        <w:lastRenderedPageBreak/>
        <w:t xml:space="preserve">requerido. Dicho modelo permite conocer los actores que participan en la cadena de suministro, la capacidad instalada del sector y los posibles oferentes habilitados en el territorio. En este sentido, se efectuó una búsqueda en la plataforma SECOP II, consultando el directorio de proveedores clasificados en el cuarto nivel del estándar UNSPSC, con el propósito de determinar quiénes comercializan o prestan servicios </w:t>
      </w:r>
      <w:r w:rsidRPr="00DC6ED4">
        <w:rPr>
          <w:rFonts w:ascii="Garamond" w:eastAsia="Arial MT" w:hAnsi="Garamond" w:cs="Arial MT"/>
          <w:b/>
          <w:sz w:val="24"/>
          <w:szCs w:val="24"/>
          <w:lang w:val="es-ES"/>
        </w:rPr>
        <w:t>relacionados con cerramientos de seguridad de la construcción.</w:t>
      </w:r>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2765"/>
        <w:gridCol w:w="2278"/>
        <w:gridCol w:w="2569"/>
      </w:tblGrid>
      <w:tr w:rsidR="003B3061" w:rsidRPr="00926937" w14:paraId="0CAEDCAC" w14:textId="77777777" w:rsidTr="00AD6DB4">
        <w:trPr>
          <w:trHeight w:val="567"/>
        </w:trPr>
        <w:tc>
          <w:tcPr>
            <w:tcW w:w="795" w:type="pct"/>
            <w:shd w:val="clear" w:color="auto" w:fill="F2F2F2"/>
            <w:tcMar>
              <w:top w:w="0" w:type="dxa"/>
              <w:left w:w="70" w:type="dxa"/>
              <w:bottom w:w="0" w:type="dxa"/>
              <w:right w:w="70" w:type="dxa"/>
            </w:tcMar>
            <w:vAlign w:val="center"/>
            <w:hideMark/>
          </w:tcPr>
          <w:p w14:paraId="38D56FB4" w14:textId="77777777" w:rsidR="003B3061" w:rsidRPr="00926937" w:rsidRDefault="003B3061" w:rsidP="002A4BF2">
            <w:pPr>
              <w:spacing w:line="240" w:lineRule="auto"/>
              <w:jc w:val="center"/>
              <w:rPr>
                <w:rFonts w:ascii="Garamond" w:hAnsi="Garamond" w:cs="Arial"/>
                <w:bCs/>
                <w:sz w:val="24"/>
                <w:szCs w:val="24"/>
              </w:rPr>
            </w:pPr>
            <w:r w:rsidRPr="00926937">
              <w:rPr>
                <w:rFonts w:ascii="Garamond" w:hAnsi="Garamond" w:cs="Arial"/>
                <w:bCs/>
                <w:sz w:val="24"/>
                <w:szCs w:val="24"/>
              </w:rPr>
              <w:t>Clasificación UNSPSC</w:t>
            </w:r>
          </w:p>
        </w:tc>
        <w:tc>
          <w:tcPr>
            <w:tcW w:w="1527" w:type="pct"/>
            <w:shd w:val="clear" w:color="auto" w:fill="F2F2F2"/>
            <w:tcMar>
              <w:top w:w="0" w:type="dxa"/>
              <w:left w:w="70" w:type="dxa"/>
              <w:bottom w:w="0" w:type="dxa"/>
              <w:right w:w="70" w:type="dxa"/>
            </w:tcMar>
            <w:vAlign w:val="center"/>
            <w:hideMark/>
          </w:tcPr>
          <w:p w14:paraId="6F2B0C60" w14:textId="77777777" w:rsidR="003B3061" w:rsidRPr="00926937" w:rsidRDefault="003B3061" w:rsidP="002A4BF2">
            <w:pPr>
              <w:spacing w:line="240" w:lineRule="auto"/>
              <w:jc w:val="center"/>
              <w:rPr>
                <w:rFonts w:ascii="Garamond" w:hAnsi="Garamond" w:cs="Arial"/>
                <w:bCs/>
                <w:sz w:val="24"/>
                <w:szCs w:val="24"/>
              </w:rPr>
            </w:pPr>
            <w:r w:rsidRPr="00926937">
              <w:rPr>
                <w:rFonts w:ascii="Garamond" w:hAnsi="Garamond" w:cs="Arial"/>
                <w:bCs/>
                <w:sz w:val="24"/>
                <w:szCs w:val="24"/>
              </w:rPr>
              <w:t>Segmento</w:t>
            </w:r>
          </w:p>
        </w:tc>
        <w:tc>
          <w:tcPr>
            <w:tcW w:w="1258" w:type="pct"/>
            <w:shd w:val="clear" w:color="auto" w:fill="F2F2F2"/>
            <w:tcMar>
              <w:top w:w="0" w:type="dxa"/>
              <w:left w:w="70" w:type="dxa"/>
              <w:bottom w:w="0" w:type="dxa"/>
              <w:right w:w="70" w:type="dxa"/>
            </w:tcMar>
            <w:vAlign w:val="center"/>
            <w:hideMark/>
          </w:tcPr>
          <w:p w14:paraId="6186C3B9" w14:textId="77777777" w:rsidR="003B3061" w:rsidRPr="00926937" w:rsidRDefault="003B3061" w:rsidP="002A4BF2">
            <w:pPr>
              <w:spacing w:line="240" w:lineRule="auto"/>
              <w:jc w:val="center"/>
              <w:rPr>
                <w:rFonts w:ascii="Garamond" w:hAnsi="Garamond" w:cs="Arial"/>
                <w:bCs/>
                <w:sz w:val="24"/>
                <w:szCs w:val="24"/>
              </w:rPr>
            </w:pPr>
            <w:r w:rsidRPr="00926937">
              <w:rPr>
                <w:rFonts w:ascii="Garamond" w:hAnsi="Garamond" w:cs="Arial"/>
                <w:bCs/>
                <w:sz w:val="24"/>
                <w:szCs w:val="24"/>
              </w:rPr>
              <w:t>Familia</w:t>
            </w:r>
          </w:p>
        </w:tc>
        <w:tc>
          <w:tcPr>
            <w:tcW w:w="1419" w:type="pct"/>
            <w:shd w:val="clear" w:color="auto" w:fill="F2F2F2"/>
            <w:tcMar>
              <w:top w:w="0" w:type="dxa"/>
              <w:left w:w="70" w:type="dxa"/>
              <w:bottom w:w="0" w:type="dxa"/>
              <w:right w:w="70" w:type="dxa"/>
            </w:tcMar>
            <w:vAlign w:val="center"/>
            <w:hideMark/>
          </w:tcPr>
          <w:p w14:paraId="0A0F6BFF" w14:textId="77777777" w:rsidR="003B3061" w:rsidRPr="00926937" w:rsidRDefault="003B3061" w:rsidP="002A4BF2">
            <w:pPr>
              <w:spacing w:line="240" w:lineRule="auto"/>
              <w:jc w:val="center"/>
              <w:rPr>
                <w:rFonts w:ascii="Garamond" w:hAnsi="Garamond" w:cs="Arial"/>
                <w:bCs/>
                <w:sz w:val="24"/>
                <w:szCs w:val="24"/>
              </w:rPr>
            </w:pPr>
            <w:r w:rsidRPr="00926937">
              <w:rPr>
                <w:rFonts w:ascii="Garamond" w:hAnsi="Garamond" w:cs="Arial"/>
                <w:bCs/>
                <w:sz w:val="24"/>
                <w:szCs w:val="24"/>
              </w:rPr>
              <w:t>Clase</w:t>
            </w:r>
          </w:p>
        </w:tc>
      </w:tr>
      <w:tr w:rsidR="003B3061" w14:paraId="55D5A76F" w14:textId="77777777" w:rsidTr="00AD6DB4">
        <w:trPr>
          <w:trHeight w:val="238"/>
        </w:trPr>
        <w:tc>
          <w:tcPr>
            <w:tcW w:w="795" w:type="pct"/>
            <w:tcMar>
              <w:top w:w="0" w:type="dxa"/>
              <w:left w:w="70" w:type="dxa"/>
              <w:bottom w:w="0" w:type="dxa"/>
              <w:right w:w="70" w:type="dxa"/>
            </w:tcMar>
            <w:vAlign w:val="center"/>
          </w:tcPr>
          <w:p w14:paraId="2B546D74" w14:textId="77777777" w:rsidR="003B3061" w:rsidRDefault="003B3061" w:rsidP="002A4BF2">
            <w:pPr>
              <w:spacing w:line="240" w:lineRule="auto"/>
              <w:jc w:val="both"/>
              <w:rPr>
                <w:rFonts w:ascii="Garamond" w:hAnsi="Garamond" w:cs="Arial"/>
                <w:bCs/>
                <w:sz w:val="24"/>
                <w:szCs w:val="24"/>
              </w:rPr>
            </w:pPr>
            <w:r>
              <w:rPr>
                <w:rFonts w:ascii="Garamond" w:hAnsi="Garamond" w:cs="Arial"/>
                <w:bCs/>
                <w:sz w:val="24"/>
                <w:szCs w:val="24"/>
              </w:rPr>
              <w:t>301916</w:t>
            </w:r>
          </w:p>
        </w:tc>
        <w:tc>
          <w:tcPr>
            <w:tcW w:w="1527" w:type="pct"/>
            <w:shd w:val="clear" w:color="auto" w:fill="auto"/>
            <w:tcMar>
              <w:top w:w="0" w:type="dxa"/>
              <w:left w:w="70" w:type="dxa"/>
              <w:bottom w:w="0" w:type="dxa"/>
              <w:right w:w="70" w:type="dxa"/>
            </w:tcMar>
            <w:vAlign w:val="center"/>
          </w:tcPr>
          <w:p w14:paraId="60F7D31B" w14:textId="77777777" w:rsidR="003B3061" w:rsidRDefault="003B3061" w:rsidP="002A4BF2">
            <w:pPr>
              <w:spacing w:line="240" w:lineRule="auto"/>
              <w:jc w:val="both"/>
              <w:rPr>
                <w:rFonts w:ascii="Garamond" w:hAnsi="Garamond" w:cs="Arial"/>
                <w:bCs/>
                <w:sz w:val="24"/>
                <w:szCs w:val="24"/>
              </w:rPr>
            </w:pPr>
            <w:r>
              <w:rPr>
                <w:rFonts w:ascii="Garamond" w:hAnsi="Garamond" w:cs="Arial"/>
                <w:bCs/>
                <w:sz w:val="24"/>
                <w:szCs w:val="24"/>
              </w:rPr>
              <w:t>30 – Componentes y suministros para Estructuras, Edificación, Construcción y Obras civiles</w:t>
            </w:r>
          </w:p>
        </w:tc>
        <w:tc>
          <w:tcPr>
            <w:tcW w:w="1258" w:type="pct"/>
            <w:tcMar>
              <w:top w:w="0" w:type="dxa"/>
              <w:left w:w="70" w:type="dxa"/>
              <w:bottom w:w="0" w:type="dxa"/>
              <w:right w:w="70" w:type="dxa"/>
            </w:tcMar>
            <w:vAlign w:val="center"/>
          </w:tcPr>
          <w:p w14:paraId="1E6A9617" w14:textId="77777777" w:rsidR="003B3061" w:rsidRDefault="003B3061" w:rsidP="002A4BF2">
            <w:pPr>
              <w:spacing w:line="240" w:lineRule="auto"/>
              <w:jc w:val="both"/>
              <w:rPr>
                <w:rFonts w:ascii="Garamond" w:hAnsi="Garamond" w:cs="Arial"/>
                <w:bCs/>
                <w:sz w:val="24"/>
                <w:szCs w:val="24"/>
              </w:rPr>
            </w:pPr>
            <w:r>
              <w:rPr>
                <w:rFonts w:ascii="Garamond" w:hAnsi="Garamond" w:cs="Arial"/>
                <w:bCs/>
                <w:sz w:val="24"/>
                <w:szCs w:val="24"/>
              </w:rPr>
              <w:t>19 – Equipo de apoyo para construcción y mantenimiento</w:t>
            </w:r>
          </w:p>
        </w:tc>
        <w:tc>
          <w:tcPr>
            <w:tcW w:w="1419" w:type="pct"/>
            <w:tcMar>
              <w:top w:w="0" w:type="dxa"/>
              <w:left w:w="70" w:type="dxa"/>
              <w:bottom w:w="0" w:type="dxa"/>
              <w:right w:w="70" w:type="dxa"/>
            </w:tcMar>
            <w:vAlign w:val="center"/>
          </w:tcPr>
          <w:p w14:paraId="7A0CBDAE" w14:textId="77777777" w:rsidR="003B3061" w:rsidRDefault="003B3061" w:rsidP="002A4BF2">
            <w:pPr>
              <w:spacing w:line="240" w:lineRule="auto"/>
              <w:jc w:val="both"/>
              <w:rPr>
                <w:rFonts w:ascii="Garamond" w:hAnsi="Garamond" w:cs="Arial"/>
                <w:bCs/>
                <w:sz w:val="24"/>
                <w:szCs w:val="24"/>
              </w:rPr>
            </w:pPr>
            <w:r>
              <w:rPr>
                <w:rFonts w:ascii="Garamond" w:hAnsi="Garamond" w:cs="Arial"/>
                <w:bCs/>
                <w:sz w:val="24"/>
                <w:szCs w:val="24"/>
              </w:rPr>
              <w:t>16 – Escaleras y accesorios de andamiajes (cerramiento de seguridad de la construcción)</w:t>
            </w:r>
          </w:p>
        </w:tc>
      </w:tr>
    </w:tbl>
    <w:p w14:paraId="00852478" w14:textId="77777777" w:rsidR="003B3061" w:rsidRDefault="003B3061" w:rsidP="002A4BF2">
      <w:pPr>
        <w:spacing w:line="240" w:lineRule="auto"/>
        <w:jc w:val="both"/>
        <w:rPr>
          <w:rFonts w:ascii="Garamond" w:eastAsia="Arial MT" w:hAnsi="Garamond" w:cs="Arial MT"/>
          <w:sz w:val="24"/>
          <w:szCs w:val="24"/>
          <w:lang w:val="es-ES"/>
        </w:rPr>
      </w:pPr>
    </w:p>
    <w:p w14:paraId="0ED4CC97" w14:textId="77777777" w:rsidR="003B3061" w:rsidRDefault="003B3061" w:rsidP="002A4BF2">
      <w:pPr>
        <w:spacing w:line="240" w:lineRule="auto"/>
        <w:jc w:val="both"/>
        <w:rPr>
          <w:rFonts w:ascii="Garamond" w:eastAsia="Arial MT" w:hAnsi="Garamond" w:cs="Arial MT"/>
          <w:sz w:val="24"/>
          <w:szCs w:val="24"/>
          <w:lang w:val="es-ES"/>
        </w:rPr>
      </w:pPr>
      <w:r>
        <w:rPr>
          <w:rFonts w:ascii="Garamond" w:eastAsia="Arial MT" w:hAnsi="Garamond" w:cs="Arial MT"/>
          <w:sz w:val="24"/>
          <w:szCs w:val="24"/>
          <w:lang w:val="es-ES"/>
        </w:rPr>
        <w:t xml:space="preserve">A continuación, se relaciona </w:t>
      </w:r>
      <w:r w:rsidRPr="00563EAE">
        <w:rPr>
          <w:rFonts w:ascii="Garamond" w:eastAsia="Arial MT" w:hAnsi="Garamond" w:cs="Arial MT"/>
          <w:b/>
          <w:sz w:val="24"/>
          <w:szCs w:val="24"/>
          <w:lang w:val="es-ES"/>
        </w:rPr>
        <w:t>QUIEN VENDE</w:t>
      </w:r>
      <w:r>
        <w:rPr>
          <w:rFonts w:ascii="Garamond" w:eastAsia="Arial MT" w:hAnsi="Garamond" w:cs="Arial MT"/>
          <w:sz w:val="24"/>
          <w:szCs w:val="24"/>
          <w:lang w:val="es-ES"/>
        </w:rPr>
        <w:t xml:space="preserve"> el servicio a nivel nacional:</w:t>
      </w:r>
    </w:p>
    <w:p w14:paraId="14B96ACA" w14:textId="77777777" w:rsidR="003B3061" w:rsidRDefault="003B3061" w:rsidP="002A4BF2">
      <w:pPr>
        <w:spacing w:line="240" w:lineRule="auto"/>
        <w:jc w:val="both"/>
        <w:rPr>
          <w:rFonts w:ascii="Garamond" w:eastAsia="Arial MT" w:hAnsi="Garamond" w:cs="Arial MT"/>
          <w:sz w:val="24"/>
          <w:szCs w:val="24"/>
          <w:lang w:val="es-ES"/>
        </w:rPr>
      </w:pPr>
      <w:r w:rsidRPr="003B3061">
        <w:rPr>
          <w:rFonts w:ascii="Garamond" w:eastAsia="Arial MT" w:hAnsi="Garamond" w:cs="Arial MT"/>
          <w:noProof/>
          <w:sz w:val="24"/>
          <w:szCs w:val="24"/>
          <w:lang w:eastAsia="es-CO"/>
        </w:rPr>
        <w:drawing>
          <wp:anchor distT="0" distB="0" distL="114300" distR="114300" simplePos="0" relativeHeight="251689984" behindDoc="0" locked="0" layoutInCell="1" allowOverlap="1" wp14:anchorId="0BC235FC" wp14:editId="349DBF84">
            <wp:simplePos x="0" y="0"/>
            <wp:positionH relativeFrom="column">
              <wp:posOffset>-108585</wp:posOffset>
            </wp:positionH>
            <wp:positionV relativeFrom="paragraph">
              <wp:posOffset>68580</wp:posOffset>
            </wp:positionV>
            <wp:extent cx="5848350" cy="489679"/>
            <wp:effectExtent l="0" t="0" r="0" b="5715"/>
            <wp:wrapNone/>
            <wp:docPr id="1997869496" name="Imagen 1997869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5848350" cy="489679"/>
                    </a:xfrm>
                    <a:prstGeom prst="rect">
                      <a:avLst/>
                    </a:prstGeom>
                  </pic:spPr>
                </pic:pic>
              </a:graphicData>
            </a:graphic>
            <wp14:sizeRelH relativeFrom="margin">
              <wp14:pctWidth>0</wp14:pctWidth>
            </wp14:sizeRelH>
            <wp14:sizeRelV relativeFrom="margin">
              <wp14:pctHeight>0</wp14:pctHeight>
            </wp14:sizeRelV>
          </wp:anchor>
        </w:drawing>
      </w:r>
    </w:p>
    <w:p w14:paraId="284293A0" w14:textId="77777777" w:rsidR="003B3061" w:rsidRDefault="003B3061" w:rsidP="002A4BF2">
      <w:pPr>
        <w:spacing w:line="240" w:lineRule="auto"/>
        <w:jc w:val="both"/>
        <w:rPr>
          <w:rFonts w:ascii="Garamond" w:eastAsia="Arial MT" w:hAnsi="Garamond" w:cs="Arial MT"/>
          <w:sz w:val="24"/>
          <w:szCs w:val="24"/>
          <w:lang w:val="es-ES"/>
        </w:rPr>
      </w:pPr>
    </w:p>
    <w:p w14:paraId="1D2620DB" w14:textId="77777777" w:rsidR="003B3061" w:rsidRDefault="003B3061" w:rsidP="002A4BF2">
      <w:pPr>
        <w:spacing w:line="240" w:lineRule="auto"/>
        <w:jc w:val="center"/>
        <w:rPr>
          <w:rFonts w:ascii="Garamond" w:eastAsia="Arial MT" w:hAnsi="Garamond" w:cs="Arial MT"/>
          <w:sz w:val="24"/>
          <w:szCs w:val="24"/>
          <w:lang w:val="es-ES"/>
        </w:rPr>
      </w:pPr>
      <w:r w:rsidRPr="003B3061">
        <w:rPr>
          <w:rFonts w:ascii="Garamond" w:eastAsia="Arial MT" w:hAnsi="Garamond" w:cs="Arial MT"/>
          <w:noProof/>
          <w:sz w:val="24"/>
          <w:szCs w:val="24"/>
          <w:lang w:eastAsia="es-CO"/>
        </w:rPr>
        <w:lastRenderedPageBreak/>
        <w:drawing>
          <wp:inline distT="0" distB="0" distL="0" distR="0" wp14:anchorId="22C902EC" wp14:editId="1481D4A7">
            <wp:extent cx="4760941" cy="4462818"/>
            <wp:effectExtent l="0" t="0" r="1905" b="0"/>
            <wp:docPr id="1997869497" name="Imagen 1997869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778320" cy="4479109"/>
                    </a:xfrm>
                    <a:prstGeom prst="rect">
                      <a:avLst/>
                    </a:prstGeom>
                  </pic:spPr>
                </pic:pic>
              </a:graphicData>
            </a:graphic>
          </wp:inline>
        </w:drawing>
      </w:r>
    </w:p>
    <w:p w14:paraId="5AC72479" w14:textId="77777777" w:rsidR="003B3061" w:rsidRPr="00C050A9" w:rsidRDefault="003B3061"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1</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Proveedores del bien o servicio código UNSPSC 301916 a nivel nacional</w:t>
      </w:r>
    </w:p>
    <w:p w14:paraId="24CF0CEA" w14:textId="77777777" w:rsidR="003B3061" w:rsidRPr="00C050A9" w:rsidRDefault="003B3061"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362F2BCC" w14:textId="77777777" w:rsidR="003B3061" w:rsidRDefault="0068116C" w:rsidP="002A4BF2">
      <w:pPr>
        <w:spacing w:line="240" w:lineRule="auto"/>
        <w:jc w:val="both"/>
        <w:rPr>
          <w:rFonts w:ascii="Garamond" w:eastAsia="Arial MT" w:hAnsi="Garamond" w:cs="Arial MT"/>
          <w:sz w:val="24"/>
          <w:szCs w:val="24"/>
          <w:lang w:val="es-ES"/>
        </w:rPr>
      </w:pPr>
      <w:hyperlink r:id="rId71" w:history="1">
        <w:r w:rsidR="003B3061"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4AB01331" w14:textId="77777777" w:rsidR="00CA6853" w:rsidRDefault="00CA6853" w:rsidP="002A4BF2">
      <w:pPr>
        <w:spacing w:line="240" w:lineRule="auto"/>
        <w:jc w:val="both"/>
        <w:rPr>
          <w:rFonts w:ascii="Garamond" w:eastAsia="Arial MT" w:hAnsi="Garamond" w:cs="Arial MT"/>
          <w:sz w:val="24"/>
          <w:szCs w:val="24"/>
          <w:lang w:val="es-ES"/>
        </w:rPr>
      </w:pPr>
    </w:p>
    <w:p w14:paraId="5FDD0FB9" w14:textId="77777777" w:rsidR="00C050A9" w:rsidRPr="00767A56" w:rsidRDefault="00306D47" w:rsidP="002A4BF2">
      <w:pPr>
        <w:spacing w:line="240" w:lineRule="auto"/>
        <w:jc w:val="both"/>
        <w:rPr>
          <w:rFonts w:ascii="Garamond" w:eastAsia="Arial MT" w:hAnsi="Garamond" w:cs="Arial MT"/>
          <w:b/>
          <w:sz w:val="24"/>
          <w:szCs w:val="24"/>
          <w:u w:val="single"/>
          <w:lang w:val="es-ES"/>
        </w:rPr>
      </w:pPr>
      <w:r w:rsidRPr="00306D47">
        <w:rPr>
          <w:rFonts w:ascii="Garamond" w:eastAsia="Arial MT" w:hAnsi="Garamond" w:cs="Arial MT"/>
          <w:sz w:val="24"/>
          <w:szCs w:val="24"/>
          <w:lang w:val="es-ES"/>
        </w:rPr>
        <w:t>A continuaci</w:t>
      </w:r>
      <w:r w:rsidR="00C050A9">
        <w:rPr>
          <w:rFonts w:ascii="Garamond" w:eastAsia="Arial MT" w:hAnsi="Garamond" w:cs="Arial MT"/>
          <w:sz w:val="24"/>
          <w:szCs w:val="24"/>
          <w:lang w:val="es-ES"/>
        </w:rPr>
        <w:t>ón, se relaciona el numero de proveedores y/o</w:t>
      </w:r>
      <w:r w:rsidRPr="00306D47">
        <w:rPr>
          <w:rFonts w:ascii="Garamond" w:eastAsia="Arial MT" w:hAnsi="Garamond" w:cs="Arial MT"/>
          <w:sz w:val="24"/>
          <w:szCs w:val="24"/>
          <w:lang w:val="es-ES"/>
        </w:rPr>
        <w:t xml:space="preserve"> empresas que fueron identificadas en e</w:t>
      </w:r>
      <w:r w:rsidR="00C050A9">
        <w:rPr>
          <w:rFonts w:ascii="Garamond" w:eastAsia="Arial MT" w:hAnsi="Garamond" w:cs="Arial MT"/>
          <w:sz w:val="24"/>
          <w:szCs w:val="24"/>
          <w:lang w:val="es-ES"/>
        </w:rPr>
        <w:t xml:space="preserve">l proceso de análisis de sector para la ciudad de </w:t>
      </w:r>
      <w:r w:rsidR="00C050A9" w:rsidRPr="00D8549E">
        <w:rPr>
          <w:rFonts w:ascii="Garamond" w:eastAsia="Arial MT" w:hAnsi="Garamond" w:cs="Arial MT"/>
          <w:b/>
          <w:sz w:val="24"/>
          <w:szCs w:val="24"/>
          <w:u w:val="single"/>
          <w:lang w:val="es-ES"/>
        </w:rPr>
        <w:t>Bogotá</w:t>
      </w:r>
      <w:r w:rsidR="00767A56" w:rsidRPr="00D8549E">
        <w:rPr>
          <w:rFonts w:ascii="Garamond" w:eastAsia="Arial MT" w:hAnsi="Garamond" w:cs="Arial MT"/>
          <w:b/>
          <w:sz w:val="24"/>
          <w:szCs w:val="24"/>
          <w:u w:val="single"/>
          <w:lang w:val="es-ES"/>
        </w:rPr>
        <w:t xml:space="preserve"> D.C.</w:t>
      </w:r>
      <w:r w:rsidR="00C050A9" w:rsidRPr="00D8549E">
        <w:rPr>
          <w:rFonts w:ascii="Garamond" w:eastAsia="Arial MT" w:hAnsi="Garamond" w:cs="Arial MT"/>
          <w:b/>
          <w:sz w:val="24"/>
          <w:szCs w:val="24"/>
          <w:u w:val="single"/>
          <w:lang w:val="es-ES"/>
        </w:rPr>
        <w:t>:</w:t>
      </w:r>
    </w:p>
    <w:p w14:paraId="3EB10CA4" w14:textId="77777777" w:rsidR="003C1293" w:rsidRDefault="00767A56" w:rsidP="002A4BF2">
      <w:pPr>
        <w:spacing w:line="240" w:lineRule="auto"/>
        <w:jc w:val="both"/>
        <w:rPr>
          <w:rFonts w:ascii="Garamond" w:eastAsia="Arial MT" w:hAnsi="Garamond" w:cs="Arial MT"/>
          <w:sz w:val="24"/>
          <w:szCs w:val="24"/>
          <w:lang w:val="es-ES"/>
        </w:rPr>
      </w:pPr>
      <w:r w:rsidRPr="00767A56">
        <w:rPr>
          <w:rFonts w:ascii="Garamond" w:eastAsia="Arial MT" w:hAnsi="Garamond" w:cs="Arial MT"/>
          <w:noProof/>
          <w:sz w:val="24"/>
          <w:szCs w:val="24"/>
          <w:lang w:eastAsia="es-CO"/>
        </w:rPr>
        <w:drawing>
          <wp:inline distT="0" distB="0" distL="0" distR="0" wp14:anchorId="53C7D7FE" wp14:editId="34B6167F">
            <wp:extent cx="5612130" cy="447040"/>
            <wp:effectExtent l="0" t="0" r="7620"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612130" cy="447040"/>
                    </a:xfrm>
                    <a:prstGeom prst="rect">
                      <a:avLst/>
                    </a:prstGeom>
                  </pic:spPr>
                </pic:pic>
              </a:graphicData>
            </a:graphic>
          </wp:inline>
        </w:drawing>
      </w:r>
      <w:r w:rsidR="00C050A9">
        <w:rPr>
          <w:rFonts w:ascii="Garamond" w:eastAsia="Arial MT" w:hAnsi="Garamond" w:cs="Arial MT"/>
          <w:sz w:val="24"/>
          <w:szCs w:val="24"/>
          <w:lang w:val="es-ES"/>
        </w:rPr>
        <w:t xml:space="preserve"> </w:t>
      </w:r>
    </w:p>
    <w:p w14:paraId="293EC0A7" w14:textId="77777777" w:rsidR="00AD55C5" w:rsidRPr="00C050A9" w:rsidRDefault="00D8549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2</w:t>
      </w:r>
      <w:r w:rsidR="00C050A9" w:rsidRPr="00C050A9">
        <w:rPr>
          <w:rFonts w:ascii="Garamond" w:eastAsia="Arial MT" w:hAnsi="Garamond" w:cs="Arial MT"/>
          <w:sz w:val="20"/>
          <w:szCs w:val="20"/>
          <w:lang w:val="es-ES"/>
        </w:rPr>
        <w:t>. Valor total contratación y proveedores del servicio código UNSPSC 301916</w:t>
      </w:r>
    </w:p>
    <w:p w14:paraId="67718EAC" w14:textId="77777777" w:rsidR="00C050A9" w:rsidRPr="00C050A9" w:rsidRDefault="00C050A9"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0A7B4BAE" w14:textId="77777777" w:rsidR="00C050A9" w:rsidRPr="00C050A9" w:rsidRDefault="0068116C" w:rsidP="002A4BF2">
      <w:pPr>
        <w:spacing w:after="0" w:line="240" w:lineRule="auto"/>
        <w:jc w:val="center"/>
        <w:rPr>
          <w:rFonts w:ascii="Garamond" w:eastAsia="Arial MT" w:hAnsi="Garamond" w:cs="Arial MT"/>
          <w:sz w:val="20"/>
          <w:szCs w:val="20"/>
          <w:lang w:val="es-ES"/>
        </w:rPr>
      </w:pPr>
      <w:hyperlink r:id="rId73" w:history="1">
        <w:r w:rsidR="00C050A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37131AF8" w14:textId="77777777" w:rsidR="00C050A9" w:rsidRDefault="00C050A9" w:rsidP="002A4BF2">
      <w:pPr>
        <w:spacing w:after="0" w:line="240" w:lineRule="auto"/>
        <w:jc w:val="center"/>
        <w:rPr>
          <w:rFonts w:ascii="Garamond" w:eastAsia="Arial MT" w:hAnsi="Garamond" w:cs="Arial MT"/>
          <w:lang w:val="es-ES"/>
        </w:rPr>
      </w:pPr>
    </w:p>
    <w:p w14:paraId="62EB1E0C" w14:textId="77777777" w:rsidR="00DC6ED4" w:rsidRDefault="00DC6ED4" w:rsidP="002A4BF2">
      <w:pPr>
        <w:spacing w:line="240" w:lineRule="auto"/>
        <w:jc w:val="both"/>
        <w:rPr>
          <w:rFonts w:ascii="Garamond" w:eastAsia="Arial MT" w:hAnsi="Garamond" w:cs="Arial MT"/>
          <w:sz w:val="24"/>
          <w:szCs w:val="24"/>
          <w:lang w:val="es-ES"/>
        </w:rPr>
      </w:pPr>
    </w:p>
    <w:p w14:paraId="72FE5DE1" w14:textId="62F16CE3" w:rsidR="00C86380" w:rsidRDefault="00825FFD" w:rsidP="002A4BF2">
      <w:pPr>
        <w:spacing w:line="240" w:lineRule="auto"/>
        <w:jc w:val="both"/>
        <w:rPr>
          <w:rFonts w:ascii="Garamond" w:eastAsia="Arial MT" w:hAnsi="Garamond" w:cs="Arial MT"/>
          <w:sz w:val="24"/>
          <w:szCs w:val="24"/>
          <w:lang w:val="es-ES"/>
        </w:rPr>
      </w:pPr>
      <w:r w:rsidRPr="00306D47">
        <w:rPr>
          <w:rFonts w:ascii="Garamond" w:eastAsia="Arial MT" w:hAnsi="Garamond" w:cs="Arial MT"/>
          <w:sz w:val="24"/>
          <w:szCs w:val="24"/>
          <w:lang w:val="es-ES"/>
        </w:rPr>
        <w:lastRenderedPageBreak/>
        <w:t>A continuaci</w:t>
      </w:r>
      <w:r>
        <w:rPr>
          <w:rFonts w:ascii="Garamond" w:eastAsia="Arial MT" w:hAnsi="Garamond" w:cs="Arial MT"/>
          <w:sz w:val="24"/>
          <w:szCs w:val="24"/>
          <w:lang w:val="es-ES"/>
        </w:rPr>
        <w:t>ón, se relacionan algunos proveedores y/o</w:t>
      </w:r>
      <w:r w:rsidRPr="00306D47">
        <w:rPr>
          <w:rFonts w:ascii="Garamond" w:eastAsia="Arial MT" w:hAnsi="Garamond" w:cs="Arial MT"/>
          <w:sz w:val="24"/>
          <w:szCs w:val="24"/>
          <w:lang w:val="es-ES"/>
        </w:rPr>
        <w:t xml:space="preserve"> empresas que fueron identificadas en e</w:t>
      </w:r>
      <w:r>
        <w:rPr>
          <w:rFonts w:ascii="Garamond" w:eastAsia="Arial MT" w:hAnsi="Garamond" w:cs="Arial MT"/>
          <w:sz w:val="24"/>
          <w:szCs w:val="24"/>
          <w:lang w:val="es-ES"/>
        </w:rPr>
        <w:t>l proceso de análisis de sector para la ciudad de Bogotá:</w:t>
      </w:r>
    </w:p>
    <w:p w14:paraId="23646D03" w14:textId="77777777" w:rsidR="00825FFD" w:rsidRPr="00C050A9" w:rsidRDefault="00767A56" w:rsidP="002A4BF2">
      <w:pPr>
        <w:spacing w:after="0" w:line="240" w:lineRule="auto"/>
        <w:jc w:val="center"/>
        <w:rPr>
          <w:rFonts w:ascii="Garamond" w:eastAsia="Arial MT" w:hAnsi="Garamond" w:cs="Arial MT"/>
          <w:lang w:val="es-ES"/>
        </w:rPr>
      </w:pPr>
      <w:r w:rsidRPr="00767A56">
        <w:rPr>
          <w:rFonts w:ascii="Garamond" w:eastAsia="Arial MT" w:hAnsi="Garamond" w:cs="Arial MT"/>
          <w:noProof/>
          <w:lang w:eastAsia="es-CO"/>
        </w:rPr>
        <w:drawing>
          <wp:inline distT="0" distB="0" distL="0" distR="0" wp14:anchorId="4889DD34" wp14:editId="6BF7F046">
            <wp:extent cx="5612130" cy="2893060"/>
            <wp:effectExtent l="0" t="0" r="762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t="6467"/>
                    <a:stretch/>
                  </pic:blipFill>
                  <pic:spPr bwMode="auto">
                    <a:xfrm>
                      <a:off x="0" y="0"/>
                      <a:ext cx="5612130" cy="2893060"/>
                    </a:xfrm>
                    <a:prstGeom prst="rect">
                      <a:avLst/>
                    </a:prstGeom>
                    <a:ln>
                      <a:noFill/>
                    </a:ln>
                    <a:extLst>
                      <a:ext uri="{53640926-AAD7-44D8-BBD7-CCE9431645EC}">
                        <a14:shadowObscured xmlns:a14="http://schemas.microsoft.com/office/drawing/2010/main"/>
                      </a:ext>
                    </a:extLst>
                  </pic:spPr>
                </pic:pic>
              </a:graphicData>
            </a:graphic>
          </wp:inline>
        </w:drawing>
      </w:r>
    </w:p>
    <w:p w14:paraId="5EB6D1B2" w14:textId="77777777" w:rsidR="00767A56" w:rsidRDefault="00767A56" w:rsidP="002A4BF2">
      <w:pPr>
        <w:spacing w:after="0" w:line="240" w:lineRule="auto"/>
        <w:jc w:val="center"/>
        <w:rPr>
          <w:rFonts w:ascii="Garamond" w:eastAsia="Arial MT" w:hAnsi="Garamond" w:cs="Arial MT"/>
          <w:sz w:val="20"/>
          <w:szCs w:val="20"/>
          <w:lang w:val="es-ES"/>
        </w:rPr>
      </w:pPr>
    </w:p>
    <w:p w14:paraId="2697900D" w14:textId="77777777" w:rsidR="00825FFD" w:rsidRPr="00C050A9" w:rsidRDefault="005E68DB"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w:t>
      </w:r>
      <w:r w:rsidR="00D8549E">
        <w:rPr>
          <w:rFonts w:ascii="Garamond" w:eastAsia="Arial MT" w:hAnsi="Garamond" w:cs="Arial MT"/>
          <w:sz w:val="20"/>
          <w:szCs w:val="20"/>
          <w:lang w:val="es-ES"/>
        </w:rPr>
        <w:t>magen 3</w:t>
      </w:r>
      <w:r w:rsidR="00825FFD" w:rsidRPr="00C050A9">
        <w:rPr>
          <w:rFonts w:ascii="Garamond" w:eastAsia="Arial MT" w:hAnsi="Garamond" w:cs="Arial MT"/>
          <w:sz w:val="20"/>
          <w:szCs w:val="20"/>
          <w:lang w:val="es-ES"/>
        </w:rPr>
        <w:t xml:space="preserve">. </w:t>
      </w:r>
      <w:r w:rsidR="00825FFD">
        <w:rPr>
          <w:rFonts w:ascii="Garamond" w:eastAsia="Arial MT" w:hAnsi="Garamond" w:cs="Arial MT"/>
          <w:sz w:val="20"/>
          <w:szCs w:val="20"/>
          <w:lang w:val="es-ES"/>
        </w:rPr>
        <w:t xml:space="preserve">Proveedores principales </w:t>
      </w:r>
      <w:r>
        <w:rPr>
          <w:rFonts w:ascii="Garamond" w:eastAsia="Arial MT" w:hAnsi="Garamond" w:cs="Arial MT"/>
          <w:sz w:val="20"/>
          <w:szCs w:val="20"/>
          <w:lang w:val="es-ES"/>
        </w:rPr>
        <w:t>código</w:t>
      </w:r>
      <w:r w:rsidR="00825FFD" w:rsidRPr="00C050A9">
        <w:rPr>
          <w:rFonts w:ascii="Garamond" w:eastAsia="Arial MT" w:hAnsi="Garamond" w:cs="Arial MT"/>
          <w:sz w:val="20"/>
          <w:szCs w:val="20"/>
          <w:lang w:val="es-ES"/>
        </w:rPr>
        <w:t xml:space="preserve"> UNSPSC 301916</w:t>
      </w:r>
    </w:p>
    <w:p w14:paraId="1F7E1C44" w14:textId="77777777" w:rsidR="00825FFD" w:rsidRPr="00C050A9" w:rsidRDefault="00825FFD"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40F1280" w14:textId="77777777" w:rsidR="00306D47" w:rsidRDefault="0068116C" w:rsidP="002A4BF2">
      <w:pPr>
        <w:spacing w:line="240" w:lineRule="auto"/>
        <w:jc w:val="center"/>
        <w:rPr>
          <w:rFonts w:ascii="Garamond" w:eastAsia="Arial MT" w:hAnsi="Garamond" w:cs="Arial MT"/>
          <w:sz w:val="20"/>
          <w:szCs w:val="20"/>
          <w:lang w:val="es-ES"/>
        </w:rPr>
      </w:pPr>
      <w:hyperlink r:id="rId75" w:history="1">
        <w:r w:rsidR="00825FFD"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145A260" w14:textId="77777777" w:rsidR="000106A3" w:rsidRDefault="000106A3" w:rsidP="002A4BF2">
      <w:pPr>
        <w:spacing w:line="240" w:lineRule="auto"/>
        <w:jc w:val="center"/>
        <w:rPr>
          <w:rFonts w:ascii="Garamond" w:eastAsia="Arial MT" w:hAnsi="Garamond" w:cs="Arial MT"/>
          <w:sz w:val="20"/>
          <w:szCs w:val="20"/>
          <w:lang w:val="es-ES"/>
        </w:rPr>
      </w:pPr>
      <w:r w:rsidRPr="00767A56">
        <w:rPr>
          <w:noProof/>
          <w:lang w:eastAsia="es-CO"/>
        </w:rPr>
        <w:drawing>
          <wp:inline distT="0" distB="0" distL="0" distR="0" wp14:anchorId="21C9AC36" wp14:editId="50E053FB">
            <wp:extent cx="5612130" cy="3169285"/>
            <wp:effectExtent l="0" t="0" r="7620"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612130" cy="3169285"/>
                    </a:xfrm>
                    <a:prstGeom prst="rect">
                      <a:avLst/>
                    </a:prstGeom>
                  </pic:spPr>
                </pic:pic>
              </a:graphicData>
            </a:graphic>
          </wp:inline>
        </w:drawing>
      </w:r>
    </w:p>
    <w:p w14:paraId="534432C9" w14:textId="42CA78A6" w:rsidR="00C86380" w:rsidRPr="00C050A9" w:rsidRDefault="00D8549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lastRenderedPageBreak/>
        <w:t>Imagen 4</w:t>
      </w:r>
      <w:r w:rsidR="00C86380" w:rsidRPr="00C050A9">
        <w:rPr>
          <w:rFonts w:ascii="Garamond" w:eastAsia="Arial MT" w:hAnsi="Garamond" w:cs="Arial MT"/>
          <w:sz w:val="20"/>
          <w:szCs w:val="20"/>
          <w:lang w:val="es-ES"/>
        </w:rPr>
        <w:t xml:space="preserve">. </w:t>
      </w:r>
      <w:r w:rsidR="00C86380">
        <w:rPr>
          <w:rFonts w:ascii="Garamond" w:eastAsia="Arial MT" w:hAnsi="Garamond" w:cs="Arial MT"/>
          <w:sz w:val="20"/>
          <w:szCs w:val="20"/>
          <w:lang w:val="es-ES"/>
        </w:rPr>
        <w:t>Valor total estimado por modalidad de selección, código</w:t>
      </w:r>
      <w:r w:rsidR="00C86380" w:rsidRPr="00C050A9">
        <w:rPr>
          <w:rFonts w:ascii="Garamond" w:eastAsia="Arial MT" w:hAnsi="Garamond" w:cs="Arial MT"/>
          <w:sz w:val="20"/>
          <w:szCs w:val="20"/>
          <w:lang w:val="es-ES"/>
        </w:rPr>
        <w:t xml:space="preserve"> UNSPSC 301916</w:t>
      </w:r>
      <w:r w:rsidR="00DC6ED4">
        <w:rPr>
          <w:rFonts w:ascii="Garamond" w:eastAsia="Arial MT" w:hAnsi="Garamond" w:cs="Arial MT"/>
          <w:sz w:val="20"/>
          <w:szCs w:val="20"/>
          <w:lang w:val="es-ES"/>
        </w:rPr>
        <w:t xml:space="preserve"> </w:t>
      </w:r>
      <w:r w:rsidR="00C86380"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7A5D1AB0" w14:textId="77777777" w:rsidR="00C86380" w:rsidRDefault="0068116C" w:rsidP="002A4BF2">
      <w:pPr>
        <w:spacing w:line="240" w:lineRule="auto"/>
        <w:jc w:val="center"/>
        <w:rPr>
          <w:rFonts w:ascii="Garamond" w:eastAsia="Arial MT" w:hAnsi="Garamond" w:cs="Arial MT"/>
          <w:sz w:val="20"/>
          <w:szCs w:val="20"/>
          <w:lang w:val="es-ES"/>
        </w:rPr>
      </w:pPr>
      <w:hyperlink r:id="rId77" w:history="1">
        <w:r w:rsidR="00C86380"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0D5D1B0" w14:textId="77777777" w:rsidR="005E68DB" w:rsidRDefault="00C86380" w:rsidP="002A4BF2">
      <w:pPr>
        <w:spacing w:line="240" w:lineRule="auto"/>
        <w:rPr>
          <w:lang w:val="es-ES"/>
        </w:rPr>
      </w:pPr>
      <w:r w:rsidRPr="000106A3">
        <w:rPr>
          <w:rFonts w:ascii="Garamond" w:eastAsia="Arial MT" w:hAnsi="Garamond" w:cs="Arial MT"/>
          <w:noProof/>
          <w:sz w:val="20"/>
          <w:szCs w:val="20"/>
          <w:lang w:eastAsia="es-CO"/>
        </w:rPr>
        <w:drawing>
          <wp:anchor distT="0" distB="0" distL="114300" distR="114300" simplePos="0" relativeHeight="251677696" behindDoc="0" locked="0" layoutInCell="1" allowOverlap="1" wp14:anchorId="49029F25" wp14:editId="04A03BEA">
            <wp:simplePos x="0" y="0"/>
            <wp:positionH relativeFrom="column">
              <wp:posOffset>-709295</wp:posOffset>
            </wp:positionH>
            <wp:positionV relativeFrom="paragraph">
              <wp:posOffset>104140</wp:posOffset>
            </wp:positionV>
            <wp:extent cx="6878955" cy="811807"/>
            <wp:effectExtent l="0" t="0" r="0" b="7620"/>
            <wp:wrapNone/>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6878955" cy="811807"/>
                    </a:xfrm>
                    <a:prstGeom prst="rect">
                      <a:avLst/>
                    </a:prstGeom>
                  </pic:spPr>
                </pic:pic>
              </a:graphicData>
            </a:graphic>
            <wp14:sizeRelH relativeFrom="margin">
              <wp14:pctWidth>0</wp14:pctWidth>
            </wp14:sizeRelH>
            <wp14:sizeRelV relativeFrom="margin">
              <wp14:pctHeight>0</wp14:pctHeight>
            </wp14:sizeRelV>
          </wp:anchor>
        </w:drawing>
      </w:r>
    </w:p>
    <w:p w14:paraId="05DA419B" w14:textId="77777777" w:rsidR="00C86380" w:rsidRDefault="00C86380" w:rsidP="002A4BF2">
      <w:pPr>
        <w:spacing w:line="240" w:lineRule="auto"/>
        <w:rPr>
          <w:lang w:val="es-ES"/>
        </w:rPr>
      </w:pPr>
    </w:p>
    <w:p w14:paraId="211383AB" w14:textId="77777777" w:rsidR="00C86380" w:rsidRDefault="00C86380" w:rsidP="002A4BF2">
      <w:pPr>
        <w:spacing w:line="240" w:lineRule="auto"/>
        <w:rPr>
          <w:lang w:val="es-ES"/>
        </w:rPr>
      </w:pPr>
    </w:p>
    <w:p w14:paraId="04AEFEFB" w14:textId="77777777" w:rsidR="00C86380" w:rsidRDefault="00C86380" w:rsidP="002A4BF2">
      <w:pPr>
        <w:spacing w:line="240" w:lineRule="auto"/>
        <w:rPr>
          <w:lang w:val="es-ES"/>
        </w:rPr>
      </w:pPr>
    </w:p>
    <w:p w14:paraId="48789E14" w14:textId="77777777" w:rsidR="00C86380" w:rsidRDefault="00C86380" w:rsidP="002A4BF2">
      <w:pPr>
        <w:spacing w:line="240" w:lineRule="auto"/>
        <w:rPr>
          <w:lang w:val="es-ES"/>
        </w:rPr>
      </w:pPr>
      <w:r w:rsidRPr="00C86380">
        <w:rPr>
          <w:rFonts w:ascii="Garamond" w:hAnsi="Garamond" w:cs="Arial"/>
          <w:noProof/>
          <w:sz w:val="24"/>
          <w:szCs w:val="24"/>
          <w:lang w:eastAsia="es-CO"/>
        </w:rPr>
        <w:drawing>
          <wp:inline distT="0" distB="0" distL="0" distR="0" wp14:anchorId="122741F3" wp14:editId="0719B4C3">
            <wp:extent cx="5612130" cy="870666"/>
            <wp:effectExtent l="0" t="0" r="7620" b="5715"/>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612130" cy="870666"/>
                    </a:xfrm>
                    <a:prstGeom prst="rect">
                      <a:avLst/>
                    </a:prstGeom>
                  </pic:spPr>
                </pic:pic>
              </a:graphicData>
            </a:graphic>
          </wp:inline>
        </w:drawing>
      </w:r>
    </w:p>
    <w:p w14:paraId="56553643" w14:textId="77777777" w:rsidR="005E68DB" w:rsidRPr="00C050A9" w:rsidRDefault="00D8549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5</w:t>
      </w:r>
      <w:r w:rsidR="005E68DB" w:rsidRPr="00C050A9">
        <w:rPr>
          <w:rFonts w:ascii="Garamond" w:eastAsia="Arial MT" w:hAnsi="Garamond" w:cs="Arial MT"/>
          <w:sz w:val="20"/>
          <w:szCs w:val="20"/>
          <w:lang w:val="es-ES"/>
        </w:rPr>
        <w:t xml:space="preserve">. </w:t>
      </w:r>
      <w:r w:rsidR="005E68DB">
        <w:rPr>
          <w:rFonts w:ascii="Garamond" w:eastAsia="Arial MT" w:hAnsi="Garamond" w:cs="Arial MT"/>
          <w:sz w:val="20"/>
          <w:szCs w:val="20"/>
          <w:lang w:val="es-ES"/>
        </w:rPr>
        <w:t xml:space="preserve">Comportamiento de contratación por bienes y servicios </w:t>
      </w:r>
      <w:r w:rsidR="000106A3">
        <w:rPr>
          <w:rFonts w:ascii="Garamond" w:eastAsia="Arial MT" w:hAnsi="Garamond" w:cs="Arial MT"/>
          <w:sz w:val="20"/>
          <w:szCs w:val="20"/>
          <w:lang w:val="es-ES"/>
        </w:rPr>
        <w:t>código</w:t>
      </w:r>
      <w:r w:rsidR="005E68DB" w:rsidRPr="00C050A9">
        <w:rPr>
          <w:rFonts w:ascii="Garamond" w:eastAsia="Arial MT" w:hAnsi="Garamond" w:cs="Arial MT"/>
          <w:sz w:val="20"/>
          <w:szCs w:val="20"/>
          <w:lang w:val="es-ES"/>
        </w:rPr>
        <w:t xml:space="preserve"> UNSPSC 301916</w:t>
      </w:r>
    </w:p>
    <w:p w14:paraId="1E0F8FBE" w14:textId="77777777" w:rsidR="005E68DB" w:rsidRPr="00C050A9" w:rsidRDefault="005E68DB"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560A38F9" w14:textId="77777777" w:rsidR="005E68DB" w:rsidRDefault="0068116C" w:rsidP="002A4BF2">
      <w:pPr>
        <w:spacing w:line="240" w:lineRule="auto"/>
        <w:jc w:val="center"/>
        <w:rPr>
          <w:rFonts w:ascii="Garamond" w:eastAsia="Arial MT" w:hAnsi="Garamond" w:cs="Arial MT"/>
          <w:sz w:val="20"/>
          <w:szCs w:val="20"/>
          <w:lang w:val="es-ES"/>
        </w:rPr>
      </w:pPr>
      <w:hyperlink r:id="rId80" w:history="1">
        <w:r w:rsidR="005E68DB"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1389733" w14:textId="77777777" w:rsidR="00B14A7D" w:rsidRDefault="00B14A7D" w:rsidP="002A4BF2">
      <w:pPr>
        <w:spacing w:line="240" w:lineRule="auto"/>
        <w:jc w:val="both"/>
        <w:rPr>
          <w:rFonts w:ascii="Garamond" w:hAnsi="Garamond" w:cs="Arial"/>
          <w:sz w:val="24"/>
          <w:szCs w:val="24"/>
          <w:lang w:val="es-MX"/>
        </w:rPr>
      </w:pPr>
    </w:p>
    <w:p w14:paraId="530D6B33" w14:textId="77777777" w:rsidR="00C434B7" w:rsidRDefault="00C86380" w:rsidP="002A4BF2">
      <w:pPr>
        <w:spacing w:line="240" w:lineRule="auto"/>
        <w:jc w:val="both"/>
        <w:rPr>
          <w:rFonts w:ascii="Garamond" w:eastAsia="Arial MT" w:hAnsi="Garamond" w:cs="Arial MT"/>
          <w:sz w:val="24"/>
          <w:szCs w:val="24"/>
          <w:lang w:val="es-ES"/>
        </w:rPr>
      </w:pPr>
      <w:r>
        <w:rPr>
          <w:rFonts w:ascii="Garamond" w:eastAsia="Arial MT" w:hAnsi="Garamond" w:cs="Arial MT"/>
          <w:sz w:val="24"/>
          <w:szCs w:val="24"/>
          <w:lang w:val="es-ES"/>
        </w:rPr>
        <w:t>Ahora, dentro del mismo sector,</w:t>
      </w:r>
      <w:r w:rsidRPr="00306D47">
        <w:rPr>
          <w:rFonts w:ascii="Garamond" w:eastAsia="Arial MT" w:hAnsi="Garamond" w:cs="Arial MT"/>
          <w:sz w:val="24"/>
          <w:szCs w:val="24"/>
          <w:lang w:val="es-ES"/>
        </w:rPr>
        <w:t xml:space="preserve"> se identificó empresa</w:t>
      </w:r>
      <w:r>
        <w:rPr>
          <w:rFonts w:ascii="Garamond" w:eastAsia="Arial MT" w:hAnsi="Garamond" w:cs="Arial MT"/>
          <w:sz w:val="24"/>
          <w:szCs w:val="24"/>
          <w:lang w:val="es-ES"/>
        </w:rPr>
        <w:t xml:space="preserve">s que se dedican a </w:t>
      </w:r>
      <w:r w:rsidRPr="005E68DB">
        <w:rPr>
          <w:rFonts w:ascii="Garamond" w:eastAsia="Arial MT" w:hAnsi="Garamond" w:cs="Arial MT"/>
          <w:b/>
          <w:sz w:val="24"/>
          <w:szCs w:val="24"/>
          <w:u w:val="single"/>
          <w:lang w:val="es-ES"/>
        </w:rPr>
        <w:t xml:space="preserve">los servicios </w:t>
      </w:r>
      <w:r>
        <w:rPr>
          <w:rFonts w:ascii="Garamond" w:eastAsia="Arial MT" w:hAnsi="Garamond" w:cs="Arial MT"/>
          <w:b/>
          <w:sz w:val="24"/>
          <w:szCs w:val="24"/>
          <w:u w:val="single"/>
          <w:lang w:val="es-ES"/>
        </w:rPr>
        <w:t>de suministro de equipos y materiales para construcciones temporales y/o apoyo al mantenimiento.</w:t>
      </w:r>
      <w:r w:rsidRPr="00306D47">
        <w:rPr>
          <w:rFonts w:ascii="Garamond" w:eastAsia="Arial MT" w:hAnsi="Garamond" w:cs="Arial MT"/>
          <w:sz w:val="24"/>
          <w:szCs w:val="24"/>
          <w:lang w:val="es-ES"/>
        </w:rPr>
        <w:t xml:space="preserve"> </w:t>
      </w:r>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2765"/>
        <w:gridCol w:w="2278"/>
        <w:gridCol w:w="2569"/>
      </w:tblGrid>
      <w:tr w:rsidR="00C434B7" w:rsidRPr="00926937" w14:paraId="7954AC80" w14:textId="77777777" w:rsidTr="00AD6DB4">
        <w:trPr>
          <w:trHeight w:val="567"/>
        </w:trPr>
        <w:tc>
          <w:tcPr>
            <w:tcW w:w="795" w:type="pct"/>
            <w:shd w:val="clear" w:color="auto" w:fill="F2F2F2"/>
            <w:tcMar>
              <w:top w:w="0" w:type="dxa"/>
              <w:left w:w="70" w:type="dxa"/>
              <w:bottom w:w="0" w:type="dxa"/>
              <w:right w:w="70" w:type="dxa"/>
            </w:tcMar>
            <w:vAlign w:val="center"/>
            <w:hideMark/>
          </w:tcPr>
          <w:p w14:paraId="44D65E0A" w14:textId="77777777" w:rsidR="00C434B7" w:rsidRPr="00926937" w:rsidRDefault="00C434B7" w:rsidP="002A4BF2">
            <w:pPr>
              <w:spacing w:line="240" w:lineRule="auto"/>
              <w:jc w:val="center"/>
              <w:rPr>
                <w:rFonts w:ascii="Garamond" w:hAnsi="Garamond" w:cs="Arial"/>
                <w:bCs/>
                <w:sz w:val="24"/>
                <w:szCs w:val="24"/>
              </w:rPr>
            </w:pPr>
            <w:r w:rsidRPr="00926937">
              <w:rPr>
                <w:rFonts w:ascii="Garamond" w:hAnsi="Garamond" w:cs="Arial"/>
                <w:bCs/>
                <w:sz w:val="24"/>
                <w:szCs w:val="24"/>
              </w:rPr>
              <w:t>Clasificación UNSPSC</w:t>
            </w:r>
          </w:p>
        </w:tc>
        <w:tc>
          <w:tcPr>
            <w:tcW w:w="1527" w:type="pct"/>
            <w:shd w:val="clear" w:color="auto" w:fill="F2F2F2"/>
            <w:tcMar>
              <w:top w:w="0" w:type="dxa"/>
              <w:left w:w="70" w:type="dxa"/>
              <w:bottom w:w="0" w:type="dxa"/>
              <w:right w:w="70" w:type="dxa"/>
            </w:tcMar>
            <w:vAlign w:val="center"/>
            <w:hideMark/>
          </w:tcPr>
          <w:p w14:paraId="6EE28FA7" w14:textId="77777777" w:rsidR="00C434B7" w:rsidRPr="00926937" w:rsidRDefault="00C434B7" w:rsidP="002A4BF2">
            <w:pPr>
              <w:spacing w:line="240" w:lineRule="auto"/>
              <w:jc w:val="center"/>
              <w:rPr>
                <w:rFonts w:ascii="Garamond" w:hAnsi="Garamond" w:cs="Arial"/>
                <w:bCs/>
                <w:sz w:val="24"/>
                <w:szCs w:val="24"/>
              </w:rPr>
            </w:pPr>
            <w:r w:rsidRPr="00926937">
              <w:rPr>
                <w:rFonts w:ascii="Garamond" w:hAnsi="Garamond" w:cs="Arial"/>
                <w:bCs/>
                <w:sz w:val="24"/>
                <w:szCs w:val="24"/>
              </w:rPr>
              <w:t>Segmento</w:t>
            </w:r>
          </w:p>
        </w:tc>
        <w:tc>
          <w:tcPr>
            <w:tcW w:w="1258" w:type="pct"/>
            <w:shd w:val="clear" w:color="auto" w:fill="F2F2F2"/>
            <w:tcMar>
              <w:top w:w="0" w:type="dxa"/>
              <w:left w:w="70" w:type="dxa"/>
              <w:bottom w:w="0" w:type="dxa"/>
              <w:right w:w="70" w:type="dxa"/>
            </w:tcMar>
            <w:vAlign w:val="center"/>
            <w:hideMark/>
          </w:tcPr>
          <w:p w14:paraId="04ADFAB3" w14:textId="77777777" w:rsidR="00C434B7" w:rsidRPr="00926937" w:rsidRDefault="00C434B7" w:rsidP="002A4BF2">
            <w:pPr>
              <w:spacing w:line="240" w:lineRule="auto"/>
              <w:jc w:val="center"/>
              <w:rPr>
                <w:rFonts w:ascii="Garamond" w:hAnsi="Garamond" w:cs="Arial"/>
                <w:bCs/>
                <w:sz w:val="24"/>
                <w:szCs w:val="24"/>
              </w:rPr>
            </w:pPr>
            <w:r w:rsidRPr="00926937">
              <w:rPr>
                <w:rFonts w:ascii="Garamond" w:hAnsi="Garamond" w:cs="Arial"/>
                <w:bCs/>
                <w:sz w:val="24"/>
                <w:szCs w:val="24"/>
              </w:rPr>
              <w:t>Familia</w:t>
            </w:r>
          </w:p>
        </w:tc>
        <w:tc>
          <w:tcPr>
            <w:tcW w:w="1419" w:type="pct"/>
            <w:shd w:val="clear" w:color="auto" w:fill="F2F2F2"/>
            <w:tcMar>
              <w:top w:w="0" w:type="dxa"/>
              <w:left w:w="70" w:type="dxa"/>
              <w:bottom w:w="0" w:type="dxa"/>
              <w:right w:w="70" w:type="dxa"/>
            </w:tcMar>
            <w:vAlign w:val="center"/>
            <w:hideMark/>
          </w:tcPr>
          <w:p w14:paraId="2177506A" w14:textId="77777777" w:rsidR="00C434B7" w:rsidRPr="00926937" w:rsidRDefault="00C434B7" w:rsidP="002A4BF2">
            <w:pPr>
              <w:spacing w:line="240" w:lineRule="auto"/>
              <w:jc w:val="center"/>
              <w:rPr>
                <w:rFonts w:ascii="Garamond" w:hAnsi="Garamond" w:cs="Arial"/>
                <w:bCs/>
                <w:sz w:val="24"/>
                <w:szCs w:val="24"/>
              </w:rPr>
            </w:pPr>
            <w:r w:rsidRPr="00926937">
              <w:rPr>
                <w:rFonts w:ascii="Garamond" w:hAnsi="Garamond" w:cs="Arial"/>
                <w:bCs/>
                <w:sz w:val="24"/>
                <w:szCs w:val="24"/>
              </w:rPr>
              <w:t>Clase</w:t>
            </w:r>
          </w:p>
        </w:tc>
      </w:tr>
      <w:tr w:rsidR="00C434B7" w14:paraId="45F3BC5D" w14:textId="77777777" w:rsidTr="00AD6DB4">
        <w:trPr>
          <w:trHeight w:val="238"/>
        </w:trPr>
        <w:tc>
          <w:tcPr>
            <w:tcW w:w="795" w:type="pct"/>
            <w:tcMar>
              <w:top w:w="0" w:type="dxa"/>
              <w:left w:w="70" w:type="dxa"/>
              <w:bottom w:w="0" w:type="dxa"/>
              <w:right w:w="70" w:type="dxa"/>
            </w:tcMar>
            <w:vAlign w:val="center"/>
          </w:tcPr>
          <w:p w14:paraId="406A9AF8" w14:textId="77777777" w:rsidR="00C434B7" w:rsidRPr="00926937" w:rsidRDefault="00C434B7" w:rsidP="002A4BF2">
            <w:pPr>
              <w:spacing w:line="240" w:lineRule="auto"/>
              <w:jc w:val="both"/>
              <w:rPr>
                <w:rFonts w:ascii="Garamond" w:hAnsi="Garamond" w:cs="Arial"/>
                <w:bCs/>
                <w:sz w:val="24"/>
                <w:szCs w:val="24"/>
              </w:rPr>
            </w:pPr>
            <w:r>
              <w:rPr>
                <w:rFonts w:ascii="Garamond" w:hAnsi="Garamond" w:cs="Arial"/>
                <w:bCs/>
                <w:sz w:val="24"/>
                <w:szCs w:val="24"/>
              </w:rPr>
              <w:t>301918</w:t>
            </w:r>
          </w:p>
        </w:tc>
        <w:tc>
          <w:tcPr>
            <w:tcW w:w="1527" w:type="pct"/>
            <w:shd w:val="clear" w:color="auto" w:fill="auto"/>
            <w:tcMar>
              <w:top w:w="0" w:type="dxa"/>
              <w:left w:w="70" w:type="dxa"/>
              <w:bottom w:w="0" w:type="dxa"/>
              <w:right w:w="70" w:type="dxa"/>
            </w:tcMar>
            <w:vAlign w:val="center"/>
          </w:tcPr>
          <w:p w14:paraId="54C7E84B" w14:textId="77777777" w:rsidR="00C434B7" w:rsidRPr="00926937" w:rsidRDefault="00C434B7" w:rsidP="002A4BF2">
            <w:pPr>
              <w:spacing w:line="240" w:lineRule="auto"/>
              <w:jc w:val="both"/>
              <w:rPr>
                <w:rFonts w:ascii="Garamond" w:hAnsi="Garamond" w:cs="Arial"/>
                <w:bCs/>
                <w:sz w:val="24"/>
                <w:szCs w:val="24"/>
              </w:rPr>
            </w:pPr>
            <w:r>
              <w:rPr>
                <w:rFonts w:ascii="Garamond" w:hAnsi="Garamond" w:cs="Arial"/>
                <w:bCs/>
                <w:sz w:val="24"/>
                <w:szCs w:val="24"/>
              </w:rPr>
              <w:t>30 – Componentes y suministros para Estructuras, Edificación, Construcción y Obras civiles</w:t>
            </w:r>
          </w:p>
        </w:tc>
        <w:tc>
          <w:tcPr>
            <w:tcW w:w="1258" w:type="pct"/>
            <w:tcMar>
              <w:top w:w="0" w:type="dxa"/>
              <w:left w:w="70" w:type="dxa"/>
              <w:bottom w:w="0" w:type="dxa"/>
              <w:right w:w="70" w:type="dxa"/>
            </w:tcMar>
            <w:vAlign w:val="center"/>
          </w:tcPr>
          <w:p w14:paraId="14277B09" w14:textId="77777777" w:rsidR="00C434B7" w:rsidRPr="00926937" w:rsidRDefault="00C434B7" w:rsidP="002A4BF2">
            <w:pPr>
              <w:spacing w:line="240" w:lineRule="auto"/>
              <w:jc w:val="both"/>
              <w:rPr>
                <w:rFonts w:ascii="Garamond" w:hAnsi="Garamond" w:cs="Arial"/>
                <w:bCs/>
                <w:sz w:val="24"/>
                <w:szCs w:val="24"/>
              </w:rPr>
            </w:pPr>
            <w:r>
              <w:rPr>
                <w:rFonts w:ascii="Garamond" w:hAnsi="Garamond" w:cs="Arial"/>
                <w:bCs/>
                <w:sz w:val="24"/>
                <w:szCs w:val="24"/>
              </w:rPr>
              <w:t>19 – Equipo de apoyo para construcción y mantenimiento</w:t>
            </w:r>
          </w:p>
        </w:tc>
        <w:tc>
          <w:tcPr>
            <w:tcW w:w="1419" w:type="pct"/>
            <w:tcMar>
              <w:top w:w="0" w:type="dxa"/>
              <w:left w:w="70" w:type="dxa"/>
              <w:bottom w:w="0" w:type="dxa"/>
              <w:right w:w="70" w:type="dxa"/>
            </w:tcMar>
            <w:vAlign w:val="center"/>
          </w:tcPr>
          <w:p w14:paraId="49A7D06D" w14:textId="77777777" w:rsidR="00C434B7" w:rsidRPr="00926937" w:rsidRDefault="00C434B7" w:rsidP="002A4BF2">
            <w:pPr>
              <w:spacing w:line="240" w:lineRule="auto"/>
              <w:jc w:val="both"/>
              <w:rPr>
                <w:rFonts w:ascii="Garamond" w:hAnsi="Garamond" w:cs="Arial"/>
                <w:bCs/>
                <w:sz w:val="24"/>
                <w:szCs w:val="24"/>
              </w:rPr>
            </w:pPr>
            <w:r>
              <w:rPr>
                <w:rFonts w:ascii="Garamond" w:hAnsi="Garamond" w:cs="Arial"/>
                <w:bCs/>
                <w:sz w:val="24"/>
                <w:szCs w:val="24"/>
              </w:rPr>
              <w:t>18- Equipos y materiales para construcciones temporales y apoyo al mantenimiento</w:t>
            </w:r>
          </w:p>
        </w:tc>
      </w:tr>
    </w:tbl>
    <w:p w14:paraId="328E22AA" w14:textId="77777777" w:rsidR="00C434B7" w:rsidRDefault="00C434B7" w:rsidP="002A4BF2">
      <w:pPr>
        <w:spacing w:line="240" w:lineRule="auto"/>
        <w:jc w:val="both"/>
        <w:rPr>
          <w:rFonts w:ascii="Garamond" w:eastAsia="Arial MT" w:hAnsi="Garamond" w:cs="Arial MT"/>
          <w:sz w:val="24"/>
          <w:szCs w:val="24"/>
          <w:lang w:val="es-ES"/>
        </w:rPr>
      </w:pPr>
    </w:p>
    <w:p w14:paraId="11D4964C" w14:textId="77777777" w:rsidR="003B3061" w:rsidRDefault="003B3061" w:rsidP="002A4BF2">
      <w:pPr>
        <w:spacing w:line="240" w:lineRule="auto"/>
        <w:jc w:val="both"/>
        <w:rPr>
          <w:rFonts w:ascii="Garamond" w:eastAsia="Arial MT" w:hAnsi="Garamond" w:cs="Arial MT"/>
          <w:sz w:val="24"/>
          <w:szCs w:val="24"/>
          <w:lang w:val="es-ES"/>
        </w:rPr>
      </w:pPr>
      <w:r w:rsidRPr="003B3061">
        <w:rPr>
          <w:rFonts w:ascii="Garamond" w:eastAsia="Arial MT" w:hAnsi="Garamond" w:cs="Arial MT"/>
          <w:noProof/>
          <w:sz w:val="24"/>
          <w:szCs w:val="24"/>
          <w:lang w:eastAsia="es-CO"/>
        </w:rPr>
        <w:drawing>
          <wp:anchor distT="0" distB="0" distL="114300" distR="114300" simplePos="0" relativeHeight="251688960" behindDoc="0" locked="0" layoutInCell="1" allowOverlap="1" wp14:anchorId="00385A23" wp14:editId="0CE69429">
            <wp:simplePos x="0" y="0"/>
            <wp:positionH relativeFrom="column">
              <wp:posOffset>-784860</wp:posOffset>
            </wp:positionH>
            <wp:positionV relativeFrom="paragraph">
              <wp:posOffset>285754</wp:posOffset>
            </wp:positionV>
            <wp:extent cx="7190800" cy="552450"/>
            <wp:effectExtent l="0" t="0" r="0" b="0"/>
            <wp:wrapNone/>
            <wp:docPr id="1997869492" name="Imagen 1997869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7190800" cy="552450"/>
                    </a:xfrm>
                    <a:prstGeom prst="rect">
                      <a:avLst/>
                    </a:prstGeom>
                  </pic:spPr>
                </pic:pic>
              </a:graphicData>
            </a:graphic>
            <wp14:sizeRelH relativeFrom="margin">
              <wp14:pctWidth>0</wp14:pctWidth>
            </wp14:sizeRelH>
            <wp14:sizeRelV relativeFrom="margin">
              <wp14:pctHeight>0</wp14:pctHeight>
            </wp14:sizeRelV>
          </wp:anchor>
        </w:drawing>
      </w:r>
      <w:r>
        <w:rPr>
          <w:rFonts w:ascii="Garamond" w:eastAsia="Arial MT" w:hAnsi="Garamond" w:cs="Arial MT"/>
          <w:sz w:val="24"/>
          <w:szCs w:val="24"/>
          <w:lang w:val="es-ES"/>
        </w:rPr>
        <w:t xml:space="preserve">A continuación, se relaciona </w:t>
      </w:r>
      <w:r w:rsidRPr="00563EAE">
        <w:rPr>
          <w:rFonts w:ascii="Garamond" w:eastAsia="Arial MT" w:hAnsi="Garamond" w:cs="Arial MT"/>
          <w:b/>
          <w:sz w:val="24"/>
          <w:szCs w:val="24"/>
          <w:lang w:val="es-ES"/>
        </w:rPr>
        <w:t>QUIEN VENDE</w:t>
      </w:r>
      <w:r>
        <w:rPr>
          <w:rFonts w:ascii="Garamond" w:eastAsia="Arial MT" w:hAnsi="Garamond" w:cs="Arial MT"/>
          <w:sz w:val="24"/>
          <w:szCs w:val="24"/>
          <w:lang w:val="es-ES"/>
        </w:rPr>
        <w:t xml:space="preserve"> el servicio a nivel nacional:</w:t>
      </w:r>
    </w:p>
    <w:p w14:paraId="2396A07A" w14:textId="77777777" w:rsidR="003B3061" w:rsidRDefault="003B3061" w:rsidP="002A4BF2">
      <w:pPr>
        <w:spacing w:line="240" w:lineRule="auto"/>
        <w:jc w:val="both"/>
        <w:rPr>
          <w:rFonts w:ascii="Garamond" w:eastAsia="Arial MT" w:hAnsi="Garamond" w:cs="Arial MT"/>
          <w:sz w:val="24"/>
          <w:szCs w:val="24"/>
          <w:lang w:val="es-ES"/>
        </w:rPr>
      </w:pPr>
    </w:p>
    <w:p w14:paraId="64972B01" w14:textId="77777777" w:rsidR="00C434B7" w:rsidRDefault="00C434B7" w:rsidP="002A4BF2">
      <w:pPr>
        <w:spacing w:line="240" w:lineRule="auto"/>
        <w:jc w:val="both"/>
        <w:rPr>
          <w:rFonts w:ascii="Garamond" w:eastAsia="Arial MT" w:hAnsi="Garamond" w:cs="Arial MT"/>
          <w:sz w:val="24"/>
          <w:szCs w:val="24"/>
          <w:lang w:val="es-ES"/>
        </w:rPr>
      </w:pPr>
    </w:p>
    <w:p w14:paraId="1659B888" w14:textId="77777777" w:rsidR="00C434B7" w:rsidRDefault="005C51A5" w:rsidP="002A4BF2">
      <w:pPr>
        <w:spacing w:line="240" w:lineRule="auto"/>
        <w:jc w:val="center"/>
        <w:rPr>
          <w:rFonts w:ascii="Garamond" w:eastAsia="Arial MT" w:hAnsi="Garamond" w:cs="Arial MT"/>
          <w:sz w:val="24"/>
          <w:szCs w:val="24"/>
          <w:lang w:val="es-ES"/>
        </w:rPr>
      </w:pPr>
      <w:r w:rsidRPr="003B3061">
        <w:rPr>
          <w:rFonts w:ascii="Garamond" w:eastAsia="Arial MT" w:hAnsi="Garamond" w:cs="Arial MT"/>
          <w:noProof/>
          <w:sz w:val="24"/>
          <w:szCs w:val="24"/>
          <w:lang w:eastAsia="es-CO"/>
        </w:rPr>
        <w:lastRenderedPageBreak/>
        <w:drawing>
          <wp:inline distT="0" distB="0" distL="0" distR="0" wp14:anchorId="04CE9927" wp14:editId="04D62E20">
            <wp:extent cx="3981450" cy="3713038"/>
            <wp:effectExtent l="0" t="0" r="0" b="1905"/>
            <wp:docPr id="1997869493" name="Imagen 1997869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987589" cy="3718763"/>
                    </a:xfrm>
                    <a:prstGeom prst="rect">
                      <a:avLst/>
                    </a:prstGeom>
                  </pic:spPr>
                </pic:pic>
              </a:graphicData>
            </a:graphic>
          </wp:inline>
        </w:drawing>
      </w:r>
    </w:p>
    <w:p w14:paraId="0B08F3DB" w14:textId="77777777" w:rsidR="003B3061" w:rsidRPr="00C050A9" w:rsidRDefault="003B3061"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 xml:space="preserve">Imagen </w:t>
      </w:r>
      <w:r w:rsidR="00D8549E">
        <w:rPr>
          <w:rFonts w:ascii="Garamond" w:eastAsia="Arial MT" w:hAnsi="Garamond" w:cs="Arial MT"/>
          <w:sz w:val="20"/>
          <w:szCs w:val="20"/>
          <w:lang w:val="es-ES"/>
        </w:rPr>
        <w:t>6</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Proveedores del bien o servicio código UNSPSC 301918 a nivel nacional</w:t>
      </w:r>
    </w:p>
    <w:p w14:paraId="717FBFBE" w14:textId="77777777" w:rsidR="003B3061" w:rsidRPr="00C050A9" w:rsidRDefault="003B3061"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CEBDC26" w14:textId="77777777" w:rsidR="00C434B7" w:rsidRDefault="0068116C" w:rsidP="002A4BF2">
      <w:pPr>
        <w:spacing w:line="240" w:lineRule="auto"/>
        <w:jc w:val="center"/>
        <w:rPr>
          <w:rFonts w:ascii="Garamond" w:eastAsia="Arial MT" w:hAnsi="Garamond" w:cs="Arial MT"/>
          <w:sz w:val="20"/>
          <w:szCs w:val="20"/>
          <w:lang w:val="es-ES"/>
        </w:rPr>
      </w:pPr>
      <w:hyperlink r:id="rId83" w:history="1">
        <w:r w:rsidR="003B3061"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F698F06" w14:textId="77777777" w:rsidR="00563EAE" w:rsidRDefault="00563EAE" w:rsidP="002A4BF2">
      <w:pPr>
        <w:spacing w:line="240" w:lineRule="auto"/>
        <w:jc w:val="center"/>
        <w:rPr>
          <w:rFonts w:ascii="Garamond" w:eastAsia="Arial MT" w:hAnsi="Garamond" w:cs="Arial MT"/>
          <w:sz w:val="24"/>
          <w:szCs w:val="24"/>
          <w:lang w:val="es-ES"/>
        </w:rPr>
      </w:pPr>
    </w:p>
    <w:p w14:paraId="5FA09E43" w14:textId="77777777" w:rsidR="00C86380" w:rsidRPr="00767A56" w:rsidRDefault="00C86380" w:rsidP="002A4BF2">
      <w:pPr>
        <w:spacing w:line="240" w:lineRule="auto"/>
        <w:jc w:val="both"/>
        <w:rPr>
          <w:rFonts w:ascii="Garamond" w:eastAsia="Arial MT" w:hAnsi="Garamond" w:cs="Arial MT"/>
          <w:b/>
          <w:sz w:val="24"/>
          <w:szCs w:val="24"/>
          <w:u w:val="single"/>
          <w:lang w:val="es-ES"/>
        </w:rPr>
      </w:pPr>
      <w:r w:rsidRPr="00306D47">
        <w:rPr>
          <w:rFonts w:ascii="Garamond" w:eastAsia="Arial MT" w:hAnsi="Garamond" w:cs="Arial MT"/>
          <w:sz w:val="24"/>
          <w:szCs w:val="24"/>
          <w:lang w:val="es-ES"/>
        </w:rPr>
        <w:t>A continuaci</w:t>
      </w:r>
      <w:r>
        <w:rPr>
          <w:rFonts w:ascii="Garamond" w:eastAsia="Arial MT" w:hAnsi="Garamond" w:cs="Arial MT"/>
          <w:sz w:val="24"/>
          <w:szCs w:val="24"/>
          <w:lang w:val="es-ES"/>
        </w:rPr>
        <w:t>ón, se relaciona el número de proveedores y/o</w:t>
      </w:r>
      <w:r w:rsidRPr="00306D47">
        <w:rPr>
          <w:rFonts w:ascii="Garamond" w:eastAsia="Arial MT" w:hAnsi="Garamond" w:cs="Arial MT"/>
          <w:sz w:val="24"/>
          <w:szCs w:val="24"/>
          <w:lang w:val="es-ES"/>
        </w:rPr>
        <w:t xml:space="preserve"> empresas que fueron identificadas en e</w:t>
      </w:r>
      <w:r>
        <w:rPr>
          <w:rFonts w:ascii="Garamond" w:eastAsia="Arial MT" w:hAnsi="Garamond" w:cs="Arial MT"/>
          <w:sz w:val="24"/>
          <w:szCs w:val="24"/>
          <w:lang w:val="es-ES"/>
        </w:rPr>
        <w:t xml:space="preserve">l proceso de análisis de sector para la ciudad de </w:t>
      </w:r>
      <w:r w:rsidRPr="00767A56">
        <w:rPr>
          <w:rFonts w:ascii="Garamond" w:eastAsia="Arial MT" w:hAnsi="Garamond" w:cs="Arial MT"/>
          <w:sz w:val="24"/>
          <w:szCs w:val="24"/>
          <w:u w:val="single"/>
          <w:lang w:val="es-ES"/>
        </w:rPr>
        <w:t>Bogotá D.C.:</w:t>
      </w:r>
    </w:p>
    <w:p w14:paraId="2FE45C50" w14:textId="77777777" w:rsidR="00C86380" w:rsidRDefault="00C86380" w:rsidP="002A4BF2">
      <w:pPr>
        <w:autoSpaceDE w:val="0"/>
        <w:autoSpaceDN w:val="0"/>
        <w:adjustRightInd w:val="0"/>
        <w:spacing w:line="240" w:lineRule="auto"/>
        <w:jc w:val="both"/>
        <w:rPr>
          <w:rFonts w:ascii="Garamond" w:hAnsi="Garamond" w:cs="Arial"/>
          <w:sz w:val="24"/>
          <w:szCs w:val="24"/>
        </w:rPr>
      </w:pPr>
    </w:p>
    <w:p w14:paraId="66B63915" w14:textId="77777777" w:rsidR="0065306B" w:rsidRDefault="00C86380" w:rsidP="002A4BF2">
      <w:pPr>
        <w:autoSpaceDE w:val="0"/>
        <w:autoSpaceDN w:val="0"/>
        <w:adjustRightInd w:val="0"/>
        <w:spacing w:line="240" w:lineRule="auto"/>
        <w:jc w:val="center"/>
        <w:rPr>
          <w:rFonts w:ascii="Garamond" w:hAnsi="Garamond" w:cs="Arial"/>
          <w:sz w:val="24"/>
          <w:szCs w:val="24"/>
        </w:rPr>
      </w:pPr>
      <w:r w:rsidRPr="00C86380">
        <w:rPr>
          <w:rFonts w:ascii="Garamond" w:hAnsi="Garamond" w:cs="Arial"/>
          <w:noProof/>
          <w:sz w:val="24"/>
          <w:szCs w:val="24"/>
          <w:lang w:eastAsia="es-CO"/>
        </w:rPr>
        <w:lastRenderedPageBreak/>
        <w:drawing>
          <wp:inline distT="0" distB="0" distL="0" distR="0" wp14:anchorId="27B4385A" wp14:editId="47E2A682">
            <wp:extent cx="3495675" cy="3236231"/>
            <wp:effectExtent l="0" t="0" r="0" b="2540"/>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512219" cy="3251547"/>
                    </a:xfrm>
                    <a:prstGeom prst="rect">
                      <a:avLst/>
                    </a:prstGeom>
                  </pic:spPr>
                </pic:pic>
              </a:graphicData>
            </a:graphic>
          </wp:inline>
        </w:drawing>
      </w:r>
    </w:p>
    <w:p w14:paraId="77B8DA87" w14:textId="77777777" w:rsidR="0065306B" w:rsidRPr="00C050A9" w:rsidRDefault="00D8549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7</w:t>
      </w:r>
      <w:r w:rsidR="0065306B" w:rsidRPr="00C050A9">
        <w:rPr>
          <w:rFonts w:ascii="Garamond" w:eastAsia="Arial MT" w:hAnsi="Garamond" w:cs="Arial MT"/>
          <w:sz w:val="20"/>
          <w:szCs w:val="20"/>
          <w:lang w:val="es-ES"/>
        </w:rPr>
        <w:t xml:space="preserve">. </w:t>
      </w:r>
      <w:r w:rsidR="0065306B">
        <w:rPr>
          <w:rFonts w:ascii="Garamond" w:eastAsia="Arial MT" w:hAnsi="Garamond" w:cs="Arial MT"/>
          <w:sz w:val="20"/>
          <w:szCs w:val="20"/>
          <w:lang w:val="es-ES"/>
        </w:rPr>
        <w:t>Gasto anual código UNSPSC 301918</w:t>
      </w:r>
    </w:p>
    <w:p w14:paraId="09A46F92" w14:textId="77777777" w:rsidR="0065306B" w:rsidRPr="00C050A9" w:rsidRDefault="0065306B"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0458F7B4" w14:textId="77777777" w:rsidR="0065306B" w:rsidRDefault="0068116C" w:rsidP="002A4BF2">
      <w:pPr>
        <w:spacing w:line="240" w:lineRule="auto"/>
        <w:jc w:val="center"/>
        <w:rPr>
          <w:rFonts w:ascii="Garamond" w:eastAsia="Arial MT" w:hAnsi="Garamond" w:cs="Arial MT"/>
          <w:sz w:val="20"/>
          <w:szCs w:val="20"/>
          <w:lang w:val="es-ES"/>
        </w:rPr>
      </w:pPr>
      <w:hyperlink r:id="rId85" w:history="1">
        <w:r w:rsidR="0065306B"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42368B0" w14:textId="77777777" w:rsidR="0065306B" w:rsidRDefault="0065306B" w:rsidP="002A4BF2">
      <w:pPr>
        <w:spacing w:line="240" w:lineRule="auto"/>
        <w:jc w:val="center"/>
        <w:rPr>
          <w:rFonts w:ascii="Garamond" w:hAnsi="Garamond" w:cs="Arial"/>
          <w:sz w:val="24"/>
          <w:szCs w:val="24"/>
        </w:rPr>
      </w:pPr>
      <w:r w:rsidRPr="0065306B">
        <w:rPr>
          <w:rFonts w:ascii="Garamond" w:hAnsi="Garamond" w:cs="Arial"/>
          <w:noProof/>
          <w:sz w:val="24"/>
          <w:szCs w:val="24"/>
          <w:lang w:eastAsia="es-CO"/>
        </w:rPr>
        <w:drawing>
          <wp:inline distT="0" distB="0" distL="0" distR="0" wp14:anchorId="5D1AA14E" wp14:editId="61AB07D9">
            <wp:extent cx="3438525" cy="3160076"/>
            <wp:effectExtent l="0" t="0" r="0" b="254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443522" cy="3164668"/>
                    </a:xfrm>
                    <a:prstGeom prst="rect">
                      <a:avLst/>
                    </a:prstGeom>
                  </pic:spPr>
                </pic:pic>
              </a:graphicData>
            </a:graphic>
          </wp:inline>
        </w:drawing>
      </w:r>
    </w:p>
    <w:p w14:paraId="3D741FE6" w14:textId="77777777" w:rsidR="0065306B" w:rsidRPr="00C050A9" w:rsidRDefault="0065306B" w:rsidP="002A4BF2">
      <w:pPr>
        <w:spacing w:after="0" w:line="240" w:lineRule="auto"/>
        <w:jc w:val="center"/>
        <w:rPr>
          <w:rFonts w:ascii="Garamond" w:eastAsia="Arial MT" w:hAnsi="Garamond" w:cs="Arial MT"/>
          <w:sz w:val="20"/>
          <w:szCs w:val="20"/>
          <w:lang w:val="es-ES"/>
        </w:rPr>
      </w:pPr>
      <w:r>
        <w:rPr>
          <w:rFonts w:ascii="Garamond" w:hAnsi="Garamond" w:cs="Arial"/>
          <w:sz w:val="24"/>
          <w:szCs w:val="24"/>
        </w:rPr>
        <w:tab/>
      </w:r>
      <w:r w:rsidR="00D8549E">
        <w:rPr>
          <w:rFonts w:ascii="Garamond" w:eastAsia="Arial MT" w:hAnsi="Garamond" w:cs="Arial MT"/>
          <w:sz w:val="20"/>
          <w:szCs w:val="20"/>
          <w:lang w:val="es-ES"/>
        </w:rPr>
        <w:t>Imagen 8</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Cantidad de contratos anual, código UNSPSC 301918</w:t>
      </w:r>
    </w:p>
    <w:p w14:paraId="2AF88CFA" w14:textId="77777777" w:rsidR="0065306B" w:rsidRPr="00C050A9" w:rsidRDefault="0065306B"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1C45252B" w14:textId="77777777" w:rsidR="0065306B" w:rsidRDefault="0068116C" w:rsidP="002A4BF2">
      <w:pPr>
        <w:spacing w:line="240" w:lineRule="auto"/>
        <w:jc w:val="center"/>
        <w:rPr>
          <w:rFonts w:ascii="Garamond" w:eastAsia="Arial MT" w:hAnsi="Garamond" w:cs="Arial MT"/>
          <w:sz w:val="20"/>
          <w:szCs w:val="20"/>
          <w:lang w:val="es-ES"/>
        </w:rPr>
      </w:pPr>
      <w:hyperlink r:id="rId87" w:history="1">
        <w:r w:rsidR="0065306B"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23AFAE00" w14:textId="77777777" w:rsidR="0065306B" w:rsidRDefault="0065306B" w:rsidP="002A4BF2">
      <w:pPr>
        <w:tabs>
          <w:tab w:val="left" w:pos="4890"/>
        </w:tabs>
        <w:spacing w:line="240" w:lineRule="auto"/>
        <w:rPr>
          <w:rFonts w:ascii="Garamond" w:hAnsi="Garamond" w:cs="Arial"/>
          <w:sz w:val="24"/>
          <w:szCs w:val="24"/>
        </w:rPr>
      </w:pPr>
      <w:r w:rsidRPr="0065306B">
        <w:rPr>
          <w:rFonts w:ascii="Garamond" w:hAnsi="Garamond" w:cs="Arial"/>
          <w:noProof/>
          <w:sz w:val="24"/>
          <w:szCs w:val="24"/>
          <w:lang w:eastAsia="es-CO"/>
        </w:rPr>
        <w:drawing>
          <wp:inline distT="0" distB="0" distL="0" distR="0" wp14:anchorId="7958F9DA" wp14:editId="65762138">
            <wp:extent cx="5612130" cy="429260"/>
            <wp:effectExtent l="0" t="0" r="7620" b="8890"/>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612130" cy="429260"/>
                    </a:xfrm>
                    <a:prstGeom prst="rect">
                      <a:avLst/>
                    </a:prstGeom>
                  </pic:spPr>
                </pic:pic>
              </a:graphicData>
            </a:graphic>
          </wp:inline>
        </w:drawing>
      </w:r>
    </w:p>
    <w:p w14:paraId="25B30580" w14:textId="77777777" w:rsidR="0065306B" w:rsidRPr="00C050A9" w:rsidRDefault="00D8549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9</w:t>
      </w:r>
      <w:r w:rsidR="0065306B" w:rsidRPr="00C050A9">
        <w:rPr>
          <w:rFonts w:ascii="Garamond" w:eastAsia="Arial MT" w:hAnsi="Garamond" w:cs="Arial MT"/>
          <w:sz w:val="20"/>
          <w:szCs w:val="20"/>
          <w:lang w:val="es-ES"/>
        </w:rPr>
        <w:t xml:space="preserve">. </w:t>
      </w:r>
      <w:r w:rsidR="0065306B">
        <w:rPr>
          <w:rFonts w:ascii="Garamond" w:eastAsia="Arial MT" w:hAnsi="Garamond" w:cs="Arial MT"/>
          <w:sz w:val="20"/>
          <w:szCs w:val="20"/>
          <w:lang w:val="es-ES"/>
        </w:rPr>
        <w:t>Cantidad, número de proveedores y contratos, código UNSPSC 301918</w:t>
      </w:r>
    </w:p>
    <w:p w14:paraId="5FE6CE9F" w14:textId="77777777" w:rsidR="0065306B" w:rsidRPr="00C050A9" w:rsidRDefault="0065306B"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217E42C" w14:textId="7D3CB3DE" w:rsidR="000B19E8" w:rsidRDefault="0068116C" w:rsidP="002A4BF2">
      <w:pPr>
        <w:spacing w:line="240" w:lineRule="auto"/>
        <w:jc w:val="center"/>
        <w:rPr>
          <w:rFonts w:ascii="Garamond" w:eastAsia="Arial MT" w:hAnsi="Garamond" w:cs="Arial MT"/>
          <w:sz w:val="20"/>
          <w:szCs w:val="20"/>
          <w:lang w:val="es-ES"/>
        </w:rPr>
      </w:pPr>
      <w:hyperlink r:id="rId89" w:history="1">
        <w:r w:rsidR="0065306B"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29994CA5" w14:textId="77777777" w:rsidR="000B19E8" w:rsidRDefault="000B19E8" w:rsidP="002A4BF2">
      <w:pPr>
        <w:spacing w:line="240" w:lineRule="auto"/>
        <w:jc w:val="center"/>
        <w:rPr>
          <w:rFonts w:ascii="Garamond" w:eastAsia="Arial MT" w:hAnsi="Garamond" w:cs="Arial MT"/>
          <w:sz w:val="20"/>
          <w:szCs w:val="20"/>
          <w:lang w:val="es-ES"/>
        </w:rPr>
      </w:pPr>
    </w:p>
    <w:p w14:paraId="791E2C8E" w14:textId="77777777" w:rsidR="0065306B" w:rsidRDefault="0065306B" w:rsidP="002A4BF2">
      <w:pPr>
        <w:spacing w:line="240" w:lineRule="auto"/>
        <w:jc w:val="center"/>
        <w:rPr>
          <w:rFonts w:ascii="Garamond" w:hAnsi="Garamond" w:cs="Arial"/>
          <w:sz w:val="24"/>
          <w:szCs w:val="24"/>
        </w:rPr>
      </w:pPr>
      <w:r w:rsidRPr="0065306B">
        <w:rPr>
          <w:rFonts w:ascii="Garamond" w:hAnsi="Garamond" w:cs="Arial"/>
          <w:noProof/>
          <w:sz w:val="24"/>
          <w:szCs w:val="24"/>
          <w:lang w:eastAsia="es-CO"/>
        </w:rPr>
        <w:drawing>
          <wp:anchor distT="0" distB="0" distL="114300" distR="114300" simplePos="0" relativeHeight="251678720" behindDoc="0" locked="0" layoutInCell="1" allowOverlap="1" wp14:anchorId="7FE55973" wp14:editId="1CA59780">
            <wp:simplePos x="0" y="0"/>
            <wp:positionH relativeFrom="column">
              <wp:posOffset>-365761</wp:posOffset>
            </wp:positionH>
            <wp:positionV relativeFrom="paragraph">
              <wp:posOffset>55879</wp:posOffset>
            </wp:positionV>
            <wp:extent cx="6543675" cy="3635375"/>
            <wp:effectExtent l="0" t="0" r="9525" b="3175"/>
            <wp:wrapNone/>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6552290" cy="3640161"/>
                    </a:xfrm>
                    <a:prstGeom prst="rect">
                      <a:avLst/>
                    </a:prstGeom>
                  </pic:spPr>
                </pic:pic>
              </a:graphicData>
            </a:graphic>
            <wp14:sizeRelH relativeFrom="margin">
              <wp14:pctWidth>0</wp14:pctWidth>
            </wp14:sizeRelH>
            <wp14:sizeRelV relativeFrom="margin">
              <wp14:pctHeight>0</wp14:pctHeight>
            </wp14:sizeRelV>
          </wp:anchor>
        </w:drawing>
      </w:r>
    </w:p>
    <w:p w14:paraId="15A042E4" w14:textId="77777777" w:rsidR="0065306B" w:rsidRPr="0065306B" w:rsidRDefault="0065306B" w:rsidP="002A4BF2">
      <w:pPr>
        <w:spacing w:line="240" w:lineRule="auto"/>
        <w:rPr>
          <w:rFonts w:ascii="Garamond" w:hAnsi="Garamond" w:cs="Arial"/>
          <w:sz w:val="24"/>
          <w:szCs w:val="24"/>
        </w:rPr>
      </w:pPr>
    </w:p>
    <w:p w14:paraId="4032EFAF" w14:textId="77777777" w:rsidR="0065306B" w:rsidRPr="0065306B" w:rsidRDefault="0065306B" w:rsidP="002A4BF2">
      <w:pPr>
        <w:spacing w:line="240" w:lineRule="auto"/>
        <w:rPr>
          <w:rFonts w:ascii="Garamond" w:hAnsi="Garamond" w:cs="Arial"/>
          <w:sz w:val="24"/>
          <w:szCs w:val="24"/>
        </w:rPr>
      </w:pPr>
    </w:p>
    <w:p w14:paraId="7D21D1A8" w14:textId="77777777" w:rsidR="0065306B" w:rsidRPr="0065306B" w:rsidRDefault="0065306B" w:rsidP="002A4BF2">
      <w:pPr>
        <w:spacing w:line="240" w:lineRule="auto"/>
        <w:rPr>
          <w:rFonts w:ascii="Garamond" w:hAnsi="Garamond" w:cs="Arial"/>
          <w:sz w:val="24"/>
          <w:szCs w:val="24"/>
        </w:rPr>
      </w:pPr>
    </w:p>
    <w:p w14:paraId="15750601" w14:textId="77777777" w:rsidR="0065306B" w:rsidRPr="0065306B" w:rsidRDefault="0065306B" w:rsidP="002A4BF2">
      <w:pPr>
        <w:spacing w:line="240" w:lineRule="auto"/>
        <w:rPr>
          <w:rFonts w:ascii="Garamond" w:hAnsi="Garamond" w:cs="Arial"/>
          <w:sz w:val="24"/>
          <w:szCs w:val="24"/>
        </w:rPr>
      </w:pPr>
    </w:p>
    <w:p w14:paraId="45742476" w14:textId="77777777" w:rsidR="0065306B" w:rsidRPr="0065306B" w:rsidRDefault="0065306B" w:rsidP="002A4BF2">
      <w:pPr>
        <w:spacing w:line="240" w:lineRule="auto"/>
        <w:rPr>
          <w:rFonts w:ascii="Garamond" w:hAnsi="Garamond" w:cs="Arial"/>
          <w:sz w:val="24"/>
          <w:szCs w:val="24"/>
        </w:rPr>
      </w:pPr>
    </w:p>
    <w:p w14:paraId="13A7A361" w14:textId="77777777" w:rsidR="0065306B" w:rsidRPr="0065306B" w:rsidRDefault="0065306B" w:rsidP="002A4BF2">
      <w:pPr>
        <w:spacing w:line="240" w:lineRule="auto"/>
        <w:rPr>
          <w:rFonts w:ascii="Garamond" w:hAnsi="Garamond" w:cs="Arial"/>
          <w:sz w:val="24"/>
          <w:szCs w:val="24"/>
        </w:rPr>
      </w:pPr>
    </w:p>
    <w:p w14:paraId="213371EB" w14:textId="77777777" w:rsidR="0065306B" w:rsidRPr="0065306B" w:rsidRDefault="0065306B" w:rsidP="002A4BF2">
      <w:pPr>
        <w:spacing w:line="240" w:lineRule="auto"/>
        <w:rPr>
          <w:rFonts w:ascii="Garamond" w:hAnsi="Garamond" w:cs="Arial"/>
          <w:sz w:val="24"/>
          <w:szCs w:val="24"/>
        </w:rPr>
      </w:pPr>
    </w:p>
    <w:p w14:paraId="4DA60841" w14:textId="77777777" w:rsidR="0065306B" w:rsidRPr="0065306B" w:rsidRDefault="0065306B" w:rsidP="002A4BF2">
      <w:pPr>
        <w:spacing w:line="240" w:lineRule="auto"/>
        <w:rPr>
          <w:rFonts w:ascii="Garamond" w:hAnsi="Garamond" w:cs="Arial"/>
          <w:sz w:val="24"/>
          <w:szCs w:val="24"/>
        </w:rPr>
      </w:pPr>
    </w:p>
    <w:p w14:paraId="7597952E" w14:textId="77777777" w:rsidR="0065306B" w:rsidRPr="0065306B" w:rsidRDefault="0065306B" w:rsidP="002A4BF2">
      <w:pPr>
        <w:spacing w:line="240" w:lineRule="auto"/>
        <w:rPr>
          <w:rFonts w:ascii="Garamond" w:hAnsi="Garamond" w:cs="Arial"/>
          <w:sz w:val="24"/>
          <w:szCs w:val="24"/>
        </w:rPr>
      </w:pPr>
    </w:p>
    <w:p w14:paraId="5342F14F" w14:textId="77777777" w:rsidR="0065306B" w:rsidRPr="0065306B" w:rsidRDefault="0065306B" w:rsidP="002A4BF2">
      <w:pPr>
        <w:spacing w:line="240" w:lineRule="auto"/>
        <w:rPr>
          <w:rFonts w:ascii="Garamond" w:hAnsi="Garamond" w:cs="Arial"/>
          <w:sz w:val="24"/>
          <w:szCs w:val="24"/>
        </w:rPr>
      </w:pPr>
    </w:p>
    <w:p w14:paraId="4A30373E" w14:textId="77777777" w:rsidR="0065306B" w:rsidRPr="0065306B" w:rsidRDefault="0065306B" w:rsidP="002A4BF2">
      <w:pPr>
        <w:spacing w:line="240" w:lineRule="auto"/>
        <w:rPr>
          <w:rFonts w:ascii="Garamond" w:hAnsi="Garamond" w:cs="Arial"/>
          <w:sz w:val="24"/>
          <w:szCs w:val="24"/>
        </w:rPr>
      </w:pPr>
    </w:p>
    <w:p w14:paraId="36C433AB" w14:textId="77777777" w:rsidR="0065306B" w:rsidRPr="0065306B" w:rsidRDefault="0065306B" w:rsidP="002A4BF2">
      <w:pPr>
        <w:spacing w:line="240" w:lineRule="auto"/>
        <w:rPr>
          <w:rFonts w:ascii="Garamond" w:hAnsi="Garamond" w:cs="Arial"/>
          <w:sz w:val="24"/>
          <w:szCs w:val="24"/>
        </w:rPr>
      </w:pPr>
    </w:p>
    <w:p w14:paraId="1FFF0169" w14:textId="77777777" w:rsidR="0065306B" w:rsidRDefault="0065306B" w:rsidP="002A4BF2">
      <w:pPr>
        <w:spacing w:after="0" w:line="240" w:lineRule="auto"/>
        <w:jc w:val="center"/>
        <w:rPr>
          <w:rFonts w:ascii="Garamond" w:hAnsi="Garamond" w:cs="Arial"/>
          <w:sz w:val="24"/>
          <w:szCs w:val="24"/>
        </w:rPr>
      </w:pPr>
      <w:r>
        <w:rPr>
          <w:rFonts w:ascii="Garamond" w:hAnsi="Garamond" w:cs="Arial"/>
          <w:sz w:val="24"/>
          <w:szCs w:val="24"/>
        </w:rPr>
        <w:tab/>
      </w:r>
    </w:p>
    <w:p w14:paraId="14E5EE44" w14:textId="77777777" w:rsidR="0065306B" w:rsidRPr="00C050A9" w:rsidRDefault="00D8549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10.</w:t>
      </w:r>
      <w:r w:rsidR="0065306B" w:rsidRPr="00C050A9">
        <w:rPr>
          <w:rFonts w:ascii="Garamond" w:eastAsia="Arial MT" w:hAnsi="Garamond" w:cs="Arial MT"/>
          <w:sz w:val="20"/>
          <w:szCs w:val="20"/>
          <w:lang w:val="es-ES"/>
        </w:rPr>
        <w:t xml:space="preserve"> </w:t>
      </w:r>
      <w:r w:rsidR="0065306B">
        <w:rPr>
          <w:rFonts w:ascii="Garamond" w:eastAsia="Arial MT" w:hAnsi="Garamond" w:cs="Arial MT"/>
          <w:sz w:val="20"/>
          <w:szCs w:val="20"/>
          <w:lang w:val="es-ES"/>
        </w:rPr>
        <w:t>Valor total estimado por proveedor, código UNSPSC 301918</w:t>
      </w:r>
    </w:p>
    <w:p w14:paraId="53F2675E" w14:textId="77777777" w:rsidR="0065306B" w:rsidRPr="00C050A9" w:rsidRDefault="0065306B"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157451A0" w14:textId="77777777" w:rsidR="0065306B" w:rsidRDefault="0068116C" w:rsidP="002A4BF2">
      <w:pPr>
        <w:spacing w:line="240" w:lineRule="auto"/>
        <w:jc w:val="center"/>
        <w:rPr>
          <w:rFonts w:ascii="Garamond" w:eastAsia="Arial MT" w:hAnsi="Garamond" w:cs="Arial MT"/>
          <w:sz w:val="20"/>
          <w:szCs w:val="20"/>
          <w:lang w:val="es-ES"/>
        </w:rPr>
      </w:pPr>
      <w:hyperlink r:id="rId91" w:history="1">
        <w:r w:rsidR="0065306B"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2A6C1DC0" w14:textId="77777777" w:rsidR="0065306B" w:rsidRDefault="0065306B" w:rsidP="002A4BF2">
      <w:pPr>
        <w:tabs>
          <w:tab w:val="left" w:pos="5115"/>
        </w:tabs>
        <w:spacing w:line="240" w:lineRule="auto"/>
        <w:rPr>
          <w:rFonts w:ascii="Garamond" w:hAnsi="Garamond" w:cs="Arial"/>
          <w:sz w:val="24"/>
          <w:szCs w:val="24"/>
        </w:rPr>
      </w:pPr>
      <w:r w:rsidRPr="0065306B">
        <w:rPr>
          <w:rFonts w:ascii="Garamond" w:hAnsi="Garamond" w:cs="Arial"/>
          <w:noProof/>
          <w:sz w:val="24"/>
          <w:szCs w:val="24"/>
          <w:lang w:eastAsia="es-CO"/>
        </w:rPr>
        <w:lastRenderedPageBreak/>
        <w:drawing>
          <wp:inline distT="0" distB="0" distL="0" distR="0" wp14:anchorId="17B1D3C2" wp14:editId="1C156D2E">
            <wp:extent cx="5612130" cy="3167380"/>
            <wp:effectExtent l="0" t="0" r="7620"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612130" cy="3167380"/>
                    </a:xfrm>
                    <a:prstGeom prst="rect">
                      <a:avLst/>
                    </a:prstGeom>
                  </pic:spPr>
                </pic:pic>
              </a:graphicData>
            </a:graphic>
          </wp:inline>
        </w:drawing>
      </w:r>
    </w:p>
    <w:p w14:paraId="10BE1230" w14:textId="77777777" w:rsidR="0065306B" w:rsidRPr="00C050A9" w:rsidRDefault="0065306B" w:rsidP="002A4BF2">
      <w:pPr>
        <w:spacing w:after="0" w:line="240" w:lineRule="auto"/>
        <w:jc w:val="center"/>
        <w:rPr>
          <w:rFonts w:ascii="Garamond" w:eastAsia="Arial MT" w:hAnsi="Garamond" w:cs="Arial MT"/>
          <w:sz w:val="20"/>
          <w:szCs w:val="20"/>
          <w:lang w:val="es-ES"/>
        </w:rPr>
      </w:pPr>
      <w:r>
        <w:rPr>
          <w:rFonts w:ascii="Garamond" w:hAnsi="Garamond" w:cs="Arial"/>
          <w:sz w:val="24"/>
          <w:szCs w:val="24"/>
        </w:rPr>
        <w:tab/>
      </w:r>
      <w:r w:rsidR="00D8549E">
        <w:rPr>
          <w:rFonts w:ascii="Garamond" w:eastAsia="Arial MT" w:hAnsi="Garamond" w:cs="Arial MT"/>
          <w:sz w:val="20"/>
          <w:szCs w:val="20"/>
          <w:lang w:val="es-ES"/>
        </w:rPr>
        <w:t>Imagen 11</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código UNSPSC 301918</w:t>
      </w:r>
    </w:p>
    <w:p w14:paraId="66CC8132" w14:textId="77777777" w:rsidR="0065306B" w:rsidRPr="00C050A9" w:rsidRDefault="0065306B"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E853920" w14:textId="77777777" w:rsidR="002B2209" w:rsidRDefault="0068116C" w:rsidP="002A4BF2">
      <w:pPr>
        <w:spacing w:line="240" w:lineRule="auto"/>
        <w:jc w:val="center"/>
        <w:rPr>
          <w:rFonts w:ascii="Garamond" w:eastAsia="Arial MT" w:hAnsi="Garamond" w:cs="Arial MT"/>
          <w:sz w:val="20"/>
          <w:szCs w:val="20"/>
          <w:lang w:val="es-ES"/>
        </w:rPr>
      </w:pPr>
      <w:hyperlink r:id="rId93" w:history="1">
        <w:r w:rsidR="0065306B"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7ED51EC" w14:textId="77777777" w:rsidR="002B2209" w:rsidRDefault="002B2209" w:rsidP="002A4BF2">
      <w:pPr>
        <w:tabs>
          <w:tab w:val="left" w:pos="4995"/>
        </w:tabs>
        <w:spacing w:line="240" w:lineRule="auto"/>
        <w:rPr>
          <w:rFonts w:ascii="Garamond" w:hAnsi="Garamond" w:cs="Arial"/>
          <w:sz w:val="24"/>
          <w:szCs w:val="24"/>
        </w:rPr>
      </w:pPr>
      <w:r w:rsidRPr="002B2209">
        <w:rPr>
          <w:rFonts w:ascii="Garamond" w:hAnsi="Garamond" w:cs="Arial"/>
          <w:noProof/>
          <w:sz w:val="24"/>
          <w:szCs w:val="24"/>
          <w:lang w:eastAsia="es-CO"/>
        </w:rPr>
        <w:drawing>
          <wp:anchor distT="0" distB="0" distL="114300" distR="114300" simplePos="0" relativeHeight="251680768" behindDoc="0" locked="0" layoutInCell="1" allowOverlap="1" wp14:anchorId="7D0A3DEC" wp14:editId="0CF67A21">
            <wp:simplePos x="0" y="0"/>
            <wp:positionH relativeFrom="column">
              <wp:posOffset>-622935</wp:posOffset>
            </wp:positionH>
            <wp:positionV relativeFrom="paragraph">
              <wp:posOffset>71119</wp:posOffset>
            </wp:positionV>
            <wp:extent cx="6710680" cy="790573"/>
            <wp:effectExtent l="0" t="0" r="0" b="0"/>
            <wp:wrapNone/>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cstate="print">
                      <a:extLst>
                        <a:ext uri="{28A0092B-C50C-407E-A947-70E740481C1C}">
                          <a14:useLocalDpi xmlns:a14="http://schemas.microsoft.com/office/drawing/2010/main" val="0"/>
                        </a:ext>
                      </a:extLst>
                    </a:blip>
                    <a:srcRect t="7778"/>
                    <a:stretch/>
                  </pic:blipFill>
                  <pic:spPr bwMode="auto">
                    <a:xfrm>
                      <a:off x="0" y="0"/>
                      <a:ext cx="6722154" cy="791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6CA7A6" w14:textId="77777777" w:rsidR="002B2209" w:rsidRPr="002B2209" w:rsidRDefault="002B2209" w:rsidP="002A4BF2">
      <w:pPr>
        <w:spacing w:line="240" w:lineRule="auto"/>
        <w:rPr>
          <w:rFonts w:ascii="Garamond" w:hAnsi="Garamond" w:cs="Arial"/>
          <w:sz w:val="24"/>
          <w:szCs w:val="24"/>
        </w:rPr>
      </w:pPr>
    </w:p>
    <w:p w14:paraId="616847C5" w14:textId="77777777" w:rsidR="002B2209" w:rsidRDefault="002B2209" w:rsidP="002A4BF2">
      <w:pPr>
        <w:spacing w:line="240" w:lineRule="auto"/>
        <w:rPr>
          <w:rFonts w:ascii="Garamond" w:hAnsi="Garamond" w:cs="Arial"/>
          <w:sz w:val="24"/>
          <w:szCs w:val="24"/>
        </w:rPr>
      </w:pPr>
      <w:r w:rsidRPr="002B2209">
        <w:rPr>
          <w:rFonts w:ascii="Garamond" w:hAnsi="Garamond" w:cs="Arial"/>
          <w:noProof/>
          <w:sz w:val="24"/>
          <w:szCs w:val="24"/>
          <w:lang w:eastAsia="es-CO"/>
        </w:rPr>
        <w:drawing>
          <wp:anchor distT="0" distB="0" distL="114300" distR="114300" simplePos="0" relativeHeight="251681792" behindDoc="0" locked="0" layoutInCell="1" allowOverlap="1" wp14:anchorId="66B7ECF9" wp14:editId="390AF402">
            <wp:simplePos x="0" y="0"/>
            <wp:positionH relativeFrom="column">
              <wp:posOffset>-622936</wp:posOffset>
            </wp:positionH>
            <wp:positionV relativeFrom="paragraph">
              <wp:posOffset>240665</wp:posOffset>
            </wp:positionV>
            <wp:extent cx="6798837" cy="1123950"/>
            <wp:effectExtent l="0" t="0" r="2540" b="0"/>
            <wp:wrapNone/>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28A0092B-C50C-407E-A947-70E740481C1C}">
                          <a14:useLocalDpi xmlns:a14="http://schemas.microsoft.com/office/drawing/2010/main" val="0"/>
                        </a:ext>
                      </a:extLst>
                    </a:blip>
                    <a:stretch>
                      <a:fillRect/>
                    </a:stretch>
                  </pic:blipFill>
                  <pic:spPr>
                    <a:xfrm>
                      <a:off x="0" y="0"/>
                      <a:ext cx="6807675" cy="1125411"/>
                    </a:xfrm>
                    <a:prstGeom prst="rect">
                      <a:avLst/>
                    </a:prstGeom>
                  </pic:spPr>
                </pic:pic>
              </a:graphicData>
            </a:graphic>
            <wp14:sizeRelH relativeFrom="margin">
              <wp14:pctWidth>0</wp14:pctWidth>
            </wp14:sizeRelH>
            <wp14:sizeRelV relativeFrom="margin">
              <wp14:pctHeight>0</wp14:pctHeight>
            </wp14:sizeRelV>
          </wp:anchor>
        </w:drawing>
      </w:r>
    </w:p>
    <w:p w14:paraId="789640CE" w14:textId="77777777" w:rsidR="002B2209" w:rsidRDefault="002B2209" w:rsidP="002A4BF2">
      <w:pPr>
        <w:tabs>
          <w:tab w:val="left" w:pos="1650"/>
        </w:tabs>
        <w:spacing w:line="240" w:lineRule="auto"/>
        <w:rPr>
          <w:rFonts w:ascii="Garamond" w:hAnsi="Garamond" w:cs="Arial"/>
          <w:sz w:val="24"/>
          <w:szCs w:val="24"/>
        </w:rPr>
      </w:pPr>
      <w:r>
        <w:rPr>
          <w:rFonts w:ascii="Garamond" w:hAnsi="Garamond" w:cs="Arial"/>
          <w:sz w:val="24"/>
          <w:szCs w:val="24"/>
        </w:rPr>
        <w:tab/>
      </w:r>
    </w:p>
    <w:p w14:paraId="374122C9" w14:textId="77777777" w:rsidR="002B2209" w:rsidRPr="002B2209" w:rsidRDefault="002B2209" w:rsidP="002A4BF2">
      <w:pPr>
        <w:spacing w:line="240" w:lineRule="auto"/>
        <w:rPr>
          <w:rFonts w:ascii="Garamond" w:hAnsi="Garamond" w:cs="Arial"/>
          <w:sz w:val="24"/>
          <w:szCs w:val="24"/>
        </w:rPr>
      </w:pPr>
    </w:p>
    <w:p w14:paraId="58E04DE9" w14:textId="77777777" w:rsidR="002B2209" w:rsidRDefault="002B2209" w:rsidP="002A4BF2">
      <w:pPr>
        <w:spacing w:line="240" w:lineRule="auto"/>
        <w:rPr>
          <w:rFonts w:ascii="Garamond" w:hAnsi="Garamond" w:cs="Arial"/>
          <w:sz w:val="24"/>
          <w:szCs w:val="24"/>
        </w:rPr>
      </w:pPr>
    </w:p>
    <w:p w14:paraId="3019DC21" w14:textId="77777777" w:rsidR="00C86380" w:rsidRDefault="00C86380" w:rsidP="002A4BF2">
      <w:pPr>
        <w:spacing w:line="240" w:lineRule="auto"/>
        <w:jc w:val="center"/>
        <w:rPr>
          <w:rFonts w:ascii="Garamond" w:hAnsi="Garamond" w:cs="Arial"/>
          <w:sz w:val="24"/>
          <w:szCs w:val="24"/>
        </w:rPr>
      </w:pPr>
    </w:p>
    <w:p w14:paraId="6B1EBAD2" w14:textId="77777777" w:rsidR="002B2209" w:rsidRPr="00C050A9" w:rsidRDefault="00D8549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12</w:t>
      </w:r>
      <w:r w:rsidR="002B2209" w:rsidRPr="00C050A9">
        <w:rPr>
          <w:rFonts w:ascii="Garamond" w:eastAsia="Arial MT" w:hAnsi="Garamond" w:cs="Arial MT"/>
          <w:sz w:val="20"/>
          <w:szCs w:val="20"/>
          <w:lang w:val="es-ES"/>
        </w:rPr>
        <w:t xml:space="preserve">. </w:t>
      </w:r>
      <w:r w:rsidR="002B2209">
        <w:rPr>
          <w:rFonts w:ascii="Garamond" w:eastAsia="Arial MT" w:hAnsi="Garamond" w:cs="Arial MT"/>
          <w:sz w:val="20"/>
          <w:szCs w:val="20"/>
          <w:lang w:val="es-ES"/>
        </w:rPr>
        <w:t>Comportamiento contratación por bien o servicio, código UNSPSC 301918</w:t>
      </w:r>
    </w:p>
    <w:p w14:paraId="14F20C84" w14:textId="77777777" w:rsidR="002B2209" w:rsidRPr="00C050A9" w:rsidRDefault="002B2209"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24D6F21B" w14:textId="77777777" w:rsidR="002B2209" w:rsidRDefault="0068116C" w:rsidP="002A4BF2">
      <w:pPr>
        <w:spacing w:line="240" w:lineRule="auto"/>
        <w:jc w:val="center"/>
        <w:rPr>
          <w:rFonts w:ascii="Garamond" w:eastAsia="Arial MT" w:hAnsi="Garamond" w:cs="Arial MT"/>
          <w:sz w:val="20"/>
          <w:szCs w:val="20"/>
          <w:lang w:val="es-ES"/>
        </w:rPr>
      </w:pPr>
      <w:hyperlink r:id="rId96" w:history="1">
        <w:r w:rsidR="002B220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512BA97" w14:textId="77777777" w:rsidR="00563EAE" w:rsidRDefault="00563EAE" w:rsidP="002A4BF2">
      <w:pPr>
        <w:autoSpaceDE w:val="0"/>
        <w:autoSpaceDN w:val="0"/>
        <w:adjustRightInd w:val="0"/>
        <w:spacing w:line="240" w:lineRule="auto"/>
        <w:jc w:val="both"/>
        <w:rPr>
          <w:rFonts w:ascii="Garamond" w:hAnsi="Garamond" w:cs="Arial"/>
          <w:sz w:val="24"/>
          <w:szCs w:val="24"/>
          <w:lang w:val="es-MX"/>
        </w:rPr>
      </w:pPr>
    </w:p>
    <w:p w14:paraId="1A8D2952" w14:textId="77777777" w:rsidR="00B14A7D" w:rsidRDefault="00B14A7D" w:rsidP="002A4BF2">
      <w:pPr>
        <w:spacing w:line="240" w:lineRule="auto"/>
        <w:jc w:val="both"/>
        <w:rPr>
          <w:rFonts w:ascii="Garamond" w:hAnsi="Garamond" w:cs="Arial"/>
          <w:sz w:val="24"/>
          <w:szCs w:val="24"/>
          <w:lang w:val="es-MX"/>
        </w:rPr>
      </w:pPr>
    </w:p>
    <w:p w14:paraId="3476E8EF" w14:textId="77777777" w:rsidR="00B14A7D" w:rsidRDefault="00B14A7D" w:rsidP="002A4BF2">
      <w:pPr>
        <w:spacing w:line="240" w:lineRule="auto"/>
        <w:jc w:val="both"/>
        <w:rPr>
          <w:rFonts w:ascii="Garamond" w:hAnsi="Garamond" w:cs="Arial"/>
          <w:sz w:val="24"/>
          <w:szCs w:val="24"/>
          <w:lang w:val="es-MX"/>
        </w:rPr>
      </w:pPr>
    </w:p>
    <w:p w14:paraId="50D2F0DD" w14:textId="77777777" w:rsidR="007C3D72" w:rsidRPr="007C3D72" w:rsidRDefault="007C3D72" w:rsidP="002A4BF2">
      <w:pPr>
        <w:spacing w:line="240" w:lineRule="auto"/>
        <w:jc w:val="both"/>
        <w:rPr>
          <w:rFonts w:ascii="Garamond" w:eastAsia="Arial MT" w:hAnsi="Garamond" w:cs="Arial MT"/>
          <w:b/>
          <w:sz w:val="24"/>
          <w:szCs w:val="24"/>
          <w:u w:val="single"/>
          <w:lang w:val="es-ES"/>
        </w:rPr>
      </w:pPr>
      <w:r w:rsidRPr="00306D47">
        <w:rPr>
          <w:rFonts w:ascii="Garamond" w:eastAsia="Arial MT" w:hAnsi="Garamond" w:cs="Arial MT"/>
          <w:sz w:val="24"/>
          <w:szCs w:val="24"/>
          <w:lang w:val="es-ES"/>
        </w:rPr>
        <w:lastRenderedPageBreak/>
        <w:t>Con el objetivo de identificar la oferta de posibles interesados en el presente proceso de contratación, se procedió a acceder a la plataforma SECOP II y, en el directorio, se identificaron las entidades que se encontrarán clasificados en el cuarto nivel de Clasificación UNSPSC. Dentro de ese sector, se identificó empresa</w:t>
      </w:r>
      <w:r>
        <w:rPr>
          <w:rFonts w:ascii="Garamond" w:eastAsia="Arial MT" w:hAnsi="Garamond" w:cs="Arial MT"/>
          <w:sz w:val="24"/>
          <w:szCs w:val="24"/>
          <w:lang w:val="es-ES"/>
        </w:rPr>
        <w:t xml:space="preserve">s que se dedican a </w:t>
      </w:r>
      <w:r w:rsidRPr="005E68DB">
        <w:rPr>
          <w:rFonts w:ascii="Garamond" w:eastAsia="Arial MT" w:hAnsi="Garamond" w:cs="Arial MT"/>
          <w:b/>
          <w:sz w:val="24"/>
          <w:szCs w:val="24"/>
          <w:u w:val="single"/>
          <w:lang w:val="es-ES"/>
        </w:rPr>
        <w:t xml:space="preserve">los </w:t>
      </w:r>
      <w:r w:rsidRPr="007C3D72">
        <w:rPr>
          <w:rFonts w:ascii="Garamond" w:eastAsia="Arial MT" w:hAnsi="Garamond" w:cs="Arial MT"/>
          <w:b/>
          <w:sz w:val="24"/>
          <w:szCs w:val="24"/>
          <w:u w:val="single"/>
          <w:lang w:val="es-ES"/>
        </w:rPr>
        <w:t>Servicios de mantenimiento y reparación de edificaciones</w:t>
      </w:r>
      <w:r>
        <w:rPr>
          <w:rFonts w:ascii="Garamond" w:eastAsia="Arial MT" w:hAnsi="Garamond" w:cs="Arial MT"/>
          <w:b/>
          <w:sz w:val="24"/>
          <w:szCs w:val="24"/>
          <w:u w:val="single"/>
          <w:lang w:val="es-ES"/>
        </w:rPr>
        <w:t>.</w:t>
      </w:r>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2765"/>
        <w:gridCol w:w="2278"/>
        <w:gridCol w:w="2569"/>
      </w:tblGrid>
      <w:tr w:rsidR="007C3D72" w:rsidRPr="00926937" w14:paraId="6AD12EA1" w14:textId="77777777" w:rsidTr="005725B4">
        <w:trPr>
          <w:trHeight w:val="567"/>
        </w:trPr>
        <w:tc>
          <w:tcPr>
            <w:tcW w:w="795" w:type="pct"/>
            <w:shd w:val="clear" w:color="auto" w:fill="F2F2F2"/>
            <w:tcMar>
              <w:top w:w="0" w:type="dxa"/>
              <w:left w:w="70" w:type="dxa"/>
              <w:bottom w:w="0" w:type="dxa"/>
              <w:right w:w="70" w:type="dxa"/>
            </w:tcMar>
            <w:vAlign w:val="center"/>
            <w:hideMark/>
          </w:tcPr>
          <w:p w14:paraId="476F3889" w14:textId="77777777" w:rsidR="007C3D72" w:rsidRPr="00926937" w:rsidRDefault="007C3D72" w:rsidP="002A4BF2">
            <w:pPr>
              <w:spacing w:line="240" w:lineRule="auto"/>
              <w:jc w:val="center"/>
              <w:rPr>
                <w:rFonts w:ascii="Garamond" w:hAnsi="Garamond" w:cs="Arial"/>
                <w:bCs/>
                <w:sz w:val="24"/>
                <w:szCs w:val="24"/>
              </w:rPr>
            </w:pPr>
            <w:r w:rsidRPr="00926937">
              <w:rPr>
                <w:rFonts w:ascii="Garamond" w:hAnsi="Garamond" w:cs="Arial"/>
                <w:bCs/>
                <w:sz w:val="24"/>
                <w:szCs w:val="24"/>
              </w:rPr>
              <w:t>Clasificación UNSPSC</w:t>
            </w:r>
          </w:p>
        </w:tc>
        <w:tc>
          <w:tcPr>
            <w:tcW w:w="1527" w:type="pct"/>
            <w:shd w:val="clear" w:color="auto" w:fill="F2F2F2"/>
            <w:tcMar>
              <w:top w:w="0" w:type="dxa"/>
              <w:left w:w="70" w:type="dxa"/>
              <w:bottom w:w="0" w:type="dxa"/>
              <w:right w:w="70" w:type="dxa"/>
            </w:tcMar>
            <w:vAlign w:val="center"/>
            <w:hideMark/>
          </w:tcPr>
          <w:p w14:paraId="10D8A8FA" w14:textId="77777777" w:rsidR="007C3D72" w:rsidRPr="00926937" w:rsidRDefault="007C3D72" w:rsidP="002A4BF2">
            <w:pPr>
              <w:spacing w:line="240" w:lineRule="auto"/>
              <w:jc w:val="center"/>
              <w:rPr>
                <w:rFonts w:ascii="Garamond" w:hAnsi="Garamond" w:cs="Arial"/>
                <w:bCs/>
                <w:sz w:val="24"/>
                <w:szCs w:val="24"/>
              </w:rPr>
            </w:pPr>
            <w:r w:rsidRPr="00926937">
              <w:rPr>
                <w:rFonts w:ascii="Garamond" w:hAnsi="Garamond" w:cs="Arial"/>
                <w:bCs/>
                <w:sz w:val="24"/>
                <w:szCs w:val="24"/>
              </w:rPr>
              <w:t>Segmento</w:t>
            </w:r>
          </w:p>
        </w:tc>
        <w:tc>
          <w:tcPr>
            <w:tcW w:w="1258" w:type="pct"/>
            <w:shd w:val="clear" w:color="auto" w:fill="F2F2F2"/>
            <w:tcMar>
              <w:top w:w="0" w:type="dxa"/>
              <w:left w:w="70" w:type="dxa"/>
              <w:bottom w:w="0" w:type="dxa"/>
              <w:right w:w="70" w:type="dxa"/>
            </w:tcMar>
            <w:vAlign w:val="center"/>
            <w:hideMark/>
          </w:tcPr>
          <w:p w14:paraId="62D7440D" w14:textId="77777777" w:rsidR="007C3D72" w:rsidRPr="00926937" w:rsidRDefault="007C3D72" w:rsidP="002A4BF2">
            <w:pPr>
              <w:spacing w:line="240" w:lineRule="auto"/>
              <w:jc w:val="center"/>
              <w:rPr>
                <w:rFonts w:ascii="Garamond" w:hAnsi="Garamond" w:cs="Arial"/>
                <w:bCs/>
                <w:sz w:val="24"/>
                <w:szCs w:val="24"/>
              </w:rPr>
            </w:pPr>
            <w:r w:rsidRPr="00926937">
              <w:rPr>
                <w:rFonts w:ascii="Garamond" w:hAnsi="Garamond" w:cs="Arial"/>
                <w:bCs/>
                <w:sz w:val="24"/>
                <w:szCs w:val="24"/>
              </w:rPr>
              <w:t>Familia</w:t>
            </w:r>
          </w:p>
        </w:tc>
        <w:tc>
          <w:tcPr>
            <w:tcW w:w="1419" w:type="pct"/>
            <w:shd w:val="clear" w:color="auto" w:fill="F2F2F2"/>
            <w:tcMar>
              <w:top w:w="0" w:type="dxa"/>
              <w:left w:w="70" w:type="dxa"/>
              <w:bottom w:w="0" w:type="dxa"/>
              <w:right w:w="70" w:type="dxa"/>
            </w:tcMar>
            <w:vAlign w:val="center"/>
            <w:hideMark/>
          </w:tcPr>
          <w:p w14:paraId="775AA0A1" w14:textId="77777777" w:rsidR="007C3D72" w:rsidRPr="00926937" w:rsidRDefault="007C3D72" w:rsidP="002A4BF2">
            <w:pPr>
              <w:spacing w:line="240" w:lineRule="auto"/>
              <w:jc w:val="center"/>
              <w:rPr>
                <w:rFonts w:ascii="Garamond" w:hAnsi="Garamond" w:cs="Arial"/>
                <w:bCs/>
                <w:sz w:val="24"/>
                <w:szCs w:val="24"/>
              </w:rPr>
            </w:pPr>
            <w:r w:rsidRPr="00926937">
              <w:rPr>
                <w:rFonts w:ascii="Garamond" w:hAnsi="Garamond" w:cs="Arial"/>
                <w:bCs/>
                <w:sz w:val="24"/>
                <w:szCs w:val="24"/>
              </w:rPr>
              <w:t>Clase</w:t>
            </w:r>
          </w:p>
        </w:tc>
      </w:tr>
      <w:tr w:rsidR="007C3D72" w14:paraId="2C744140" w14:textId="77777777" w:rsidTr="005725B4">
        <w:trPr>
          <w:trHeight w:val="238"/>
        </w:trPr>
        <w:tc>
          <w:tcPr>
            <w:tcW w:w="795" w:type="pct"/>
            <w:tcMar>
              <w:top w:w="0" w:type="dxa"/>
              <w:left w:w="70" w:type="dxa"/>
              <w:bottom w:w="0" w:type="dxa"/>
              <w:right w:w="70" w:type="dxa"/>
            </w:tcMar>
            <w:vAlign w:val="center"/>
          </w:tcPr>
          <w:p w14:paraId="75F6D749" w14:textId="77777777" w:rsidR="007C3D72" w:rsidRDefault="007C3D72" w:rsidP="002A4BF2">
            <w:pPr>
              <w:spacing w:line="240" w:lineRule="auto"/>
              <w:jc w:val="both"/>
              <w:rPr>
                <w:rFonts w:ascii="Garamond" w:hAnsi="Garamond" w:cs="Arial"/>
                <w:bCs/>
                <w:sz w:val="24"/>
                <w:szCs w:val="24"/>
              </w:rPr>
            </w:pPr>
            <w:r>
              <w:rPr>
                <w:rFonts w:ascii="Garamond" w:hAnsi="Garamond" w:cs="Arial"/>
                <w:bCs/>
                <w:sz w:val="24"/>
                <w:szCs w:val="24"/>
              </w:rPr>
              <w:t>721029</w:t>
            </w:r>
          </w:p>
        </w:tc>
        <w:tc>
          <w:tcPr>
            <w:tcW w:w="1527" w:type="pct"/>
            <w:shd w:val="clear" w:color="auto" w:fill="auto"/>
            <w:tcMar>
              <w:top w:w="0" w:type="dxa"/>
              <w:left w:w="70" w:type="dxa"/>
              <w:bottom w:w="0" w:type="dxa"/>
              <w:right w:w="70" w:type="dxa"/>
            </w:tcMar>
            <w:vAlign w:val="center"/>
          </w:tcPr>
          <w:p w14:paraId="19AE1504" w14:textId="77777777" w:rsidR="007C3D72" w:rsidRDefault="007C3D72" w:rsidP="002A4BF2">
            <w:pPr>
              <w:spacing w:line="240" w:lineRule="auto"/>
              <w:jc w:val="both"/>
              <w:rPr>
                <w:rFonts w:ascii="Garamond" w:hAnsi="Garamond" w:cs="Arial"/>
                <w:bCs/>
                <w:sz w:val="24"/>
                <w:szCs w:val="24"/>
              </w:rPr>
            </w:pPr>
            <w:r>
              <w:rPr>
                <w:rFonts w:ascii="Garamond" w:hAnsi="Garamond" w:cs="Arial"/>
                <w:bCs/>
                <w:sz w:val="24"/>
                <w:szCs w:val="24"/>
              </w:rPr>
              <w:t>72 – Servicios de edificación, Construcción de instalaciones y mantenimiento</w:t>
            </w:r>
          </w:p>
        </w:tc>
        <w:tc>
          <w:tcPr>
            <w:tcW w:w="1258" w:type="pct"/>
            <w:tcMar>
              <w:top w:w="0" w:type="dxa"/>
              <w:left w:w="70" w:type="dxa"/>
              <w:bottom w:w="0" w:type="dxa"/>
              <w:right w:w="70" w:type="dxa"/>
            </w:tcMar>
            <w:vAlign w:val="center"/>
          </w:tcPr>
          <w:p w14:paraId="4668F9EB" w14:textId="77777777" w:rsidR="007C3D72" w:rsidRDefault="007C3D72" w:rsidP="002A4BF2">
            <w:pPr>
              <w:spacing w:line="240" w:lineRule="auto"/>
              <w:jc w:val="both"/>
              <w:rPr>
                <w:rFonts w:ascii="Garamond" w:hAnsi="Garamond" w:cs="Arial"/>
                <w:bCs/>
                <w:sz w:val="24"/>
                <w:szCs w:val="24"/>
              </w:rPr>
            </w:pPr>
            <w:r>
              <w:rPr>
                <w:rFonts w:ascii="Garamond" w:hAnsi="Garamond" w:cs="Arial"/>
                <w:bCs/>
                <w:sz w:val="24"/>
                <w:szCs w:val="24"/>
              </w:rPr>
              <w:t>10 – Servicios de mantenimiento y reparaciones de construcción e instalaciones</w:t>
            </w:r>
          </w:p>
        </w:tc>
        <w:tc>
          <w:tcPr>
            <w:tcW w:w="1419" w:type="pct"/>
            <w:tcMar>
              <w:top w:w="0" w:type="dxa"/>
              <w:left w:w="70" w:type="dxa"/>
              <w:bottom w:w="0" w:type="dxa"/>
              <w:right w:w="70" w:type="dxa"/>
            </w:tcMar>
            <w:vAlign w:val="center"/>
          </w:tcPr>
          <w:p w14:paraId="44488071" w14:textId="77777777" w:rsidR="007C3D72" w:rsidRDefault="007C3D72" w:rsidP="002A4BF2">
            <w:pPr>
              <w:spacing w:line="240" w:lineRule="auto"/>
              <w:jc w:val="both"/>
              <w:rPr>
                <w:rFonts w:ascii="Garamond" w:hAnsi="Garamond" w:cs="Arial"/>
                <w:bCs/>
                <w:sz w:val="24"/>
                <w:szCs w:val="24"/>
              </w:rPr>
            </w:pPr>
            <w:r>
              <w:rPr>
                <w:rFonts w:ascii="Garamond" w:hAnsi="Garamond" w:cs="Arial"/>
                <w:bCs/>
                <w:sz w:val="24"/>
                <w:szCs w:val="24"/>
              </w:rPr>
              <w:t>29 – Servicios de mantenimiento y reparación de edificaciones</w:t>
            </w:r>
          </w:p>
        </w:tc>
      </w:tr>
    </w:tbl>
    <w:p w14:paraId="02F7F1B2" w14:textId="77777777" w:rsidR="007C3D72" w:rsidRDefault="007C3D72" w:rsidP="002A4BF2">
      <w:pPr>
        <w:spacing w:line="240" w:lineRule="auto"/>
        <w:jc w:val="both"/>
        <w:rPr>
          <w:rFonts w:ascii="Garamond" w:eastAsia="Arial MT" w:hAnsi="Garamond" w:cs="Arial MT"/>
          <w:sz w:val="24"/>
          <w:szCs w:val="24"/>
          <w:lang w:val="es-ES"/>
        </w:rPr>
      </w:pPr>
    </w:p>
    <w:p w14:paraId="7CFFEB0A" w14:textId="77777777" w:rsidR="007C3D72" w:rsidRDefault="007C3D72" w:rsidP="002A4BF2">
      <w:pPr>
        <w:spacing w:line="240" w:lineRule="auto"/>
        <w:jc w:val="both"/>
        <w:rPr>
          <w:rFonts w:ascii="Garamond" w:eastAsia="Arial MT" w:hAnsi="Garamond" w:cs="Arial MT"/>
          <w:sz w:val="24"/>
          <w:szCs w:val="24"/>
          <w:lang w:val="es-ES"/>
        </w:rPr>
      </w:pPr>
      <w:r>
        <w:rPr>
          <w:rFonts w:ascii="Garamond" w:eastAsia="Arial MT" w:hAnsi="Garamond" w:cs="Arial MT"/>
          <w:sz w:val="24"/>
          <w:szCs w:val="24"/>
          <w:lang w:val="es-ES"/>
        </w:rPr>
        <w:t xml:space="preserve">A continuación, se relaciona </w:t>
      </w:r>
      <w:r w:rsidRPr="00563EAE">
        <w:rPr>
          <w:rFonts w:ascii="Garamond" w:eastAsia="Arial MT" w:hAnsi="Garamond" w:cs="Arial MT"/>
          <w:b/>
          <w:sz w:val="24"/>
          <w:szCs w:val="24"/>
          <w:lang w:val="es-ES"/>
        </w:rPr>
        <w:t>QUIEN VENDE</w:t>
      </w:r>
      <w:r>
        <w:rPr>
          <w:rFonts w:ascii="Garamond" w:eastAsia="Arial MT" w:hAnsi="Garamond" w:cs="Arial MT"/>
          <w:sz w:val="24"/>
          <w:szCs w:val="24"/>
          <w:lang w:val="es-ES"/>
        </w:rPr>
        <w:t xml:space="preserve"> el servicio a nivel nacional:</w:t>
      </w:r>
    </w:p>
    <w:p w14:paraId="00E8D361" w14:textId="77777777" w:rsidR="007C3D72" w:rsidRDefault="007C3D72" w:rsidP="002A4BF2">
      <w:pPr>
        <w:spacing w:line="240" w:lineRule="auto"/>
        <w:jc w:val="both"/>
        <w:rPr>
          <w:rFonts w:ascii="Garamond" w:eastAsia="Arial MT" w:hAnsi="Garamond" w:cs="Arial MT"/>
          <w:sz w:val="24"/>
          <w:szCs w:val="24"/>
          <w:lang w:val="es-ES"/>
        </w:rPr>
      </w:pPr>
      <w:r w:rsidRPr="007C3D72">
        <w:rPr>
          <w:rFonts w:ascii="Garamond" w:eastAsia="Arial MT" w:hAnsi="Garamond" w:cs="Arial MT"/>
          <w:noProof/>
          <w:sz w:val="24"/>
          <w:szCs w:val="24"/>
          <w:lang w:eastAsia="es-CO"/>
        </w:rPr>
        <w:drawing>
          <wp:inline distT="0" distB="0" distL="0" distR="0" wp14:anchorId="743FCB9D" wp14:editId="4E732C89">
            <wp:extent cx="6448478" cy="52387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6472526" cy="525829"/>
                    </a:xfrm>
                    <a:prstGeom prst="rect">
                      <a:avLst/>
                    </a:prstGeom>
                  </pic:spPr>
                </pic:pic>
              </a:graphicData>
            </a:graphic>
          </wp:inline>
        </w:drawing>
      </w:r>
    </w:p>
    <w:p w14:paraId="7F01D446" w14:textId="77777777" w:rsidR="007C3D72" w:rsidRDefault="007C3D72" w:rsidP="002A4BF2">
      <w:pPr>
        <w:spacing w:line="240" w:lineRule="auto"/>
        <w:jc w:val="both"/>
        <w:rPr>
          <w:rFonts w:ascii="Garamond" w:eastAsia="Arial MT" w:hAnsi="Garamond" w:cs="Arial MT"/>
          <w:sz w:val="24"/>
          <w:szCs w:val="24"/>
          <w:lang w:val="es-ES"/>
        </w:rPr>
      </w:pPr>
      <w:r w:rsidRPr="007C3D72">
        <w:rPr>
          <w:rFonts w:ascii="Garamond" w:eastAsia="Arial MT" w:hAnsi="Garamond" w:cs="Arial MT"/>
          <w:noProof/>
          <w:sz w:val="24"/>
          <w:szCs w:val="24"/>
          <w:lang w:eastAsia="es-CO"/>
        </w:rPr>
        <w:drawing>
          <wp:inline distT="0" distB="0" distL="0" distR="0" wp14:anchorId="33807031" wp14:editId="615CDB45">
            <wp:extent cx="5612130" cy="3183890"/>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612130" cy="3183890"/>
                    </a:xfrm>
                    <a:prstGeom prst="rect">
                      <a:avLst/>
                    </a:prstGeom>
                  </pic:spPr>
                </pic:pic>
              </a:graphicData>
            </a:graphic>
          </wp:inline>
        </w:drawing>
      </w:r>
    </w:p>
    <w:p w14:paraId="04398FCC" w14:textId="77777777" w:rsidR="007C3D72" w:rsidRPr="00C050A9" w:rsidRDefault="007C3D72"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w:t>
      </w:r>
      <w:r w:rsidR="00D8549E">
        <w:rPr>
          <w:rFonts w:ascii="Garamond" w:eastAsia="Arial MT" w:hAnsi="Garamond" w:cs="Arial MT"/>
          <w:sz w:val="20"/>
          <w:szCs w:val="20"/>
          <w:lang w:val="es-ES"/>
        </w:rPr>
        <w:t>magen 13</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Proveedores del bien o servicio </w:t>
      </w:r>
      <w:r w:rsidR="00025895">
        <w:rPr>
          <w:rFonts w:ascii="Garamond" w:eastAsia="Arial MT" w:hAnsi="Garamond" w:cs="Arial MT"/>
          <w:sz w:val="20"/>
          <w:szCs w:val="20"/>
          <w:lang w:val="es-ES"/>
        </w:rPr>
        <w:t>código UNSPSC 721029</w:t>
      </w:r>
      <w:r>
        <w:rPr>
          <w:rFonts w:ascii="Garamond" w:eastAsia="Arial MT" w:hAnsi="Garamond" w:cs="Arial MT"/>
          <w:sz w:val="20"/>
          <w:szCs w:val="20"/>
          <w:lang w:val="es-ES"/>
        </w:rPr>
        <w:t xml:space="preserve"> a nivel nacional</w:t>
      </w:r>
    </w:p>
    <w:p w14:paraId="2F4E489F" w14:textId="77777777" w:rsidR="007C3D72" w:rsidRPr="00C050A9" w:rsidRDefault="007C3D72"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6944C87C" w14:textId="77777777" w:rsidR="007C3D72" w:rsidRDefault="0068116C" w:rsidP="002A4BF2">
      <w:pPr>
        <w:spacing w:line="240" w:lineRule="auto"/>
        <w:jc w:val="center"/>
        <w:rPr>
          <w:rStyle w:val="Hipervnculo"/>
          <w:rFonts w:ascii="Garamond" w:eastAsia="Arial MT" w:hAnsi="Garamond" w:cs="Arial MT"/>
          <w:sz w:val="20"/>
          <w:szCs w:val="20"/>
          <w:lang w:val="es-ES"/>
        </w:rPr>
      </w:pPr>
      <w:hyperlink r:id="rId99" w:history="1">
        <w:r w:rsidR="007C3D72"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ECC3D41" w14:textId="77777777" w:rsidR="00025895" w:rsidRDefault="00025895" w:rsidP="002A4BF2">
      <w:pPr>
        <w:spacing w:line="240" w:lineRule="auto"/>
        <w:jc w:val="both"/>
        <w:rPr>
          <w:rFonts w:ascii="Garamond" w:eastAsia="Arial MT" w:hAnsi="Garamond" w:cs="Arial MT"/>
          <w:b/>
          <w:sz w:val="24"/>
          <w:szCs w:val="24"/>
          <w:u w:val="single"/>
          <w:lang w:val="es-ES"/>
        </w:rPr>
      </w:pPr>
      <w:r>
        <w:rPr>
          <w:rFonts w:ascii="Garamond" w:eastAsia="Arial MT" w:hAnsi="Garamond" w:cs="Arial MT"/>
          <w:sz w:val="24"/>
          <w:szCs w:val="24"/>
          <w:lang w:val="es-ES"/>
        </w:rPr>
        <w:lastRenderedPageBreak/>
        <w:t>A</w:t>
      </w:r>
      <w:r w:rsidRPr="00306D47">
        <w:rPr>
          <w:rFonts w:ascii="Garamond" w:eastAsia="Arial MT" w:hAnsi="Garamond" w:cs="Arial MT"/>
          <w:sz w:val="24"/>
          <w:szCs w:val="24"/>
          <w:lang w:val="es-ES"/>
        </w:rPr>
        <w:t xml:space="preserve"> continuaci</w:t>
      </w:r>
      <w:r>
        <w:rPr>
          <w:rFonts w:ascii="Garamond" w:eastAsia="Arial MT" w:hAnsi="Garamond" w:cs="Arial MT"/>
          <w:sz w:val="24"/>
          <w:szCs w:val="24"/>
          <w:lang w:val="es-ES"/>
        </w:rPr>
        <w:t>ón, se relaciona el número de proveedores y/o</w:t>
      </w:r>
      <w:r w:rsidRPr="00306D47">
        <w:rPr>
          <w:rFonts w:ascii="Garamond" w:eastAsia="Arial MT" w:hAnsi="Garamond" w:cs="Arial MT"/>
          <w:sz w:val="24"/>
          <w:szCs w:val="24"/>
          <w:lang w:val="es-ES"/>
        </w:rPr>
        <w:t xml:space="preserve"> empresas que fueron identificadas en e</w:t>
      </w:r>
      <w:r>
        <w:rPr>
          <w:rFonts w:ascii="Garamond" w:eastAsia="Arial MT" w:hAnsi="Garamond" w:cs="Arial MT"/>
          <w:sz w:val="24"/>
          <w:szCs w:val="24"/>
          <w:lang w:val="es-ES"/>
        </w:rPr>
        <w:t>l proceso de análisis de sector para la ciudad</w:t>
      </w:r>
      <w:r w:rsidRPr="00F234F8">
        <w:rPr>
          <w:rFonts w:ascii="Garamond" w:eastAsia="Arial MT" w:hAnsi="Garamond" w:cs="Arial MT"/>
          <w:sz w:val="24"/>
          <w:szCs w:val="24"/>
          <w:lang w:val="es-ES"/>
        </w:rPr>
        <w:t xml:space="preserve"> de</w:t>
      </w:r>
      <w:r w:rsidRPr="00F234F8">
        <w:rPr>
          <w:rFonts w:ascii="Garamond" w:eastAsia="Arial MT" w:hAnsi="Garamond" w:cs="Arial MT"/>
          <w:b/>
          <w:sz w:val="24"/>
          <w:szCs w:val="24"/>
          <w:lang w:val="es-ES"/>
        </w:rPr>
        <w:t xml:space="preserve"> </w:t>
      </w:r>
      <w:r w:rsidRPr="00F234F8">
        <w:rPr>
          <w:rFonts w:ascii="Garamond" w:eastAsia="Arial MT" w:hAnsi="Garamond" w:cs="Arial MT"/>
          <w:b/>
          <w:sz w:val="24"/>
          <w:szCs w:val="24"/>
          <w:u w:val="single"/>
          <w:lang w:val="es-ES"/>
        </w:rPr>
        <w:t>Bogotá D.C.:</w:t>
      </w:r>
    </w:p>
    <w:p w14:paraId="4C5691EC" w14:textId="77777777" w:rsidR="00025895" w:rsidRDefault="00025895" w:rsidP="002A4BF2">
      <w:pPr>
        <w:spacing w:line="240" w:lineRule="auto"/>
        <w:jc w:val="center"/>
        <w:rPr>
          <w:rFonts w:ascii="Garamond" w:eastAsia="Arial MT" w:hAnsi="Garamond" w:cs="Arial MT"/>
          <w:b/>
          <w:sz w:val="24"/>
          <w:szCs w:val="24"/>
          <w:u w:val="single"/>
          <w:lang w:val="es-ES"/>
        </w:rPr>
      </w:pPr>
      <w:r w:rsidRPr="00025895">
        <w:rPr>
          <w:rFonts w:ascii="Garamond" w:eastAsia="Arial MT" w:hAnsi="Garamond" w:cs="Arial MT"/>
          <w:b/>
          <w:noProof/>
          <w:sz w:val="24"/>
          <w:szCs w:val="24"/>
          <w:u w:val="single"/>
          <w:lang w:eastAsia="es-CO"/>
        </w:rPr>
        <w:drawing>
          <wp:inline distT="0" distB="0" distL="0" distR="0" wp14:anchorId="4254CD3E" wp14:editId="4A52A1EF">
            <wp:extent cx="4619625" cy="2967893"/>
            <wp:effectExtent l="0" t="0" r="0" b="44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633241" cy="2976641"/>
                    </a:xfrm>
                    <a:prstGeom prst="rect">
                      <a:avLst/>
                    </a:prstGeom>
                  </pic:spPr>
                </pic:pic>
              </a:graphicData>
            </a:graphic>
          </wp:inline>
        </w:drawing>
      </w:r>
    </w:p>
    <w:p w14:paraId="3028E420" w14:textId="77777777" w:rsidR="00025895" w:rsidRPr="00C050A9" w:rsidRDefault="00025895"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w:t>
      </w:r>
      <w:r w:rsidR="00D8549E">
        <w:rPr>
          <w:rFonts w:ascii="Garamond" w:eastAsia="Arial MT" w:hAnsi="Garamond" w:cs="Arial MT"/>
          <w:sz w:val="20"/>
          <w:szCs w:val="20"/>
          <w:lang w:val="es-ES"/>
        </w:rPr>
        <w:t>magen 14</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Gasto mensual, código UNSPSC 721029</w:t>
      </w:r>
    </w:p>
    <w:p w14:paraId="2BC46DDA" w14:textId="77777777" w:rsidR="00025895" w:rsidRPr="00C050A9" w:rsidRDefault="00025895"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29B70FF3" w14:textId="77777777" w:rsidR="00025895" w:rsidRDefault="0068116C" w:rsidP="002A4BF2">
      <w:pPr>
        <w:spacing w:line="240" w:lineRule="auto"/>
        <w:jc w:val="center"/>
        <w:rPr>
          <w:rFonts w:ascii="Garamond" w:eastAsia="Arial MT" w:hAnsi="Garamond" w:cs="Arial MT"/>
          <w:b/>
          <w:sz w:val="24"/>
          <w:szCs w:val="24"/>
          <w:u w:val="single"/>
          <w:lang w:val="es-ES"/>
        </w:rPr>
      </w:pPr>
      <w:hyperlink r:id="rId101" w:history="1">
        <w:r w:rsidR="00025895"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EEBA941" w14:textId="77777777" w:rsidR="00275BB0" w:rsidRDefault="00275BB0" w:rsidP="002A4BF2">
      <w:pPr>
        <w:spacing w:line="240" w:lineRule="auto"/>
        <w:jc w:val="center"/>
        <w:rPr>
          <w:rFonts w:ascii="Garamond" w:eastAsia="Arial MT" w:hAnsi="Garamond" w:cs="Arial MT"/>
          <w:b/>
          <w:sz w:val="24"/>
          <w:szCs w:val="24"/>
          <w:u w:val="single"/>
          <w:lang w:val="es-ES"/>
        </w:rPr>
      </w:pPr>
      <w:r w:rsidRPr="00275BB0">
        <w:rPr>
          <w:rFonts w:ascii="Garamond" w:eastAsia="Arial MT" w:hAnsi="Garamond" w:cs="Arial MT"/>
          <w:b/>
          <w:noProof/>
          <w:sz w:val="24"/>
          <w:szCs w:val="24"/>
          <w:u w:val="single"/>
          <w:lang w:eastAsia="es-CO"/>
        </w:rPr>
        <w:drawing>
          <wp:inline distT="0" distB="0" distL="0" distR="0" wp14:anchorId="5F1B2291" wp14:editId="2F09FF3A">
            <wp:extent cx="3230702" cy="3009900"/>
            <wp:effectExtent l="0" t="0" r="825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3244353" cy="3022618"/>
                    </a:xfrm>
                    <a:prstGeom prst="rect">
                      <a:avLst/>
                    </a:prstGeom>
                  </pic:spPr>
                </pic:pic>
              </a:graphicData>
            </a:graphic>
          </wp:inline>
        </w:drawing>
      </w:r>
    </w:p>
    <w:p w14:paraId="61C9037E" w14:textId="77777777" w:rsidR="00275BB0" w:rsidRPr="00C050A9" w:rsidRDefault="00275BB0"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13</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Gasto anual, código UNSPSC 721029</w:t>
      </w:r>
    </w:p>
    <w:p w14:paraId="7797F3BA" w14:textId="77777777" w:rsidR="00275BB0" w:rsidRPr="00C050A9" w:rsidRDefault="00275BB0"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lastRenderedPageBreak/>
        <w:t>Fuente: Modelo de Abastecimiento estratégico – Análisis de la oferta (Agencia Nacional de Contratación Pública Colombia Compra Eficiente CCE)</w:t>
      </w:r>
    </w:p>
    <w:p w14:paraId="1B6E298C" w14:textId="77777777" w:rsidR="00275BB0" w:rsidRDefault="0068116C" w:rsidP="002A4BF2">
      <w:pPr>
        <w:spacing w:line="240" w:lineRule="auto"/>
        <w:jc w:val="center"/>
        <w:rPr>
          <w:rFonts w:ascii="Garamond" w:eastAsia="Arial MT" w:hAnsi="Garamond" w:cs="Arial MT"/>
          <w:b/>
          <w:sz w:val="24"/>
          <w:szCs w:val="24"/>
          <w:u w:val="single"/>
          <w:lang w:val="es-ES"/>
        </w:rPr>
      </w:pPr>
      <w:hyperlink r:id="rId103" w:history="1">
        <w:r w:rsidR="00275BB0"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C3CA6D0" w14:textId="77777777" w:rsidR="00025895" w:rsidRDefault="00025895" w:rsidP="002A4BF2">
      <w:pPr>
        <w:spacing w:line="240" w:lineRule="auto"/>
        <w:jc w:val="center"/>
        <w:rPr>
          <w:rFonts w:ascii="Garamond" w:eastAsia="Arial MT" w:hAnsi="Garamond" w:cs="Arial MT"/>
          <w:sz w:val="20"/>
          <w:szCs w:val="20"/>
          <w:lang w:val="es-ES"/>
        </w:rPr>
      </w:pPr>
      <w:r w:rsidRPr="00025895">
        <w:rPr>
          <w:rFonts w:ascii="Garamond" w:eastAsia="Arial MT" w:hAnsi="Garamond" w:cs="Arial MT"/>
          <w:noProof/>
          <w:sz w:val="20"/>
          <w:szCs w:val="20"/>
          <w:lang w:eastAsia="es-CO"/>
        </w:rPr>
        <w:drawing>
          <wp:anchor distT="0" distB="0" distL="114300" distR="114300" simplePos="0" relativeHeight="251699200" behindDoc="0" locked="0" layoutInCell="1" allowOverlap="1" wp14:anchorId="2D9112C9" wp14:editId="318A8422">
            <wp:simplePos x="0" y="0"/>
            <wp:positionH relativeFrom="column">
              <wp:posOffset>-537211</wp:posOffset>
            </wp:positionH>
            <wp:positionV relativeFrom="paragraph">
              <wp:posOffset>4444</wp:posOffset>
            </wp:positionV>
            <wp:extent cx="6710155" cy="5238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6727252" cy="525210"/>
                    </a:xfrm>
                    <a:prstGeom prst="rect">
                      <a:avLst/>
                    </a:prstGeom>
                  </pic:spPr>
                </pic:pic>
              </a:graphicData>
            </a:graphic>
            <wp14:sizeRelH relativeFrom="margin">
              <wp14:pctWidth>0</wp14:pctWidth>
            </wp14:sizeRelH>
            <wp14:sizeRelV relativeFrom="margin">
              <wp14:pctHeight>0</wp14:pctHeight>
            </wp14:sizeRelV>
          </wp:anchor>
        </w:drawing>
      </w:r>
    </w:p>
    <w:p w14:paraId="6DD87A49" w14:textId="77777777" w:rsidR="007C3D72" w:rsidRDefault="007C3D72" w:rsidP="002A4BF2">
      <w:pPr>
        <w:spacing w:line="240" w:lineRule="auto"/>
        <w:jc w:val="both"/>
        <w:rPr>
          <w:rFonts w:ascii="Garamond" w:eastAsia="Arial MT" w:hAnsi="Garamond" w:cs="Arial MT"/>
          <w:sz w:val="24"/>
          <w:szCs w:val="24"/>
          <w:lang w:val="es-ES"/>
        </w:rPr>
      </w:pPr>
    </w:p>
    <w:p w14:paraId="24D8451F" w14:textId="77777777" w:rsidR="000A233E" w:rsidRDefault="000A233E" w:rsidP="002A4BF2">
      <w:pPr>
        <w:spacing w:after="0" w:line="240" w:lineRule="auto"/>
        <w:jc w:val="center"/>
        <w:rPr>
          <w:rFonts w:ascii="Garamond" w:eastAsia="Arial MT" w:hAnsi="Garamond" w:cs="Arial MT"/>
          <w:sz w:val="20"/>
          <w:szCs w:val="20"/>
          <w:lang w:val="es-ES"/>
        </w:rPr>
      </w:pPr>
    </w:p>
    <w:p w14:paraId="17E080D1" w14:textId="77777777" w:rsidR="000A233E" w:rsidRPr="00C050A9" w:rsidRDefault="000A233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w:t>
      </w:r>
      <w:r w:rsidR="00D8549E">
        <w:rPr>
          <w:rFonts w:ascii="Garamond" w:eastAsia="Arial MT" w:hAnsi="Garamond" w:cs="Arial MT"/>
          <w:sz w:val="20"/>
          <w:szCs w:val="20"/>
          <w:lang w:val="es-ES"/>
        </w:rPr>
        <w:t>magen 15</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Gasto anual, código UNSPSC 721540</w:t>
      </w:r>
    </w:p>
    <w:p w14:paraId="1ABAA181" w14:textId="77777777" w:rsidR="000A233E" w:rsidRPr="00C050A9" w:rsidRDefault="000A233E"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04D28199" w14:textId="77777777" w:rsidR="000A233E" w:rsidRDefault="0068116C" w:rsidP="002A4BF2">
      <w:pPr>
        <w:spacing w:line="240" w:lineRule="auto"/>
        <w:jc w:val="center"/>
        <w:rPr>
          <w:rFonts w:ascii="Garamond" w:eastAsia="Arial MT" w:hAnsi="Garamond" w:cs="Arial MT"/>
          <w:sz w:val="20"/>
          <w:szCs w:val="20"/>
          <w:lang w:val="es-ES"/>
        </w:rPr>
      </w:pPr>
      <w:hyperlink r:id="rId105" w:history="1">
        <w:r w:rsidR="000A233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AC272BF" w14:textId="77777777" w:rsidR="007C3D72" w:rsidRDefault="00EA4D8D" w:rsidP="002A4BF2">
      <w:pPr>
        <w:spacing w:line="240" w:lineRule="auto"/>
        <w:jc w:val="both"/>
        <w:rPr>
          <w:rFonts w:ascii="Garamond" w:eastAsia="Arial MT" w:hAnsi="Garamond" w:cs="Arial MT"/>
          <w:sz w:val="24"/>
          <w:szCs w:val="24"/>
          <w:lang w:val="es-ES"/>
        </w:rPr>
      </w:pPr>
      <w:r w:rsidRPr="00EA4D8D">
        <w:rPr>
          <w:rFonts w:ascii="Garamond" w:eastAsia="Arial MT" w:hAnsi="Garamond" w:cs="Arial MT"/>
          <w:noProof/>
          <w:sz w:val="24"/>
          <w:szCs w:val="24"/>
          <w:lang w:eastAsia="es-CO"/>
        </w:rPr>
        <w:drawing>
          <wp:inline distT="0" distB="0" distL="0" distR="0" wp14:anchorId="29FBE166" wp14:editId="3F02BFC0">
            <wp:extent cx="5612130" cy="3131185"/>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612130" cy="3131185"/>
                    </a:xfrm>
                    <a:prstGeom prst="rect">
                      <a:avLst/>
                    </a:prstGeom>
                  </pic:spPr>
                </pic:pic>
              </a:graphicData>
            </a:graphic>
          </wp:inline>
        </w:drawing>
      </w:r>
    </w:p>
    <w:p w14:paraId="30B8CAA7" w14:textId="77777777" w:rsidR="00EA4D8D" w:rsidRPr="00C050A9" w:rsidRDefault="00EA4D8D"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w:t>
      </w:r>
      <w:r w:rsidR="00D8549E">
        <w:rPr>
          <w:rFonts w:ascii="Garamond" w:eastAsia="Arial MT" w:hAnsi="Garamond" w:cs="Arial MT"/>
          <w:sz w:val="20"/>
          <w:szCs w:val="20"/>
          <w:lang w:val="es-ES"/>
        </w:rPr>
        <w:t>magen 16</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Proveedor, código UNSPSC 721029</w:t>
      </w:r>
    </w:p>
    <w:p w14:paraId="3C432429" w14:textId="77777777" w:rsidR="00EA4D8D" w:rsidRPr="00C050A9" w:rsidRDefault="00EA4D8D"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76CF1B46" w14:textId="77777777" w:rsidR="00EA4D8D" w:rsidRDefault="0068116C" w:rsidP="002A4BF2">
      <w:pPr>
        <w:spacing w:line="240" w:lineRule="auto"/>
        <w:jc w:val="center"/>
        <w:rPr>
          <w:rFonts w:ascii="Garamond" w:eastAsia="Arial MT" w:hAnsi="Garamond" w:cs="Arial MT"/>
          <w:sz w:val="20"/>
          <w:szCs w:val="20"/>
          <w:lang w:val="es-ES"/>
        </w:rPr>
      </w:pPr>
      <w:hyperlink r:id="rId107" w:history="1">
        <w:r w:rsidR="00EA4D8D"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256393B" w14:textId="77777777" w:rsidR="007C3D72" w:rsidRDefault="007C3D72" w:rsidP="002A4BF2">
      <w:pPr>
        <w:spacing w:line="240" w:lineRule="auto"/>
        <w:jc w:val="both"/>
        <w:rPr>
          <w:rFonts w:ascii="Garamond" w:eastAsia="Arial MT" w:hAnsi="Garamond" w:cs="Arial MT"/>
          <w:sz w:val="24"/>
          <w:szCs w:val="24"/>
          <w:lang w:val="es-ES"/>
        </w:rPr>
      </w:pPr>
    </w:p>
    <w:p w14:paraId="40DE3605" w14:textId="77777777" w:rsidR="007C3D72" w:rsidRDefault="00961D7F" w:rsidP="002A4BF2">
      <w:pPr>
        <w:spacing w:line="240" w:lineRule="auto"/>
        <w:jc w:val="both"/>
        <w:rPr>
          <w:rFonts w:ascii="Garamond" w:eastAsia="Arial MT" w:hAnsi="Garamond" w:cs="Arial MT"/>
          <w:sz w:val="24"/>
          <w:szCs w:val="24"/>
          <w:lang w:val="es-ES"/>
        </w:rPr>
      </w:pPr>
      <w:r w:rsidRPr="00961D7F">
        <w:rPr>
          <w:rFonts w:ascii="Garamond" w:eastAsia="Arial MT" w:hAnsi="Garamond" w:cs="Arial MT"/>
          <w:noProof/>
          <w:sz w:val="24"/>
          <w:szCs w:val="24"/>
          <w:lang w:eastAsia="es-CO"/>
        </w:rPr>
        <w:lastRenderedPageBreak/>
        <w:drawing>
          <wp:inline distT="0" distB="0" distL="0" distR="0" wp14:anchorId="6782FD58" wp14:editId="273DF595">
            <wp:extent cx="5612130" cy="3278505"/>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612130" cy="3278505"/>
                    </a:xfrm>
                    <a:prstGeom prst="rect">
                      <a:avLst/>
                    </a:prstGeom>
                  </pic:spPr>
                </pic:pic>
              </a:graphicData>
            </a:graphic>
          </wp:inline>
        </w:drawing>
      </w:r>
    </w:p>
    <w:p w14:paraId="27CB3064" w14:textId="77777777" w:rsidR="00961D7F" w:rsidRPr="00C050A9" w:rsidRDefault="00961D7F"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w:t>
      </w:r>
      <w:r w:rsidR="00D8549E">
        <w:rPr>
          <w:rFonts w:ascii="Garamond" w:eastAsia="Arial MT" w:hAnsi="Garamond" w:cs="Arial MT"/>
          <w:sz w:val="20"/>
          <w:szCs w:val="20"/>
          <w:lang w:val="es-ES"/>
        </w:rPr>
        <w:t>magen 17</w:t>
      </w:r>
      <w:r w:rsidRPr="00C050A9">
        <w:rPr>
          <w:rFonts w:ascii="Garamond" w:eastAsia="Arial MT" w:hAnsi="Garamond" w:cs="Arial MT"/>
          <w:sz w:val="20"/>
          <w:szCs w:val="20"/>
          <w:lang w:val="es-ES"/>
        </w:rPr>
        <w:t xml:space="preserve">. </w:t>
      </w:r>
      <w:r w:rsidR="00176467">
        <w:rPr>
          <w:rFonts w:ascii="Garamond" w:eastAsia="Arial MT" w:hAnsi="Garamond" w:cs="Arial MT"/>
          <w:sz w:val="20"/>
          <w:szCs w:val="20"/>
          <w:lang w:val="es-ES"/>
        </w:rPr>
        <w:t>Números</w:t>
      </w:r>
      <w:r>
        <w:rPr>
          <w:rFonts w:ascii="Garamond" w:eastAsia="Arial MT" w:hAnsi="Garamond" w:cs="Arial MT"/>
          <w:sz w:val="20"/>
          <w:szCs w:val="20"/>
          <w:lang w:val="es-ES"/>
        </w:rPr>
        <w:t xml:space="preserve"> de contratos por Proveedor, código UNSPSC 721029</w:t>
      </w:r>
    </w:p>
    <w:p w14:paraId="390C3D40" w14:textId="77777777" w:rsidR="00961D7F" w:rsidRPr="00C050A9" w:rsidRDefault="00961D7F"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2596A0AF" w14:textId="77777777" w:rsidR="00961D7F" w:rsidRDefault="0068116C" w:rsidP="002A4BF2">
      <w:pPr>
        <w:spacing w:line="240" w:lineRule="auto"/>
        <w:jc w:val="center"/>
        <w:rPr>
          <w:rFonts w:ascii="Garamond" w:eastAsia="Arial MT" w:hAnsi="Garamond" w:cs="Arial MT"/>
          <w:sz w:val="20"/>
          <w:szCs w:val="20"/>
          <w:lang w:val="es-ES"/>
        </w:rPr>
      </w:pPr>
      <w:hyperlink r:id="rId109" w:history="1">
        <w:r w:rsidR="00961D7F"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E9F2AA6" w14:textId="77777777" w:rsidR="000A233E" w:rsidRDefault="00176467" w:rsidP="002A4BF2">
      <w:pPr>
        <w:spacing w:line="240" w:lineRule="auto"/>
        <w:jc w:val="both"/>
        <w:rPr>
          <w:rFonts w:ascii="Garamond" w:eastAsia="Arial MT" w:hAnsi="Garamond" w:cs="Arial MT"/>
          <w:sz w:val="24"/>
          <w:szCs w:val="24"/>
          <w:lang w:val="es-ES"/>
        </w:rPr>
      </w:pPr>
      <w:r w:rsidRPr="00176467">
        <w:rPr>
          <w:rFonts w:ascii="Garamond" w:eastAsia="Arial MT" w:hAnsi="Garamond" w:cs="Arial MT"/>
          <w:noProof/>
          <w:sz w:val="24"/>
          <w:szCs w:val="24"/>
          <w:lang w:eastAsia="es-CO"/>
        </w:rPr>
        <w:drawing>
          <wp:anchor distT="0" distB="0" distL="114300" distR="114300" simplePos="0" relativeHeight="251700224" behindDoc="0" locked="0" layoutInCell="1" allowOverlap="1" wp14:anchorId="0F031C17" wp14:editId="0559525C">
            <wp:simplePos x="0" y="0"/>
            <wp:positionH relativeFrom="column">
              <wp:posOffset>-540830</wp:posOffset>
            </wp:positionH>
            <wp:positionV relativeFrom="paragraph">
              <wp:posOffset>89535</wp:posOffset>
            </wp:positionV>
            <wp:extent cx="6875971" cy="855023"/>
            <wp:effectExtent l="0" t="0" r="1270" b="254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6875971" cy="855023"/>
                    </a:xfrm>
                    <a:prstGeom prst="rect">
                      <a:avLst/>
                    </a:prstGeom>
                  </pic:spPr>
                </pic:pic>
              </a:graphicData>
            </a:graphic>
            <wp14:sizeRelH relativeFrom="margin">
              <wp14:pctWidth>0</wp14:pctWidth>
            </wp14:sizeRelH>
            <wp14:sizeRelV relativeFrom="margin">
              <wp14:pctHeight>0</wp14:pctHeight>
            </wp14:sizeRelV>
          </wp:anchor>
        </w:drawing>
      </w:r>
    </w:p>
    <w:p w14:paraId="5B33EA4F" w14:textId="77777777" w:rsidR="000A233E" w:rsidRDefault="000A233E" w:rsidP="002A4BF2">
      <w:pPr>
        <w:spacing w:line="240" w:lineRule="auto"/>
        <w:jc w:val="both"/>
        <w:rPr>
          <w:rFonts w:ascii="Garamond" w:eastAsia="Arial MT" w:hAnsi="Garamond" w:cs="Arial MT"/>
          <w:sz w:val="24"/>
          <w:szCs w:val="24"/>
          <w:lang w:val="es-ES"/>
        </w:rPr>
      </w:pPr>
    </w:p>
    <w:p w14:paraId="71B0C7E4" w14:textId="77777777" w:rsidR="000A233E" w:rsidRDefault="000A233E" w:rsidP="002A4BF2">
      <w:pPr>
        <w:spacing w:line="240" w:lineRule="auto"/>
        <w:jc w:val="both"/>
        <w:rPr>
          <w:rFonts w:ascii="Garamond" w:eastAsia="Arial MT" w:hAnsi="Garamond" w:cs="Arial MT"/>
          <w:sz w:val="24"/>
          <w:szCs w:val="24"/>
          <w:lang w:val="es-ES"/>
        </w:rPr>
      </w:pPr>
    </w:p>
    <w:p w14:paraId="25F164F3" w14:textId="77777777" w:rsidR="000A233E" w:rsidRDefault="000A233E" w:rsidP="002A4BF2">
      <w:pPr>
        <w:spacing w:line="240" w:lineRule="auto"/>
        <w:jc w:val="both"/>
        <w:rPr>
          <w:rFonts w:ascii="Garamond" w:eastAsia="Arial MT" w:hAnsi="Garamond" w:cs="Arial MT"/>
          <w:sz w:val="24"/>
          <w:szCs w:val="24"/>
          <w:lang w:val="es-ES"/>
        </w:rPr>
      </w:pPr>
    </w:p>
    <w:p w14:paraId="38BA8024" w14:textId="77777777" w:rsidR="000A233E" w:rsidRDefault="00176467" w:rsidP="002A4BF2">
      <w:pPr>
        <w:spacing w:line="240" w:lineRule="auto"/>
        <w:jc w:val="both"/>
        <w:rPr>
          <w:rFonts w:ascii="Garamond" w:eastAsia="Arial MT" w:hAnsi="Garamond" w:cs="Arial MT"/>
          <w:sz w:val="24"/>
          <w:szCs w:val="24"/>
          <w:lang w:val="es-ES"/>
        </w:rPr>
      </w:pPr>
      <w:r w:rsidRPr="00176467">
        <w:rPr>
          <w:rFonts w:ascii="Garamond" w:eastAsia="Arial MT" w:hAnsi="Garamond" w:cs="Arial MT"/>
          <w:noProof/>
          <w:sz w:val="24"/>
          <w:szCs w:val="24"/>
          <w:lang w:eastAsia="es-CO"/>
        </w:rPr>
        <w:drawing>
          <wp:inline distT="0" distB="0" distL="0" distR="0" wp14:anchorId="4EB94925" wp14:editId="3537F359">
            <wp:extent cx="5486400" cy="132100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541933" cy="1334378"/>
                    </a:xfrm>
                    <a:prstGeom prst="rect">
                      <a:avLst/>
                    </a:prstGeom>
                  </pic:spPr>
                </pic:pic>
              </a:graphicData>
            </a:graphic>
          </wp:inline>
        </w:drawing>
      </w:r>
    </w:p>
    <w:p w14:paraId="65D2B1F4" w14:textId="77777777" w:rsidR="00176467" w:rsidRDefault="00176467" w:rsidP="002A4BF2">
      <w:pPr>
        <w:spacing w:line="240" w:lineRule="auto"/>
        <w:jc w:val="both"/>
        <w:rPr>
          <w:rFonts w:ascii="Garamond" w:eastAsia="Arial MT" w:hAnsi="Garamond" w:cs="Arial MT"/>
          <w:sz w:val="24"/>
          <w:szCs w:val="24"/>
          <w:lang w:val="es-ES"/>
        </w:rPr>
      </w:pPr>
      <w:r w:rsidRPr="00176467">
        <w:rPr>
          <w:rFonts w:ascii="Garamond" w:eastAsia="Arial MT" w:hAnsi="Garamond" w:cs="Arial MT"/>
          <w:noProof/>
          <w:sz w:val="24"/>
          <w:szCs w:val="24"/>
          <w:lang w:eastAsia="es-CO"/>
        </w:rPr>
        <w:lastRenderedPageBreak/>
        <w:drawing>
          <wp:inline distT="0" distB="0" distL="0" distR="0" wp14:anchorId="3E7F6E2E" wp14:editId="39B2B42D">
            <wp:extent cx="5612130" cy="1242060"/>
            <wp:effectExtent l="0" t="0" r="762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612130" cy="1242060"/>
                    </a:xfrm>
                    <a:prstGeom prst="rect">
                      <a:avLst/>
                    </a:prstGeom>
                  </pic:spPr>
                </pic:pic>
              </a:graphicData>
            </a:graphic>
          </wp:inline>
        </w:drawing>
      </w:r>
    </w:p>
    <w:p w14:paraId="5F01C56A" w14:textId="77777777" w:rsidR="00176467" w:rsidRPr="00C050A9" w:rsidRDefault="00176467"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4"/>
          <w:szCs w:val="24"/>
          <w:lang w:val="es-ES"/>
        </w:rPr>
        <w:tab/>
      </w:r>
      <w:r>
        <w:rPr>
          <w:rFonts w:ascii="Garamond" w:eastAsia="Arial MT" w:hAnsi="Garamond" w:cs="Arial MT"/>
          <w:sz w:val="20"/>
          <w:szCs w:val="20"/>
          <w:lang w:val="es-ES"/>
        </w:rPr>
        <w:t>Imagen 18</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Comportamiento contratación por viene y servicio, código UNSPSC 721029</w:t>
      </w:r>
    </w:p>
    <w:p w14:paraId="61FF634D" w14:textId="77777777" w:rsidR="00176467" w:rsidRPr="00C050A9" w:rsidRDefault="00176467"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1D915B1D" w14:textId="77777777" w:rsidR="00176467" w:rsidRPr="00176467" w:rsidRDefault="0068116C" w:rsidP="002A4BF2">
      <w:pPr>
        <w:spacing w:line="240" w:lineRule="auto"/>
        <w:jc w:val="center"/>
        <w:rPr>
          <w:rFonts w:ascii="Garamond" w:eastAsia="Arial MT" w:hAnsi="Garamond" w:cs="Arial MT"/>
          <w:sz w:val="20"/>
          <w:szCs w:val="20"/>
          <w:lang w:val="es-ES"/>
        </w:rPr>
      </w:pPr>
      <w:hyperlink r:id="rId113" w:history="1">
        <w:r w:rsidR="00176467"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C612EB7" w14:textId="77777777" w:rsidR="008E41A0" w:rsidRDefault="00176467" w:rsidP="002A4BF2">
      <w:pPr>
        <w:spacing w:line="240" w:lineRule="auto"/>
        <w:jc w:val="both"/>
        <w:rPr>
          <w:rFonts w:ascii="Garamond" w:eastAsia="Arial MT" w:hAnsi="Garamond" w:cs="Arial MT"/>
          <w:sz w:val="24"/>
          <w:szCs w:val="24"/>
          <w:lang w:val="es-ES"/>
        </w:rPr>
      </w:pPr>
      <w:r>
        <w:rPr>
          <w:rFonts w:ascii="Garamond" w:eastAsia="Arial MT" w:hAnsi="Garamond" w:cs="Arial MT"/>
          <w:sz w:val="24"/>
          <w:szCs w:val="24"/>
          <w:lang w:val="es-ES"/>
        </w:rPr>
        <w:t>A</w:t>
      </w:r>
      <w:r w:rsidR="00C81C67">
        <w:rPr>
          <w:rFonts w:ascii="Garamond" w:eastAsia="Arial MT" w:hAnsi="Garamond" w:cs="Arial MT"/>
          <w:sz w:val="24"/>
          <w:szCs w:val="24"/>
          <w:lang w:val="es-ES"/>
        </w:rPr>
        <w:t>hora, dentro del mismo sector,</w:t>
      </w:r>
      <w:r w:rsidR="00C81C67" w:rsidRPr="00306D47">
        <w:rPr>
          <w:rFonts w:ascii="Garamond" w:eastAsia="Arial MT" w:hAnsi="Garamond" w:cs="Arial MT"/>
          <w:sz w:val="24"/>
          <w:szCs w:val="24"/>
          <w:lang w:val="es-ES"/>
        </w:rPr>
        <w:t xml:space="preserve"> se identificó empresa</w:t>
      </w:r>
      <w:r w:rsidR="00C81C67">
        <w:rPr>
          <w:rFonts w:ascii="Garamond" w:eastAsia="Arial MT" w:hAnsi="Garamond" w:cs="Arial MT"/>
          <w:sz w:val="24"/>
          <w:szCs w:val="24"/>
          <w:lang w:val="es-ES"/>
        </w:rPr>
        <w:t xml:space="preserve">s que se dedican a </w:t>
      </w:r>
      <w:r w:rsidR="00C81C67" w:rsidRPr="005E68DB">
        <w:rPr>
          <w:rFonts w:ascii="Garamond" w:eastAsia="Arial MT" w:hAnsi="Garamond" w:cs="Arial MT"/>
          <w:b/>
          <w:sz w:val="24"/>
          <w:szCs w:val="24"/>
          <w:u w:val="single"/>
          <w:lang w:val="es-ES"/>
        </w:rPr>
        <w:t xml:space="preserve">los servicios </w:t>
      </w:r>
      <w:r w:rsidR="00C81C67">
        <w:rPr>
          <w:rFonts w:ascii="Garamond" w:eastAsia="Arial MT" w:hAnsi="Garamond" w:cs="Arial MT"/>
          <w:b/>
          <w:sz w:val="24"/>
          <w:szCs w:val="24"/>
          <w:u w:val="single"/>
          <w:lang w:val="es-ES"/>
        </w:rPr>
        <w:t>de edificios especializados comercios (instalación y reparación de ventanas, puertas y alambrado).</w:t>
      </w:r>
      <w:r w:rsidR="00C81C67" w:rsidRPr="00306D47">
        <w:rPr>
          <w:rFonts w:ascii="Garamond" w:eastAsia="Arial MT" w:hAnsi="Garamond" w:cs="Arial MT"/>
          <w:sz w:val="24"/>
          <w:szCs w:val="24"/>
          <w:lang w:val="es-ES"/>
        </w:rPr>
        <w:t xml:space="preserve"> </w:t>
      </w:r>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2765"/>
        <w:gridCol w:w="2278"/>
        <w:gridCol w:w="2569"/>
      </w:tblGrid>
      <w:tr w:rsidR="008E41A0" w:rsidRPr="00926937" w14:paraId="067D3762" w14:textId="77777777" w:rsidTr="00AD6DB4">
        <w:trPr>
          <w:trHeight w:val="567"/>
        </w:trPr>
        <w:tc>
          <w:tcPr>
            <w:tcW w:w="795" w:type="pct"/>
            <w:shd w:val="clear" w:color="auto" w:fill="F2F2F2"/>
            <w:tcMar>
              <w:top w:w="0" w:type="dxa"/>
              <w:left w:w="70" w:type="dxa"/>
              <w:bottom w:w="0" w:type="dxa"/>
              <w:right w:w="70" w:type="dxa"/>
            </w:tcMar>
            <w:vAlign w:val="center"/>
            <w:hideMark/>
          </w:tcPr>
          <w:p w14:paraId="674A11BF" w14:textId="77777777" w:rsidR="008E41A0" w:rsidRPr="00926937" w:rsidRDefault="008E41A0" w:rsidP="002A4BF2">
            <w:pPr>
              <w:spacing w:line="240" w:lineRule="auto"/>
              <w:jc w:val="center"/>
              <w:rPr>
                <w:rFonts w:ascii="Garamond" w:hAnsi="Garamond" w:cs="Arial"/>
                <w:bCs/>
                <w:sz w:val="24"/>
                <w:szCs w:val="24"/>
              </w:rPr>
            </w:pPr>
            <w:r w:rsidRPr="00926937">
              <w:rPr>
                <w:rFonts w:ascii="Garamond" w:hAnsi="Garamond" w:cs="Arial"/>
                <w:bCs/>
                <w:sz w:val="24"/>
                <w:szCs w:val="24"/>
              </w:rPr>
              <w:t>Clasificación UNSPSC</w:t>
            </w:r>
          </w:p>
        </w:tc>
        <w:tc>
          <w:tcPr>
            <w:tcW w:w="1527" w:type="pct"/>
            <w:shd w:val="clear" w:color="auto" w:fill="F2F2F2"/>
            <w:tcMar>
              <w:top w:w="0" w:type="dxa"/>
              <w:left w:w="70" w:type="dxa"/>
              <w:bottom w:w="0" w:type="dxa"/>
              <w:right w:w="70" w:type="dxa"/>
            </w:tcMar>
            <w:vAlign w:val="center"/>
            <w:hideMark/>
          </w:tcPr>
          <w:p w14:paraId="1F97C28D" w14:textId="77777777" w:rsidR="008E41A0" w:rsidRPr="00926937" w:rsidRDefault="008E41A0" w:rsidP="002A4BF2">
            <w:pPr>
              <w:spacing w:line="240" w:lineRule="auto"/>
              <w:jc w:val="center"/>
              <w:rPr>
                <w:rFonts w:ascii="Garamond" w:hAnsi="Garamond" w:cs="Arial"/>
                <w:bCs/>
                <w:sz w:val="24"/>
                <w:szCs w:val="24"/>
              </w:rPr>
            </w:pPr>
            <w:r w:rsidRPr="00926937">
              <w:rPr>
                <w:rFonts w:ascii="Garamond" w:hAnsi="Garamond" w:cs="Arial"/>
                <w:bCs/>
                <w:sz w:val="24"/>
                <w:szCs w:val="24"/>
              </w:rPr>
              <w:t>Segmento</w:t>
            </w:r>
          </w:p>
        </w:tc>
        <w:tc>
          <w:tcPr>
            <w:tcW w:w="1258" w:type="pct"/>
            <w:shd w:val="clear" w:color="auto" w:fill="F2F2F2"/>
            <w:tcMar>
              <w:top w:w="0" w:type="dxa"/>
              <w:left w:w="70" w:type="dxa"/>
              <w:bottom w:w="0" w:type="dxa"/>
              <w:right w:w="70" w:type="dxa"/>
            </w:tcMar>
            <w:vAlign w:val="center"/>
            <w:hideMark/>
          </w:tcPr>
          <w:p w14:paraId="1C0F5FDC" w14:textId="77777777" w:rsidR="008E41A0" w:rsidRPr="00926937" w:rsidRDefault="008E41A0" w:rsidP="002A4BF2">
            <w:pPr>
              <w:spacing w:line="240" w:lineRule="auto"/>
              <w:jc w:val="center"/>
              <w:rPr>
                <w:rFonts w:ascii="Garamond" w:hAnsi="Garamond" w:cs="Arial"/>
                <w:bCs/>
                <w:sz w:val="24"/>
                <w:szCs w:val="24"/>
              </w:rPr>
            </w:pPr>
            <w:r w:rsidRPr="00926937">
              <w:rPr>
                <w:rFonts w:ascii="Garamond" w:hAnsi="Garamond" w:cs="Arial"/>
                <w:bCs/>
                <w:sz w:val="24"/>
                <w:szCs w:val="24"/>
              </w:rPr>
              <w:t>Familia</w:t>
            </w:r>
          </w:p>
        </w:tc>
        <w:tc>
          <w:tcPr>
            <w:tcW w:w="1419" w:type="pct"/>
            <w:shd w:val="clear" w:color="auto" w:fill="F2F2F2"/>
            <w:tcMar>
              <w:top w:w="0" w:type="dxa"/>
              <w:left w:w="70" w:type="dxa"/>
              <w:bottom w:w="0" w:type="dxa"/>
              <w:right w:w="70" w:type="dxa"/>
            </w:tcMar>
            <w:vAlign w:val="center"/>
            <w:hideMark/>
          </w:tcPr>
          <w:p w14:paraId="14DD3D16" w14:textId="77777777" w:rsidR="008E41A0" w:rsidRPr="00926937" w:rsidRDefault="008E41A0" w:rsidP="002A4BF2">
            <w:pPr>
              <w:spacing w:line="240" w:lineRule="auto"/>
              <w:jc w:val="center"/>
              <w:rPr>
                <w:rFonts w:ascii="Garamond" w:hAnsi="Garamond" w:cs="Arial"/>
                <w:bCs/>
                <w:sz w:val="24"/>
                <w:szCs w:val="24"/>
              </w:rPr>
            </w:pPr>
            <w:r w:rsidRPr="00926937">
              <w:rPr>
                <w:rFonts w:ascii="Garamond" w:hAnsi="Garamond" w:cs="Arial"/>
                <w:bCs/>
                <w:sz w:val="24"/>
                <w:szCs w:val="24"/>
              </w:rPr>
              <w:t>Clase</w:t>
            </w:r>
          </w:p>
        </w:tc>
      </w:tr>
      <w:tr w:rsidR="008E41A0" w:rsidRPr="00926937" w14:paraId="0A008E7C" w14:textId="77777777" w:rsidTr="00AD6DB4">
        <w:trPr>
          <w:trHeight w:val="238"/>
        </w:trPr>
        <w:tc>
          <w:tcPr>
            <w:tcW w:w="795" w:type="pct"/>
            <w:tcMar>
              <w:top w:w="0" w:type="dxa"/>
              <w:left w:w="70" w:type="dxa"/>
              <w:bottom w:w="0" w:type="dxa"/>
              <w:right w:w="70" w:type="dxa"/>
            </w:tcMar>
            <w:vAlign w:val="center"/>
          </w:tcPr>
          <w:p w14:paraId="0CC25B88" w14:textId="77777777" w:rsidR="008E41A0" w:rsidRPr="00926937" w:rsidRDefault="008E41A0" w:rsidP="002A4BF2">
            <w:pPr>
              <w:spacing w:line="240" w:lineRule="auto"/>
              <w:jc w:val="both"/>
              <w:rPr>
                <w:rFonts w:ascii="Garamond" w:hAnsi="Garamond" w:cs="Arial"/>
                <w:bCs/>
                <w:sz w:val="24"/>
                <w:szCs w:val="24"/>
              </w:rPr>
            </w:pPr>
            <w:r>
              <w:rPr>
                <w:rFonts w:ascii="Garamond" w:hAnsi="Garamond" w:cs="Arial"/>
                <w:bCs/>
                <w:sz w:val="24"/>
                <w:szCs w:val="24"/>
              </w:rPr>
              <w:t>721540</w:t>
            </w:r>
          </w:p>
        </w:tc>
        <w:tc>
          <w:tcPr>
            <w:tcW w:w="1527" w:type="pct"/>
            <w:shd w:val="clear" w:color="auto" w:fill="auto"/>
            <w:tcMar>
              <w:top w:w="0" w:type="dxa"/>
              <w:left w:w="70" w:type="dxa"/>
              <w:bottom w:w="0" w:type="dxa"/>
              <w:right w:w="70" w:type="dxa"/>
            </w:tcMar>
            <w:vAlign w:val="center"/>
          </w:tcPr>
          <w:p w14:paraId="173E3B56" w14:textId="77777777" w:rsidR="008E41A0" w:rsidRPr="00926937" w:rsidRDefault="008E41A0" w:rsidP="002A4BF2">
            <w:pPr>
              <w:spacing w:line="240" w:lineRule="auto"/>
              <w:jc w:val="both"/>
              <w:rPr>
                <w:rFonts w:ascii="Garamond" w:hAnsi="Garamond" w:cs="Arial"/>
                <w:bCs/>
                <w:sz w:val="24"/>
                <w:szCs w:val="24"/>
              </w:rPr>
            </w:pPr>
            <w:r>
              <w:rPr>
                <w:rFonts w:ascii="Garamond" w:hAnsi="Garamond" w:cs="Arial"/>
                <w:bCs/>
                <w:sz w:val="24"/>
                <w:szCs w:val="24"/>
              </w:rPr>
              <w:t>72 – Servicios de edificación, Construcción de instalaciones y mantenimiento</w:t>
            </w:r>
          </w:p>
        </w:tc>
        <w:tc>
          <w:tcPr>
            <w:tcW w:w="1258" w:type="pct"/>
            <w:tcMar>
              <w:top w:w="0" w:type="dxa"/>
              <w:left w:w="70" w:type="dxa"/>
              <w:bottom w:w="0" w:type="dxa"/>
              <w:right w:w="70" w:type="dxa"/>
            </w:tcMar>
            <w:vAlign w:val="center"/>
          </w:tcPr>
          <w:p w14:paraId="49771E4B" w14:textId="77777777" w:rsidR="008E41A0" w:rsidRPr="00926937" w:rsidRDefault="008E41A0" w:rsidP="002A4BF2">
            <w:pPr>
              <w:spacing w:line="240" w:lineRule="auto"/>
              <w:jc w:val="both"/>
              <w:rPr>
                <w:rFonts w:ascii="Garamond" w:hAnsi="Garamond" w:cs="Arial"/>
                <w:bCs/>
                <w:sz w:val="24"/>
                <w:szCs w:val="24"/>
              </w:rPr>
            </w:pPr>
            <w:r>
              <w:rPr>
                <w:rFonts w:ascii="Garamond" w:hAnsi="Garamond" w:cs="Arial"/>
                <w:bCs/>
                <w:sz w:val="24"/>
                <w:szCs w:val="24"/>
              </w:rPr>
              <w:t>15 – Servicios de mantenimiento y construcción de comercio especializado</w:t>
            </w:r>
          </w:p>
        </w:tc>
        <w:tc>
          <w:tcPr>
            <w:tcW w:w="1419" w:type="pct"/>
            <w:tcMar>
              <w:top w:w="0" w:type="dxa"/>
              <w:left w:w="70" w:type="dxa"/>
              <w:bottom w:w="0" w:type="dxa"/>
              <w:right w:w="70" w:type="dxa"/>
            </w:tcMar>
            <w:vAlign w:val="center"/>
          </w:tcPr>
          <w:p w14:paraId="79D20B18" w14:textId="77777777" w:rsidR="008E41A0" w:rsidRPr="00926937" w:rsidRDefault="008E41A0" w:rsidP="002A4BF2">
            <w:pPr>
              <w:spacing w:line="240" w:lineRule="auto"/>
              <w:jc w:val="both"/>
              <w:rPr>
                <w:rFonts w:ascii="Garamond" w:hAnsi="Garamond" w:cs="Arial"/>
                <w:bCs/>
                <w:sz w:val="24"/>
                <w:szCs w:val="24"/>
              </w:rPr>
            </w:pPr>
            <w:r>
              <w:rPr>
                <w:rFonts w:ascii="Garamond" w:hAnsi="Garamond" w:cs="Arial"/>
                <w:bCs/>
                <w:sz w:val="24"/>
                <w:szCs w:val="24"/>
              </w:rPr>
              <w:t>40 – Servicios de edificios especializados y comercios (instalación y reparación de ventanas, puertas y alambrado)</w:t>
            </w:r>
          </w:p>
        </w:tc>
      </w:tr>
    </w:tbl>
    <w:p w14:paraId="5266DAC7" w14:textId="77777777" w:rsidR="008E41A0" w:rsidRDefault="008E41A0" w:rsidP="002A4BF2">
      <w:pPr>
        <w:spacing w:line="240" w:lineRule="auto"/>
        <w:jc w:val="both"/>
        <w:rPr>
          <w:rFonts w:ascii="Garamond" w:eastAsia="Arial MT" w:hAnsi="Garamond" w:cs="Arial MT"/>
          <w:sz w:val="24"/>
          <w:szCs w:val="24"/>
          <w:lang w:val="es-ES"/>
        </w:rPr>
      </w:pPr>
    </w:p>
    <w:p w14:paraId="4EE3D2D1" w14:textId="77777777" w:rsidR="008E41A0" w:rsidRDefault="008E41A0" w:rsidP="002A4BF2">
      <w:pPr>
        <w:spacing w:line="240" w:lineRule="auto"/>
        <w:jc w:val="both"/>
        <w:rPr>
          <w:rFonts w:ascii="Garamond" w:eastAsia="Arial MT" w:hAnsi="Garamond" w:cs="Arial MT"/>
          <w:sz w:val="24"/>
          <w:szCs w:val="24"/>
          <w:lang w:val="es-ES"/>
        </w:rPr>
      </w:pPr>
      <w:r w:rsidRPr="008E41A0">
        <w:rPr>
          <w:rFonts w:ascii="Garamond" w:eastAsia="Arial MT" w:hAnsi="Garamond" w:cs="Arial MT"/>
          <w:noProof/>
          <w:sz w:val="24"/>
          <w:szCs w:val="24"/>
          <w:lang w:eastAsia="es-CO"/>
        </w:rPr>
        <w:drawing>
          <wp:anchor distT="0" distB="0" distL="114300" distR="114300" simplePos="0" relativeHeight="251687936" behindDoc="0" locked="0" layoutInCell="1" allowOverlap="1" wp14:anchorId="17B6F78B" wp14:editId="61435720">
            <wp:simplePos x="0" y="0"/>
            <wp:positionH relativeFrom="column">
              <wp:posOffset>-661670</wp:posOffset>
            </wp:positionH>
            <wp:positionV relativeFrom="paragraph">
              <wp:posOffset>290195</wp:posOffset>
            </wp:positionV>
            <wp:extent cx="7015163" cy="542925"/>
            <wp:effectExtent l="0" t="0" r="0" b="0"/>
            <wp:wrapNone/>
            <wp:docPr id="1997869489" name="Imagen 1997869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7015163" cy="542925"/>
                    </a:xfrm>
                    <a:prstGeom prst="rect">
                      <a:avLst/>
                    </a:prstGeom>
                  </pic:spPr>
                </pic:pic>
              </a:graphicData>
            </a:graphic>
            <wp14:sizeRelH relativeFrom="margin">
              <wp14:pctWidth>0</wp14:pctWidth>
            </wp14:sizeRelH>
            <wp14:sizeRelV relativeFrom="margin">
              <wp14:pctHeight>0</wp14:pctHeight>
            </wp14:sizeRelV>
          </wp:anchor>
        </w:drawing>
      </w:r>
      <w:r>
        <w:rPr>
          <w:rFonts w:ascii="Garamond" w:eastAsia="Arial MT" w:hAnsi="Garamond" w:cs="Arial MT"/>
          <w:sz w:val="24"/>
          <w:szCs w:val="24"/>
          <w:lang w:val="es-ES"/>
        </w:rPr>
        <w:t xml:space="preserve">A continuación, se relaciona </w:t>
      </w:r>
      <w:r w:rsidRPr="00563EAE">
        <w:rPr>
          <w:rFonts w:ascii="Garamond" w:eastAsia="Arial MT" w:hAnsi="Garamond" w:cs="Arial MT"/>
          <w:b/>
          <w:sz w:val="24"/>
          <w:szCs w:val="24"/>
          <w:lang w:val="es-ES"/>
        </w:rPr>
        <w:t>QUIEN VENDE</w:t>
      </w:r>
      <w:r>
        <w:rPr>
          <w:rFonts w:ascii="Garamond" w:eastAsia="Arial MT" w:hAnsi="Garamond" w:cs="Arial MT"/>
          <w:sz w:val="24"/>
          <w:szCs w:val="24"/>
          <w:lang w:val="es-ES"/>
        </w:rPr>
        <w:t xml:space="preserve"> el servicio a nivel nacional:</w:t>
      </w:r>
    </w:p>
    <w:p w14:paraId="151B838E" w14:textId="77777777" w:rsidR="008E41A0" w:rsidRDefault="008E41A0" w:rsidP="002A4BF2">
      <w:pPr>
        <w:spacing w:line="240" w:lineRule="auto"/>
        <w:jc w:val="both"/>
        <w:rPr>
          <w:rFonts w:ascii="Garamond" w:eastAsia="Arial MT" w:hAnsi="Garamond" w:cs="Arial MT"/>
          <w:sz w:val="24"/>
          <w:szCs w:val="24"/>
          <w:lang w:val="es-ES"/>
        </w:rPr>
      </w:pPr>
    </w:p>
    <w:p w14:paraId="5B929A14" w14:textId="77777777" w:rsidR="008E41A0" w:rsidRDefault="008E41A0" w:rsidP="002A4BF2">
      <w:pPr>
        <w:spacing w:line="240" w:lineRule="auto"/>
        <w:jc w:val="both"/>
        <w:rPr>
          <w:rFonts w:ascii="Garamond" w:eastAsia="Arial MT" w:hAnsi="Garamond" w:cs="Arial MT"/>
          <w:sz w:val="24"/>
          <w:szCs w:val="24"/>
          <w:lang w:val="es-ES"/>
        </w:rPr>
      </w:pPr>
    </w:p>
    <w:p w14:paraId="222DD3A6" w14:textId="77777777" w:rsidR="008E41A0" w:rsidRDefault="008E41A0" w:rsidP="002A4BF2">
      <w:pPr>
        <w:spacing w:line="240" w:lineRule="auto"/>
        <w:jc w:val="both"/>
        <w:rPr>
          <w:rFonts w:ascii="Garamond" w:eastAsia="Arial MT" w:hAnsi="Garamond" w:cs="Arial MT"/>
          <w:sz w:val="24"/>
          <w:szCs w:val="24"/>
          <w:lang w:val="es-ES"/>
        </w:rPr>
      </w:pPr>
    </w:p>
    <w:p w14:paraId="531D4DBD" w14:textId="77777777" w:rsidR="008E41A0" w:rsidRDefault="008E41A0" w:rsidP="002A4BF2">
      <w:pPr>
        <w:spacing w:line="240" w:lineRule="auto"/>
        <w:jc w:val="center"/>
        <w:rPr>
          <w:rFonts w:ascii="Garamond" w:eastAsia="Arial MT" w:hAnsi="Garamond" w:cs="Arial MT"/>
          <w:sz w:val="24"/>
          <w:szCs w:val="24"/>
          <w:lang w:val="es-ES"/>
        </w:rPr>
      </w:pPr>
      <w:r w:rsidRPr="008E41A0">
        <w:rPr>
          <w:rFonts w:ascii="Garamond" w:eastAsia="Arial MT" w:hAnsi="Garamond" w:cs="Arial MT"/>
          <w:noProof/>
          <w:sz w:val="24"/>
          <w:szCs w:val="24"/>
          <w:lang w:eastAsia="es-CO"/>
        </w:rPr>
        <w:lastRenderedPageBreak/>
        <w:drawing>
          <wp:inline distT="0" distB="0" distL="0" distR="0" wp14:anchorId="6F725956" wp14:editId="10DA3BF8">
            <wp:extent cx="4879626" cy="2762250"/>
            <wp:effectExtent l="0" t="0" r="0" b="0"/>
            <wp:docPr id="1997869490" name="Imagen 199786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888568" cy="2767312"/>
                    </a:xfrm>
                    <a:prstGeom prst="rect">
                      <a:avLst/>
                    </a:prstGeom>
                  </pic:spPr>
                </pic:pic>
              </a:graphicData>
            </a:graphic>
          </wp:inline>
        </w:drawing>
      </w:r>
    </w:p>
    <w:p w14:paraId="263C1B9C" w14:textId="77777777" w:rsidR="008E41A0" w:rsidRPr="00C050A9" w:rsidRDefault="008E41A0"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w:t>
      </w:r>
      <w:r w:rsidR="00176467">
        <w:rPr>
          <w:rFonts w:ascii="Garamond" w:eastAsia="Arial MT" w:hAnsi="Garamond" w:cs="Arial MT"/>
          <w:sz w:val="20"/>
          <w:szCs w:val="20"/>
          <w:lang w:val="es-ES"/>
        </w:rPr>
        <w:t>magen 19</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Proveedores del bien o servicio código UNSPSC 721540 a nivel nacional</w:t>
      </w:r>
    </w:p>
    <w:p w14:paraId="6AFC023E" w14:textId="77777777" w:rsidR="008E41A0" w:rsidRPr="00C050A9" w:rsidRDefault="008E41A0"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60EEE4CE" w14:textId="77777777" w:rsidR="008E41A0" w:rsidRDefault="0068116C" w:rsidP="002A4BF2">
      <w:pPr>
        <w:spacing w:line="240" w:lineRule="auto"/>
        <w:jc w:val="center"/>
        <w:rPr>
          <w:rFonts w:ascii="Garamond" w:eastAsia="Arial MT" w:hAnsi="Garamond" w:cs="Arial MT"/>
          <w:sz w:val="20"/>
          <w:szCs w:val="20"/>
          <w:lang w:val="es-ES"/>
        </w:rPr>
      </w:pPr>
      <w:hyperlink r:id="rId116" w:history="1">
        <w:r w:rsidR="008E41A0"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47CC9C69" w14:textId="77777777" w:rsidR="00A970CF" w:rsidRDefault="008E41A0" w:rsidP="002A4BF2">
      <w:pPr>
        <w:spacing w:line="240" w:lineRule="auto"/>
        <w:jc w:val="both"/>
        <w:rPr>
          <w:rFonts w:ascii="Garamond" w:hAnsi="Garamond" w:cs="Arial"/>
          <w:sz w:val="24"/>
          <w:szCs w:val="24"/>
        </w:rPr>
      </w:pPr>
      <w:r>
        <w:rPr>
          <w:rFonts w:ascii="Garamond" w:eastAsia="Arial MT" w:hAnsi="Garamond" w:cs="Arial MT"/>
          <w:sz w:val="24"/>
          <w:szCs w:val="24"/>
          <w:lang w:val="es-ES"/>
        </w:rPr>
        <w:t>A</w:t>
      </w:r>
      <w:r w:rsidR="00C81C67" w:rsidRPr="00306D47">
        <w:rPr>
          <w:rFonts w:ascii="Garamond" w:eastAsia="Arial MT" w:hAnsi="Garamond" w:cs="Arial MT"/>
          <w:sz w:val="24"/>
          <w:szCs w:val="24"/>
          <w:lang w:val="es-ES"/>
        </w:rPr>
        <w:t xml:space="preserve"> continuaci</w:t>
      </w:r>
      <w:r w:rsidR="00C81C67">
        <w:rPr>
          <w:rFonts w:ascii="Garamond" w:eastAsia="Arial MT" w:hAnsi="Garamond" w:cs="Arial MT"/>
          <w:sz w:val="24"/>
          <w:szCs w:val="24"/>
          <w:lang w:val="es-ES"/>
        </w:rPr>
        <w:t>ón, se relaciona el número de proveedores y/o</w:t>
      </w:r>
      <w:r w:rsidR="00C81C67" w:rsidRPr="00306D47">
        <w:rPr>
          <w:rFonts w:ascii="Garamond" w:eastAsia="Arial MT" w:hAnsi="Garamond" w:cs="Arial MT"/>
          <w:sz w:val="24"/>
          <w:szCs w:val="24"/>
          <w:lang w:val="es-ES"/>
        </w:rPr>
        <w:t xml:space="preserve"> empresas que fueron identificadas en e</w:t>
      </w:r>
      <w:r w:rsidR="00C81C67">
        <w:rPr>
          <w:rFonts w:ascii="Garamond" w:eastAsia="Arial MT" w:hAnsi="Garamond" w:cs="Arial MT"/>
          <w:sz w:val="24"/>
          <w:szCs w:val="24"/>
          <w:lang w:val="es-ES"/>
        </w:rPr>
        <w:t>l proceso de análisis de sector para la ciudad</w:t>
      </w:r>
      <w:r w:rsidR="00C81C67" w:rsidRPr="00F234F8">
        <w:rPr>
          <w:rFonts w:ascii="Garamond" w:eastAsia="Arial MT" w:hAnsi="Garamond" w:cs="Arial MT"/>
          <w:sz w:val="24"/>
          <w:szCs w:val="24"/>
          <w:lang w:val="es-ES"/>
        </w:rPr>
        <w:t xml:space="preserve"> de</w:t>
      </w:r>
      <w:r w:rsidR="00C81C67" w:rsidRPr="00F234F8">
        <w:rPr>
          <w:rFonts w:ascii="Garamond" w:eastAsia="Arial MT" w:hAnsi="Garamond" w:cs="Arial MT"/>
          <w:b/>
          <w:sz w:val="24"/>
          <w:szCs w:val="24"/>
          <w:lang w:val="es-ES"/>
        </w:rPr>
        <w:t xml:space="preserve"> </w:t>
      </w:r>
      <w:r w:rsidR="00C81C67" w:rsidRPr="00F234F8">
        <w:rPr>
          <w:rFonts w:ascii="Garamond" w:eastAsia="Arial MT" w:hAnsi="Garamond" w:cs="Arial MT"/>
          <w:b/>
          <w:sz w:val="24"/>
          <w:szCs w:val="24"/>
          <w:u w:val="single"/>
          <w:lang w:val="es-ES"/>
        </w:rPr>
        <w:t>Bogotá D.C.:</w:t>
      </w:r>
    </w:p>
    <w:p w14:paraId="0F993F5D" w14:textId="77777777" w:rsidR="00C81C67" w:rsidRDefault="00C81C67" w:rsidP="002A4BF2">
      <w:pPr>
        <w:spacing w:line="240" w:lineRule="auto"/>
        <w:jc w:val="center"/>
        <w:rPr>
          <w:rFonts w:ascii="Garamond" w:hAnsi="Garamond" w:cs="Arial"/>
          <w:sz w:val="24"/>
          <w:szCs w:val="24"/>
        </w:rPr>
      </w:pPr>
      <w:r w:rsidRPr="00C81C67">
        <w:rPr>
          <w:rFonts w:ascii="Garamond" w:hAnsi="Garamond" w:cs="Arial"/>
          <w:noProof/>
          <w:sz w:val="24"/>
          <w:szCs w:val="24"/>
          <w:lang w:eastAsia="es-CO"/>
        </w:rPr>
        <w:drawing>
          <wp:inline distT="0" distB="0" distL="0" distR="0" wp14:anchorId="1F3B5929" wp14:editId="42D838FC">
            <wp:extent cx="4857495" cy="3230088"/>
            <wp:effectExtent l="0" t="0" r="635" b="8890"/>
            <wp:docPr id="1997869474" name="Imagen 1997869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990336" cy="3318423"/>
                    </a:xfrm>
                    <a:prstGeom prst="rect">
                      <a:avLst/>
                    </a:prstGeom>
                  </pic:spPr>
                </pic:pic>
              </a:graphicData>
            </a:graphic>
          </wp:inline>
        </w:drawing>
      </w:r>
    </w:p>
    <w:p w14:paraId="052096C0" w14:textId="77777777" w:rsidR="00C81C67" w:rsidRPr="00C050A9" w:rsidRDefault="00C81C67" w:rsidP="002A4BF2">
      <w:pPr>
        <w:spacing w:after="0" w:line="240" w:lineRule="auto"/>
        <w:jc w:val="center"/>
        <w:rPr>
          <w:rFonts w:ascii="Garamond" w:eastAsia="Arial MT" w:hAnsi="Garamond" w:cs="Arial MT"/>
          <w:sz w:val="20"/>
          <w:szCs w:val="20"/>
          <w:lang w:val="es-ES"/>
        </w:rPr>
      </w:pPr>
      <w:r>
        <w:rPr>
          <w:rFonts w:ascii="Garamond" w:hAnsi="Garamond" w:cs="Arial"/>
          <w:sz w:val="24"/>
          <w:szCs w:val="24"/>
        </w:rPr>
        <w:tab/>
      </w:r>
      <w:r>
        <w:rPr>
          <w:rFonts w:ascii="Garamond" w:eastAsia="Arial MT" w:hAnsi="Garamond" w:cs="Arial MT"/>
          <w:sz w:val="20"/>
          <w:szCs w:val="20"/>
          <w:lang w:val="es-ES"/>
        </w:rPr>
        <w:t>I</w:t>
      </w:r>
      <w:r w:rsidR="00176467">
        <w:rPr>
          <w:rFonts w:ascii="Garamond" w:eastAsia="Arial MT" w:hAnsi="Garamond" w:cs="Arial MT"/>
          <w:sz w:val="20"/>
          <w:szCs w:val="20"/>
          <w:lang w:val="es-ES"/>
        </w:rPr>
        <w:t>magen 20</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Gasto mensual, código UNSPSC 721540</w:t>
      </w:r>
    </w:p>
    <w:p w14:paraId="4E43ED8F" w14:textId="77777777" w:rsidR="00C81C67" w:rsidRPr="00C050A9" w:rsidRDefault="00C81C67"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1EFD6E6D" w14:textId="77777777" w:rsidR="00275BB0" w:rsidRDefault="0068116C" w:rsidP="002A4BF2">
      <w:pPr>
        <w:spacing w:line="240" w:lineRule="auto"/>
        <w:jc w:val="center"/>
        <w:rPr>
          <w:rStyle w:val="Hipervnculo"/>
          <w:rFonts w:ascii="Garamond" w:eastAsia="Arial MT" w:hAnsi="Garamond" w:cs="Arial MT"/>
          <w:sz w:val="20"/>
          <w:szCs w:val="20"/>
          <w:lang w:val="es-ES"/>
        </w:rPr>
      </w:pPr>
      <w:hyperlink r:id="rId118" w:history="1">
        <w:r w:rsidR="00C81C67"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7B821F84" w14:textId="77777777" w:rsidR="00C81C67" w:rsidRDefault="00C81C67" w:rsidP="002A4BF2">
      <w:pPr>
        <w:spacing w:line="240" w:lineRule="auto"/>
        <w:jc w:val="center"/>
        <w:rPr>
          <w:rFonts w:ascii="Garamond" w:hAnsi="Garamond" w:cs="Arial"/>
          <w:sz w:val="24"/>
          <w:szCs w:val="24"/>
        </w:rPr>
      </w:pPr>
      <w:r w:rsidRPr="00C81C67">
        <w:rPr>
          <w:rFonts w:ascii="Garamond" w:hAnsi="Garamond" w:cs="Arial"/>
          <w:noProof/>
          <w:sz w:val="24"/>
          <w:szCs w:val="24"/>
          <w:lang w:eastAsia="es-CO"/>
        </w:rPr>
        <w:drawing>
          <wp:inline distT="0" distB="0" distL="0" distR="0" wp14:anchorId="7C0EF322" wp14:editId="64926C84">
            <wp:extent cx="3638550" cy="3304675"/>
            <wp:effectExtent l="0" t="0" r="0" b="0"/>
            <wp:docPr id="1997869475" name="Imagen 1997869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3665154" cy="3328838"/>
                    </a:xfrm>
                    <a:prstGeom prst="rect">
                      <a:avLst/>
                    </a:prstGeom>
                  </pic:spPr>
                </pic:pic>
              </a:graphicData>
            </a:graphic>
          </wp:inline>
        </w:drawing>
      </w:r>
    </w:p>
    <w:p w14:paraId="49FFF593" w14:textId="77777777" w:rsidR="00C81C67" w:rsidRPr="00C050A9" w:rsidRDefault="00C81C67" w:rsidP="002A4BF2">
      <w:pPr>
        <w:spacing w:after="0" w:line="240" w:lineRule="auto"/>
        <w:jc w:val="center"/>
        <w:rPr>
          <w:rFonts w:ascii="Garamond" w:eastAsia="Arial MT" w:hAnsi="Garamond" w:cs="Arial MT"/>
          <w:sz w:val="20"/>
          <w:szCs w:val="20"/>
          <w:lang w:val="es-ES"/>
        </w:rPr>
      </w:pPr>
      <w:r>
        <w:rPr>
          <w:rFonts w:ascii="Garamond" w:hAnsi="Garamond" w:cs="Arial"/>
          <w:sz w:val="24"/>
          <w:szCs w:val="24"/>
        </w:rPr>
        <w:tab/>
      </w:r>
      <w:r>
        <w:rPr>
          <w:rFonts w:ascii="Garamond" w:eastAsia="Arial MT" w:hAnsi="Garamond" w:cs="Arial MT"/>
          <w:sz w:val="20"/>
          <w:szCs w:val="20"/>
          <w:lang w:val="es-ES"/>
        </w:rPr>
        <w:t>I</w:t>
      </w:r>
      <w:r w:rsidR="00176467">
        <w:rPr>
          <w:rFonts w:ascii="Garamond" w:eastAsia="Arial MT" w:hAnsi="Garamond" w:cs="Arial MT"/>
          <w:sz w:val="20"/>
          <w:szCs w:val="20"/>
          <w:lang w:val="es-ES"/>
        </w:rPr>
        <w:t>magen 21</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Gasto anual, código UNSPSC 721540</w:t>
      </w:r>
    </w:p>
    <w:p w14:paraId="7B7CF485" w14:textId="77777777" w:rsidR="00C81C67" w:rsidRPr="00C050A9" w:rsidRDefault="00C81C67"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03BD96A5" w14:textId="77777777" w:rsidR="00C81C67" w:rsidRDefault="0068116C" w:rsidP="002A4BF2">
      <w:pPr>
        <w:spacing w:line="240" w:lineRule="auto"/>
        <w:jc w:val="center"/>
        <w:rPr>
          <w:rFonts w:ascii="Garamond" w:eastAsia="Arial MT" w:hAnsi="Garamond" w:cs="Arial MT"/>
          <w:sz w:val="20"/>
          <w:szCs w:val="20"/>
          <w:lang w:val="es-ES"/>
        </w:rPr>
      </w:pPr>
      <w:hyperlink r:id="rId120" w:history="1">
        <w:r w:rsidR="00C81C67"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B48E307" w14:textId="77777777" w:rsidR="00C81C67" w:rsidRDefault="00C81C67" w:rsidP="002A4BF2">
      <w:pPr>
        <w:spacing w:line="240" w:lineRule="auto"/>
        <w:jc w:val="center"/>
        <w:rPr>
          <w:rFonts w:ascii="Garamond" w:eastAsia="Arial MT" w:hAnsi="Garamond" w:cs="Arial MT"/>
          <w:sz w:val="20"/>
          <w:szCs w:val="20"/>
          <w:lang w:val="es-ES"/>
        </w:rPr>
      </w:pPr>
      <w:r w:rsidRPr="00C81C67">
        <w:rPr>
          <w:rFonts w:ascii="Garamond" w:hAnsi="Garamond" w:cs="Arial"/>
          <w:noProof/>
          <w:sz w:val="24"/>
          <w:szCs w:val="24"/>
          <w:lang w:eastAsia="es-CO"/>
        </w:rPr>
        <w:drawing>
          <wp:anchor distT="0" distB="0" distL="114300" distR="114300" simplePos="0" relativeHeight="251682816" behindDoc="0" locked="0" layoutInCell="1" allowOverlap="1" wp14:anchorId="6059E5E2" wp14:editId="73D4F873">
            <wp:simplePos x="0" y="0"/>
            <wp:positionH relativeFrom="column">
              <wp:posOffset>-356235</wp:posOffset>
            </wp:positionH>
            <wp:positionV relativeFrom="paragraph">
              <wp:posOffset>160020</wp:posOffset>
            </wp:positionV>
            <wp:extent cx="6466323" cy="514350"/>
            <wp:effectExtent l="0" t="0" r="0" b="0"/>
            <wp:wrapNone/>
            <wp:docPr id="1997869476" name="Imagen 1997869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extLst>
                        <a:ext uri="{28A0092B-C50C-407E-A947-70E740481C1C}">
                          <a14:useLocalDpi xmlns:a14="http://schemas.microsoft.com/office/drawing/2010/main" val="0"/>
                        </a:ext>
                      </a:extLst>
                    </a:blip>
                    <a:stretch>
                      <a:fillRect/>
                    </a:stretch>
                  </pic:blipFill>
                  <pic:spPr>
                    <a:xfrm>
                      <a:off x="0" y="0"/>
                      <a:ext cx="6466323" cy="514350"/>
                    </a:xfrm>
                    <a:prstGeom prst="rect">
                      <a:avLst/>
                    </a:prstGeom>
                  </pic:spPr>
                </pic:pic>
              </a:graphicData>
            </a:graphic>
          </wp:anchor>
        </w:drawing>
      </w:r>
    </w:p>
    <w:p w14:paraId="563A4807" w14:textId="77777777" w:rsidR="00C81C67" w:rsidRDefault="00C81C67" w:rsidP="002A4BF2">
      <w:pPr>
        <w:spacing w:line="240" w:lineRule="auto"/>
        <w:jc w:val="center"/>
        <w:rPr>
          <w:rFonts w:ascii="Garamond" w:eastAsia="Arial MT" w:hAnsi="Garamond" w:cs="Arial MT"/>
          <w:sz w:val="20"/>
          <w:szCs w:val="20"/>
          <w:lang w:val="es-ES"/>
        </w:rPr>
      </w:pPr>
    </w:p>
    <w:p w14:paraId="14EA0F22" w14:textId="77777777" w:rsidR="00C81C67" w:rsidRDefault="00C81C67" w:rsidP="002A4BF2">
      <w:pPr>
        <w:spacing w:line="240" w:lineRule="auto"/>
        <w:jc w:val="center"/>
        <w:rPr>
          <w:rFonts w:ascii="Garamond" w:eastAsia="Arial MT" w:hAnsi="Garamond" w:cs="Arial MT"/>
          <w:sz w:val="20"/>
          <w:szCs w:val="20"/>
          <w:lang w:val="es-ES"/>
        </w:rPr>
      </w:pPr>
    </w:p>
    <w:p w14:paraId="725355FA" w14:textId="77777777" w:rsidR="00C81C67" w:rsidRPr="00C050A9" w:rsidRDefault="00C81C67" w:rsidP="002A4BF2">
      <w:pPr>
        <w:spacing w:after="0" w:line="240" w:lineRule="auto"/>
        <w:jc w:val="center"/>
        <w:rPr>
          <w:rFonts w:ascii="Garamond" w:eastAsia="Arial MT" w:hAnsi="Garamond" w:cs="Arial MT"/>
          <w:sz w:val="20"/>
          <w:szCs w:val="20"/>
          <w:lang w:val="es-ES"/>
        </w:rPr>
      </w:pPr>
      <w:r>
        <w:rPr>
          <w:rFonts w:ascii="Garamond" w:hAnsi="Garamond" w:cs="Arial"/>
          <w:sz w:val="24"/>
          <w:szCs w:val="24"/>
        </w:rPr>
        <w:tab/>
      </w:r>
      <w:r>
        <w:rPr>
          <w:rFonts w:ascii="Garamond" w:eastAsia="Arial MT" w:hAnsi="Garamond" w:cs="Arial MT"/>
          <w:sz w:val="20"/>
          <w:szCs w:val="20"/>
          <w:lang w:val="es-ES"/>
        </w:rPr>
        <w:t>I</w:t>
      </w:r>
      <w:r w:rsidR="00176467">
        <w:rPr>
          <w:rFonts w:ascii="Garamond" w:eastAsia="Arial MT" w:hAnsi="Garamond" w:cs="Arial MT"/>
          <w:sz w:val="20"/>
          <w:szCs w:val="20"/>
          <w:lang w:val="es-ES"/>
        </w:rPr>
        <w:t>magen 22.</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Gasto anual, código UNSPSC 721540</w:t>
      </w:r>
    </w:p>
    <w:p w14:paraId="021654BB" w14:textId="77777777" w:rsidR="00C81C67" w:rsidRPr="00C050A9" w:rsidRDefault="00C81C67"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2DBD359E" w14:textId="77777777" w:rsidR="00C81C67" w:rsidRDefault="0068116C" w:rsidP="002A4BF2">
      <w:pPr>
        <w:spacing w:line="240" w:lineRule="auto"/>
        <w:jc w:val="center"/>
        <w:rPr>
          <w:rFonts w:ascii="Garamond" w:eastAsia="Arial MT" w:hAnsi="Garamond" w:cs="Arial MT"/>
          <w:sz w:val="20"/>
          <w:szCs w:val="20"/>
          <w:lang w:val="es-ES"/>
        </w:rPr>
      </w:pPr>
      <w:hyperlink r:id="rId122" w:history="1">
        <w:r w:rsidR="00C81C67"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4EBEC445" w14:textId="77777777" w:rsidR="00C81C67" w:rsidRDefault="00C81C67" w:rsidP="002A4BF2">
      <w:pPr>
        <w:tabs>
          <w:tab w:val="left" w:pos="3390"/>
        </w:tabs>
        <w:spacing w:line="240" w:lineRule="auto"/>
        <w:rPr>
          <w:rFonts w:ascii="Garamond" w:hAnsi="Garamond" w:cs="Arial"/>
          <w:sz w:val="24"/>
          <w:szCs w:val="24"/>
        </w:rPr>
      </w:pPr>
      <w:r w:rsidRPr="00C81C67">
        <w:rPr>
          <w:rFonts w:ascii="Garamond" w:hAnsi="Garamond" w:cs="Arial"/>
          <w:noProof/>
          <w:sz w:val="24"/>
          <w:szCs w:val="24"/>
          <w:lang w:eastAsia="es-CO"/>
        </w:rPr>
        <w:lastRenderedPageBreak/>
        <w:drawing>
          <wp:inline distT="0" distB="0" distL="0" distR="0" wp14:anchorId="4C4C3C74" wp14:editId="23B7FE8A">
            <wp:extent cx="5612130" cy="3193415"/>
            <wp:effectExtent l="0" t="0" r="7620" b="6985"/>
            <wp:docPr id="1997869478" name="Imagen 1997869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612130" cy="3193415"/>
                    </a:xfrm>
                    <a:prstGeom prst="rect">
                      <a:avLst/>
                    </a:prstGeom>
                  </pic:spPr>
                </pic:pic>
              </a:graphicData>
            </a:graphic>
          </wp:inline>
        </w:drawing>
      </w:r>
    </w:p>
    <w:p w14:paraId="077C5BB1" w14:textId="77777777" w:rsidR="00C81C67" w:rsidRPr="00C050A9" w:rsidRDefault="00C81C67" w:rsidP="002A4BF2">
      <w:pPr>
        <w:spacing w:after="0" w:line="240" w:lineRule="auto"/>
        <w:jc w:val="center"/>
        <w:rPr>
          <w:rFonts w:ascii="Garamond" w:eastAsia="Arial MT" w:hAnsi="Garamond" w:cs="Arial MT"/>
          <w:sz w:val="20"/>
          <w:szCs w:val="20"/>
          <w:lang w:val="es-ES"/>
        </w:rPr>
      </w:pPr>
      <w:r>
        <w:rPr>
          <w:rFonts w:ascii="Garamond" w:hAnsi="Garamond" w:cs="Arial"/>
          <w:sz w:val="24"/>
          <w:szCs w:val="24"/>
        </w:rPr>
        <w:tab/>
      </w:r>
      <w:r>
        <w:rPr>
          <w:rFonts w:ascii="Garamond" w:eastAsia="Arial MT" w:hAnsi="Garamond" w:cs="Arial MT"/>
          <w:sz w:val="20"/>
          <w:szCs w:val="20"/>
          <w:lang w:val="es-ES"/>
        </w:rPr>
        <w:t>I</w:t>
      </w:r>
      <w:r w:rsidR="00176467">
        <w:rPr>
          <w:rFonts w:ascii="Garamond" w:eastAsia="Arial MT" w:hAnsi="Garamond" w:cs="Arial MT"/>
          <w:sz w:val="20"/>
          <w:szCs w:val="20"/>
          <w:lang w:val="es-ES"/>
        </w:rPr>
        <w:t>magen 23</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proveedor, código UNSPSC 721540</w:t>
      </w:r>
    </w:p>
    <w:p w14:paraId="48D659DC" w14:textId="77777777" w:rsidR="00C81C67" w:rsidRPr="00C050A9" w:rsidRDefault="00C81C67"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62422E7A" w14:textId="77777777" w:rsidR="00C81C67" w:rsidRDefault="0068116C" w:rsidP="002A4BF2">
      <w:pPr>
        <w:spacing w:line="240" w:lineRule="auto"/>
        <w:jc w:val="center"/>
        <w:rPr>
          <w:rFonts w:ascii="Garamond" w:eastAsia="Arial MT" w:hAnsi="Garamond" w:cs="Arial MT"/>
          <w:sz w:val="20"/>
          <w:szCs w:val="20"/>
          <w:lang w:val="es-ES"/>
        </w:rPr>
      </w:pPr>
      <w:hyperlink r:id="rId124" w:history="1">
        <w:r w:rsidR="00C81C67"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FFDEB32" w14:textId="77777777" w:rsidR="003A222E" w:rsidRDefault="003A222E" w:rsidP="002A4BF2">
      <w:pPr>
        <w:tabs>
          <w:tab w:val="left" w:pos="5490"/>
        </w:tabs>
        <w:spacing w:line="240" w:lineRule="auto"/>
        <w:rPr>
          <w:rFonts w:ascii="Garamond" w:hAnsi="Garamond" w:cs="Arial"/>
          <w:sz w:val="24"/>
          <w:szCs w:val="24"/>
        </w:rPr>
      </w:pPr>
      <w:r w:rsidRPr="003A222E">
        <w:rPr>
          <w:rFonts w:ascii="Garamond" w:hAnsi="Garamond" w:cs="Arial"/>
          <w:noProof/>
          <w:sz w:val="24"/>
          <w:szCs w:val="24"/>
          <w:lang w:eastAsia="es-CO"/>
        </w:rPr>
        <w:drawing>
          <wp:inline distT="0" distB="0" distL="0" distR="0" wp14:anchorId="64ACCA26" wp14:editId="53D401B9">
            <wp:extent cx="5612130" cy="3178810"/>
            <wp:effectExtent l="0" t="0" r="7620" b="2540"/>
            <wp:docPr id="1997869479" name="Imagen 1997869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612130" cy="3178810"/>
                    </a:xfrm>
                    <a:prstGeom prst="rect">
                      <a:avLst/>
                    </a:prstGeom>
                  </pic:spPr>
                </pic:pic>
              </a:graphicData>
            </a:graphic>
          </wp:inline>
        </w:drawing>
      </w:r>
    </w:p>
    <w:p w14:paraId="6B348DB7" w14:textId="77777777" w:rsidR="003A222E" w:rsidRPr="00C050A9" w:rsidRDefault="003A222E" w:rsidP="002A4BF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w:t>
      </w:r>
      <w:r w:rsidR="00176467">
        <w:rPr>
          <w:rFonts w:ascii="Garamond" w:eastAsia="Arial MT" w:hAnsi="Garamond" w:cs="Arial MT"/>
          <w:sz w:val="20"/>
          <w:szCs w:val="20"/>
          <w:lang w:val="es-ES"/>
        </w:rPr>
        <w:t>magen 24</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código UNSPSC 721540</w:t>
      </w:r>
    </w:p>
    <w:p w14:paraId="5A2D9A4B" w14:textId="77777777" w:rsidR="003A222E" w:rsidRPr="00C050A9" w:rsidRDefault="003A222E"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22850FFB" w14:textId="77777777" w:rsidR="003A222E" w:rsidRDefault="0068116C" w:rsidP="002A4BF2">
      <w:pPr>
        <w:spacing w:line="240" w:lineRule="auto"/>
        <w:jc w:val="center"/>
        <w:rPr>
          <w:rFonts w:ascii="Garamond" w:eastAsia="Arial MT" w:hAnsi="Garamond" w:cs="Arial MT"/>
          <w:sz w:val="20"/>
          <w:szCs w:val="20"/>
          <w:lang w:val="es-ES"/>
        </w:rPr>
      </w:pPr>
      <w:hyperlink r:id="rId126" w:history="1">
        <w:r w:rsidR="003A222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5C2D6C4" w14:textId="77777777" w:rsidR="00B14A7D" w:rsidRDefault="00B14A7D" w:rsidP="002A4BF2">
      <w:pPr>
        <w:spacing w:line="240" w:lineRule="auto"/>
        <w:jc w:val="center"/>
        <w:rPr>
          <w:rFonts w:ascii="Garamond" w:eastAsia="Arial MT" w:hAnsi="Garamond" w:cs="Arial MT"/>
          <w:sz w:val="20"/>
          <w:szCs w:val="20"/>
          <w:lang w:val="es-ES"/>
        </w:rPr>
      </w:pPr>
    </w:p>
    <w:p w14:paraId="7EB5FB16" w14:textId="77777777" w:rsidR="00F53D8D" w:rsidRDefault="00F53D8D" w:rsidP="002A4BF2">
      <w:pPr>
        <w:spacing w:line="240" w:lineRule="auto"/>
        <w:jc w:val="center"/>
        <w:rPr>
          <w:rFonts w:ascii="Garamond" w:hAnsi="Garamond" w:cs="Arial"/>
          <w:sz w:val="24"/>
          <w:szCs w:val="24"/>
        </w:rPr>
      </w:pPr>
      <w:r w:rsidRPr="00F53D8D">
        <w:rPr>
          <w:rFonts w:ascii="Garamond" w:hAnsi="Garamond" w:cs="Arial"/>
          <w:noProof/>
          <w:sz w:val="24"/>
          <w:szCs w:val="24"/>
          <w:lang w:eastAsia="es-CO"/>
        </w:rPr>
        <w:drawing>
          <wp:anchor distT="0" distB="0" distL="114300" distR="114300" simplePos="0" relativeHeight="251684864" behindDoc="0" locked="0" layoutInCell="1" allowOverlap="1" wp14:anchorId="075301F5" wp14:editId="167ECF20">
            <wp:simplePos x="0" y="0"/>
            <wp:positionH relativeFrom="column">
              <wp:posOffset>-632461</wp:posOffset>
            </wp:positionH>
            <wp:positionV relativeFrom="paragraph">
              <wp:posOffset>53975</wp:posOffset>
            </wp:positionV>
            <wp:extent cx="6837113" cy="914400"/>
            <wp:effectExtent l="0" t="0" r="1905" b="0"/>
            <wp:wrapNone/>
            <wp:docPr id="1997869481" name="Imagen 1997869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6845909" cy="915576"/>
                    </a:xfrm>
                    <a:prstGeom prst="rect">
                      <a:avLst/>
                    </a:prstGeom>
                  </pic:spPr>
                </pic:pic>
              </a:graphicData>
            </a:graphic>
            <wp14:sizeRelH relativeFrom="margin">
              <wp14:pctWidth>0</wp14:pctWidth>
            </wp14:sizeRelH>
            <wp14:sizeRelV relativeFrom="margin">
              <wp14:pctHeight>0</wp14:pctHeight>
            </wp14:sizeRelV>
          </wp:anchor>
        </w:drawing>
      </w:r>
    </w:p>
    <w:p w14:paraId="266E6BB0" w14:textId="77777777" w:rsidR="00F53D8D" w:rsidRPr="00F53D8D" w:rsidRDefault="00F53D8D" w:rsidP="002A4BF2">
      <w:pPr>
        <w:spacing w:line="240" w:lineRule="auto"/>
        <w:rPr>
          <w:rFonts w:ascii="Garamond" w:hAnsi="Garamond" w:cs="Arial"/>
          <w:sz w:val="24"/>
          <w:szCs w:val="24"/>
        </w:rPr>
      </w:pPr>
    </w:p>
    <w:p w14:paraId="7525F99A" w14:textId="77777777" w:rsidR="00F53D8D" w:rsidRDefault="00F53D8D" w:rsidP="002A4BF2">
      <w:pPr>
        <w:spacing w:line="240" w:lineRule="auto"/>
        <w:rPr>
          <w:rFonts w:ascii="Garamond" w:hAnsi="Garamond" w:cs="Arial"/>
          <w:sz w:val="24"/>
          <w:szCs w:val="24"/>
        </w:rPr>
      </w:pPr>
    </w:p>
    <w:p w14:paraId="4CE591C4" w14:textId="77777777" w:rsidR="00F53D8D" w:rsidRDefault="00F53D8D" w:rsidP="002A4BF2">
      <w:pPr>
        <w:tabs>
          <w:tab w:val="left" w:pos="2790"/>
        </w:tabs>
        <w:spacing w:line="240" w:lineRule="auto"/>
        <w:rPr>
          <w:rFonts w:ascii="Garamond" w:hAnsi="Garamond" w:cs="Arial"/>
          <w:sz w:val="24"/>
          <w:szCs w:val="24"/>
        </w:rPr>
      </w:pPr>
      <w:r>
        <w:rPr>
          <w:rFonts w:ascii="Garamond" w:hAnsi="Garamond" w:cs="Arial"/>
          <w:sz w:val="24"/>
          <w:szCs w:val="24"/>
        </w:rPr>
        <w:tab/>
      </w:r>
      <w:r w:rsidRPr="00F53D8D">
        <w:rPr>
          <w:rFonts w:ascii="Garamond" w:hAnsi="Garamond" w:cs="Arial"/>
          <w:noProof/>
          <w:sz w:val="24"/>
          <w:szCs w:val="24"/>
          <w:lang w:eastAsia="es-CO"/>
        </w:rPr>
        <w:drawing>
          <wp:inline distT="0" distB="0" distL="0" distR="0" wp14:anchorId="19DCBE2B" wp14:editId="44782C4C">
            <wp:extent cx="5612130" cy="1057275"/>
            <wp:effectExtent l="0" t="0" r="7620" b="9525"/>
            <wp:docPr id="1997869482" name="Imagen 1997869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612130" cy="1057275"/>
                    </a:xfrm>
                    <a:prstGeom prst="rect">
                      <a:avLst/>
                    </a:prstGeom>
                  </pic:spPr>
                </pic:pic>
              </a:graphicData>
            </a:graphic>
          </wp:inline>
        </w:drawing>
      </w:r>
    </w:p>
    <w:p w14:paraId="1E15D9C2" w14:textId="77777777" w:rsidR="00F53D8D" w:rsidRPr="00C050A9" w:rsidRDefault="00F53D8D" w:rsidP="002A4BF2">
      <w:pPr>
        <w:spacing w:after="0" w:line="240" w:lineRule="auto"/>
        <w:jc w:val="center"/>
        <w:rPr>
          <w:rFonts w:ascii="Garamond" w:eastAsia="Arial MT" w:hAnsi="Garamond" w:cs="Arial MT"/>
          <w:sz w:val="20"/>
          <w:szCs w:val="20"/>
          <w:lang w:val="es-ES"/>
        </w:rPr>
      </w:pPr>
      <w:r>
        <w:rPr>
          <w:rFonts w:ascii="Garamond" w:hAnsi="Garamond" w:cs="Arial"/>
          <w:sz w:val="24"/>
          <w:szCs w:val="24"/>
        </w:rPr>
        <w:tab/>
      </w:r>
      <w:r>
        <w:rPr>
          <w:rFonts w:ascii="Garamond" w:eastAsia="Arial MT" w:hAnsi="Garamond" w:cs="Arial MT"/>
          <w:sz w:val="20"/>
          <w:szCs w:val="20"/>
          <w:lang w:val="es-ES"/>
        </w:rPr>
        <w:t>Ima</w:t>
      </w:r>
      <w:r w:rsidR="00176467">
        <w:rPr>
          <w:rFonts w:ascii="Garamond" w:eastAsia="Arial MT" w:hAnsi="Garamond" w:cs="Arial MT"/>
          <w:sz w:val="20"/>
          <w:szCs w:val="20"/>
          <w:lang w:val="es-ES"/>
        </w:rPr>
        <w:t>gen 25</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Comportamiento contratación y servicios, código UNSPSC 721540</w:t>
      </w:r>
    </w:p>
    <w:p w14:paraId="474F9AE1" w14:textId="77777777" w:rsidR="00F53D8D" w:rsidRPr="00C050A9" w:rsidRDefault="00F53D8D" w:rsidP="002A4BF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53F57471" w14:textId="77777777" w:rsidR="00F53D8D" w:rsidRDefault="0068116C" w:rsidP="002A4BF2">
      <w:pPr>
        <w:spacing w:line="240" w:lineRule="auto"/>
        <w:jc w:val="center"/>
        <w:rPr>
          <w:rFonts w:ascii="Garamond" w:eastAsia="Arial MT" w:hAnsi="Garamond" w:cs="Arial MT"/>
          <w:sz w:val="20"/>
          <w:szCs w:val="20"/>
          <w:lang w:val="es-ES"/>
        </w:rPr>
      </w:pPr>
      <w:hyperlink r:id="rId129" w:history="1">
        <w:r w:rsidR="00F53D8D"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A80F091" w14:textId="314862A8" w:rsidR="00B14A7D" w:rsidRDefault="00B14A7D" w:rsidP="002A4BF2">
      <w:pPr>
        <w:pStyle w:val="Textoindependiente"/>
        <w:spacing w:before="93"/>
        <w:ind w:left="1440"/>
        <w:jc w:val="both"/>
        <w:rPr>
          <w:rFonts w:ascii="Garamond" w:hAnsi="Garamond"/>
          <w:sz w:val="24"/>
          <w:szCs w:val="24"/>
        </w:rPr>
      </w:pPr>
    </w:p>
    <w:p w14:paraId="60F5C26C" w14:textId="12C545B7" w:rsidR="0077032A" w:rsidRPr="0077032A" w:rsidRDefault="0077032A" w:rsidP="0077032A">
      <w:pPr>
        <w:pStyle w:val="Textoindependiente"/>
        <w:spacing w:before="93"/>
        <w:jc w:val="both"/>
        <w:rPr>
          <w:rFonts w:ascii="Garamond" w:hAnsi="Garamond"/>
          <w:b/>
          <w:sz w:val="24"/>
          <w:szCs w:val="24"/>
        </w:rPr>
      </w:pPr>
      <w:r w:rsidRPr="0077032A">
        <w:rPr>
          <w:rFonts w:ascii="Garamond" w:hAnsi="Garamond"/>
          <w:b/>
          <w:sz w:val="24"/>
          <w:szCs w:val="24"/>
        </w:rPr>
        <w:t>Distribución del tamaño empresarial</w:t>
      </w:r>
    </w:p>
    <w:p w14:paraId="40FD9748" w14:textId="717E8D71" w:rsidR="0077032A" w:rsidRDefault="0077032A" w:rsidP="0077032A">
      <w:pPr>
        <w:pStyle w:val="Textoindependiente"/>
        <w:spacing w:before="93"/>
        <w:jc w:val="both"/>
        <w:rPr>
          <w:rFonts w:ascii="Garamond" w:hAnsi="Garamond"/>
          <w:sz w:val="24"/>
          <w:szCs w:val="24"/>
        </w:rPr>
      </w:pPr>
      <w:r w:rsidRPr="0077032A">
        <w:rPr>
          <w:rFonts w:ascii="Garamond" w:hAnsi="Garamond"/>
          <w:sz w:val="24"/>
          <w:szCs w:val="24"/>
        </w:rPr>
        <w:t xml:space="preserve">En cuanto a la distribución de las empresas del sector se tomó como referencia las actividades económicas relacionadas con el proceso, 7110 actividades de arquitectura e ingeniería y otras actividades conexas de consultoría técnica, 4100 construcción de edificios, 4330 terminación y acabado de edificios, 4321 instalaciones eléctricas, y 4311 demolición. Para esto se consultó el sistema de información de </w:t>
      </w:r>
      <w:r>
        <w:rPr>
          <w:rFonts w:ascii="Garamond" w:hAnsi="Garamond"/>
          <w:sz w:val="24"/>
          <w:szCs w:val="24"/>
        </w:rPr>
        <w:t>super</w:t>
      </w:r>
      <w:r w:rsidRPr="0077032A">
        <w:rPr>
          <w:rFonts w:ascii="Garamond" w:hAnsi="Garamond"/>
          <w:sz w:val="24"/>
          <w:szCs w:val="24"/>
        </w:rPr>
        <w:t>sociedades donde se evidenció que la muestra registrada pertenece solamente a microempresas:</w:t>
      </w:r>
    </w:p>
    <w:p w14:paraId="1F052555" w14:textId="456FE534" w:rsidR="0077032A" w:rsidRDefault="0077032A" w:rsidP="0077032A">
      <w:pPr>
        <w:pStyle w:val="Textoindependiente"/>
        <w:spacing w:before="93"/>
        <w:jc w:val="center"/>
        <w:rPr>
          <w:rFonts w:ascii="Garamond" w:hAnsi="Garamond"/>
          <w:sz w:val="24"/>
          <w:szCs w:val="24"/>
        </w:rPr>
      </w:pPr>
      <w:r w:rsidRPr="0077032A">
        <w:rPr>
          <w:rFonts w:ascii="Garamond" w:hAnsi="Garamond"/>
          <w:noProof/>
          <w:sz w:val="24"/>
          <w:szCs w:val="24"/>
          <w:lang w:val="es-CO" w:eastAsia="es-CO"/>
        </w:rPr>
        <w:drawing>
          <wp:inline distT="0" distB="0" distL="0" distR="0" wp14:anchorId="3D367596" wp14:editId="124B2373">
            <wp:extent cx="2999573" cy="1175657"/>
            <wp:effectExtent l="0" t="0" r="0" b="571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3005067" cy="1177810"/>
                    </a:xfrm>
                    <a:prstGeom prst="rect">
                      <a:avLst/>
                    </a:prstGeom>
                  </pic:spPr>
                </pic:pic>
              </a:graphicData>
            </a:graphic>
          </wp:inline>
        </w:drawing>
      </w:r>
    </w:p>
    <w:p w14:paraId="334CAE73" w14:textId="44483F62" w:rsidR="0077032A" w:rsidRDefault="0077032A" w:rsidP="0077032A">
      <w:pPr>
        <w:pStyle w:val="Textoindependiente"/>
        <w:spacing w:before="93"/>
        <w:jc w:val="both"/>
        <w:rPr>
          <w:rFonts w:ascii="Garamond" w:hAnsi="Garamond"/>
          <w:sz w:val="24"/>
          <w:szCs w:val="24"/>
        </w:rPr>
      </w:pPr>
      <w:r w:rsidRPr="0077032A">
        <w:rPr>
          <w:rFonts w:ascii="Garamond" w:hAnsi="Garamond"/>
          <w:sz w:val="24"/>
          <w:szCs w:val="24"/>
        </w:rPr>
        <w:t>En las tipologías se revisaron la cantidad de unidades en el periodo 2024, evidenciado que las Pymes individuales predominan con un 87,43%.</w:t>
      </w:r>
    </w:p>
    <w:p w14:paraId="22B45E22" w14:textId="52E97C89" w:rsidR="0077032A" w:rsidRDefault="0077032A" w:rsidP="0077032A">
      <w:pPr>
        <w:pStyle w:val="Textoindependiente"/>
        <w:spacing w:before="93"/>
        <w:jc w:val="center"/>
        <w:rPr>
          <w:rFonts w:ascii="Garamond" w:hAnsi="Garamond"/>
          <w:sz w:val="24"/>
          <w:szCs w:val="24"/>
        </w:rPr>
      </w:pPr>
      <w:r w:rsidRPr="0077032A">
        <w:rPr>
          <w:rFonts w:ascii="Garamond" w:hAnsi="Garamond"/>
          <w:noProof/>
          <w:sz w:val="24"/>
          <w:szCs w:val="24"/>
          <w:lang w:val="es-CO" w:eastAsia="es-CO"/>
        </w:rPr>
        <w:lastRenderedPageBreak/>
        <w:drawing>
          <wp:inline distT="0" distB="0" distL="0" distR="0" wp14:anchorId="625B87AF" wp14:editId="6C711E56">
            <wp:extent cx="4391638" cy="1609950"/>
            <wp:effectExtent l="0" t="0" r="0" b="952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4391638" cy="1609950"/>
                    </a:xfrm>
                    <a:prstGeom prst="rect">
                      <a:avLst/>
                    </a:prstGeom>
                  </pic:spPr>
                </pic:pic>
              </a:graphicData>
            </a:graphic>
          </wp:inline>
        </w:drawing>
      </w:r>
    </w:p>
    <w:p w14:paraId="20531D7B" w14:textId="77777777" w:rsidR="0077032A" w:rsidRDefault="0077032A" w:rsidP="0077032A">
      <w:pPr>
        <w:pStyle w:val="Textoindependiente"/>
        <w:spacing w:before="93"/>
        <w:jc w:val="both"/>
        <w:rPr>
          <w:rFonts w:ascii="Garamond" w:hAnsi="Garamond"/>
          <w:sz w:val="24"/>
          <w:szCs w:val="24"/>
        </w:rPr>
      </w:pPr>
    </w:p>
    <w:p w14:paraId="5AE88CF5" w14:textId="6B473869" w:rsidR="0077032A" w:rsidRDefault="0077032A" w:rsidP="0077032A">
      <w:pPr>
        <w:pStyle w:val="Textoindependiente"/>
        <w:spacing w:before="93"/>
        <w:jc w:val="both"/>
        <w:rPr>
          <w:rFonts w:ascii="Garamond" w:hAnsi="Garamond"/>
          <w:sz w:val="24"/>
          <w:szCs w:val="24"/>
        </w:rPr>
      </w:pPr>
      <w:r w:rsidRPr="0077032A">
        <w:rPr>
          <w:rFonts w:ascii="Garamond" w:hAnsi="Garamond"/>
          <w:sz w:val="24"/>
          <w:szCs w:val="24"/>
        </w:rPr>
        <w:t xml:space="preserve">Adicionalmente la ubicación de las microempresas está en los principales departamentos de como Antioquia, Valle, Atlántico, Santander y Huila, las unidades se ubican </w:t>
      </w:r>
      <w:r>
        <w:rPr>
          <w:rFonts w:ascii="Garamond" w:hAnsi="Garamond"/>
          <w:sz w:val="24"/>
          <w:szCs w:val="24"/>
        </w:rPr>
        <w:t>mayoritariamente en Bogotá D.C.</w:t>
      </w:r>
    </w:p>
    <w:p w14:paraId="264BFD92" w14:textId="77777777" w:rsidR="0077032A" w:rsidRDefault="0077032A" w:rsidP="0077032A">
      <w:pPr>
        <w:pStyle w:val="Textoindependiente"/>
        <w:spacing w:before="93"/>
        <w:jc w:val="both"/>
        <w:rPr>
          <w:rFonts w:ascii="Garamond" w:hAnsi="Garamond"/>
          <w:sz w:val="24"/>
          <w:szCs w:val="24"/>
        </w:rPr>
      </w:pPr>
    </w:p>
    <w:tbl>
      <w:tblPr>
        <w:tblW w:w="0" w:type="auto"/>
        <w:tblCellSpacing w:w="1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2"/>
        <w:gridCol w:w="2410"/>
        <w:gridCol w:w="1559"/>
      </w:tblGrid>
      <w:tr w:rsidR="0077032A" w:rsidRPr="0077032A" w14:paraId="6BABDFF8" w14:textId="77777777" w:rsidTr="0077032A">
        <w:trPr>
          <w:tblHeader/>
          <w:tblCellSpacing w:w="15" w:type="dxa"/>
        </w:trPr>
        <w:tc>
          <w:tcPr>
            <w:tcW w:w="2507" w:type="dxa"/>
            <w:vAlign w:val="center"/>
            <w:hideMark/>
          </w:tcPr>
          <w:p w14:paraId="2FE53635" w14:textId="77777777" w:rsidR="0077032A" w:rsidRPr="0077032A" w:rsidRDefault="0077032A" w:rsidP="0077032A">
            <w:pPr>
              <w:spacing w:after="0" w:line="240" w:lineRule="auto"/>
              <w:jc w:val="center"/>
              <w:rPr>
                <w:rFonts w:ascii="Garamond" w:eastAsia="Times New Roman" w:hAnsi="Garamond" w:cs="Times New Roman"/>
                <w:b/>
                <w:bCs/>
                <w:lang w:eastAsia="es-CO"/>
              </w:rPr>
            </w:pPr>
            <w:r w:rsidRPr="0077032A">
              <w:rPr>
                <w:rFonts w:ascii="Garamond" w:eastAsia="Times New Roman" w:hAnsi="Garamond" w:cs="Times New Roman"/>
                <w:b/>
                <w:bCs/>
                <w:lang w:eastAsia="es-CO"/>
              </w:rPr>
              <w:t>Ubicación de empresa</w:t>
            </w:r>
          </w:p>
        </w:tc>
        <w:tc>
          <w:tcPr>
            <w:tcW w:w="2380" w:type="dxa"/>
            <w:vAlign w:val="center"/>
            <w:hideMark/>
          </w:tcPr>
          <w:p w14:paraId="075D6F17" w14:textId="77777777" w:rsidR="0077032A" w:rsidRPr="0077032A" w:rsidRDefault="0077032A" w:rsidP="0077032A">
            <w:pPr>
              <w:spacing w:after="0" w:line="240" w:lineRule="auto"/>
              <w:jc w:val="center"/>
              <w:rPr>
                <w:rFonts w:ascii="Garamond" w:eastAsia="Times New Roman" w:hAnsi="Garamond" w:cs="Times New Roman"/>
                <w:b/>
                <w:bCs/>
                <w:lang w:eastAsia="es-CO"/>
              </w:rPr>
            </w:pPr>
            <w:r w:rsidRPr="0077032A">
              <w:rPr>
                <w:rFonts w:ascii="Garamond" w:eastAsia="Times New Roman" w:hAnsi="Garamond" w:cs="Times New Roman"/>
                <w:b/>
                <w:bCs/>
                <w:lang w:eastAsia="es-CO"/>
              </w:rPr>
              <w:t>Cantidad por ubicación</w:t>
            </w:r>
          </w:p>
        </w:tc>
        <w:tc>
          <w:tcPr>
            <w:tcW w:w="1514" w:type="dxa"/>
            <w:vAlign w:val="center"/>
            <w:hideMark/>
          </w:tcPr>
          <w:p w14:paraId="267B850C" w14:textId="77777777" w:rsidR="0077032A" w:rsidRPr="0077032A" w:rsidRDefault="0077032A" w:rsidP="0077032A">
            <w:pPr>
              <w:spacing w:after="0" w:line="240" w:lineRule="auto"/>
              <w:jc w:val="center"/>
              <w:rPr>
                <w:rFonts w:ascii="Garamond" w:eastAsia="Times New Roman" w:hAnsi="Garamond" w:cs="Times New Roman"/>
                <w:b/>
                <w:bCs/>
                <w:lang w:eastAsia="es-CO"/>
              </w:rPr>
            </w:pPr>
            <w:r w:rsidRPr="0077032A">
              <w:rPr>
                <w:rFonts w:ascii="Garamond" w:eastAsia="Times New Roman" w:hAnsi="Garamond" w:cs="Times New Roman"/>
                <w:b/>
                <w:bCs/>
                <w:lang w:eastAsia="es-CO"/>
              </w:rPr>
              <w:t>% Participación</w:t>
            </w:r>
          </w:p>
        </w:tc>
      </w:tr>
      <w:tr w:rsidR="0077032A" w:rsidRPr="0077032A" w14:paraId="7949D7F1" w14:textId="77777777" w:rsidTr="0077032A">
        <w:trPr>
          <w:tblCellSpacing w:w="15" w:type="dxa"/>
        </w:trPr>
        <w:tc>
          <w:tcPr>
            <w:tcW w:w="2507" w:type="dxa"/>
            <w:vAlign w:val="center"/>
            <w:hideMark/>
          </w:tcPr>
          <w:p w14:paraId="3BBC194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BOGOTÁ D.C.</w:t>
            </w:r>
          </w:p>
        </w:tc>
        <w:tc>
          <w:tcPr>
            <w:tcW w:w="2380" w:type="dxa"/>
            <w:vAlign w:val="center"/>
            <w:hideMark/>
          </w:tcPr>
          <w:p w14:paraId="3A2310D0"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74</w:t>
            </w:r>
          </w:p>
        </w:tc>
        <w:tc>
          <w:tcPr>
            <w:tcW w:w="1514" w:type="dxa"/>
            <w:vAlign w:val="center"/>
            <w:hideMark/>
          </w:tcPr>
          <w:p w14:paraId="6E48C8BC"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42,29%</w:t>
            </w:r>
          </w:p>
        </w:tc>
      </w:tr>
      <w:tr w:rsidR="0077032A" w:rsidRPr="0077032A" w14:paraId="4C93B844" w14:textId="77777777" w:rsidTr="0077032A">
        <w:trPr>
          <w:tblCellSpacing w:w="15" w:type="dxa"/>
        </w:trPr>
        <w:tc>
          <w:tcPr>
            <w:tcW w:w="2507" w:type="dxa"/>
            <w:vAlign w:val="center"/>
            <w:hideMark/>
          </w:tcPr>
          <w:p w14:paraId="20EE3E4D"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ANTIOQUIA</w:t>
            </w:r>
          </w:p>
        </w:tc>
        <w:tc>
          <w:tcPr>
            <w:tcW w:w="2380" w:type="dxa"/>
            <w:vAlign w:val="center"/>
            <w:hideMark/>
          </w:tcPr>
          <w:p w14:paraId="6ED8CC4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26</w:t>
            </w:r>
          </w:p>
        </w:tc>
        <w:tc>
          <w:tcPr>
            <w:tcW w:w="1514" w:type="dxa"/>
            <w:vAlign w:val="center"/>
            <w:hideMark/>
          </w:tcPr>
          <w:p w14:paraId="0E221531"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14,86%</w:t>
            </w:r>
          </w:p>
        </w:tc>
      </w:tr>
      <w:tr w:rsidR="0077032A" w:rsidRPr="0077032A" w14:paraId="081B20B5" w14:textId="77777777" w:rsidTr="0077032A">
        <w:trPr>
          <w:tblCellSpacing w:w="15" w:type="dxa"/>
        </w:trPr>
        <w:tc>
          <w:tcPr>
            <w:tcW w:w="2507" w:type="dxa"/>
            <w:vAlign w:val="center"/>
            <w:hideMark/>
          </w:tcPr>
          <w:p w14:paraId="5A10DCC5"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VALLE</w:t>
            </w:r>
          </w:p>
        </w:tc>
        <w:tc>
          <w:tcPr>
            <w:tcW w:w="2380" w:type="dxa"/>
            <w:vAlign w:val="center"/>
            <w:hideMark/>
          </w:tcPr>
          <w:p w14:paraId="53F26A20"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19</w:t>
            </w:r>
          </w:p>
        </w:tc>
        <w:tc>
          <w:tcPr>
            <w:tcW w:w="1514" w:type="dxa"/>
            <w:vAlign w:val="center"/>
            <w:hideMark/>
          </w:tcPr>
          <w:p w14:paraId="15DE316F"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10,86%</w:t>
            </w:r>
          </w:p>
        </w:tc>
      </w:tr>
      <w:tr w:rsidR="0077032A" w:rsidRPr="0077032A" w14:paraId="6804A4BA" w14:textId="77777777" w:rsidTr="0077032A">
        <w:trPr>
          <w:tblCellSpacing w:w="15" w:type="dxa"/>
        </w:trPr>
        <w:tc>
          <w:tcPr>
            <w:tcW w:w="2507" w:type="dxa"/>
            <w:vAlign w:val="center"/>
            <w:hideMark/>
          </w:tcPr>
          <w:p w14:paraId="13C267C5"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ATLÁNTICO</w:t>
            </w:r>
          </w:p>
        </w:tc>
        <w:tc>
          <w:tcPr>
            <w:tcW w:w="2380" w:type="dxa"/>
            <w:vAlign w:val="center"/>
            <w:hideMark/>
          </w:tcPr>
          <w:p w14:paraId="2413A3E5"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15</w:t>
            </w:r>
          </w:p>
        </w:tc>
        <w:tc>
          <w:tcPr>
            <w:tcW w:w="1514" w:type="dxa"/>
            <w:vAlign w:val="center"/>
            <w:hideMark/>
          </w:tcPr>
          <w:p w14:paraId="20834BEE"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8,57%</w:t>
            </w:r>
          </w:p>
        </w:tc>
      </w:tr>
      <w:tr w:rsidR="0077032A" w:rsidRPr="0077032A" w14:paraId="2E947D03" w14:textId="77777777" w:rsidTr="0077032A">
        <w:trPr>
          <w:tblCellSpacing w:w="15" w:type="dxa"/>
        </w:trPr>
        <w:tc>
          <w:tcPr>
            <w:tcW w:w="2507" w:type="dxa"/>
            <w:vAlign w:val="center"/>
            <w:hideMark/>
          </w:tcPr>
          <w:p w14:paraId="1530676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SANTANDER</w:t>
            </w:r>
          </w:p>
        </w:tc>
        <w:tc>
          <w:tcPr>
            <w:tcW w:w="2380" w:type="dxa"/>
            <w:vAlign w:val="center"/>
            <w:hideMark/>
          </w:tcPr>
          <w:p w14:paraId="7CFBF9F0"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13</w:t>
            </w:r>
          </w:p>
        </w:tc>
        <w:tc>
          <w:tcPr>
            <w:tcW w:w="1514" w:type="dxa"/>
            <w:vAlign w:val="center"/>
            <w:hideMark/>
          </w:tcPr>
          <w:p w14:paraId="69B06160"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7,43%</w:t>
            </w:r>
          </w:p>
        </w:tc>
      </w:tr>
      <w:tr w:rsidR="0077032A" w:rsidRPr="0077032A" w14:paraId="42895256" w14:textId="77777777" w:rsidTr="0077032A">
        <w:trPr>
          <w:tblCellSpacing w:w="15" w:type="dxa"/>
        </w:trPr>
        <w:tc>
          <w:tcPr>
            <w:tcW w:w="2507" w:type="dxa"/>
            <w:vAlign w:val="center"/>
            <w:hideMark/>
          </w:tcPr>
          <w:p w14:paraId="118CAD77"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HUILA</w:t>
            </w:r>
          </w:p>
        </w:tc>
        <w:tc>
          <w:tcPr>
            <w:tcW w:w="2380" w:type="dxa"/>
            <w:vAlign w:val="center"/>
            <w:hideMark/>
          </w:tcPr>
          <w:p w14:paraId="5CE76BBF"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4</w:t>
            </w:r>
          </w:p>
        </w:tc>
        <w:tc>
          <w:tcPr>
            <w:tcW w:w="1514" w:type="dxa"/>
            <w:vAlign w:val="center"/>
            <w:hideMark/>
          </w:tcPr>
          <w:p w14:paraId="351D5D19"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2,29%</w:t>
            </w:r>
          </w:p>
        </w:tc>
      </w:tr>
      <w:tr w:rsidR="0077032A" w:rsidRPr="0077032A" w14:paraId="29B4379F" w14:textId="77777777" w:rsidTr="0077032A">
        <w:trPr>
          <w:tblCellSpacing w:w="15" w:type="dxa"/>
        </w:trPr>
        <w:tc>
          <w:tcPr>
            <w:tcW w:w="2507" w:type="dxa"/>
            <w:vAlign w:val="center"/>
            <w:hideMark/>
          </w:tcPr>
          <w:p w14:paraId="2928874F"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NORTE DE SANTANDER</w:t>
            </w:r>
          </w:p>
        </w:tc>
        <w:tc>
          <w:tcPr>
            <w:tcW w:w="2380" w:type="dxa"/>
            <w:vAlign w:val="center"/>
            <w:hideMark/>
          </w:tcPr>
          <w:p w14:paraId="12DBA1E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4</w:t>
            </w:r>
          </w:p>
        </w:tc>
        <w:tc>
          <w:tcPr>
            <w:tcW w:w="1514" w:type="dxa"/>
            <w:vAlign w:val="center"/>
            <w:hideMark/>
          </w:tcPr>
          <w:p w14:paraId="0EDF5B0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2,29%</w:t>
            </w:r>
          </w:p>
        </w:tc>
      </w:tr>
      <w:tr w:rsidR="0077032A" w:rsidRPr="0077032A" w14:paraId="04A1DAE8" w14:textId="77777777" w:rsidTr="0077032A">
        <w:trPr>
          <w:tblCellSpacing w:w="15" w:type="dxa"/>
        </w:trPr>
        <w:tc>
          <w:tcPr>
            <w:tcW w:w="2507" w:type="dxa"/>
            <w:vAlign w:val="center"/>
            <w:hideMark/>
          </w:tcPr>
          <w:p w14:paraId="01C68FF4"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CUNDINAMARCA</w:t>
            </w:r>
          </w:p>
        </w:tc>
        <w:tc>
          <w:tcPr>
            <w:tcW w:w="2380" w:type="dxa"/>
            <w:vAlign w:val="center"/>
            <w:hideMark/>
          </w:tcPr>
          <w:p w14:paraId="398D382B"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3</w:t>
            </w:r>
          </w:p>
        </w:tc>
        <w:tc>
          <w:tcPr>
            <w:tcW w:w="1514" w:type="dxa"/>
            <w:vAlign w:val="center"/>
            <w:hideMark/>
          </w:tcPr>
          <w:p w14:paraId="79B089C2"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1,71%</w:t>
            </w:r>
          </w:p>
        </w:tc>
      </w:tr>
      <w:tr w:rsidR="0077032A" w:rsidRPr="0077032A" w14:paraId="46993306" w14:textId="77777777" w:rsidTr="0077032A">
        <w:trPr>
          <w:tblCellSpacing w:w="15" w:type="dxa"/>
        </w:trPr>
        <w:tc>
          <w:tcPr>
            <w:tcW w:w="2507" w:type="dxa"/>
            <w:vAlign w:val="center"/>
            <w:hideMark/>
          </w:tcPr>
          <w:p w14:paraId="50579A79"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META</w:t>
            </w:r>
          </w:p>
        </w:tc>
        <w:tc>
          <w:tcPr>
            <w:tcW w:w="2380" w:type="dxa"/>
            <w:vAlign w:val="center"/>
            <w:hideMark/>
          </w:tcPr>
          <w:p w14:paraId="4BCDE388"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3</w:t>
            </w:r>
          </w:p>
        </w:tc>
        <w:tc>
          <w:tcPr>
            <w:tcW w:w="1514" w:type="dxa"/>
            <w:vAlign w:val="center"/>
            <w:hideMark/>
          </w:tcPr>
          <w:p w14:paraId="349EAE80"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1,71%</w:t>
            </w:r>
          </w:p>
        </w:tc>
      </w:tr>
      <w:tr w:rsidR="0077032A" w:rsidRPr="0077032A" w14:paraId="210BEBC0" w14:textId="77777777" w:rsidTr="0077032A">
        <w:trPr>
          <w:tblCellSpacing w:w="15" w:type="dxa"/>
        </w:trPr>
        <w:tc>
          <w:tcPr>
            <w:tcW w:w="2507" w:type="dxa"/>
            <w:vAlign w:val="center"/>
            <w:hideMark/>
          </w:tcPr>
          <w:p w14:paraId="7E4754CD"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BOLÍVAR</w:t>
            </w:r>
          </w:p>
        </w:tc>
        <w:tc>
          <w:tcPr>
            <w:tcW w:w="2380" w:type="dxa"/>
            <w:vAlign w:val="center"/>
            <w:hideMark/>
          </w:tcPr>
          <w:p w14:paraId="118D44B2"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2</w:t>
            </w:r>
          </w:p>
        </w:tc>
        <w:tc>
          <w:tcPr>
            <w:tcW w:w="1514" w:type="dxa"/>
            <w:vAlign w:val="center"/>
            <w:hideMark/>
          </w:tcPr>
          <w:p w14:paraId="73911CD4"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1,14%</w:t>
            </w:r>
          </w:p>
        </w:tc>
      </w:tr>
      <w:tr w:rsidR="0077032A" w:rsidRPr="0077032A" w14:paraId="0EDCFBE4" w14:textId="77777777" w:rsidTr="0077032A">
        <w:trPr>
          <w:tblCellSpacing w:w="15" w:type="dxa"/>
        </w:trPr>
        <w:tc>
          <w:tcPr>
            <w:tcW w:w="2507" w:type="dxa"/>
            <w:vAlign w:val="center"/>
            <w:hideMark/>
          </w:tcPr>
          <w:p w14:paraId="615FEC9B"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CASANARE</w:t>
            </w:r>
          </w:p>
        </w:tc>
        <w:tc>
          <w:tcPr>
            <w:tcW w:w="2380" w:type="dxa"/>
            <w:vAlign w:val="center"/>
            <w:hideMark/>
          </w:tcPr>
          <w:p w14:paraId="3804D791"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2</w:t>
            </w:r>
          </w:p>
        </w:tc>
        <w:tc>
          <w:tcPr>
            <w:tcW w:w="1514" w:type="dxa"/>
            <w:vAlign w:val="center"/>
            <w:hideMark/>
          </w:tcPr>
          <w:p w14:paraId="2CCEA6AD"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1,14%</w:t>
            </w:r>
          </w:p>
        </w:tc>
      </w:tr>
      <w:tr w:rsidR="0077032A" w:rsidRPr="0077032A" w14:paraId="122E8B40" w14:textId="77777777" w:rsidTr="0077032A">
        <w:trPr>
          <w:tblCellSpacing w:w="15" w:type="dxa"/>
        </w:trPr>
        <w:tc>
          <w:tcPr>
            <w:tcW w:w="2507" w:type="dxa"/>
            <w:vAlign w:val="center"/>
            <w:hideMark/>
          </w:tcPr>
          <w:p w14:paraId="4EB8006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CESAR</w:t>
            </w:r>
          </w:p>
        </w:tc>
        <w:tc>
          <w:tcPr>
            <w:tcW w:w="2380" w:type="dxa"/>
            <w:vAlign w:val="center"/>
            <w:hideMark/>
          </w:tcPr>
          <w:p w14:paraId="03F4D141"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2</w:t>
            </w:r>
          </w:p>
        </w:tc>
        <w:tc>
          <w:tcPr>
            <w:tcW w:w="1514" w:type="dxa"/>
            <w:vAlign w:val="center"/>
            <w:hideMark/>
          </w:tcPr>
          <w:p w14:paraId="620C6FEC"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1,14%</w:t>
            </w:r>
          </w:p>
        </w:tc>
      </w:tr>
      <w:tr w:rsidR="0077032A" w:rsidRPr="0077032A" w14:paraId="519C2808" w14:textId="77777777" w:rsidTr="0077032A">
        <w:trPr>
          <w:tblCellSpacing w:w="15" w:type="dxa"/>
        </w:trPr>
        <w:tc>
          <w:tcPr>
            <w:tcW w:w="2507" w:type="dxa"/>
            <w:vAlign w:val="center"/>
            <w:hideMark/>
          </w:tcPr>
          <w:p w14:paraId="1EA0D9E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RISARALDA</w:t>
            </w:r>
          </w:p>
        </w:tc>
        <w:tc>
          <w:tcPr>
            <w:tcW w:w="2380" w:type="dxa"/>
            <w:vAlign w:val="center"/>
            <w:hideMark/>
          </w:tcPr>
          <w:p w14:paraId="1BD49A4F"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2</w:t>
            </w:r>
          </w:p>
        </w:tc>
        <w:tc>
          <w:tcPr>
            <w:tcW w:w="1514" w:type="dxa"/>
            <w:vAlign w:val="center"/>
            <w:hideMark/>
          </w:tcPr>
          <w:p w14:paraId="46309A4C"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1,14%</w:t>
            </w:r>
          </w:p>
        </w:tc>
      </w:tr>
      <w:tr w:rsidR="0077032A" w:rsidRPr="0077032A" w14:paraId="77A0C6CB" w14:textId="77777777" w:rsidTr="0077032A">
        <w:trPr>
          <w:tblCellSpacing w:w="15" w:type="dxa"/>
        </w:trPr>
        <w:tc>
          <w:tcPr>
            <w:tcW w:w="2507" w:type="dxa"/>
            <w:vAlign w:val="center"/>
            <w:hideMark/>
          </w:tcPr>
          <w:p w14:paraId="6EB88D40"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ARAUCA</w:t>
            </w:r>
          </w:p>
        </w:tc>
        <w:tc>
          <w:tcPr>
            <w:tcW w:w="2380" w:type="dxa"/>
            <w:vAlign w:val="center"/>
            <w:hideMark/>
          </w:tcPr>
          <w:p w14:paraId="390FC1FE"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w:t>
            </w:r>
          </w:p>
        </w:tc>
        <w:tc>
          <w:tcPr>
            <w:tcW w:w="1514" w:type="dxa"/>
            <w:vAlign w:val="center"/>
            <w:hideMark/>
          </w:tcPr>
          <w:p w14:paraId="2C91FCEC"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0,57%</w:t>
            </w:r>
          </w:p>
        </w:tc>
      </w:tr>
      <w:tr w:rsidR="0077032A" w:rsidRPr="0077032A" w14:paraId="08719557" w14:textId="77777777" w:rsidTr="0077032A">
        <w:trPr>
          <w:tblCellSpacing w:w="15" w:type="dxa"/>
        </w:trPr>
        <w:tc>
          <w:tcPr>
            <w:tcW w:w="2507" w:type="dxa"/>
            <w:vAlign w:val="center"/>
            <w:hideMark/>
          </w:tcPr>
          <w:p w14:paraId="6DF74A83"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BOYACÁ</w:t>
            </w:r>
          </w:p>
        </w:tc>
        <w:tc>
          <w:tcPr>
            <w:tcW w:w="2380" w:type="dxa"/>
            <w:vAlign w:val="center"/>
            <w:hideMark/>
          </w:tcPr>
          <w:p w14:paraId="42F26BA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w:t>
            </w:r>
          </w:p>
        </w:tc>
        <w:tc>
          <w:tcPr>
            <w:tcW w:w="1514" w:type="dxa"/>
            <w:vAlign w:val="center"/>
            <w:hideMark/>
          </w:tcPr>
          <w:p w14:paraId="69193E22"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0,57%</w:t>
            </w:r>
          </w:p>
        </w:tc>
      </w:tr>
      <w:tr w:rsidR="0077032A" w:rsidRPr="0077032A" w14:paraId="755A6850" w14:textId="77777777" w:rsidTr="0077032A">
        <w:trPr>
          <w:tblCellSpacing w:w="15" w:type="dxa"/>
        </w:trPr>
        <w:tc>
          <w:tcPr>
            <w:tcW w:w="2507" w:type="dxa"/>
            <w:vAlign w:val="center"/>
            <w:hideMark/>
          </w:tcPr>
          <w:p w14:paraId="087AEF2B"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CALDAS</w:t>
            </w:r>
          </w:p>
        </w:tc>
        <w:tc>
          <w:tcPr>
            <w:tcW w:w="2380" w:type="dxa"/>
            <w:vAlign w:val="center"/>
            <w:hideMark/>
          </w:tcPr>
          <w:p w14:paraId="6F35FFD0"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w:t>
            </w:r>
          </w:p>
        </w:tc>
        <w:tc>
          <w:tcPr>
            <w:tcW w:w="1514" w:type="dxa"/>
            <w:vAlign w:val="center"/>
            <w:hideMark/>
          </w:tcPr>
          <w:p w14:paraId="05A3BB70"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0,57%</w:t>
            </w:r>
          </w:p>
        </w:tc>
      </w:tr>
      <w:tr w:rsidR="0077032A" w:rsidRPr="0077032A" w14:paraId="3EA3B9F7" w14:textId="77777777" w:rsidTr="0077032A">
        <w:trPr>
          <w:tblCellSpacing w:w="15" w:type="dxa"/>
        </w:trPr>
        <w:tc>
          <w:tcPr>
            <w:tcW w:w="2507" w:type="dxa"/>
            <w:vAlign w:val="center"/>
            <w:hideMark/>
          </w:tcPr>
          <w:p w14:paraId="2860C0D9"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CÓRDOBA</w:t>
            </w:r>
          </w:p>
        </w:tc>
        <w:tc>
          <w:tcPr>
            <w:tcW w:w="2380" w:type="dxa"/>
            <w:vAlign w:val="center"/>
            <w:hideMark/>
          </w:tcPr>
          <w:p w14:paraId="22D2FB02"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w:t>
            </w:r>
          </w:p>
        </w:tc>
        <w:tc>
          <w:tcPr>
            <w:tcW w:w="1514" w:type="dxa"/>
            <w:vAlign w:val="center"/>
            <w:hideMark/>
          </w:tcPr>
          <w:p w14:paraId="12F43BB8"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0,57%</w:t>
            </w:r>
          </w:p>
        </w:tc>
      </w:tr>
      <w:tr w:rsidR="0077032A" w:rsidRPr="0077032A" w14:paraId="40237DAC" w14:textId="77777777" w:rsidTr="0077032A">
        <w:trPr>
          <w:tblCellSpacing w:w="15" w:type="dxa"/>
        </w:trPr>
        <w:tc>
          <w:tcPr>
            <w:tcW w:w="2507" w:type="dxa"/>
            <w:vAlign w:val="center"/>
            <w:hideMark/>
          </w:tcPr>
          <w:p w14:paraId="2A221472"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NARIÑO</w:t>
            </w:r>
          </w:p>
        </w:tc>
        <w:tc>
          <w:tcPr>
            <w:tcW w:w="2380" w:type="dxa"/>
            <w:vAlign w:val="center"/>
            <w:hideMark/>
          </w:tcPr>
          <w:p w14:paraId="7877197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w:t>
            </w:r>
          </w:p>
        </w:tc>
        <w:tc>
          <w:tcPr>
            <w:tcW w:w="1514" w:type="dxa"/>
            <w:vAlign w:val="center"/>
            <w:hideMark/>
          </w:tcPr>
          <w:p w14:paraId="0C1942C7"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0,57%</w:t>
            </w:r>
          </w:p>
        </w:tc>
      </w:tr>
      <w:tr w:rsidR="0077032A" w:rsidRPr="0077032A" w14:paraId="5F405332" w14:textId="77777777" w:rsidTr="0077032A">
        <w:trPr>
          <w:tblCellSpacing w:w="15" w:type="dxa"/>
        </w:trPr>
        <w:tc>
          <w:tcPr>
            <w:tcW w:w="2507" w:type="dxa"/>
            <w:vAlign w:val="center"/>
            <w:hideMark/>
          </w:tcPr>
          <w:p w14:paraId="2C98FDDC"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TOLIMA</w:t>
            </w:r>
          </w:p>
        </w:tc>
        <w:tc>
          <w:tcPr>
            <w:tcW w:w="2380" w:type="dxa"/>
            <w:vAlign w:val="center"/>
            <w:hideMark/>
          </w:tcPr>
          <w:p w14:paraId="044FBA9D"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1</w:t>
            </w:r>
          </w:p>
        </w:tc>
        <w:tc>
          <w:tcPr>
            <w:tcW w:w="1514" w:type="dxa"/>
            <w:vAlign w:val="center"/>
            <w:hideMark/>
          </w:tcPr>
          <w:p w14:paraId="01B6DCC6"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lang w:eastAsia="es-CO"/>
              </w:rPr>
              <w:t>0,57%</w:t>
            </w:r>
          </w:p>
        </w:tc>
      </w:tr>
      <w:tr w:rsidR="0077032A" w:rsidRPr="0077032A" w14:paraId="12F1316B" w14:textId="77777777" w:rsidTr="0077032A">
        <w:trPr>
          <w:tblCellSpacing w:w="15" w:type="dxa"/>
        </w:trPr>
        <w:tc>
          <w:tcPr>
            <w:tcW w:w="2507" w:type="dxa"/>
            <w:vAlign w:val="center"/>
            <w:hideMark/>
          </w:tcPr>
          <w:p w14:paraId="41C49901"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b/>
                <w:bCs/>
                <w:lang w:eastAsia="es-CO"/>
              </w:rPr>
              <w:t>Total general</w:t>
            </w:r>
          </w:p>
        </w:tc>
        <w:tc>
          <w:tcPr>
            <w:tcW w:w="2380" w:type="dxa"/>
            <w:vAlign w:val="center"/>
            <w:hideMark/>
          </w:tcPr>
          <w:p w14:paraId="2E2EA52A"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b/>
                <w:bCs/>
                <w:lang w:eastAsia="es-CO"/>
              </w:rPr>
              <w:t>175</w:t>
            </w:r>
          </w:p>
        </w:tc>
        <w:tc>
          <w:tcPr>
            <w:tcW w:w="1514" w:type="dxa"/>
            <w:vAlign w:val="center"/>
            <w:hideMark/>
          </w:tcPr>
          <w:p w14:paraId="4E830204" w14:textId="77777777" w:rsidR="0077032A" w:rsidRPr="0077032A" w:rsidRDefault="0077032A" w:rsidP="0077032A">
            <w:pPr>
              <w:spacing w:after="0" w:line="240" w:lineRule="auto"/>
              <w:jc w:val="center"/>
              <w:rPr>
                <w:rFonts w:ascii="Garamond" w:eastAsia="Times New Roman" w:hAnsi="Garamond" w:cs="Times New Roman"/>
                <w:lang w:eastAsia="es-CO"/>
              </w:rPr>
            </w:pPr>
            <w:r w:rsidRPr="0077032A">
              <w:rPr>
                <w:rFonts w:ascii="Garamond" w:eastAsia="Times New Roman" w:hAnsi="Garamond" w:cs="Times New Roman"/>
                <w:b/>
                <w:bCs/>
                <w:lang w:eastAsia="es-CO"/>
              </w:rPr>
              <w:t>100%</w:t>
            </w:r>
          </w:p>
        </w:tc>
      </w:tr>
    </w:tbl>
    <w:p w14:paraId="2A50E89D" w14:textId="77777777" w:rsidR="0077032A" w:rsidRDefault="0077032A" w:rsidP="0077032A">
      <w:pPr>
        <w:pStyle w:val="Textoindependiente"/>
        <w:spacing w:before="93"/>
        <w:jc w:val="both"/>
        <w:rPr>
          <w:rFonts w:ascii="Garamond" w:hAnsi="Garamond"/>
          <w:sz w:val="24"/>
          <w:szCs w:val="24"/>
        </w:rPr>
      </w:pPr>
    </w:p>
    <w:p w14:paraId="7C8D24A4" w14:textId="41A983FB" w:rsidR="0077032A" w:rsidRDefault="00E268B1" w:rsidP="0077032A">
      <w:pPr>
        <w:pStyle w:val="Textoindependiente"/>
        <w:spacing w:before="93"/>
        <w:jc w:val="both"/>
        <w:rPr>
          <w:rFonts w:ascii="Garamond" w:hAnsi="Garamond"/>
          <w:sz w:val="24"/>
          <w:szCs w:val="24"/>
        </w:rPr>
      </w:pPr>
      <w:r w:rsidRPr="00E268B1">
        <w:rPr>
          <w:rFonts w:ascii="Garamond" w:hAnsi="Garamond"/>
          <w:sz w:val="24"/>
          <w:szCs w:val="24"/>
        </w:rPr>
        <w:t xml:space="preserve">En cuanto al tipo de sociedad las sociedades por acciones simplificadas predominan en el </w:t>
      </w:r>
      <w:r w:rsidRPr="00E268B1">
        <w:rPr>
          <w:rFonts w:ascii="Garamond" w:hAnsi="Garamond"/>
          <w:sz w:val="24"/>
          <w:szCs w:val="24"/>
        </w:rPr>
        <w:lastRenderedPageBreak/>
        <w:t>mercado con un 76.57%, seguidas de las sociedades limitadas con 10.29%, luego sociedades anónimas con 9.71% y las sociedades en comanda y sucursales extranjeras con 3.43%.</w:t>
      </w:r>
    </w:p>
    <w:p w14:paraId="1F391BC6" w14:textId="6CEB3200" w:rsidR="00E268B1" w:rsidRDefault="00E268B1" w:rsidP="0077032A">
      <w:pPr>
        <w:pStyle w:val="Textoindependiente"/>
        <w:spacing w:before="93"/>
        <w:jc w:val="both"/>
        <w:rPr>
          <w:rFonts w:ascii="Garamond" w:hAnsi="Garamond"/>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0"/>
        <w:gridCol w:w="2881"/>
        <w:gridCol w:w="1574"/>
      </w:tblGrid>
      <w:tr w:rsidR="00E268B1" w:rsidRPr="00E268B1" w14:paraId="60BB79B3" w14:textId="77777777" w:rsidTr="00E268B1">
        <w:trPr>
          <w:tblHeader/>
          <w:tblCellSpacing w:w="15" w:type="dxa"/>
        </w:trPr>
        <w:tc>
          <w:tcPr>
            <w:tcW w:w="0" w:type="auto"/>
            <w:vAlign w:val="center"/>
            <w:hideMark/>
          </w:tcPr>
          <w:p w14:paraId="0C718777" w14:textId="77777777" w:rsidR="00E268B1" w:rsidRPr="00E268B1" w:rsidRDefault="00E268B1" w:rsidP="00E268B1">
            <w:pPr>
              <w:spacing w:after="0" w:line="240" w:lineRule="auto"/>
              <w:jc w:val="center"/>
              <w:rPr>
                <w:rFonts w:ascii="Garamond" w:eastAsia="Times New Roman" w:hAnsi="Garamond" w:cs="Times New Roman"/>
                <w:b/>
                <w:bCs/>
                <w:lang w:eastAsia="es-CO"/>
              </w:rPr>
            </w:pPr>
            <w:r w:rsidRPr="00E268B1">
              <w:rPr>
                <w:rFonts w:ascii="Garamond" w:eastAsia="Times New Roman" w:hAnsi="Garamond" w:cs="Times New Roman"/>
                <w:b/>
                <w:bCs/>
                <w:lang w:eastAsia="es-CO"/>
              </w:rPr>
              <w:t>Tipo de sociedad</w:t>
            </w:r>
          </w:p>
        </w:tc>
        <w:tc>
          <w:tcPr>
            <w:tcW w:w="0" w:type="auto"/>
            <w:vAlign w:val="center"/>
            <w:hideMark/>
          </w:tcPr>
          <w:p w14:paraId="7A668DC9" w14:textId="77777777" w:rsidR="00E268B1" w:rsidRPr="00E268B1" w:rsidRDefault="00E268B1" w:rsidP="00E268B1">
            <w:pPr>
              <w:spacing w:after="0" w:line="240" w:lineRule="auto"/>
              <w:jc w:val="center"/>
              <w:rPr>
                <w:rFonts w:ascii="Garamond" w:eastAsia="Times New Roman" w:hAnsi="Garamond" w:cs="Times New Roman"/>
                <w:b/>
                <w:bCs/>
                <w:lang w:eastAsia="es-CO"/>
              </w:rPr>
            </w:pPr>
            <w:r w:rsidRPr="00E268B1">
              <w:rPr>
                <w:rFonts w:ascii="Garamond" w:eastAsia="Times New Roman" w:hAnsi="Garamond" w:cs="Times New Roman"/>
                <w:b/>
                <w:bCs/>
                <w:lang w:eastAsia="es-CO"/>
              </w:rPr>
              <w:t>Cantidad por tipo de sociedad</w:t>
            </w:r>
          </w:p>
        </w:tc>
        <w:tc>
          <w:tcPr>
            <w:tcW w:w="0" w:type="auto"/>
            <w:vAlign w:val="center"/>
            <w:hideMark/>
          </w:tcPr>
          <w:p w14:paraId="4B5A42A4" w14:textId="77777777" w:rsidR="00E268B1" w:rsidRPr="00E268B1" w:rsidRDefault="00E268B1" w:rsidP="00E268B1">
            <w:pPr>
              <w:spacing w:after="0" w:line="240" w:lineRule="auto"/>
              <w:jc w:val="center"/>
              <w:rPr>
                <w:rFonts w:ascii="Garamond" w:eastAsia="Times New Roman" w:hAnsi="Garamond" w:cs="Times New Roman"/>
                <w:b/>
                <w:bCs/>
                <w:lang w:eastAsia="es-CO"/>
              </w:rPr>
            </w:pPr>
            <w:r w:rsidRPr="00E268B1">
              <w:rPr>
                <w:rFonts w:ascii="Garamond" w:eastAsia="Times New Roman" w:hAnsi="Garamond" w:cs="Times New Roman"/>
                <w:b/>
                <w:bCs/>
                <w:lang w:eastAsia="es-CO"/>
              </w:rPr>
              <w:t>% Participación</w:t>
            </w:r>
          </w:p>
        </w:tc>
      </w:tr>
      <w:tr w:rsidR="00E268B1" w:rsidRPr="00E268B1" w14:paraId="7C1D1016" w14:textId="77777777" w:rsidTr="00E268B1">
        <w:trPr>
          <w:tblCellSpacing w:w="15" w:type="dxa"/>
        </w:trPr>
        <w:tc>
          <w:tcPr>
            <w:tcW w:w="0" w:type="auto"/>
            <w:vAlign w:val="center"/>
            <w:hideMark/>
          </w:tcPr>
          <w:p w14:paraId="1338A5FE"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02. Sucursal extranjera</w:t>
            </w:r>
          </w:p>
        </w:tc>
        <w:tc>
          <w:tcPr>
            <w:tcW w:w="0" w:type="auto"/>
            <w:vAlign w:val="center"/>
            <w:hideMark/>
          </w:tcPr>
          <w:p w14:paraId="7F44AC34"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2</w:t>
            </w:r>
          </w:p>
        </w:tc>
        <w:tc>
          <w:tcPr>
            <w:tcW w:w="0" w:type="auto"/>
            <w:vAlign w:val="center"/>
            <w:hideMark/>
          </w:tcPr>
          <w:p w14:paraId="088F4A2B"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1,14%</w:t>
            </w:r>
          </w:p>
        </w:tc>
      </w:tr>
      <w:tr w:rsidR="00E268B1" w:rsidRPr="00E268B1" w14:paraId="6174082C" w14:textId="77777777" w:rsidTr="00E268B1">
        <w:trPr>
          <w:tblCellSpacing w:w="15" w:type="dxa"/>
        </w:trPr>
        <w:tc>
          <w:tcPr>
            <w:tcW w:w="0" w:type="auto"/>
            <w:vAlign w:val="center"/>
            <w:hideMark/>
          </w:tcPr>
          <w:p w14:paraId="01FF0C3D"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05. Sociedad en comandita por acciones</w:t>
            </w:r>
          </w:p>
        </w:tc>
        <w:tc>
          <w:tcPr>
            <w:tcW w:w="0" w:type="auto"/>
            <w:vAlign w:val="center"/>
            <w:hideMark/>
          </w:tcPr>
          <w:p w14:paraId="30853789"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4</w:t>
            </w:r>
          </w:p>
        </w:tc>
        <w:tc>
          <w:tcPr>
            <w:tcW w:w="0" w:type="auto"/>
            <w:vAlign w:val="center"/>
            <w:hideMark/>
          </w:tcPr>
          <w:p w14:paraId="01B03F2B"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2,29%</w:t>
            </w:r>
          </w:p>
        </w:tc>
      </w:tr>
      <w:tr w:rsidR="00E268B1" w:rsidRPr="00E268B1" w14:paraId="0C02CDEA" w14:textId="77777777" w:rsidTr="00E268B1">
        <w:trPr>
          <w:tblCellSpacing w:w="15" w:type="dxa"/>
        </w:trPr>
        <w:tc>
          <w:tcPr>
            <w:tcW w:w="0" w:type="auto"/>
            <w:vAlign w:val="center"/>
            <w:hideMark/>
          </w:tcPr>
          <w:p w14:paraId="3B6A58A1"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01. Sociedad anónima</w:t>
            </w:r>
          </w:p>
        </w:tc>
        <w:tc>
          <w:tcPr>
            <w:tcW w:w="0" w:type="auto"/>
            <w:vAlign w:val="center"/>
            <w:hideMark/>
          </w:tcPr>
          <w:p w14:paraId="79D6DE65"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17</w:t>
            </w:r>
          </w:p>
        </w:tc>
        <w:tc>
          <w:tcPr>
            <w:tcW w:w="0" w:type="auto"/>
            <w:vAlign w:val="center"/>
            <w:hideMark/>
          </w:tcPr>
          <w:p w14:paraId="431EB497"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9,71%</w:t>
            </w:r>
          </w:p>
        </w:tc>
      </w:tr>
      <w:tr w:rsidR="00E268B1" w:rsidRPr="00E268B1" w14:paraId="28C9495D" w14:textId="77777777" w:rsidTr="00E268B1">
        <w:trPr>
          <w:tblCellSpacing w:w="15" w:type="dxa"/>
        </w:trPr>
        <w:tc>
          <w:tcPr>
            <w:tcW w:w="0" w:type="auto"/>
            <w:vAlign w:val="center"/>
            <w:hideMark/>
          </w:tcPr>
          <w:p w14:paraId="62A2414E"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03. Sociedad limitada</w:t>
            </w:r>
          </w:p>
        </w:tc>
        <w:tc>
          <w:tcPr>
            <w:tcW w:w="0" w:type="auto"/>
            <w:vAlign w:val="center"/>
            <w:hideMark/>
          </w:tcPr>
          <w:p w14:paraId="05B02921"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18</w:t>
            </w:r>
          </w:p>
        </w:tc>
        <w:tc>
          <w:tcPr>
            <w:tcW w:w="0" w:type="auto"/>
            <w:vAlign w:val="center"/>
            <w:hideMark/>
          </w:tcPr>
          <w:p w14:paraId="522677A8"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10,29%</w:t>
            </w:r>
          </w:p>
        </w:tc>
      </w:tr>
      <w:tr w:rsidR="00E268B1" w:rsidRPr="00E268B1" w14:paraId="1057EFA9" w14:textId="77777777" w:rsidTr="00E268B1">
        <w:trPr>
          <w:tblCellSpacing w:w="15" w:type="dxa"/>
        </w:trPr>
        <w:tc>
          <w:tcPr>
            <w:tcW w:w="0" w:type="auto"/>
            <w:vAlign w:val="center"/>
            <w:hideMark/>
          </w:tcPr>
          <w:p w14:paraId="4D104CC0"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08. Sociedad por acciones simplificada (S.A.S.)</w:t>
            </w:r>
          </w:p>
        </w:tc>
        <w:tc>
          <w:tcPr>
            <w:tcW w:w="0" w:type="auto"/>
            <w:vAlign w:val="center"/>
            <w:hideMark/>
          </w:tcPr>
          <w:p w14:paraId="055D4509"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134</w:t>
            </w:r>
          </w:p>
        </w:tc>
        <w:tc>
          <w:tcPr>
            <w:tcW w:w="0" w:type="auto"/>
            <w:vAlign w:val="center"/>
            <w:hideMark/>
          </w:tcPr>
          <w:p w14:paraId="662E113B"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lang w:eastAsia="es-CO"/>
              </w:rPr>
              <w:t>76,57%</w:t>
            </w:r>
          </w:p>
        </w:tc>
      </w:tr>
      <w:tr w:rsidR="00E268B1" w:rsidRPr="00E268B1" w14:paraId="50021D74" w14:textId="77777777" w:rsidTr="00E268B1">
        <w:trPr>
          <w:tblCellSpacing w:w="15" w:type="dxa"/>
        </w:trPr>
        <w:tc>
          <w:tcPr>
            <w:tcW w:w="0" w:type="auto"/>
            <w:vAlign w:val="center"/>
            <w:hideMark/>
          </w:tcPr>
          <w:p w14:paraId="1891D71A"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b/>
                <w:bCs/>
                <w:lang w:eastAsia="es-CO"/>
              </w:rPr>
              <w:t>Total general</w:t>
            </w:r>
          </w:p>
        </w:tc>
        <w:tc>
          <w:tcPr>
            <w:tcW w:w="0" w:type="auto"/>
            <w:vAlign w:val="center"/>
            <w:hideMark/>
          </w:tcPr>
          <w:p w14:paraId="2DF5B678"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b/>
                <w:bCs/>
                <w:lang w:eastAsia="es-CO"/>
              </w:rPr>
              <w:t>175</w:t>
            </w:r>
          </w:p>
        </w:tc>
        <w:tc>
          <w:tcPr>
            <w:tcW w:w="0" w:type="auto"/>
            <w:vAlign w:val="center"/>
            <w:hideMark/>
          </w:tcPr>
          <w:p w14:paraId="4665F202" w14:textId="77777777" w:rsidR="00E268B1" w:rsidRPr="00E268B1" w:rsidRDefault="00E268B1" w:rsidP="00E268B1">
            <w:pPr>
              <w:spacing w:after="0" w:line="240" w:lineRule="auto"/>
              <w:rPr>
                <w:rFonts w:ascii="Garamond" w:eastAsia="Times New Roman" w:hAnsi="Garamond" w:cs="Times New Roman"/>
                <w:lang w:eastAsia="es-CO"/>
              </w:rPr>
            </w:pPr>
            <w:r w:rsidRPr="00E268B1">
              <w:rPr>
                <w:rFonts w:ascii="Garamond" w:eastAsia="Times New Roman" w:hAnsi="Garamond" w:cs="Times New Roman"/>
                <w:b/>
                <w:bCs/>
                <w:lang w:eastAsia="es-CO"/>
              </w:rPr>
              <w:t>100%</w:t>
            </w:r>
          </w:p>
        </w:tc>
      </w:tr>
    </w:tbl>
    <w:p w14:paraId="15EA1740" w14:textId="77777777" w:rsidR="00E268B1" w:rsidRDefault="00E268B1" w:rsidP="0077032A">
      <w:pPr>
        <w:pStyle w:val="Textoindependiente"/>
        <w:spacing w:before="93"/>
        <w:jc w:val="both"/>
        <w:rPr>
          <w:rFonts w:ascii="Garamond" w:hAnsi="Garamond"/>
          <w:sz w:val="24"/>
          <w:szCs w:val="24"/>
        </w:rPr>
      </w:pPr>
    </w:p>
    <w:p w14:paraId="29875B24" w14:textId="05A641CE" w:rsidR="00A9535E" w:rsidRPr="00A9535E" w:rsidRDefault="00415BB2" w:rsidP="003A1825">
      <w:pPr>
        <w:pStyle w:val="Textoindependiente"/>
        <w:numPr>
          <w:ilvl w:val="0"/>
          <w:numId w:val="8"/>
        </w:numPr>
        <w:spacing w:before="93"/>
        <w:jc w:val="both"/>
        <w:rPr>
          <w:rFonts w:ascii="Garamond" w:hAnsi="Garamond"/>
          <w:sz w:val="24"/>
          <w:szCs w:val="24"/>
        </w:rPr>
      </w:pPr>
      <w:r>
        <w:rPr>
          <w:rFonts w:ascii="Garamond" w:hAnsi="Garamond"/>
          <w:b/>
          <w:sz w:val="24"/>
          <w:szCs w:val="24"/>
        </w:rPr>
        <w:t>ANÁLISIS</w:t>
      </w:r>
      <w:r w:rsidR="00875B36">
        <w:rPr>
          <w:rFonts w:ascii="Garamond" w:hAnsi="Garamond"/>
          <w:b/>
          <w:sz w:val="24"/>
          <w:szCs w:val="24"/>
        </w:rPr>
        <w:t xml:space="preserve"> DE LA DEMANDA</w:t>
      </w:r>
    </w:p>
    <w:p w14:paraId="3FC52027" w14:textId="086F486B" w:rsidR="00A9535E" w:rsidRDefault="00A9535E" w:rsidP="00A9535E">
      <w:pPr>
        <w:pStyle w:val="Textoindependiente"/>
        <w:spacing w:before="93"/>
        <w:jc w:val="both"/>
        <w:rPr>
          <w:rFonts w:ascii="Garamond" w:hAnsi="Garamond"/>
          <w:b/>
          <w:sz w:val="24"/>
          <w:szCs w:val="24"/>
        </w:rPr>
      </w:pPr>
    </w:p>
    <w:p w14:paraId="3039F8F4" w14:textId="374CD242" w:rsidR="00A9535E" w:rsidRPr="00A9535E" w:rsidRDefault="00A9535E" w:rsidP="003A1825">
      <w:pPr>
        <w:pStyle w:val="Prrafodelista"/>
        <w:numPr>
          <w:ilvl w:val="1"/>
          <w:numId w:val="8"/>
        </w:numPr>
        <w:jc w:val="both"/>
        <w:rPr>
          <w:rFonts w:ascii="Garamond" w:eastAsia="Arial MT" w:hAnsi="Garamond" w:cs="Arial MT"/>
          <w:b/>
          <w:sz w:val="24"/>
          <w:szCs w:val="24"/>
          <w:lang w:val="es-ES"/>
        </w:rPr>
      </w:pPr>
      <w:r w:rsidRPr="00A9535E">
        <w:rPr>
          <w:rFonts w:ascii="Garamond" w:eastAsia="Arial MT" w:hAnsi="Garamond" w:cs="Arial MT"/>
          <w:b/>
          <w:sz w:val="24"/>
          <w:szCs w:val="24"/>
          <w:lang w:val="es-ES"/>
        </w:rPr>
        <w:t>¿CÓMO ADQUIEREN OTRAS ENTIDADES ESTATALES Y LAS EMPRESAS PRIVADAS ESTE BIEN, OBRA O SERVICIO?</w:t>
      </w:r>
    </w:p>
    <w:p w14:paraId="1724C386" w14:textId="77777777" w:rsidR="00AD6DB4" w:rsidRDefault="00AD6DB4" w:rsidP="002A4BF2">
      <w:pPr>
        <w:pStyle w:val="Textoindependiente"/>
        <w:spacing w:before="93"/>
        <w:jc w:val="both"/>
        <w:rPr>
          <w:rFonts w:ascii="Garamond" w:hAnsi="Garamond"/>
          <w:b/>
          <w:sz w:val="24"/>
          <w:szCs w:val="24"/>
        </w:rPr>
      </w:pPr>
    </w:p>
    <w:p w14:paraId="7A5E4C3A" w14:textId="70922E03" w:rsidR="00D02590" w:rsidRDefault="00D02590" w:rsidP="00D02590">
      <w:pPr>
        <w:pStyle w:val="Standard"/>
        <w:autoSpaceDE w:val="0"/>
        <w:jc w:val="both"/>
        <w:rPr>
          <w:rFonts w:ascii="Garamond" w:hAnsi="Garamond" w:cstheme="minorHAnsi"/>
          <w:sz w:val="24"/>
          <w:szCs w:val="24"/>
        </w:rPr>
      </w:pPr>
      <w:r w:rsidRPr="00D02590">
        <w:rPr>
          <w:rFonts w:ascii="Garamond" w:hAnsi="Garamond" w:cstheme="minorHAnsi"/>
          <w:sz w:val="24"/>
          <w:szCs w:val="24"/>
        </w:rPr>
        <w:t xml:space="preserve">Para el efecto, el Sistema Electrónico de Contratación Pública –SECOP– ofrece la posibilidad de consultar Procesos de Contratación de otras Entidades Estatales en los cuales el </w:t>
      </w:r>
      <w:r>
        <w:rPr>
          <w:rFonts w:ascii="Garamond" w:hAnsi="Garamond" w:cstheme="minorHAnsi"/>
          <w:sz w:val="24"/>
          <w:szCs w:val="24"/>
        </w:rPr>
        <w:t>FDLAN</w:t>
      </w:r>
      <w:r w:rsidRPr="00D02590">
        <w:rPr>
          <w:rFonts w:ascii="Garamond" w:hAnsi="Garamond" w:cstheme="minorHAnsi"/>
          <w:sz w:val="24"/>
          <w:szCs w:val="24"/>
        </w:rPr>
        <w:t xml:space="preserve"> pudo observar entre otros aspectos, las especificaciones técnicas, requisitos habilitantes, método de evaluación de ofertas y las modalidades de contratación utilizadas así:</w:t>
      </w:r>
    </w:p>
    <w:p w14:paraId="48A8B139" w14:textId="77777777" w:rsidR="00D02590" w:rsidRPr="00D02590" w:rsidRDefault="00D02590" w:rsidP="00D02590">
      <w:pPr>
        <w:pStyle w:val="Standard"/>
        <w:autoSpaceDE w:val="0"/>
        <w:jc w:val="both"/>
        <w:rPr>
          <w:rFonts w:ascii="Garamond" w:hAnsi="Garamond" w:cstheme="minorHAnsi"/>
          <w:sz w:val="24"/>
          <w:szCs w:val="24"/>
        </w:rPr>
      </w:pPr>
    </w:p>
    <w:p w14:paraId="67FC2C9D" w14:textId="61002D54" w:rsidR="00171C33" w:rsidRPr="00171C33" w:rsidRDefault="00D02590" w:rsidP="00171C33">
      <w:pPr>
        <w:pStyle w:val="Standard"/>
        <w:autoSpaceDE w:val="0"/>
        <w:jc w:val="both"/>
        <w:rPr>
          <w:rFonts w:ascii="Garamond" w:hAnsi="Garamond" w:cstheme="minorHAnsi"/>
          <w:sz w:val="24"/>
          <w:szCs w:val="24"/>
        </w:rPr>
      </w:pPr>
      <w:r w:rsidRPr="00D02590">
        <w:rPr>
          <w:rFonts w:ascii="Garamond" w:hAnsi="Garamond" w:cstheme="minorHAnsi"/>
          <w:sz w:val="24"/>
          <w:szCs w:val="24"/>
        </w:rPr>
        <w:t xml:space="preserve">Ahora bien, para el “ESTUDIO DE LA </w:t>
      </w:r>
      <w:r>
        <w:rPr>
          <w:rFonts w:ascii="Garamond" w:hAnsi="Garamond" w:cstheme="minorHAnsi"/>
          <w:sz w:val="24"/>
          <w:szCs w:val="24"/>
        </w:rPr>
        <w:t>DEMANDA</w:t>
      </w:r>
      <w:r w:rsidRPr="00D02590">
        <w:rPr>
          <w:rFonts w:ascii="Garamond" w:hAnsi="Garamond" w:cstheme="minorHAnsi"/>
          <w:sz w:val="24"/>
          <w:szCs w:val="24"/>
        </w:rPr>
        <w:t>”, Colombia Compra Eficiente determina que “</w:t>
      </w:r>
      <w:r w:rsidRPr="00D02590">
        <w:rPr>
          <w:rFonts w:ascii="Garamond" w:hAnsi="Garamond" w:cstheme="minorHAnsi"/>
          <w:i/>
          <w:sz w:val="24"/>
          <w:szCs w:val="24"/>
        </w:rPr>
        <w:t>La Entidad Estatal no tiene que buscar la información financiera de todos proponentes que ofrecen el bien, obra o servicio. Basta con un subconjunto de estos, es decir una muestra que sea representativa y permita visualizar las características del sector</w:t>
      </w:r>
      <w:r>
        <w:rPr>
          <w:rFonts w:ascii="Garamond" w:hAnsi="Garamond" w:cstheme="minorHAnsi"/>
          <w:sz w:val="24"/>
          <w:szCs w:val="24"/>
        </w:rPr>
        <w:t>”, y c</w:t>
      </w:r>
      <w:r w:rsidR="00875B36" w:rsidRPr="008A15F5">
        <w:rPr>
          <w:rFonts w:ascii="Garamond" w:hAnsi="Garamond" w:cstheme="minorHAnsi"/>
          <w:sz w:val="24"/>
          <w:szCs w:val="24"/>
        </w:rPr>
        <w:t>on base en la información obtenida en el SECOP (https://community.secop.gov.co), se evidenció que se realizaron contratos con las mismas características, las cuales presentamos en la siguiente tabla:</w:t>
      </w:r>
    </w:p>
    <w:p w14:paraId="1228D15B" w14:textId="77777777" w:rsidR="00875B36" w:rsidRDefault="00875B36" w:rsidP="002A4BF2">
      <w:pPr>
        <w:pStyle w:val="Standard"/>
        <w:autoSpaceDE w:val="0"/>
        <w:jc w:val="both"/>
        <w:rPr>
          <w:rFonts w:ascii="Garamond" w:hAnsi="Garamond" w:cs="Segoe UI"/>
          <w:b/>
          <w:bCs/>
          <w:color w:val="808080" w:themeColor="background1" w:themeShade="80"/>
          <w:sz w:val="24"/>
          <w:szCs w:val="24"/>
          <w:lang w:val="es-MX" w:eastAsia="es-MX"/>
        </w:rPr>
      </w:pPr>
    </w:p>
    <w:tbl>
      <w:tblPr>
        <w:tblW w:w="9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2295"/>
        <w:gridCol w:w="2760"/>
        <w:gridCol w:w="2070"/>
      </w:tblGrid>
      <w:tr w:rsidR="00060B48" w:rsidRPr="008B7946" w14:paraId="61687262" w14:textId="77777777" w:rsidTr="0077032A">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D9D9D9"/>
            <w:hideMark/>
          </w:tcPr>
          <w:p w14:paraId="30C617CD" w14:textId="77777777" w:rsidR="00060B48" w:rsidRPr="00D41229" w:rsidRDefault="00060B48" w:rsidP="00060B48">
            <w:pPr>
              <w:jc w:val="both"/>
              <w:rPr>
                <w:color w:val="000000" w:themeColor="text1"/>
                <w:lang w:eastAsia="es-CO"/>
              </w:rPr>
            </w:pPr>
            <w:r w:rsidRPr="00D41229">
              <w:rPr>
                <w:rFonts w:ascii="Garamond" w:hAnsi="Garamond"/>
                <w:color w:val="000000" w:themeColor="text1"/>
                <w:lang w:eastAsia="es-CO"/>
              </w:rPr>
              <w:t>PROCESO </w:t>
            </w:r>
          </w:p>
        </w:tc>
        <w:tc>
          <w:tcPr>
            <w:tcW w:w="2295" w:type="dxa"/>
            <w:tcBorders>
              <w:top w:val="single" w:sz="6" w:space="0" w:color="auto"/>
              <w:left w:val="single" w:sz="6" w:space="0" w:color="auto"/>
              <w:bottom w:val="single" w:sz="6" w:space="0" w:color="auto"/>
              <w:right w:val="single" w:sz="6" w:space="0" w:color="auto"/>
            </w:tcBorders>
            <w:shd w:val="clear" w:color="auto" w:fill="D9D9D9"/>
            <w:hideMark/>
          </w:tcPr>
          <w:p w14:paraId="3A8BE30C" w14:textId="77777777" w:rsidR="00060B48" w:rsidRPr="00D41229" w:rsidRDefault="00060B48" w:rsidP="00060B48">
            <w:pPr>
              <w:ind w:firstLine="705"/>
              <w:jc w:val="both"/>
              <w:rPr>
                <w:color w:val="000000" w:themeColor="text1"/>
                <w:lang w:eastAsia="es-CO"/>
              </w:rPr>
            </w:pPr>
            <w:r w:rsidRPr="00D41229">
              <w:rPr>
                <w:rFonts w:ascii="Garamond" w:hAnsi="Garamond"/>
                <w:color w:val="000000" w:themeColor="text1"/>
                <w:lang w:eastAsia="es-CO"/>
              </w:rPr>
              <w:t>ENTIDAD </w:t>
            </w:r>
          </w:p>
        </w:tc>
        <w:tc>
          <w:tcPr>
            <w:tcW w:w="2760" w:type="dxa"/>
            <w:tcBorders>
              <w:top w:val="single" w:sz="6" w:space="0" w:color="auto"/>
              <w:left w:val="single" w:sz="6" w:space="0" w:color="auto"/>
              <w:bottom w:val="single" w:sz="6" w:space="0" w:color="auto"/>
              <w:right w:val="single" w:sz="6" w:space="0" w:color="auto"/>
            </w:tcBorders>
            <w:shd w:val="clear" w:color="auto" w:fill="D9D9D9"/>
            <w:hideMark/>
          </w:tcPr>
          <w:p w14:paraId="23921974" w14:textId="77777777" w:rsidR="00060B48" w:rsidRPr="00D41229" w:rsidRDefault="00060B48" w:rsidP="00060B48">
            <w:pPr>
              <w:jc w:val="both"/>
              <w:rPr>
                <w:color w:val="000000" w:themeColor="text1"/>
                <w:lang w:eastAsia="es-CO"/>
              </w:rPr>
            </w:pPr>
            <w:r w:rsidRPr="00D41229">
              <w:rPr>
                <w:rFonts w:ascii="Garamond" w:hAnsi="Garamond"/>
                <w:color w:val="000000" w:themeColor="text1"/>
                <w:lang w:eastAsia="es-CO"/>
              </w:rPr>
              <w:t>OBJETO  </w:t>
            </w:r>
          </w:p>
        </w:tc>
        <w:tc>
          <w:tcPr>
            <w:tcW w:w="2070" w:type="dxa"/>
            <w:tcBorders>
              <w:top w:val="single" w:sz="6" w:space="0" w:color="auto"/>
              <w:left w:val="single" w:sz="6" w:space="0" w:color="auto"/>
              <w:bottom w:val="single" w:sz="6" w:space="0" w:color="auto"/>
              <w:right w:val="single" w:sz="6" w:space="0" w:color="auto"/>
            </w:tcBorders>
            <w:shd w:val="clear" w:color="auto" w:fill="D9D9D9"/>
            <w:hideMark/>
          </w:tcPr>
          <w:p w14:paraId="36E745AB" w14:textId="77777777" w:rsidR="00060B48" w:rsidRPr="00D41229" w:rsidRDefault="00060B48" w:rsidP="00060B48">
            <w:pPr>
              <w:jc w:val="both"/>
              <w:rPr>
                <w:color w:val="000000" w:themeColor="text1"/>
                <w:lang w:eastAsia="es-CO"/>
              </w:rPr>
            </w:pPr>
            <w:r w:rsidRPr="00D41229">
              <w:rPr>
                <w:rFonts w:ascii="Garamond" w:hAnsi="Garamond"/>
                <w:color w:val="000000" w:themeColor="text1"/>
                <w:lang w:eastAsia="es-CO"/>
              </w:rPr>
              <w:t>CUANTÍA </w:t>
            </w:r>
          </w:p>
        </w:tc>
      </w:tr>
      <w:tr w:rsidR="00060B48" w:rsidRPr="00B409F9" w14:paraId="65A5F353" w14:textId="77777777" w:rsidTr="0077032A">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7EF8FB74" w14:textId="77777777" w:rsidR="00060B48" w:rsidRPr="00D41229" w:rsidRDefault="00060B48" w:rsidP="00060B48">
            <w:pPr>
              <w:jc w:val="both"/>
              <w:rPr>
                <w:color w:val="000000" w:themeColor="text1"/>
                <w:lang w:eastAsia="es-CO"/>
              </w:rPr>
            </w:pPr>
            <w:r w:rsidRPr="00D41229">
              <w:rPr>
                <w:rFonts w:ascii="Garamond" w:hAnsi="Garamond"/>
                <w:color w:val="000000" w:themeColor="text1"/>
                <w:lang w:eastAsia="es-CO"/>
              </w:rPr>
              <w:t>FDLBOSASAMC 002-2022</w:t>
            </w:r>
          </w:p>
        </w:tc>
        <w:tc>
          <w:tcPr>
            <w:tcW w:w="2295" w:type="dxa"/>
            <w:tcBorders>
              <w:top w:val="single" w:sz="6" w:space="0" w:color="auto"/>
              <w:left w:val="single" w:sz="6" w:space="0" w:color="auto"/>
              <w:bottom w:val="single" w:sz="6" w:space="0" w:color="auto"/>
              <w:right w:val="single" w:sz="6" w:space="0" w:color="auto"/>
            </w:tcBorders>
            <w:shd w:val="clear" w:color="auto" w:fill="auto"/>
            <w:hideMark/>
          </w:tcPr>
          <w:p w14:paraId="30D399E3" w14:textId="77777777" w:rsidR="00060B48" w:rsidRPr="00D41229" w:rsidRDefault="00060B48" w:rsidP="00060B48">
            <w:pPr>
              <w:jc w:val="both"/>
              <w:rPr>
                <w:color w:val="000000" w:themeColor="text1"/>
                <w:lang w:eastAsia="es-CO"/>
              </w:rPr>
            </w:pPr>
            <w:r w:rsidRPr="00D41229">
              <w:rPr>
                <w:rFonts w:ascii="Garamond" w:hAnsi="Garamond"/>
                <w:color w:val="000000" w:themeColor="text1"/>
                <w:lang w:eastAsia="es-CO"/>
              </w:rPr>
              <w:t>ALCALDÍA LOCAL DE BOSA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40C35FF9" w14:textId="77777777" w:rsidR="00060B48" w:rsidRPr="00D41229" w:rsidRDefault="00060B48" w:rsidP="00060B48">
            <w:pPr>
              <w:jc w:val="both"/>
              <w:rPr>
                <w:color w:val="000000" w:themeColor="text1"/>
                <w:lang w:eastAsia="es-CO"/>
              </w:rPr>
            </w:pPr>
            <w:r w:rsidRPr="00D41229">
              <w:rPr>
                <w:rFonts w:ascii="Garamond" w:hAnsi="Garamond"/>
                <w:color w:val="000000" w:themeColor="text1"/>
                <w:lang w:eastAsia="es-CO"/>
              </w:rPr>
              <w:t>CONTRATAR A MONTO AGOTABLE Y A PRECIOS UNITARIOS FIJOS SIN FORMULA DE REAJUSTE, OBRAS DE INTERVENCIÓN FISICA CONSISTENTES EN EL MANTENIMIENTO Y REPARACIONES LOCATIVAS DE LAS INSTALACIONES DE LA ALCALDÍA LOCAL</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2245AA60" w14:textId="77777777" w:rsidR="00060B48" w:rsidRPr="00D41229" w:rsidRDefault="00060B48" w:rsidP="00060B48">
            <w:pPr>
              <w:jc w:val="both"/>
              <w:rPr>
                <w:color w:val="000000" w:themeColor="text1"/>
                <w:lang w:eastAsia="es-CO"/>
              </w:rPr>
            </w:pPr>
            <w:r w:rsidRPr="00D41229">
              <w:rPr>
                <w:rFonts w:ascii="Garamond" w:hAnsi="Garamond"/>
                <w:color w:val="000000" w:themeColor="text1"/>
                <w:lang w:eastAsia="es-CO"/>
              </w:rPr>
              <w:t>$ 200.000.000,00 COP </w:t>
            </w:r>
          </w:p>
        </w:tc>
      </w:tr>
      <w:tr w:rsidR="00060B48" w:rsidRPr="00B409F9" w14:paraId="79C16EA4" w14:textId="77777777" w:rsidTr="0077032A">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tcPr>
          <w:p w14:paraId="2A7497D0"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lastRenderedPageBreak/>
              <w:t>FDLSSAMC-4-2022</w:t>
            </w:r>
          </w:p>
        </w:tc>
        <w:tc>
          <w:tcPr>
            <w:tcW w:w="2295" w:type="dxa"/>
            <w:tcBorders>
              <w:top w:val="single" w:sz="6" w:space="0" w:color="auto"/>
              <w:left w:val="single" w:sz="6" w:space="0" w:color="auto"/>
              <w:bottom w:val="single" w:sz="6" w:space="0" w:color="auto"/>
              <w:right w:val="single" w:sz="6" w:space="0" w:color="auto"/>
            </w:tcBorders>
            <w:shd w:val="clear" w:color="auto" w:fill="auto"/>
          </w:tcPr>
          <w:p w14:paraId="55F0C62D"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 xml:space="preserve">ALCALDÍA LOCAL DE </w:t>
            </w:r>
            <w:r>
              <w:rPr>
                <w:rFonts w:ascii="Garamond" w:hAnsi="Garamond"/>
                <w:color w:val="000000" w:themeColor="text1"/>
                <w:lang w:eastAsia="es-CO"/>
              </w:rPr>
              <w:t>SUBA</w:t>
            </w:r>
          </w:p>
        </w:tc>
        <w:tc>
          <w:tcPr>
            <w:tcW w:w="2760" w:type="dxa"/>
            <w:tcBorders>
              <w:top w:val="single" w:sz="6" w:space="0" w:color="auto"/>
              <w:left w:val="single" w:sz="6" w:space="0" w:color="auto"/>
              <w:bottom w:val="single" w:sz="6" w:space="0" w:color="auto"/>
              <w:right w:val="single" w:sz="6" w:space="0" w:color="auto"/>
            </w:tcBorders>
            <w:shd w:val="clear" w:color="auto" w:fill="auto"/>
          </w:tcPr>
          <w:p w14:paraId="10EF8E5B"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EJECUTAR LAS OBRAS DE REPARACIONES LOCATIVAS Y/O MANTENIMIENTO DE INFRAESTRUCTURA FISICA PARA LA CASA DE LA MEMORIA DE SUBA A PRECIOS UNITARIOS FIJOS Y A MONTO AGOTABLE</w:t>
            </w: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51350303"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 xml:space="preserve">$ </w:t>
            </w:r>
            <w:r>
              <w:rPr>
                <w:rFonts w:ascii="Garamond" w:hAnsi="Garamond"/>
                <w:color w:val="000000" w:themeColor="text1"/>
                <w:lang w:eastAsia="es-CO"/>
              </w:rPr>
              <w:t>151.049.904,00</w:t>
            </w:r>
            <w:r w:rsidRPr="00D41229">
              <w:rPr>
                <w:rFonts w:ascii="Garamond" w:hAnsi="Garamond"/>
                <w:color w:val="000000" w:themeColor="text1"/>
                <w:lang w:eastAsia="es-CO"/>
              </w:rPr>
              <w:t xml:space="preserve"> COP </w:t>
            </w:r>
          </w:p>
        </w:tc>
      </w:tr>
      <w:tr w:rsidR="00060B48" w:rsidRPr="00B409F9" w14:paraId="68F7F02A" w14:textId="77777777" w:rsidTr="0077032A">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tcPr>
          <w:p w14:paraId="0CBE80A5"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FDLCH-SAMC-015-2024</w:t>
            </w:r>
          </w:p>
        </w:tc>
        <w:tc>
          <w:tcPr>
            <w:tcW w:w="2295" w:type="dxa"/>
            <w:tcBorders>
              <w:top w:val="single" w:sz="6" w:space="0" w:color="auto"/>
              <w:left w:val="single" w:sz="6" w:space="0" w:color="auto"/>
              <w:bottom w:val="single" w:sz="6" w:space="0" w:color="auto"/>
              <w:right w:val="single" w:sz="6" w:space="0" w:color="auto"/>
            </w:tcBorders>
            <w:shd w:val="clear" w:color="auto" w:fill="auto"/>
          </w:tcPr>
          <w:p w14:paraId="0359DF2F"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 xml:space="preserve">ALCALDÍA LOCAL DE </w:t>
            </w:r>
            <w:r>
              <w:rPr>
                <w:rFonts w:ascii="Garamond" w:hAnsi="Garamond"/>
                <w:color w:val="000000" w:themeColor="text1"/>
                <w:lang w:eastAsia="es-CO"/>
              </w:rPr>
              <w:t>CHAPINERO</w:t>
            </w:r>
          </w:p>
        </w:tc>
        <w:tc>
          <w:tcPr>
            <w:tcW w:w="2760" w:type="dxa"/>
            <w:tcBorders>
              <w:top w:val="single" w:sz="6" w:space="0" w:color="auto"/>
              <w:left w:val="single" w:sz="6" w:space="0" w:color="auto"/>
              <w:bottom w:val="single" w:sz="6" w:space="0" w:color="auto"/>
              <w:right w:val="single" w:sz="6" w:space="0" w:color="auto"/>
            </w:tcBorders>
            <w:shd w:val="clear" w:color="auto" w:fill="auto"/>
          </w:tcPr>
          <w:p w14:paraId="29D3CC1E"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CONTRATAR BAJO LA MODALIDAD DE PRECIOS UNITARIOS FIJOS, SIN FÓRMULA DE REAJUSTE Y A MONTO AGOTABLE LA PRIORIZACIÓN, EL DIAGNÓSTICO Y LAS OBRAS DE IMPLEMENTACION Y ADECUACION DE MUROS Y TECHOS VERDES E</w:t>
            </w: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3D4A5DA9"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 xml:space="preserve">$ </w:t>
            </w:r>
            <w:r>
              <w:rPr>
                <w:rFonts w:ascii="Garamond" w:hAnsi="Garamond"/>
                <w:color w:val="000000" w:themeColor="text1"/>
                <w:lang w:eastAsia="es-CO"/>
              </w:rPr>
              <w:t xml:space="preserve">331.000.000,00 </w:t>
            </w:r>
            <w:r w:rsidRPr="00D41229">
              <w:rPr>
                <w:rFonts w:ascii="Garamond" w:hAnsi="Garamond"/>
                <w:color w:val="000000" w:themeColor="text1"/>
                <w:lang w:eastAsia="es-CO"/>
              </w:rPr>
              <w:t>COP </w:t>
            </w:r>
          </w:p>
        </w:tc>
      </w:tr>
      <w:tr w:rsidR="00060B48" w:rsidRPr="00B409F9" w14:paraId="542BCF21" w14:textId="77777777" w:rsidTr="0077032A">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tcPr>
          <w:p w14:paraId="0AC557F3"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FDLS-SAMC-007-2024</w:t>
            </w:r>
          </w:p>
        </w:tc>
        <w:tc>
          <w:tcPr>
            <w:tcW w:w="2295" w:type="dxa"/>
            <w:tcBorders>
              <w:top w:val="single" w:sz="6" w:space="0" w:color="auto"/>
              <w:left w:val="single" w:sz="6" w:space="0" w:color="auto"/>
              <w:bottom w:val="single" w:sz="6" w:space="0" w:color="auto"/>
              <w:right w:val="single" w:sz="6" w:space="0" w:color="auto"/>
            </w:tcBorders>
            <w:shd w:val="clear" w:color="auto" w:fill="auto"/>
          </w:tcPr>
          <w:p w14:paraId="4FCBACD7"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 xml:space="preserve">ALCALDÍA LOCAL DE </w:t>
            </w:r>
            <w:r>
              <w:rPr>
                <w:rFonts w:ascii="Garamond" w:hAnsi="Garamond"/>
                <w:color w:val="000000" w:themeColor="text1"/>
                <w:lang w:eastAsia="es-CO"/>
              </w:rPr>
              <w:t>SUBA</w:t>
            </w:r>
          </w:p>
        </w:tc>
        <w:tc>
          <w:tcPr>
            <w:tcW w:w="2760" w:type="dxa"/>
            <w:tcBorders>
              <w:top w:val="single" w:sz="6" w:space="0" w:color="auto"/>
              <w:left w:val="single" w:sz="6" w:space="0" w:color="auto"/>
              <w:bottom w:val="single" w:sz="6" w:space="0" w:color="auto"/>
              <w:right w:val="single" w:sz="6" w:space="0" w:color="auto"/>
            </w:tcBorders>
            <w:shd w:val="clear" w:color="auto" w:fill="auto"/>
          </w:tcPr>
          <w:p w14:paraId="53B28A59"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EJECUTAR LAS OBRAS DE REPARACIONES LOCATIVAS Y/O REHABILITACIÓN Y/O CONSERVACIÓN Y/O MEJORAMIENTO Y/O MANTENIMIENTO DE INFRAESTRUCTURA FÍSICA PARA LA CASA DE LA MEMORIA DE SUBA A PRECIOS UNITARIOS FI</w:t>
            </w:r>
            <w:r>
              <w:rPr>
                <w:rFonts w:ascii="Garamond" w:hAnsi="Garamond"/>
                <w:color w:val="000000" w:themeColor="text1"/>
                <w:lang w:eastAsia="es-CO"/>
              </w:rPr>
              <w:t>JOS</w:t>
            </w: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037254CC"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 xml:space="preserve">$ </w:t>
            </w:r>
            <w:r>
              <w:rPr>
                <w:rFonts w:ascii="Garamond" w:hAnsi="Garamond"/>
                <w:color w:val="000000" w:themeColor="text1"/>
                <w:lang w:eastAsia="es-CO"/>
              </w:rPr>
              <w:t xml:space="preserve">295.500.000,00 </w:t>
            </w:r>
            <w:r w:rsidRPr="00D41229">
              <w:rPr>
                <w:rFonts w:ascii="Garamond" w:hAnsi="Garamond"/>
                <w:color w:val="000000" w:themeColor="text1"/>
                <w:lang w:eastAsia="es-CO"/>
              </w:rPr>
              <w:t>COP </w:t>
            </w:r>
          </w:p>
        </w:tc>
      </w:tr>
      <w:tr w:rsidR="00060B48" w:rsidRPr="00B409F9" w14:paraId="7978D3B0" w14:textId="77777777" w:rsidTr="0077032A">
        <w:trPr>
          <w:trHeight w:val="300"/>
        </w:trPr>
        <w:tc>
          <w:tcPr>
            <w:tcW w:w="2235" w:type="dxa"/>
            <w:tcBorders>
              <w:top w:val="single" w:sz="6" w:space="0" w:color="auto"/>
              <w:left w:val="single" w:sz="6" w:space="0" w:color="auto"/>
              <w:bottom w:val="single" w:sz="6" w:space="0" w:color="auto"/>
              <w:right w:val="single" w:sz="6" w:space="0" w:color="auto"/>
            </w:tcBorders>
            <w:shd w:val="clear" w:color="auto" w:fill="auto"/>
          </w:tcPr>
          <w:p w14:paraId="2FB60798"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FDLSUBA-SA-MC-007-202</w:t>
            </w:r>
          </w:p>
        </w:tc>
        <w:tc>
          <w:tcPr>
            <w:tcW w:w="2295" w:type="dxa"/>
            <w:tcBorders>
              <w:top w:val="single" w:sz="6" w:space="0" w:color="auto"/>
              <w:left w:val="single" w:sz="6" w:space="0" w:color="auto"/>
              <w:bottom w:val="single" w:sz="6" w:space="0" w:color="auto"/>
              <w:right w:val="single" w:sz="6" w:space="0" w:color="auto"/>
            </w:tcBorders>
            <w:shd w:val="clear" w:color="auto" w:fill="auto"/>
          </w:tcPr>
          <w:p w14:paraId="754E2D8E"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 xml:space="preserve">ALCALDÍA LOCAL DE </w:t>
            </w:r>
            <w:r>
              <w:rPr>
                <w:rFonts w:ascii="Garamond" w:hAnsi="Garamond"/>
                <w:color w:val="000000" w:themeColor="text1"/>
                <w:lang w:eastAsia="es-CO"/>
              </w:rPr>
              <w:t>SUBA</w:t>
            </w:r>
          </w:p>
        </w:tc>
        <w:tc>
          <w:tcPr>
            <w:tcW w:w="2760" w:type="dxa"/>
            <w:tcBorders>
              <w:top w:val="single" w:sz="6" w:space="0" w:color="auto"/>
              <w:left w:val="single" w:sz="6" w:space="0" w:color="auto"/>
              <w:bottom w:val="single" w:sz="6" w:space="0" w:color="auto"/>
              <w:right w:val="single" w:sz="6" w:space="0" w:color="auto"/>
            </w:tcBorders>
            <w:shd w:val="clear" w:color="auto" w:fill="auto"/>
          </w:tcPr>
          <w:p w14:paraId="53368A89"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t xml:space="preserve">EJECUTAR A PRECIOS UNITARIOS FIJOS Y A MONTO AGOTABLE LAS OBRAS DE MANTENIMIENTO PREVENTIVO, RUTINARIO Y/O CORRECTIVO, EN LA ADECUACIÓN DE LA INFRAESTRUCTURA FISICA DE LAS SEDES DE PROPIEDAD O TENENCIA DEL FONDO DE </w:t>
            </w:r>
            <w:r w:rsidRPr="00D41229">
              <w:rPr>
                <w:rFonts w:ascii="Garamond" w:hAnsi="Garamond"/>
                <w:color w:val="000000" w:themeColor="text1"/>
                <w:lang w:eastAsia="es-CO"/>
              </w:rPr>
              <w:lastRenderedPageBreak/>
              <w:t>DESARROLLO LOCAL DE SUBA</w:t>
            </w: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6E6D7D9D" w14:textId="77777777" w:rsidR="00060B48" w:rsidRPr="00761A48" w:rsidRDefault="00060B48" w:rsidP="00060B48">
            <w:pPr>
              <w:jc w:val="both"/>
              <w:rPr>
                <w:color w:val="FF0000"/>
                <w:lang w:eastAsia="es-CO"/>
              </w:rPr>
            </w:pPr>
            <w:r w:rsidRPr="00D41229">
              <w:rPr>
                <w:rFonts w:ascii="Garamond" w:hAnsi="Garamond"/>
                <w:color w:val="000000" w:themeColor="text1"/>
                <w:lang w:eastAsia="es-CO"/>
              </w:rPr>
              <w:lastRenderedPageBreak/>
              <w:t xml:space="preserve">$ </w:t>
            </w:r>
            <w:r>
              <w:rPr>
                <w:rFonts w:ascii="Garamond" w:hAnsi="Garamond"/>
                <w:color w:val="000000" w:themeColor="text1"/>
                <w:lang w:eastAsia="es-CO"/>
              </w:rPr>
              <w:t xml:space="preserve">395.000.000,00 </w:t>
            </w:r>
            <w:r w:rsidRPr="00D41229">
              <w:rPr>
                <w:rFonts w:ascii="Garamond" w:hAnsi="Garamond"/>
                <w:color w:val="000000" w:themeColor="text1"/>
                <w:lang w:eastAsia="es-CO"/>
              </w:rPr>
              <w:t>COP </w:t>
            </w:r>
          </w:p>
        </w:tc>
      </w:tr>
    </w:tbl>
    <w:p w14:paraId="39919511" w14:textId="5ED7E72D" w:rsidR="00060B48" w:rsidRDefault="00060B48" w:rsidP="00060B48">
      <w:pPr>
        <w:ind w:left="708" w:hanging="708"/>
        <w:jc w:val="both"/>
        <w:rPr>
          <w:rFonts w:ascii="Garamond" w:hAnsi="Garamond" w:cs="Segoe UI"/>
          <w:lang w:eastAsia="es-CO"/>
        </w:rPr>
      </w:pPr>
      <w:r w:rsidRPr="00B409F9">
        <w:rPr>
          <w:rFonts w:ascii="Garamond" w:hAnsi="Garamond" w:cs="Segoe UI"/>
          <w:lang w:eastAsia="es-CO"/>
        </w:rPr>
        <w:t> </w:t>
      </w:r>
    </w:p>
    <w:p w14:paraId="1BCC8643" w14:textId="2422A29B" w:rsidR="00171C33" w:rsidRPr="00171C33" w:rsidRDefault="00171C33" w:rsidP="003A1825">
      <w:pPr>
        <w:pStyle w:val="Prrafodelista"/>
        <w:numPr>
          <w:ilvl w:val="2"/>
          <w:numId w:val="8"/>
        </w:numPr>
        <w:jc w:val="both"/>
        <w:rPr>
          <w:rFonts w:ascii="Garamond" w:hAnsi="Garamond" w:cs="Segoe UI"/>
          <w:lang w:eastAsia="es-CO"/>
        </w:rPr>
      </w:pPr>
      <w:r w:rsidRPr="00171C33">
        <w:rPr>
          <w:rFonts w:ascii="Garamond" w:hAnsi="Garamond" w:cstheme="minorHAnsi"/>
          <w:b/>
          <w:sz w:val="24"/>
          <w:szCs w:val="24"/>
        </w:rPr>
        <w:t>COSTOS ASOCIADOS A TALES PROCESOS</w:t>
      </w:r>
    </w:p>
    <w:p w14:paraId="4BAD956C" w14:textId="0B62B492" w:rsidR="00D02590" w:rsidRDefault="001D2B89" w:rsidP="00343DA3">
      <w:pPr>
        <w:ind w:left="708" w:hanging="708"/>
        <w:jc w:val="center"/>
        <w:rPr>
          <w:rFonts w:ascii="Garamond" w:hAnsi="Garamond" w:cs="Segoe UI"/>
          <w:lang w:eastAsia="es-CO"/>
        </w:rPr>
      </w:pPr>
      <w:r w:rsidRPr="001D2B89">
        <w:rPr>
          <w:rFonts w:ascii="Garamond" w:hAnsi="Garamond" w:cs="Segoe UI"/>
          <w:noProof/>
          <w:lang w:eastAsia="es-CO"/>
        </w:rPr>
        <w:drawing>
          <wp:inline distT="0" distB="0" distL="0" distR="0" wp14:anchorId="64B5EA20" wp14:editId="453395A8">
            <wp:extent cx="5070764" cy="4739461"/>
            <wp:effectExtent l="0" t="0" r="0" b="4445"/>
            <wp:docPr id="1997869483" name="Imagen 1997869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076999" cy="4745289"/>
                    </a:xfrm>
                    <a:prstGeom prst="rect">
                      <a:avLst/>
                    </a:prstGeom>
                  </pic:spPr>
                </pic:pic>
              </a:graphicData>
            </a:graphic>
          </wp:inline>
        </w:drawing>
      </w:r>
    </w:p>
    <w:p w14:paraId="7659B1D9" w14:textId="0F1C180D" w:rsidR="001D2B89"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26</w:t>
      </w:r>
      <w:r w:rsidR="001D2B89"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Gasto anual Alcaldías locales </w:t>
      </w:r>
      <w:r w:rsidR="001D2B89">
        <w:rPr>
          <w:rFonts w:ascii="Garamond" w:eastAsia="Arial MT" w:hAnsi="Garamond" w:cs="Arial MT"/>
          <w:sz w:val="20"/>
          <w:szCs w:val="20"/>
          <w:lang w:val="es-ES"/>
        </w:rPr>
        <w:t>Bogotá D.C.., código UNSPSC 721540</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6A08C3CC" w14:textId="77777777" w:rsidR="001D2B89" w:rsidRPr="00C050A9" w:rsidRDefault="001D2B89" w:rsidP="001D2B89">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6D4C4D96" w14:textId="77777777" w:rsidR="001D2B89" w:rsidRDefault="0068116C" w:rsidP="001D2B89">
      <w:pPr>
        <w:tabs>
          <w:tab w:val="left" w:pos="3390"/>
        </w:tabs>
        <w:spacing w:line="240" w:lineRule="auto"/>
        <w:rPr>
          <w:rStyle w:val="Hipervnculo"/>
          <w:rFonts w:ascii="Garamond" w:eastAsia="Arial MT" w:hAnsi="Garamond" w:cs="Arial MT"/>
          <w:sz w:val="20"/>
          <w:szCs w:val="20"/>
          <w:lang w:val="es-ES"/>
        </w:rPr>
      </w:pPr>
      <w:hyperlink r:id="rId133" w:history="1">
        <w:r w:rsidR="001D2B8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2F8EF01A" w14:textId="1841EA16" w:rsidR="00EC1D59" w:rsidRDefault="00EC1D59" w:rsidP="002A4BF2">
      <w:pPr>
        <w:spacing w:line="240" w:lineRule="auto"/>
        <w:jc w:val="center"/>
        <w:rPr>
          <w:rStyle w:val="Hipervnculo"/>
          <w:rFonts w:ascii="Garamond" w:eastAsia="Arial MT" w:hAnsi="Garamond" w:cs="Arial MT"/>
          <w:sz w:val="20"/>
          <w:szCs w:val="20"/>
          <w:lang w:val="es-ES"/>
        </w:rPr>
      </w:pPr>
    </w:p>
    <w:p w14:paraId="33BE0FB5" w14:textId="2FB4BFF9" w:rsidR="00A9535E" w:rsidRDefault="00A9535E" w:rsidP="002A4BF2">
      <w:pPr>
        <w:spacing w:line="240" w:lineRule="auto"/>
        <w:jc w:val="center"/>
        <w:rPr>
          <w:rStyle w:val="Hipervnculo"/>
          <w:rFonts w:ascii="Garamond" w:eastAsia="Arial MT" w:hAnsi="Garamond" w:cs="Arial MT"/>
          <w:sz w:val="20"/>
          <w:szCs w:val="20"/>
          <w:lang w:val="es-ES"/>
        </w:rPr>
      </w:pPr>
      <w:r w:rsidRPr="00A9535E">
        <w:rPr>
          <w:rStyle w:val="Hipervnculo"/>
          <w:rFonts w:ascii="Garamond" w:eastAsia="Arial MT" w:hAnsi="Garamond" w:cs="Arial MT"/>
          <w:noProof/>
          <w:sz w:val="20"/>
          <w:szCs w:val="20"/>
          <w:lang w:eastAsia="es-CO"/>
        </w:rPr>
        <w:lastRenderedPageBreak/>
        <w:drawing>
          <wp:inline distT="0" distB="0" distL="0" distR="0" wp14:anchorId="44358055" wp14:editId="16A92A91">
            <wp:extent cx="4085112" cy="3733075"/>
            <wp:effectExtent l="0" t="0" r="0" b="1270"/>
            <wp:docPr id="1997869484" name="Imagen 1997869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4109445" cy="3755311"/>
                    </a:xfrm>
                    <a:prstGeom prst="rect">
                      <a:avLst/>
                    </a:prstGeom>
                  </pic:spPr>
                </pic:pic>
              </a:graphicData>
            </a:graphic>
          </wp:inline>
        </w:drawing>
      </w:r>
    </w:p>
    <w:p w14:paraId="2156DBC0" w14:textId="2A65668E"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27</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Cantidad de contratos anual Alcaldías locales Bogotá D.C..,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1C391BDC"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55EE88DC"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35"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5E3E353" w14:textId="12948979" w:rsidR="00A9535E" w:rsidRDefault="00A9535E" w:rsidP="002A4BF2">
      <w:pPr>
        <w:spacing w:line="240" w:lineRule="auto"/>
        <w:jc w:val="center"/>
        <w:rPr>
          <w:rStyle w:val="Hipervnculo"/>
          <w:rFonts w:ascii="Garamond" w:eastAsia="Arial MT" w:hAnsi="Garamond" w:cs="Arial MT"/>
          <w:sz w:val="20"/>
          <w:szCs w:val="20"/>
          <w:lang w:val="es-ES"/>
        </w:rPr>
      </w:pPr>
    </w:p>
    <w:p w14:paraId="676AA1C6" w14:textId="35757F0E" w:rsidR="00A9535E" w:rsidRDefault="00A9535E" w:rsidP="002A4BF2">
      <w:pPr>
        <w:spacing w:line="240" w:lineRule="auto"/>
        <w:jc w:val="center"/>
        <w:rPr>
          <w:rStyle w:val="Hipervnculo"/>
          <w:rFonts w:ascii="Garamond" w:eastAsia="Arial MT" w:hAnsi="Garamond" w:cs="Arial MT"/>
          <w:sz w:val="20"/>
          <w:szCs w:val="20"/>
          <w:lang w:val="es-ES"/>
        </w:rPr>
      </w:pPr>
      <w:r w:rsidRPr="00A9535E">
        <w:rPr>
          <w:rStyle w:val="Hipervnculo"/>
          <w:rFonts w:ascii="Garamond" w:eastAsia="Arial MT" w:hAnsi="Garamond" w:cs="Arial MT"/>
          <w:noProof/>
          <w:sz w:val="20"/>
          <w:szCs w:val="20"/>
          <w:lang w:eastAsia="es-CO"/>
        </w:rPr>
        <w:lastRenderedPageBreak/>
        <w:drawing>
          <wp:inline distT="0" distB="0" distL="0" distR="0" wp14:anchorId="779800A4" wp14:editId="628E772C">
            <wp:extent cx="5612130" cy="3710940"/>
            <wp:effectExtent l="0" t="0" r="7620" b="3810"/>
            <wp:docPr id="1997869485" name="Imagen 1997869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612130" cy="3710940"/>
                    </a:xfrm>
                    <a:prstGeom prst="rect">
                      <a:avLst/>
                    </a:prstGeom>
                  </pic:spPr>
                </pic:pic>
              </a:graphicData>
            </a:graphic>
          </wp:inline>
        </w:drawing>
      </w:r>
    </w:p>
    <w:p w14:paraId="4B21727A" w14:textId="52316DFD"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28</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Gasto mensual Alcaldías locales Bogotá D.C..,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5D319440"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52114499"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37"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57514A4F" w14:textId="05B84D97" w:rsidR="00A9535E" w:rsidRDefault="00A9535E" w:rsidP="002A4BF2">
      <w:pPr>
        <w:spacing w:line="240" w:lineRule="auto"/>
        <w:jc w:val="center"/>
        <w:rPr>
          <w:rStyle w:val="Hipervnculo"/>
          <w:rFonts w:ascii="Garamond" w:eastAsia="Arial MT" w:hAnsi="Garamond" w:cs="Arial MT"/>
          <w:sz w:val="20"/>
          <w:szCs w:val="20"/>
          <w:lang w:val="es-ES"/>
        </w:rPr>
      </w:pPr>
      <w:r w:rsidRPr="00A9535E">
        <w:rPr>
          <w:rStyle w:val="Hipervnculo"/>
          <w:rFonts w:ascii="Garamond" w:eastAsia="Arial MT" w:hAnsi="Garamond" w:cs="Arial MT"/>
          <w:noProof/>
          <w:sz w:val="20"/>
          <w:szCs w:val="20"/>
          <w:lang w:eastAsia="es-CO"/>
        </w:rPr>
        <w:lastRenderedPageBreak/>
        <w:drawing>
          <wp:inline distT="0" distB="0" distL="0" distR="0" wp14:anchorId="0A85526E" wp14:editId="691ED92F">
            <wp:extent cx="5612130" cy="3636010"/>
            <wp:effectExtent l="0" t="0" r="7620" b="2540"/>
            <wp:docPr id="1997869486" name="Imagen 1997869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5612130" cy="3636010"/>
                    </a:xfrm>
                    <a:prstGeom prst="rect">
                      <a:avLst/>
                    </a:prstGeom>
                  </pic:spPr>
                </pic:pic>
              </a:graphicData>
            </a:graphic>
          </wp:inline>
        </w:drawing>
      </w:r>
    </w:p>
    <w:p w14:paraId="3CE8DF82" w14:textId="573CCB9D"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29</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Cantidad de contratos - mensual Alcaldías locales Bogotá D.C..,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4CD3561E"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629B9935" w14:textId="2074EFB0"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39"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411BEEA8" w14:textId="77777777" w:rsidR="00A9535E" w:rsidRDefault="00A9535E" w:rsidP="00A9535E">
      <w:pPr>
        <w:tabs>
          <w:tab w:val="left" w:pos="3390"/>
        </w:tabs>
        <w:spacing w:line="240" w:lineRule="auto"/>
        <w:rPr>
          <w:rStyle w:val="Hipervnculo"/>
          <w:rFonts w:ascii="Garamond" w:eastAsia="Arial MT" w:hAnsi="Garamond" w:cs="Arial MT"/>
          <w:sz w:val="20"/>
          <w:szCs w:val="20"/>
          <w:lang w:val="es-ES"/>
        </w:rPr>
      </w:pPr>
    </w:p>
    <w:p w14:paraId="697189F1" w14:textId="5FE2B2A8" w:rsidR="00A9535E" w:rsidRDefault="00A9535E" w:rsidP="002A4BF2">
      <w:pPr>
        <w:spacing w:line="240" w:lineRule="auto"/>
        <w:jc w:val="center"/>
        <w:rPr>
          <w:rStyle w:val="Hipervnculo"/>
          <w:rFonts w:ascii="Garamond" w:eastAsia="Arial MT" w:hAnsi="Garamond" w:cs="Arial MT"/>
          <w:sz w:val="20"/>
          <w:szCs w:val="20"/>
          <w:lang w:val="es-ES"/>
        </w:rPr>
      </w:pPr>
    </w:p>
    <w:p w14:paraId="1868257F" w14:textId="09CAA17D" w:rsidR="00A9535E" w:rsidRDefault="00A9535E" w:rsidP="002A4BF2">
      <w:pPr>
        <w:spacing w:line="240" w:lineRule="auto"/>
        <w:jc w:val="center"/>
        <w:rPr>
          <w:rStyle w:val="Hipervnculo"/>
          <w:rFonts w:ascii="Garamond" w:eastAsia="Arial MT" w:hAnsi="Garamond" w:cs="Arial MT"/>
          <w:sz w:val="20"/>
          <w:szCs w:val="20"/>
          <w:lang w:val="es-ES"/>
        </w:rPr>
      </w:pPr>
      <w:r w:rsidRPr="00A9535E">
        <w:rPr>
          <w:rStyle w:val="Hipervnculo"/>
          <w:rFonts w:ascii="Garamond" w:eastAsia="Arial MT" w:hAnsi="Garamond" w:cs="Arial MT"/>
          <w:noProof/>
          <w:sz w:val="20"/>
          <w:szCs w:val="20"/>
          <w:lang w:eastAsia="es-CO"/>
        </w:rPr>
        <w:lastRenderedPageBreak/>
        <w:drawing>
          <wp:inline distT="0" distB="0" distL="0" distR="0" wp14:anchorId="3DA1F81A" wp14:editId="05B7592C">
            <wp:extent cx="5612130" cy="2736850"/>
            <wp:effectExtent l="0" t="0" r="7620" b="6350"/>
            <wp:docPr id="1997869487" name="Imagen 1997869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612130" cy="2736850"/>
                    </a:xfrm>
                    <a:prstGeom prst="rect">
                      <a:avLst/>
                    </a:prstGeom>
                  </pic:spPr>
                </pic:pic>
              </a:graphicData>
            </a:graphic>
          </wp:inline>
        </w:drawing>
      </w:r>
    </w:p>
    <w:p w14:paraId="43A9B80C" w14:textId="459DAABA"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30</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Valor total estimado por familia Alcaldías locales Bogotá D.C..,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61068996"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52D9288A"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41"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B303812" w14:textId="4221F712" w:rsidR="00A9535E" w:rsidRDefault="00A9535E" w:rsidP="00A9535E">
      <w:pPr>
        <w:spacing w:line="240" w:lineRule="auto"/>
        <w:jc w:val="both"/>
        <w:rPr>
          <w:rFonts w:ascii="Garamond" w:eastAsia="Arial MT" w:hAnsi="Garamond" w:cs="Arial MT"/>
          <w:sz w:val="24"/>
          <w:szCs w:val="24"/>
          <w:lang w:val="es-ES"/>
        </w:rPr>
      </w:pPr>
      <w:r w:rsidRPr="00A9535E">
        <w:rPr>
          <w:rFonts w:ascii="Garamond" w:eastAsia="Arial MT" w:hAnsi="Garamond" w:cs="Arial MT"/>
          <w:noProof/>
          <w:sz w:val="24"/>
          <w:szCs w:val="24"/>
          <w:lang w:eastAsia="es-CO"/>
        </w:rPr>
        <w:drawing>
          <wp:inline distT="0" distB="0" distL="0" distR="0" wp14:anchorId="2C104967" wp14:editId="4B7E4A97">
            <wp:extent cx="5958438" cy="935665"/>
            <wp:effectExtent l="0" t="0" r="4445" b="0"/>
            <wp:docPr id="1997869488" name="Imagen 199786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a:srcRect b="19963"/>
                    <a:stretch/>
                  </pic:blipFill>
                  <pic:spPr bwMode="auto">
                    <a:xfrm>
                      <a:off x="0" y="0"/>
                      <a:ext cx="6005416" cy="943042"/>
                    </a:xfrm>
                    <a:prstGeom prst="rect">
                      <a:avLst/>
                    </a:prstGeom>
                    <a:ln>
                      <a:noFill/>
                    </a:ln>
                    <a:extLst>
                      <a:ext uri="{53640926-AAD7-44D8-BBD7-CCE9431645EC}">
                        <a14:shadowObscured xmlns:a14="http://schemas.microsoft.com/office/drawing/2010/main"/>
                      </a:ext>
                    </a:extLst>
                  </pic:spPr>
                </pic:pic>
              </a:graphicData>
            </a:graphic>
          </wp:inline>
        </w:drawing>
      </w:r>
    </w:p>
    <w:p w14:paraId="4D2C9BFA" w14:textId="31E35A3C" w:rsidR="00A9535E" w:rsidRDefault="00A9535E" w:rsidP="00A9535E">
      <w:pPr>
        <w:spacing w:line="240" w:lineRule="auto"/>
        <w:jc w:val="center"/>
        <w:rPr>
          <w:rFonts w:ascii="Garamond" w:eastAsia="Arial MT" w:hAnsi="Garamond" w:cs="Arial MT"/>
          <w:sz w:val="24"/>
          <w:szCs w:val="24"/>
          <w:lang w:val="es-ES"/>
        </w:rPr>
      </w:pPr>
      <w:r w:rsidRPr="00A9535E">
        <w:rPr>
          <w:rFonts w:ascii="Garamond" w:eastAsia="Arial MT" w:hAnsi="Garamond" w:cs="Arial MT"/>
          <w:noProof/>
          <w:sz w:val="24"/>
          <w:szCs w:val="24"/>
          <w:lang w:eastAsia="es-CO"/>
        </w:rPr>
        <w:drawing>
          <wp:inline distT="0" distB="0" distL="0" distR="0" wp14:anchorId="7A0989A2" wp14:editId="4E661F8D">
            <wp:extent cx="5972540" cy="1637414"/>
            <wp:effectExtent l="0" t="0" r="0" b="1270"/>
            <wp:docPr id="1997869491" name="Imagen 1997869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986951" cy="1641365"/>
                    </a:xfrm>
                    <a:prstGeom prst="rect">
                      <a:avLst/>
                    </a:prstGeom>
                  </pic:spPr>
                </pic:pic>
              </a:graphicData>
            </a:graphic>
          </wp:inline>
        </w:drawing>
      </w:r>
    </w:p>
    <w:p w14:paraId="1F4C0D5F" w14:textId="40438AB3" w:rsidR="00A9535E" w:rsidRDefault="00A9535E" w:rsidP="00A9535E">
      <w:pPr>
        <w:spacing w:line="240" w:lineRule="auto"/>
        <w:jc w:val="both"/>
        <w:rPr>
          <w:rFonts w:ascii="Garamond" w:eastAsia="Arial MT" w:hAnsi="Garamond" w:cs="Arial MT"/>
          <w:sz w:val="24"/>
          <w:szCs w:val="24"/>
          <w:lang w:val="es-ES"/>
        </w:rPr>
      </w:pPr>
      <w:r w:rsidRPr="00A9535E">
        <w:rPr>
          <w:rFonts w:ascii="Garamond" w:eastAsia="Arial MT" w:hAnsi="Garamond" w:cs="Arial MT"/>
          <w:noProof/>
          <w:sz w:val="24"/>
          <w:szCs w:val="24"/>
          <w:lang w:eastAsia="es-CO"/>
        </w:rPr>
        <w:lastRenderedPageBreak/>
        <w:drawing>
          <wp:inline distT="0" distB="0" distL="0" distR="0" wp14:anchorId="7A2CCFFD" wp14:editId="6D045D3C">
            <wp:extent cx="5877990" cy="1616148"/>
            <wp:effectExtent l="0" t="0" r="8890" b="3175"/>
            <wp:docPr id="1997869494" name="Imagen 1997869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882689" cy="1617440"/>
                    </a:xfrm>
                    <a:prstGeom prst="rect">
                      <a:avLst/>
                    </a:prstGeom>
                  </pic:spPr>
                </pic:pic>
              </a:graphicData>
            </a:graphic>
          </wp:inline>
        </w:drawing>
      </w:r>
    </w:p>
    <w:p w14:paraId="4DFD4DD2" w14:textId="4C41AA81"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31</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Comportamiento de contratación por familia Alcaldías locales Bogotá D.C..,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099F6222"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2847AF5" w14:textId="72D2C56E"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45"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AECF51D" w14:textId="77777777" w:rsidR="00343DA3" w:rsidRDefault="00343DA3" w:rsidP="00A9535E">
      <w:pPr>
        <w:tabs>
          <w:tab w:val="left" w:pos="3390"/>
        </w:tabs>
        <w:spacing w:line="240" w:lineRule="auto"/>
        <w:rPr>
          <w:rStyle w:val="Hipervnculo"/>
          <w:rFonts w:ascii="Garamond" w:eastAsia="Arial MT" w:hAnsi="Garamond" w:cs="Arial MT"/>
          <w:sz w:val="20"/>
          <w:szCs w:val="20"/>
          <w:lang w:val="es-ES"/>
        </w:rPr>
      </w:pPr>
    </w:p>
    <w:p w14:paraId="65B2A97E" w14:textId="47179EF1" w:rsidR="00A9535E" w:rsidRDefault="00A9535E" w:rsidP="00A9535E">
      <w:pPr>
        <w:spacing w:line="240" w:lineRule="auto"/>
        <w:jc w:val="both"/>
        <w:rPr>
          <w:rFonts w:ascii="Garamond" w:eastAsia="Arial MT" w:hAnsi="Garamond" w:cs="Arial MT"/>
          <w:sz w:val="24"/>
          <w:szCs w:val="24"/>
          <w:lang w:val="es-ES"/>
        </w:rPr>
      </w:pPr>
      <w:r w:rsidRPr="00A9535E">
        <w:rPr>
          <w:rFonts w:ascii="Garamond" w:eastAsia="Arial MT" w:hAnsi="Garamond" w:cs="Arial MT"/>
          <w:noProof/>
          <w:sz w:val="24"/>
          <w:szCs w:val="24"/>
          <w:lang w:eastAsia="es-CO"/>
        </w:rPr>
        <w:drawing>
          <wp:inline distT="0" distB="0" distL="0" distR="0" wp14:anchorId="70396481" wp14:editId="76331F48">
            <wp:extent cx="5612130" cy="3047365"/>
            <wp:effectExtent l="0" t="0" r="7620" b="635"/>
            <wp:docPr id="1997869495" name="Imagen 1997869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5612130" cy="3047365"/>
                    </a:xfrm>
                    <a:prstGeom prst="rect">
                      <a:avLst/>
                    </a:prstGeom>
                  </pic:spPr>
                </pic:pic>
              </a:graphicData>
            </a:graphic>
          </wp:inline>
        </w:drawing>
      </w:r>
    </w:p>
    <w:p w14:paraId="7C197CFE" w14:textId="1CF9A539"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32</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Valor total estimado por proveedor en Alcaldías locales Bogotá D.C..,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78DD20F8"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5646BE4E"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47"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55782FE9" w14:textId="77777777" w:rsidR="00A9535E" w:rsidRDefault="00A9535E" w:rsidP="00A9535E">
      <w:pPr>
        <w:spacing w:line="240" w:lineRule="auto"/>
        <w:jc w:val="both"/>
        <w:rPr>
          <w:rFonts w:ascii="Garamond" w:eastAsia="Arial MT" w:hAnsi="Garamond" w:cs="Arial MT"/>
          <w:sz w:val="24"/>
          <w:szCs w:val="24"/>
          <w:lang w:val="es-ES"/>
        </w:rPr>
      </w:pPr>
    </w:p>
    <w:p w14:paraId="79CF7FA5" w14:textId="64056107" w:rsidR="00A9535E" w:rsidRDefault="00A9535E" w:rsidP="00A9535E">
      <w:pPr>
        <w:spacing w:line="240" w:lineRule="auto"/>
        <w:jc w:val="both"/>
        <w:rPr>
          <w:rFonts w:ascii="Garamond" w:eastAsia="Arial MT" w:hAnsi="Garamond" w:cs="Arial MT"/>
          <w:sz w:val="24"/>
          <w:szCs w:val="24"/>
          <w:lang w:val="es-ES"/>
        </w:rPr>
      </w:pPr>
      <w:r w:rsidRPr="00A9535E">
        <w:rPr>
          <w:rFonts w:ascii="Garamond" w:eastAsia="Arial MT" w:hAnsi="Garamond" w:cs="Arial MT"/>
          <w:noProof/>
          <w:sz w:val="24"/>
          <w:szCs w:val="24"/>
          <w:lang w:eastAsia="es-CO"/>
        </w:rPr>
        <w:lastRenderedPageBreak/>
        <w:drawing>
          <wp:inline distT="0" distB="0" distL="0" distR="0" wp14:anchorId="3D683D88" wp14:editId="7F1B3B7B">
            <wp:extent cx="5612130" cy="3561080"/>
            <wp:effectExtent l="0" t="0" r="7620" b="1270"/>
            <wp:docPr id="1997869498" name="Imagen 1997869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612130" cy="3561080"/>
                    </a:xfrm>
                    <a:prstGeom prst="rect">
                      <a:avLst/>
                    </a:prstGeom>
                  </pic:spPr>
                </pic:pic>
              </a:graphicData>
            </a:graphic>
          </wp:inline>
        </w:drawing>
      </w:r>
    </w:p>
    <w:p w14:paraId="45A1DDA6" w14:textId="4F90AF60"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33</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Valor total estimado por proveedor y origen en Alcaldías locales Bogotá D.C..,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6DC1028B"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208B7526"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49"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7E897170" w14:textId="77777777" w:rsidR="00A9535E" w:rsidRDefault="00A9535E" w:rsidP="00A9535E">
      <w:pPr>
        <w:spacing w:line="240" w:lineRule="auto"/>
        <w:jc w:val="both"/>
        <w:rPr>
          <w:rFonts w:ascii="Garamond" w:eastAsia="Arial MT" w:hAnsi="Garamond" w:cs="Arial MT"/>
          <w:sz w:val="24"/>
          <w:szCs w:val="24"/>
          <w:lang w:val="es-ES"/>
        </w:rPr>
      </w:pPr>
    </w:p>
    <w:p w14:paraId="063AE4AC" w14:textId="211A06F4" w:rsidR="00A9535E" w:rsidRPr="00563EAE" w:rsidRDefault="00A9535E" w:rsidP="00A9535E">
      <w:pPr>
        <w:spacing w:line="240" w:lineRule="auto"/>
        <w:jc w:val="both"/>
        <w:rPr>
          <w:rFonts w:ascii="Garamond" w:eastAsia="Arial MT" w:hAnsi="Garamond" w:cs="Arial MT"/>
          <w:sz w:val="24"/>
          <w:szCs w:val="24"/>
          <w:lang w:val="es-ES"/>
        </w:rPr>
      </w:pPr>
      <w:r w:rsidRPr="00563EAE">
        <w:rPr>
          <w:rFonts w:ascii="Garamond" w:eastAsia="Arial MT" w:hAnsi="Garamond" w:cs="Arial MT"/>
          <w:sz w:val="24"/>
          <w:szCs w:val="24"/>
          <w:lang w:val="es-ES"/>
        </w:rPr>
        <w:t xml:space="preserve">Con el objetivo de identificar la </w:t>
      </w:r>
      <w:r>
        <w:rPr>
          <w:rFonts w:ascii="Garamond" w:eastAsia="Arial MT" w:hAnsi="Garamond" w:cs="Arial MT"/>
          <w:sz w:val="24"/>
          <w:szCs w:val="24"/>
          <w:lang w:val="es-ES"/>
        </w:rPr>
        <w:t>demanda</w:t>
      </w:r>
      <w:r w:rsidRPr="00563EAE">
        <w:rPr>
          <w:rFonts w:ascii="Garamond" w:eastAsia="Arial MT" w:hAnsi="Garamond" w:cs="Arial MT"/>
          <w:sz w:val="24"/>
          <w:szCs w:val="24"/>
          <w:lang w:val="es-ES"/>
        </w:rPr>
        <w:t xml:space="preserve"> </w:t>
      </w:r>
      <w:r>
        <w:rPr>
          <w:rFonts w:ascii="Garamond" w:eastAsia="Arial MT" w:hAnsi="Garamond" w:cs="Arial MT"/>
          <w:sz w:val="24"/>
          <w:szCs w:val="24"/>
          <w:lang w:val="es-ES"/>
        </w:rPr>
        <w:t>del bien o servicio</w:t>
      </w:r>
      <w:r w:rsidRPr="00563EAE">
        <w:rPr>
          <w:rFonts w:ascii="Garamond" w:eastAsia="Arial MT" w:hAnsi="Garamond" w:cs="Arial MT"/>
          <w:sz w:val="24"/>
          <w:szCs w:val="24"/>
          <w:lang w:val="es-ES"/>
        </w:rPr>
        <w:t>, se procedió a acceder a la plataforma SECOP II y, en el directorio, se i</w:t>
      </w:r>
      <w:r>
        <w:rPr>
          <w:rFonts w:ascii="Garamond" w:eastAsia="Arial MT" w:hAnsi="Garamond" w:cs="Arial MT"/>
          <w:sz w:val="24"/>
          <w:szCs w:val="24"/>
          <w:lang w:val="es-ES"/>
        </w:rPr>
        <w:t xml:space="preserve">dentificaron las entidades que compran o adquieren este tipo de bien o servicio. </w:t>
      </w:r>
      <w:r w:rsidRPr="00563EAE">
        <w:rPr>
          <w:rFonts w:ascii="Garamond" w:eastAsia="Arial MT" w:hAnsi="Garamond" w:cs="Arial MT"/>
          <w:sz w:val="24"/>
          <w:szCs w:val="24"/>
          <w:lang w:val="es-ES"/>
        </w:rPr>
        <w:t>Den</w:t>
      </w:r>
      <w:r>
        <w:rPr>
          <w:rFonts w:ascii="Garamond" w:eastAsia="Arial MT" w:hAnsi="Garamond" w:cs="Arial MT"/>
          <w:sz w:val="24"/>
          <w:szCs w:val="24"/>
          <w:lang w:val="es-ES"/>
        </w:rPr>
        <w:t>tro de ese sector, se identificaron</w:t>
      </w:r>
      <w:r w:rsidRPr="00563EAE">
        <w:rPr>
          <w:rFonts w:ascii="Garamond" w:eastAsia="Arial MT" w:hAnsi="Garamond" w:cs="Arial MT"/>
          <w:sz w:val="24"/>
          <w:szCs w:val="24"/>
          <w:lang w:val="es-ES"/>
        </w:rPr>
        <w:t xml:space="preserve"> </w:t>
      </w:r>
      <w:r>
        <w:rPr>
          <w:rFonts w:ascii="Garamond" w:eastAsia="Arial MT" w:hAnsi="Garamond" w:cs="Arial MT"/>
          <w:sz w:val="24"/>
          <w:szCs w:val="24"/>
          <w:lang w:val="es-ES"/>
        </w:rPr>
        <w:t xml:space="preserve">entidades que han contratado </w:t>
      </w:r>
      <w:r w:rsidRPr="00563EAE">
        <w:rPr>
          <w:rFonts w:ascii="Garamond" w:eastAsia="Arial MT" w:hAnsi="Garamond" w:cs="Arial MT"/>
          <w:b/>
          <w:sz w:val="24"/>
          <w:szCs w:val="24"/>
          <w:u w:val="single"/>
          <w:lang w:val="es-ES"/>
        </w:rPr>
        <w:t>los servicios de suministro de cerramientos de seguridad de la construcción</w:t>
      </w:r>
      <w:r w:rsidRPr="00563EAE">
        <w:rPr>
          <w:rFonts w:ascii="Garamond" w:eastAsia="Arial MT" w:hAnsi="Garamond" w:cs="Arial MT"/>
          <w:sz w:val="24"/>
          <w:szCs w:val="24"/>
          <w:lang w:val="es-ES"/>
        </w:rPr>
        <w:t xml:space="preserve">. </w:t>
      </w:r>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2765"/>
        <w:gridCol w:w="2278"/>
        <w:gridCol w:w="2569"/>
      </w:tblGrid>
      <w:tr w:rsidR="00A9535E" w:rsidRPr="00926937" w14:paraId="2736B946" w14:textId="77777777" w:rsidTr="0077032A">
        <w:trPr>
          <w:trHeight w:val="567"/>
        </w:trPr>
        <w:tc>
          <w:tcPr>
            <w:tcW w:w="795" w:type="pct"/>
            <w:shd w:val="clear" w:color="auto" w:fill="F2F2F2"/>
            <w:tcMar>
              <w:top w:w="0" w:type="dxa"/>
              <w:left w:w="70" w:type="dxa"/>
              <w:bottom w:w="0" w:type="dxa"/>
              <w:right w:w="70" w:type="dxa"/>
            </w:tcMar>
            <w:vAlign w:val="center"/>
            <w:hideMark/>
          </w:tcPr>
          <w:p w14:paraId="1C634426"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Clasificación UNSPSC</w:t>
            </w:r>
          </w:p>
        </w:tc>
        <w:tc>
          <w:tcPr>
            <w:tcW w:w="1527" w:type="pct"/>
            <w:shd w:val="clear" w:color="auto" w:fill="F2F2F2"/>
            <w:tcMar>
              <w:top w:w="0" w:type="dxa"/>
              <w:left w:w="70" w:type="dxa"/>
              <w:bottom w:w="0" w:type="dxa"/>
              <w:right w:w="70" w:type="dxa"/>
            </w:tcMar>
            <w:vAlign w:val="center"/>
            <w:hideMark/>
          </w:tcPr>
          <w:p w14:paraId="273A18FC"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Segmento</w:t>
            </w:r>
          </w:p>
        </w:tc>
        <w:tc>
          <w:tcPr>
            <w:tcW w:w="1258" w:type="pct"/>
            <w:shd w:val="clear" w:color="auto" w:fill="F2F2F2"/>
            <w:tcMar>
              <w:top w:w="0" w:type="dxa"/>
              <w:left w:w="70" w:type="dxa"/>
              <w:bottom w:w="0" w:type="dxa"/>
              <w:right w:w="70" w:type="dxa"/>
            </w:tcMar>
            <w:vAlign w:val="center"/>
            <w:hideMark/>
          </w:tcPr>
          <w:p w14:paraId="7ADD3158"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Familia</w:t>
            </w:r>
          </w:p>
        </w:tc>
        <w:tc>
          <w:tcPr>
            <w:tcW w:w="1419" w:type="pct"/>
            <w:shd w:val="clear" w:color="auto" w:fill="F2F2F2"/>
            <w:tcMar>
              <w:top w:w="0" w:type="dxa"/>
              <w:left w:w="70" w:type="dxa"/>
              <w:bottom w:w="0" w:type="dxa"/>
              <w:right w:w="70" w:type="dxa"/>
            </w:tcMar>
            <w:vAlign w:val="center"/>
            <w:hideMark/>
          </w:tcPr>
          <w:p w14:paraId="12BAE6D8"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Clase</w:t>
            </w:r>
          </w:p>
        </w:tc>
      </w:tr>
      <w:tr w:rsidR="00A9535E" w14:paraId="762A804F" w14:textId="77777777" w:rsidTr="0077032A">
        <w:trPr>
          <w:trHeight w:val="238"/>
        </w:trPr>
        <w:tc>
          <w:tcPr>
            <w:tcW w:w="795" w:type="pct"/>
            <w:tcMar>
              <w:top w:w="0" w:type="dxa"/>
              <w:left w:w="70" w:type="dxa"/>
              <w:bottom w:w="0" w:type="dxa"/>
              <w:right w:w="70" w:type="dxa"/>
            </w:tcMar>
            <w:vAlign w:val="center"/>
          </w:tcPr>
          <w:p w14:paraId="796E6CDF" w14:textId="77777777" w:rsidR="00A9535E" w:rsidRDefault="00A9535E" w:rsidP="0077032A">
            <w:pPr>
              <w:spacing w:line="240" w:lineRule="auto"/>
              <w:jc w:val="both"/>
              <w:rPr>
                <w:rFonts w:ascii="Garamond" w:hAnsi="Garamond" w:cs="Arial"/>
                <w:bCs/>
                <w:sz w:val="24"/>
                <w:szCs w:val="24"/>
              </w:rPr>
            </w:pPr>
            <w:r>
              <w:rPr>
                <w:rFonts w:ascii="Garamond" w:hAnsi="Garamond" w:cs="Arial"/>
                <w:bCs/>
                <w:sz w:val="24"/>
                <w:szCs w:val="24"/>
              </w:rPr>
              <w:t>301916</w:t>
            </w:r>
          </w:p>
        </w:tc>
        <w:tc>
          <w:tcPr>
            <w:tcW w:w="1527" w:type="pct"/>
            <w:shd w:val="clear" w:color="auto" w:fill="auto"/>
            <w:tcMar>
              <w:top w:w="0" w:type="dxa"/>
              <w:left w:w="70" w:type="dxa"/>
              <w:bottom w:w="0" w:type="dxa"/>
              <w:right w:w="70" w:type="dxa"/>
            </w:tcMar>
            <w:vAlign w:val="center"/>
          </w:tcPr>
          <w:p w14:paraId="1C539AEE" w14:textId="77777777" w:rsidR="00A9535E" w:rsidRDefault="00A9535E" w:rsidP="0077032A">
            <w:pPr>
              <w:spacing w:line="240" w:lineRule="auto"/>
              <w:jc w:val="both"/>
              <w:rPr>
                <w:rFonts w:ascii="Garamond" w:hAnsi="Garamond" w:cs="Arial"/>
                <w:bCs/>
                <w:sz w:val="24"/>
                <w:szCs w:val="24"/>
              </w:rPr>
            </w:pPr>
            <w:r>
              <w:rPr>
                <w:rFonts w:ascii="Garamond" w:hAnsi="Garamond" w:cs="Arial"/>
                <w:bCs/>
                <w:sz w:val="24"/>
                <w:szCs w:val="24"/>
              </w:rPr>
              <w:t>30 – Componentes y suministros para Estructuras, Edificación, Construcción y Obras civiles</w:t>
            </w:r>
          </w:p>
        </w:tc>
        <w:tc>
          <w:tcPr>
            <w:tcW w:w="1258" w:type="pct"/>
            <w:tcMar>
              <w:top w:w="0" w:type="dxa"/>
              <w:left w:w="70" w:type="dxa"/>
              <w:bottom w:w="0" w:type="dxa"/>
              <w:right w:w="70" w:type="dxa"/>
            </w:tcMar>
            <w:vAlign w:val="center"/>
          </w:tcPr>
          <w:p w14:paraId="4E6B4FF0" w14:textId="77777777" w:rsidR="00A9535E" w:rsidRDefault="00A9535E" w:rsidP="0077032A">
            <w:pPr>
              <w:spacing w:line="240" w:lineRule="auto"/>
              <w:jc w:val="both"/>
              <w:rPr>
                <w:rFonts w:ascii="Garamond" w:hAnsi="Garamond" w:cs="Arial"/>
                <w:bCs/>
                <w:sz w:val="24"/>
                <w:szCs w:val="24"/>
              </w:rPr>
            </w:pPr>
            <w:r>
              <w:rPr>
                <w:rFonts w:ascii="Garamond" w:hAnsi="Garamond" w:cs="Arial"/>
                <w:bCs/>
                <w:sz w:val="24"/>
                <w:szCs w:val="24"/>
              </w:rPr>
              <w:t>19 – Equipo de apoyo para construcción y mantenimiento</w:t>
            </w:r>
          </w:p>
        </w:tc>
        <w:tc>
          <w:tcPr>
            <w:tcW w:w="1419" w:type="pct"/>
            <w:tcMar>
              <w:top w:w="0" w:type="dxa"/>
              <w:left w:w="70" w:type="dxa"/>
              <w:bottom w:w="0" w:type="dxa"/>
              <w:right w:w="70" w:type="dxa"/>
            </w:tcMar>
            <w:vAlign w:val="center"/>
          </w:tcPr>
          <w:p w14:paraId="05E67BDD" w14:textId="77777777" w:rsidR="00A9535E" w:rsidRDefault="00A9535E" w:rsidP="0077032A">
            <w:pPr>
              <w:spacing w:line="240" w:lineRule="auto"/>
              <w:jc w:val="both"/>
              <w:rPr>
                <w:rFonts w:ascii="Garamond" w:hAnsi="Garamond" w:cs="Arial"/>
                <w:bCs/>
                <w:sz w:val="24"/>
                <w:szCs w:val="24"/>
              </w:rPr>
            </w:pPr>
            <w:r>
              <w:rPr>
                <w:rFonts w:ascii="Garamond" w:hAnsi="Garamond" w:cs="Arial"/>
                <w:bCs/>
                <w:sz w:val="24"/>
                <w:szCs w:val="24"/>
              </w:rPr>
              <w:t>16 – Escaleras y accesorios de andamiajes (cerramiento de seguridad de la construcción)</w:t>
            </w:r>
          </w:p>
        </w:tc>
      </w:tr>
    </w:tbl>
    <w:p w14:paraId="57894B49" w14:textId="77777777" w:rsidR="00A9535E" w:rsidRPr="00563EAE" w:rsidRDefault="00A9535E" w:rsidP="00A9535E">
      <w:pPr>
        <w:pStyle w:val="Prrafodelista"/>
        <w:spacing w:line="240" w:lineRule="auto"/>
        <w:jc w:val="both"/>
        <w:rPr>
          <w:rFonts w:ascii="Garamond" w:eastAsia="Arial MT" w:hAnsi="Garamond" w:cs="Arial MT"/>
          <w:sz w:val="24"/>
          <w:szCs w:val="24"/>
          <w:lang w:val="es-ES"/>
        </w:rPr>
      </w:pPr>
    </w:p>
    <w:p w14:paraId="491A21A3" w14:textId="77777777" w:rsidR="00A9535E" w:rsidRPr="00B00A0B" w:rsidRDefault="00A9535E" w:rsidP="00A9535E">
      <w:pPr>
        <w:spacing w:line="240" w:lineRule="auto"/>
        <w:jc w:val="both"/>
        <w:rPr>
          <w:rFonts w:ascii="Garamond" w:eastAsia="Arial MT" w:hAnsi="Garamond" w:cs="Arial MT"/>
          <w:sz w:val="24"/>
          <w:szCs w:val="24"/>
          <w:lang w:val="es-ES"/>
        </w:rPr>
      </w:pPr>
      <w:r w:rsidRPr="00B00A0B">
        <w:rPr>
          <w:rFonts w:ascii="Garamond" w:eastAsia="Arial MT" w:hAnsi="Garamond" w:cs="Arial MT"/>
          <w:sz w:val="24"/>
          <w:szCs w:val="24"/>
          <w:lang w:val="es-ES"/>
        </w:rPr>
        <w:t xml:space="preserve">A continuación, se relaciona </w:t>
      </w:r>
      <w:r w:rsidRPr="00B00A0B">
        <w:rPr>
          <w:rFonts w:ascii="Garamond" w:eastAsia="Arial MT" w:hAnsi="Garamond" w:cs="Arial MT"/>
          <w:b/>
          <w:sz w:val="24"/>
          <w:szCs w:val="24"/>
          <w:lang w:val="es-ES"/>
        </w:rPr>
        <w:t xml:space="preserve">QUIEN </w:t>
      </w:r>
      <w:r>
        <w:rPr>
          <w:rFonts w:ascii="Garamond" w:eastAsia="Arial MT" w:hAnsi="Garamond" w:cs="Arial MT"/>
          <w:b/>
          <w:sz w:val="24"/>
          <w:szCs w:val="24"/>
          <w:lang w:val="es-ES"/>
        </w:rPr>
        <w:t>COMPRA</w:t>
      </w:r>
      <w:r w:rsidRPr="00B00A0B">
        <w:rPr>
          <w:rFonts w:ascii="Garamond" w:eastAsia="Arial MT" w:hAnsi="Garamond" w:cs="Arial MT"/>
          <w:sz w:val="24"/>
          <w:szCs w:val="24"/>
          <w:lang w:val="es-ES"/>
        </w:rPr>
        <w:t xml:space="preserve"> el servicio a nivel nacional:</w:t>
      </w:r>
    </w:p>
    <w:p w14:paraId="0A893632" w14:textId="77777777" w:rsidR="00A9535E" w:rsidRDefault="00A9535E" w:rsidP="00A9535E">
      <w:pPr>
        <w:spacing w:after="0" w:line="240" w:lineRule="auto"/>
        <w:jc w:val="center"/>
        <w:rPr>
          <w:rFonts w:ascii="Garamond" w:eastAsia="Arial MT" w:hAnsi="Garamond" w:cs="Arial MT"/>
          <w:sz w:val="20"/>
          <w:szCs w:val="20"/>
          <w:lang w:val="es-ES"/>
        </w:rPr>
      </w:pPr>
    </w:p>
    <w:p w14:paraId="4CF0D6AF" w14:textId="77777777" w:rsidR="00A9535E" w:rsidRDefault="00A9535E" w:rsidP="00A9535E">
      <w:pPr>
        <w:spacing w:after="0" w:line="240" w:lineRule="auto"/>
        <w:jc w:val="center"/>
        <w:rPr>
          <w:rFonts w:ascii="Garamond" w:eastAsia="Arial MT" w:hAnsi="Garamond" w:cs="Arial MT"/>
          <w:sz w:val="20"/>
          <w:szCs w:val="20"/>
          <w:lang w:val="es-ES"/>
        </w:rPr>
      </w:pPr>
    </w:p>
    <w:p w14:paraId="4E68CC18" w14:textId="77777777" w:rsidR="00A9535E" w:rsidRDefault="00A9535E" w:rsidP="00A9535E">
      <w:pPr>
        <w:spacing w:after="0" w:line="240" w:lineRule="auto"/>
        <w:jc w:val="center"/>
        <w:rPr>
          <w:rFonts w:ascii="Garamond" w:eastAsia="Arial MT" w:hAnsi="Garamond" w:cs="Arial MT"/>
          <w:sz w:val="20"/>
          <w:szCs w:val="20"/>
          <w:lang w:val="es-ES"/>
        </w:rPr>
      </w:pPr>
      <w:r w:rsidRPr="000106A3">
        <w:rPr>
          <w:noProof/>
          <w:lang w:eastAsia="es-CO"/>
        </w:rPr>
        <w:drawing>
          <wp:inline distT="0" distB="0" distL="0" distR="0" wp14:anchorId="143FE2FF" wp14:editId="71F40083">
            <wp:extent cx="5612130" cy="2680335"/>
            <wp:effectExtent l="0" t="0" r="7620" b="571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5612130" cy="2680335"/>
                    </a:xfrm>
                    <a:prstGeom prst="rect">
                      <a:avLst/>
                    </a:prstGeom>
                  </pic:spPr>
                </pic:pic>
              </a:graphicData>
            </a:graphic>
          </wp:inline>
        </w:drawing>
      </w:r>
    </w:p>
    <w:p w14:paraId="256A8A5D" w14:textId="77777777" w:rsidR="00A9535E" w:rsidRDefault="00A9535E" w:rsidP="00A9535E">
      <w:pPr>
        <w:spacing w:after="0" w:line="240" w:lineRule="auto"/>
        <w:jc w:val="center"/>
        <w:rPr>
          <w:rFonts w:ascii="Garamond" w:eastAsia="Arial MT" w:hAnsi="Garamond" w:cs="Arial MT"/>
          <w:sz w:val="20"/>
          <w:szCs w:val="20"/>
          <w:lang w:val="es-ES"/>
        </w:rPr>
      </w:pPr>
    </w:p>
    <w:p w14:paraId="034ADCDE" w14:textId="08FD4928"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34</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entidad, código</w:t>
      </w:r>
      <w:r w:rsidRPr="00C050A9">
        <w:rPr>
          <w:rFonts w:ascii="Garamond" w:eastAsia="Arial MT" w:hAnsi="Garamond" w:cs="Arial MT"/>
          <w:sz w:val="20"/>
          <w:szCs w:val="20"/>
          <w:lang w:val="es-ES"/>
        </w:rPr>
        <w:t xml:space="preserve"> UNSPSC 301916</w:t>
      </w:r>
    </w:p>
    <w:p w14:paraId="6A07E446"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BCD310A" w14:textId="77777777" w:rsidR="00A9535E" w:rsidRDefault="0068116C" w:rsidP="00A9535E">
      <w:pPr>
        <w:tabs>
          <w:tab w:val="left" w:pos="3390"/>
        </w:tabs>
        <w:spacing w:line="240" w:lineRule="auto"/>
        <w:rPr>
          <w:rFonts w:ascii="Garamond" w:eastAsia="Arial MT" w:hAnsi="Garamond" w:cs="Arial MT"/>
          <w:sz w:val="20"/>
          <w:szCs w:val="20"/>
          <w:lang w:val="es-ES"/>
        </w:rPr>
      </w:pPr>
      <w:hyperlink r:id="rId151"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9DF34C9" w14:textId="77777777" w:rsidR="00A9535E" w:rsidRDefault="00A9535E" w:rsidP="00A9535E">
      <w:pPr>
        <w:tabs>
          <w:tab w:val="left" w:pos="3390"/>
        </w:tabs>
        <w:spacing w:line="240" w:lineRule="auto"/>
        <w:rPr>
          <w:rFonts w:ascii="Garamond" w:eastAsia="Arial MT" w:hAnsi="Garamond" w:cs="Arial MT"/>
          <w:sz w:val="20"/>
          <w:szCs w:val="20"/>
          <w:lang w:val="es-ES"/>
        </w:rPr>
      </w:pPr>
      <w:r w:rsidRPr="00D8549E">
        <w:rPr>
          <w:rFonts w:ascii="Garamond" w:eastAsia="Arial MT" w:hAnsi="Garamond" w:cs="Arial MT"/>
          <w:noProof/>
          <w:sz w:val="20"/>
          <w:szCs w:val="20"/>
          <w:lang w:eastAsia="es-CO"/>
        </w:rPr>
        <w:drawing>
          <wp:inline distT="0" distB="0" distL="0" distR="0" wp14:anchorId="38C4A46A" wp14:editId="6AE4560A">
            <wp:extent cx="5612130" cy="3232785"/>
            <wp:effectExtent l="0" t="0" r="7620" b="571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612130" cy="3232785"/>
                    </a:xfrm>
                    <a:prstGeom prst="rect">
                      <a:avLst/>
                    </a:prstGeom>
                  </pic:spPr>
                </pic:pic>
              </a:graphicData>
            </a:graphic>
          </wp:inline>
        </w:drawing>
      </w:r>
    </w:p>
    <w:p w14:paraId="22F8C8EE" w14:textId="0D8647C3"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35</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código</w:t>
      </w:r>
      <w:r w:rsidRPr="00C050A9">
        <w:rPr>
          <w:rFonts w:ascii="Garamond" w:eastAsia="Arial MT" w:hAnsi="Garamond" w:cs="Arial MT"/>
          <w:sz w:val="20"/>
          <w:szCs w:val="20"/>
          <w:lang w:val="es-ES"/>
        </w:rPr>
        <w:t xml:space="preserve"> UNSPSC 301916</w:t>
      </w:r>
    </w:p>
    <w:p w14:paraId="3D4117FF"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05425AB2" w14:textId="77777777" w:rsidR="00A9535E" w:rsidRDefault="0068116C" w:rsidP="00A9535E">
      <w:pPr>
        <w:tabs>
          <w:tab w:val="left" w:pos="3390"/>
        </w:tabs>
        <w:spacing w:line="240" w:lineRule="auto"/>
        <w:rPr>
          <w:rFonts w:ascii="Garamond" w:eastAsia="Arial MT" w:hAnsi="Garamond" w:cs="Arial MT"/>
          <w:sz w:val="20"/>
          <w:szCs w:val="20"/>
          <w:lang w:val="es-ES"/>
        </w:rPr>
      </w:pPr>
      <w:hyperlink r:id="rId153"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5D9E15F6" w14:textId="77777777" w:rsidR="00A9535E" w:rsidRPr="00B00A0B" w:rsidRDefault="00A9535E" w:rsidP="00A9535E">
      <w:pPr>
        <w:spacing w:line="240" w:lineRule="auto"/>
        <w:jc w:val="both"/>
        <w:rPr>
          <w:rFonts w:ascii="Garamond" w:eastAsia="Arial MT" w:hAnsi="Garamond" w:cs="Arial MT"/>
          <w:sz w:val="24"/>
          <w:szCs w:val="24"/>
          <w:lang w:val="es-ES"/>
        </w:rPr>
      </w:pPr>
      <w:r w:rsidRPr="00B00A0B">
        <w:rPr>
          <w:rFonts w:ascii="Garamond" w:eastAsia="Arial MT" w:hAnsi="Garamond" w:cs="Arial MT"/>
          <w:sz w:val="24"/>
          <w:szCs w:val="24"/>
          <w:lang w:val="es-ES"/>
        </w:rPr>
        <w:lastRenderedPageBreak/>
        <w:t xml:space="preserve">A continuación, se relaciona </w:t>
      </w:r>
      <w:r w:rsidRPr="00B00A0B">
        <w:rPr>
          <w:rFonts w:ascii="Garamond" w:eastAsia="Arial MT" w:hAnsi="Garamond" w:cs="Arial MT"/>
          <w:b/>
          <w:sz w:val="24"/>
          <w:szCs w:val="24"/>
          <w:lang w:val="es-ES"/>
        </w:rPr>
        <w:t xml:space="preserve">QUIEN </w:t>
      </w:r>
      <w:r>
        <w:rPr>
          <w:rFonts w:ascii="Garamond" w:eastAsia="Arial MT" w:hAnsi="Garamond" w:cs="Arial MT"/>
          <w:b/>
          <w:sz w:val="24"/>
          <w:szCs w:val="24"/>
          <w:lang w:val="es-ES"/>
        </w:rPr>
        <w:t>COMPRA</w:t>
      </w:r>
      <w:r w:rsidRPr="00B00A0B">
        <w:rPr>
          <w:rFonts w:ascii="Garamond" w:eastAsia="Arial MT" w:hAnsi="Garamond" w:cs="Arial MT"/>
          <w:sz w:val="24"/>
          <w:szCs w:val="24"/>
          <w:lang w:val="es-ES"/>
        </w:rPr>
        <w:t xml:space="preserve"> el servicio a nivel nacional:</w:t>
      </w:r>
    </w:p>
    <w:p w14:paraId="14BD5A28" w14:textId="77777777" w:rsidR="00A9535E" w:rsidRPr="002B2209" w:rsidRDefault="00A9535E" w:rsidP="00A9535E">
      <w:pPr>
        <w:spacing w:line="240" w:lineRule="auto"/>
        <w:rPr>
          <w:rFonts w:ascii="Garamond" w:hAnsi="Garamond" w:cs="Arial"/>
          <w:sz w:val="24"/>
          <w:szCs w:val="24"/>
        </w:rPr>
      </w:pPr>
      <w:r w:rsidRPr="00D8549E">
        <w:rPr>
          <w:rFonts w:ascii="Garamond" w:hAnsi="Garamond" w:cs="Arial"/>
          <w:noProof/>
          <w:sz w:val="24"/>
          <w:szCs w:val="24"/>
          <w:lang w:eastAsia="es-CO"/>
        </w:rPr>
        <w:drawing>
          <wp:anchor distT="0" distB="0" distL="114300" distR="114300" simplePos="0" relativeHeight="251726848" behindDoc="0" locked="0" layoutInCell="1" allowOverlap="1" wp14:anchorId="54C5AE2D" wp14:editId="3EB7C798">
            <wp:simplePos x="0" y="0"/>
            <wp:positionH relativeFrom="column">
              <wp:posOffset>-284463</wp:posOffset>
            </wp:positionH>
            <wp:positionV relativeFrom="paragraph">
              <wp:posOffset>107315</wp:posOffset>
            </wp:positionV>
            <wp:extent cx="6134645" cy="301318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extLst>
                        <a:ext uri="{28A0092B-C50C-407E-A947-70E740481C1C}">
                          <a14:useLocalDpi xmlns:a14="http://schemas.microsoft.com/office/drawing/2010/main" val="0"/>
                        </a:ext>
                      </a:extLst>
                    </a:blip>
                    <a:stretch>
                      <a:fillRect/>
                    </a:stretch>
                  </pic:blipFill>
                  <pic:spPr>
                    <a:xfrm>
                      <a:off x="0" y="0"/>
                      <a:ext cx="6134645" cy="3013180"/>
                    </a:xfrm>
                    <a:prstGeom prst="rect">
                      <a:avLst/>
                    </a:prstGeom>
                  </pic:spPr>
                </pic:pic>
              </a:graphicData>
            </a:graphic>
            <wp14:sizeRelH relativeFrom="margin">
              <wp14:pctWidth>0</wp14:pctWidth>
            </wp14:sizeRelH>
            <wp14:sizeRelV relativeFrom="margin">
              <wp14:pctHeight>0</wp14:pctHeight>
            </wp14:sizeRelV>
          </wp:anchor>
        </w:drawing>
      </w:r>
    </w:p>
    <w:p w14:paraId="3F387790" w14:textId="77777777" w:rsidR="00A9535E" w:rsidRPr="002B2209" w:rsidRDefault="00A9535E" w:rsidP="00A9535E">
      <w:pPr>
        <w:spacing w:line="240" w:lineRule="auto"/>
        <w:rPr>
          <w:rFonts w:ascii="Garamond" w:hAnsi="Garamond" w:cs="Arial"/>
          <w:sz w:val="24"/>
          <w:szCs w:val="24"/>
        </w:rPr>
      </w:pPr>
    </w:p>
    <w:p w14:paraId="744FB0A4" w14:textId="77777777" w:rsidR="00A9535E" w:rsidRPr="002B2209" w:rsidRDefault="00A9535E" w:rsidP="00A9535E">
      <w:pPr>
        <w:spacing w:line="240" w:lineRule="auto"/>
        <w:rPr>
          <w:rFonts w:ascii="Garamond" w:hAnsi="Garamond" w:cs="Arial"/>
          <w:sz w:val="24"/>
          <w:szCs w:val="24"/>
        </w:rPr>
      </w:pPr>
    </w:p>
    <w:p w14:paraId="303881E9" w14:textId="77777777" w:rsidR="00A9535E" w:rsidRPr="002B2209" w:rsidRDefault="00A9535E" w:rsidP="00A9535E">
      <w:pPr>
        <w:spacing w:line="240" w:lineRule="auto"/>
        <w:rPr>
          <w:rFonts w:ascii="Garamond" w:hAnsi="Garamond" w:cs="Arial"/>
          <w:sz w:val="24"/>
          <w:szCs w:val="24"/>
        </w:rPr>
      </w:pPr>
    </w:p>
    <w:p w14:paraId="02DC84B7" w14:textId="77777777" w:rsidR="00A9535E" w:rsidRPr="002B2209" w:rsidRDefault="00A9535E" w:rsidP="00A9535E">
      <w:pPr>
        <w:spacing w:line="240" w:lineRule="auto"/>
        <w:rPr>
          <w:rFonts w:ascii="Garamond" w:hAnsi="Garamond" w:cs="Arial"/>
          <w:sz w:val="24"/>
          <w:szCs w:val="24"/>
        </w:rPr>
      </w:pPr>
    </w:p>
    <w:p w14:paraId="60DC1561" w14:textId="77777777" w:rsidR="00A9535E" w:rsidRDefault="00A9535E" w:rsidP="00A9535E">
      <w:pPr>
        <w:spacing w:line="240" w:lineRule="auto"/>
        <w:rPr>
          <w:rFonts w:ascii="Garamond" w:hAnsi="Garamond" w:cs="Arial"/>
          <w:sz w:val="24"/>
          <w:szCs w:val="24"/>
        </w:rPr>
      </w:pPr>
    </w:p>
    <w:p w14:paraId="762D0D38" w14:textId="77777777" w:rsidR="00A9535E" w:rsidRDefault="00A9535E" w:rsidP="00A9535E">
      <w:pPr>
        <w:spacing w:line="240" w:lineRule="auto"/>
        <w:rPr>
          <w:rFonts w:ascii="Garamond" w:hAnsi="Garamond" w:cs="Arial"/>
          <w:sz w:val="24"/>
          <w:szCs w:val="24"/>
        </w:rPr>
      </w:pPr>
    </w:p>
    <w:p w14:paraId="39610C2A" w14:textId="77777777" w:rsidR="00A9535E" w:rsidRDefault="00A9535E" w:rsidP="00A9535E">
      <w:pPr>
        <w:spacing w:line="240" w:lineRule="auto"/>
        <w:rPr>
          <w:rFonts w:ascii="Garamond" w:hAnsi="Garamond" w:cs="Arial"/>
          <w:sz w:val="24"/>
          <w:szCs w:val="24"/>
        </w:rPr>
      </w:pPr>
    </w:p>
    <w:p w14:paraId="5B1C739C" w14:textId="77777777" w:rsidR="00A9535E" w:rsidRDefault="00A9535E" w:rsidP="00A9535E">
      <w:pPr>
        <w:spacing w:line="240" w:lineRule="auto"/>
        <w:rPr>
          <w:rFonts w:ascii="Garamond" w:hAnsi="Garamond" w:cs="Arial"/>
          <w:sz w:val="24"/>
          <w:szCs w:val="24"/>
        </w:rPr>
      </w:pPr>
    </w:p>
    <w:p w14:paraId="6D8C0508" w14:textId="77777777" w:rsidR="00A9535E" w:rsidRDefault="00A9535E" w:rsidP="00A9535E">
      <w:pPr>
        <w:spacing w:line="240" w:lineRule="auto"/>
        <w:rPr>
          <w:rFonts w:ascii="Garamond" w:hAnsi="Garamond" w:cs="Arial"/>
          <w:sz w:val="24"/>
          <w:szCs w:val="24"/>
        </w:rPr>
      </w:pPr>
    </w:p>
    <w:p w14:paraId="2FA9EA2F" w14:textId="77777777" w:rsidR="00A9535E" w:rsidRDefault="00A9535E" w:rsidP="00A9535E">
      <w:pPr>
        <w:spacing w:line="240" w:lineRule="auto"/>
        <w:rPr>
          <w:rFonts w:ascii="Garamond" w:hAnsi="Garamond" w:cs="Arial"/>
          <w:sz w:val="24"/>
          <w:szCs w:val="24"/>
        </w:rPr>
      </w:pPr>
    </w:p>
    <w:p w14:paraId="2489E4AB" w14:textId="77777777" w:rsidR="00A9535E" w:rsidRDefault="00A9535E" w:rsidP="00A9535E">
      <w:pPr>
        <w:spacing w:after="0" w:line="240" w:lineRule="auto"/>
        <w:jc w:val="center"/>
        <w:rPr>
          <w:rFonts w:ascii="Garamond" w:hAnsi="Garamond" w:cs="Arial"/>
          <w:sz w:val="24"/>
          <w:szCs w:val="24"/>
        </w:rPr>
      </w:pPr>
    </w:p>
    <w:p w14:paraId="5916348F" w14:textId="66494692"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hAnsi="Garamond" w:cs="Arial"/>
          <w:sz w:val="24"/>
          <w:szCs w:val="24"/>
        </w:rPr>
        <w:tab/>
      </w:r>
      <w:r>
        <w:rPr>
          <w:rFonts w:ascii="Garamond" w:eastAsia="Arial MT" w:hAnsi="Garamond" w:cs="Arial MT"/>
          <w:sz w:val="20"/>
          <w:szCs w:val="20"/>
          <w:lang w:val="es-ES"/>
        </w:rPr>
        <w:t>Imagen 36</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Entidad, código UNSPSC 301916</w:t>
      </w:r>
    </w:p>
    <w:p w14:paraId="43EB33E1"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 xml:space="preserve">Fuente: Modelo de Abastecimiento estratégico – Análisis de la </w:t>
      </w:r>
      <w:r>
        <w:rPr>
          <w:rFonts w:ascii="Garamond" w:eastAsia="Arial MT" w:hAnsi="Garamond" w:cs="Arial MT"/>
          <w:sz w:val="20"/>
          <w:szCs w:val="20"/>
          <w:lang w:val="es-ES"/>
        </w:rPr>
        <w:t>demanda</w:t>
      </w:r>
      <w:r w:rsidRPr="00C050A9">
        <w:rPr>
          <w:rFonts w:ascii="Garamond" w:eastAsia="Arial MT" w:hAnsi="Garamond" w:cs="Arial MT"/>
          <w:sz w:val="20"/>
          <w:szCs w:val="20"/>
          <w:lang w:val="es-ES"/>
        </w:rPr>
        <w:t xml:space="preserve"> (Agencia Nacional de Contratación Pública Colombia Compra Eficiente CCE)</w:t>
      </w:r>
    </w:p>
    <w:p w14:paraId="31322817" w14:textId="77777777" w:rsidR="00A9535E" w:rsidRPr="00D8549E" w:rsidRDefault="0068116C" w:rsidP="00A9535E">
      <w:pPr>
        <w:spacing w:line="240" w:lineRule="auto"/>
        <w:jc w:val="center"/>
        <w:rPr>
          <w:rFonts w:ascii="Garamond" w:eastAsia="Arial MT" w:hAnsi="Garamond" w:cs="Arial MT"/>
          <w:color w:val="0563C1" w:themeColor="hyperlink"/>
          <w:sz w:val="20"/>
          <w:szCs w:val="20"/>
          <w:u w:val="single"/>
          <w:lang w:val="es-ES"/>
        </w:rPr>
      </w:pPr>
      <w:hyperlink r:id="rId155"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C38BCAA" w14:textId="77777777" w:rsidR="00A9535E" w:rsidRDefault="00A9535E" w:rsidP="00A9535E">
      <w:pPr>
        <w:autoSpaceDE w:val="0"/>
        <w:autoSpaceDN w:val="0"/>
        <w:adjustRightInd w:val="0"/>
        <w:spacing w:line="240" w:lineRule="auto"/>
        <w:jc w:val="both"/>
        <w:rPr>
          <w:rFonts w:ascii="Garamond" w:hAnsi="Garamond" w:cs="Arial"/>
          <w:sz w:val="24"/>
          <w:szCs w:val="24"/>
          <w:lang w:val="es-MX"/>
        </w:rPr>
      </w:pPr>
      <w:r w:rsidRPr="00D8549E">
        <w:rPr>
          <w:rFonts w:ascii="Garamond" w:eastAsia="Arial MT" w:hAnsi="Garamond" w:cs="Arial MT"/>
          <w:noProof/>
          <w:sz w:val="20"/>
          <w:szCs w:val="20"/>
          <w:lang w:eastAsia="es-CO"/>
        </w:rPr>
        <w:drawing>
          <wp:inline distT="0" distB="0" distL="0" distR="0" wp14:anchorId="2B70E47E" wp14:editId="24FA7A2F">
            <wp:extent cx="5612130" cy="3218180"/>
            <wp:effectExtent l="0" t="0" r="7620" b="1270"/>
            <wp:docPr id="656033826" name="Imagen 65603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5612130" cy="3218180"/>
                    </a:xfrm>
                    <a:prstGeom prst="rect">
                      <a:avLst/>
                    </a:prstGeom>
                  </pic:spPr>
                </pic:pic>
              </a:graphicData>
            </a:graphic>
          </wp:inline>
        </w:drawing>
      </w:r>
    </w:p>
    <w:p w14:paraId="57AABC71" w14:textId="1EBA5FAF"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37.</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a nivel nacional., código UNSPSC 301916</w:t>
      </w:r>
    </w:p>
    <w:p w14:paraId="4C0C3077"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lastRenderedPageBreak/>
        <w:t>Fuente: Modelo de Abastecimiento estratégico – Análisis de la oferta (Agencia Nacional de Contratación Pública Colombia Compra Eficiente CCE)</w:t>
      </w:r>
    </w:p>
    <w:p w14:paraId="0AAC10E9"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57"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6117FA8" w14:textId="77777777" w:rsidR="00A9535E" w:rsidRDefault="00A9535E" w:rsidP="00A9535E">
      <w:pPr>
        <w:autoSpaceDE w:val="0"/>
        <w:autoSpaceDN w:val="0"/>
        <w:adjustRightInd w:val="0"/>
        <w:spacing w:line="240" w:lineRule="auto"/>
        <w:jc w:val="both"/>
        <w:rPr>
          <w:rFonts w:ascii="Garamond" w:hAnsi="Garamond" w:cs="Arial"/>
          <w:sz w:val="24"/>
          <w:szCs w:val="24"/>
        </w:rPr>
      </w:pPr>
    </w:p>
    <w:p w14:paraId="685B0EAB" w14:textId="77777777" w:rsidR="00A9535E" w:rsidRDefault="00A9535E" w:rsidP="00A9535E">
      <w:pPr>
        <w:tabs>
          <w:tab w:val="left" w:pos="3390"/>
        </w:tabs>
        <w:spacing w:line="240" w:lineRule="auto"/>
        <w:rPr>
          <w:rStyle w:val="Hipervnculo"/>
          <w:rFonts w:ascii="Garamond" w:eastAsia="Arial MT" w:hAnsi="Garamond" w:cs="Arial MT"/>
          <w:sz w:val="20"/>
          <w:szCs w:val="20"/>
          <w:lang w:val="es-ES"/>
        </w:rPr>
      </w:pPr>
      <w:r>
        <w:rPr>
          <w:rFonts w:ascii="Garamond" w:hAnsi="Garamond" w:cs="Arial"/>
          <w:sz w:val="24"/>
          <w:szCs w:val="24"/>
          <w:lang w:val="es-MX"/>
        </w:rPr>
        <w:t>Se realiza el estudio de demanda para la ciudad de Bogotá D.C., frente a la obtención del bien o servicio por las entidades de la ciudad y la modalidad de selección más utilizada:</w:t>
      </w:r>
    </w:p>
    <w:p w14:paraId="084EB0A2" w14:textId="77777777" w:rsidR="00A9535E" w:rsidRDefault="00A9535E" w:rsidP="00A9535E">
      <w:pPr>
        <w:tabs>
          <w:tab w:val="left" w:pos="3390"/>
        </w:tabs>
        <w:spacing w:line="240" w:lineRule="auto"/>
        <w:rPr>
          <w:rFonts w:ascii="Garamond" w:eastAsia="Arial MT" w:hAnsi="Garamond" w:cs="Arial MT"/>
          <w:sz w:val="20"/>
          <w:szCs w:val="20"/>
          <w:lang w:val="es-ES"/>
        </w:rPr>
      </w:pPr>
      <w:r w:rsidRPr="00D8549E">
        <w:rPr>
          <w:rFonts w:ascii="Garamond" w:eastAsia="Arial MT" w:hAnsi="Garamond" w:cs="Arial MT"/>
          <w:noProof/>
          <w:sz w:val="20"/>
          <w:szCs w:val="20"/>
          <w:lang w:eastAsia="es-CO"/>
        </w:rPr>
        <w:drawing>
          <wp:inline distT="0" distB="0" distL="0" distR="0" wp14:anchorId="382E30B2" wp14:editId="5F0EEB6A">
            <wp:extent cx="5612130" cy="3155950"/>
            <wp:effectExtent l="0" t="0" r="7620" b="6350"/>
            <wp:docPr id="656033827" name="Imagen 65603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612130" cy="3155950"/>
                    </a:xfrm>
                    <a:prstGeom prst="rect">
                      <a:avLst/>
                    </a:prstGeom>
                  </pic:spPr>
                </pic:pic>
              </a:graphicData>
            </a:graphic>
          </wp:inline>
        </w:drawing>
      </w:r>
    </w:p>
    <w:p w14:paraId="4DDAE9A7" w14:textId="5DE8DC83"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38</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en Bogotá D.C., código UNSPSC 301916</w:t>
      </w:r>
    </w:p>
    <w:p w14:paraId="62428B5A"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2DE8D3D0"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59"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58129D6A" w14:textId="77777777" w:rsidR="00A9535E" w:rsidRDefault="00A9535E" w:rsidP="00A9535E">
      <w:pPr>
        <w:spacing w:line="240" w:lineRule="auto"/>
        <w:jc w:val="both"/>
        <w:rPr>
          <w:rFonts w:ascii="Garamond" w:eastAsia="Arial MT" w:hAnsi="Garamond" w:cs="Arial MT"/>
          <w:sz w:val="24"/>
          <w:szCs w:val="24"/>
          <w:lang w:val="es-ES"/>
        </w:rPr>
      </w:pPr>
      <w:r w:rsidRPr="00D8549E">
        <w:rPr>
          <w:rFonts w:ascii="Garamond" w:eastAsia="Arial MT" w:hAnsi="Garamond" w:cs="Arial MT"/>
          <w:noProof/>
          <w:sz w:val="24"/>
          <w:szCs w:val="24"/>
          <w:lang w:eastAsia="es-CO"/>
        </w:rPr>
        <w:lastRenderedPageBreak/>
        <w:drawing>
          <wp:inline distT="0" distB="0" distL="0" distR="0" wp14:anchorId="5A6A17AD" wp14:editId="331B1D58">
            <wp:extent cx="5612130" cy="2814955"/>
            <wp:effectExtent l="0" t="0" r="7620" b="4445"/>
            <wp:docPr id="656033828" name="Imagen 65603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5612130" cy="2814955"/>
                    </a:xfrm>
                    <a:prstGeom prst="rect">
                      <a:avLst/>
                    </a:prstGeom>
                  </pic:spPr>
                </pic:pic>
              </a:graphicData>
            </a:graphic>
          </wp:inline>
        </w:drawing>
      </w:r>
    </w:p>
    <w:p w14:paraId="5D2DD6F4" w14:textId="4A5BADBF"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39</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entidad en Bogotá D.C., código UNSPSC 301916</w:t>
      </w:r>
    </w:p>
    <w:p w14:paraId="429C3A9D"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7E81690E"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61"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45A83DFD" w14:textId="77777777" w:rsidR="00A9535E" w:rsidRDefault="00A9535E" w:rsidP="00A9535E">
      <w:pPr>
        <w:spacing w:line="240" w:lineRule="auto"/>
        <w:rPr>
          <w:rStyle w:val="Hipervnculo"/>
          <w:rFonts w:ascii="Garamond" w:eastAsia="Arial MT" w:hAnsi="Garamond" w:cs="Arial MT"/>
          <w:sz w:val="20"/>
          <w:szCs w:val="20"/>
          <w:lang w:val="es-ES"/>
        </w:rPr>
      </w:pPr>
    </w:p>
    <w:p w14:paraId="625EEF25" w14:textId="77777777" w:rsidR="00A9535E" w:rsidRPr="00563EAE" w:rsidRDefault="00A9535E" w:rsidP="00A9535E">
      <w:pPr>
        <w:spacing w:line="240" w:lineRule="auto"/>
        <w:jc w:val="both"/>
        <w:rPr>
          <w:rFonts w:ascii="Garamond" w:eastAsia="Arial MT" w:hAnsi="Garamond" w:cs="Arial MT"/>
          <w:sz w:val="24"/>
          <w:szCs w:val="24"/>
          <w:lang w:val="es-ES"/>
        </w:rPr>
      </w:pPr>
      <w:r w:rsidRPr="00563EAE">
        <w:rPr>
          <w:rFonts w:ascii="Garamond" w:eastAsia="Arial MT" w:hAnsi="Garamond" w:cs="Arial MT"/>
          <w:sz w:val="24"/>
          <w:szCs w:val="24"/>
          <w:lang w:val="es-ES"/>
        </w:rPr>
        <w:t xml:space="preserve">Con el objetivo de identificar la </w:t>
      </w:r>
      <w:r>
        <w:rPr>
          <w:rFonts w:ascii="Garamond" w:eastAsia="Arial MT" w:hAnsi="Garamond" w:cs="Arial MT"/>
          <w:sz w:val="24"/>
          <w:szCs w:val="24"/>
          <w:lang w:val="es-ES"/>
        </w:rPr>
        <w:t>demanda</w:t>
      </w:r>
      <w:r w:rsidRPr="00563EAE">
        <w:rPr>
          <w:rFonts w:ascii="Garamond" w:eastAsia="Arial MT" w:hAnsi="Garamond" w:cs="Arial MT"/>
          <w:sz w:val="24"/>
          <w:szCs w:val="24"/>
          <w:lang w:val="es-ES"/>
        </w:rPr>
        <w:t xml:space="preserve"> </w:t>
      </w:r>
      <w:r>
        <w:rPr>
          <w:rFonts w:ascii="Garamond" w:eastAsia="Arial MT" w:hAnsi="Garamond" w:cs="Arial MT"/>
          <w:sz w:val="24"/>
          <w:szCs w:val="24"/>
          <w:lang w:val="es-ES"/>
        </w:rPr>
        <w:t>del bien o servicio</w:t>
      </w:r>
      <w:r w:rsidRPr="00563EAE">
        <w:rPr>
          <w:rFonts w:ascii="Garamond" w:eastAsia="Arial MT" w:hAnsi="Garamond" w:cs="Arial MT"/>
          <w:sz w:val="24"/>
          <w:szCs w:val="24"/>
          <w:lang w:val="es-ES"/>
        </w:rPr>
        <w:t>, se procedió a acceder a la plataforma SECOP II y, en el directorio, se i</w:t>
      </w:r>
      <w:r>
        <w:rPr>
          <w:rFonts w:ascii="Garamond" w:eastAsia="Arial MT" w:hAnsi="Garamond" w:cs="Arial MT"/>
          <w:sz w:val="24"/>
          <w:szCs w:val="24"/>
          <w:lang w:val="es-ES"/>
        </w:rPr>
        <w:t xml:space="preserve">dentificaron las entidades que compran o adquieren este tipo de bien o servicio. </w:t>
      </w:r>
      <w:r w:rsidRPr="00563EAE">
        <w:rPr>
          <w:rFonts w:ascii="Garamond" w:eastAsia="Arial MT" w:hAnsi="Garamond" w:cs="Arial MT"/>
          <w:sz w:val="24"/>
          <w:szCs w:val="24"/>
          <w:lang w:val="es-ES"/>
        </w:rPr>
        <w:t>Den</w:t>
      </w:r>
      <w:r>
        <w:rPr>
          <w:rFonts w:ascii="Garamond" w:eastAsia="Arial MT" w:hAnsi="Garamond" w:cs="Arial MT"/>
          <w:sz w:val="24"/>
          <w:szCs w:val="24"/>
          <w:lang w:val="es-ES"/>
        </w:rPr>
        <w:t>tro de ese sector, se identificaron</w:t>
      </w:r>
      <w:r w:rsidRPr="00563EAE">
        <w:rPr>
          <w:rFonts w:ascii="Garamond" w:eastAsia="Arial MT" w:hAnsi="Garamond" w:cs="Arial MT"/>
          <w:sz w:val="24"/>
          <w:szCs w:val="24"/>
          <w:lang w:val="es-ES"/>
        </w:rPr>
        <w:t xml:space="preserve"> </w:t>
      </w:r>
      <w:r>
        <w:rPr>
          <w:rFonts w:ascii="Garamond" w:eastAsia="Arial MT" w:hAnsi="Garamond" w:cs="Arial MT"/>
          <w:sz w:val="24"/>
          <w:szCs w:val="24"/>
          <w:lang w:val="es-ES"/>
        </w:rPr>
        <w:t xml:space="preserve">entidades que han contratado </w:t>
      </w:r>
      <w:r w:rsidRPr="00563EAE">
        <w:rPr>
          <w:rFonts w:ascii="Garamond" w:eastAsia="Arial MT" w:hAnsi="Garamond" w:cs="Arial MT"/>
          <w:b/>
          <w:sz w:val="24"/>
          <w:szCs w:val="24"/>
          <w:u w:val="single"/>
          <w:lang w:val="es-ES"/>
        </w:rPr>
        <w:t xml:space="preserve">los </w:t>
      </w:r>
      <w:r w:rsidRPr="00EA55C7">
        <w:rPr>
          <w:rFonts w:ascii="Garamond" w:eastAsia="Arial MT" w:hAnsi="Garamond" w:cs="Arial MT"/>
          <w:b/>
          <w:sz w:val="24"/>
          <w:szCs w:val="24"/>
          <w:u w:val="single"/>
          <w:lang w:val="es-ES"/>
        </w:rPr>
        <w:t>Servicios de mantenimiento y reparación de edificaciones</w:t>
      </w:r>
      <w:r>
        <w:rPr>
          <w:rFonts w:ascii="Garamond" w:eastAsia="Arial MT" w:hAnsi="Garamond" w:cs="Arial MT"/>
          <w:b/>
          <w:sz w:val="24"/>
          <w:szCs w:val="24"/>
          <w:u w:val="single"/>
          <w:lang w:val="es-ES"/>
        </w:rPr>
        <w:t>.</w:t>
      </w:r>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2765"/>
        <w:gridCol w:w="2278"/>
        <w:gridCol w:w="2569"/>
      </w:tblGrid>
      <w:tr w:rsidR="00A9535E" w:rsidRPr="00926937" w14:paraId="4AA8E9A7" w14:textId="77777777" w:rsidTr="0077032A">
        <w:trPr>
          <w:trHeight w:val="567"/>
        </w:trPr>
        <w:tc>
          <w:tcPr>
            <w:tcW w:w="795" w:type="pct"/>
            <w:shd w:val="clear" w:color="auto" w:fill="F2F2F2"/>
            <w:tcMar>
              <w:top w:w="0" w:type="dxa"/>
              <w:left w:w="70" w:type="dxa"/>
              <w:bottom w:w="0" w:type="dxa"/>
              <w:right w:w="70" w:type="dxa"/>
            </w:tcMar>
            <w:vAlign w:val="center"/>
            <w:hideMark/>
          </w:tcPr>
          <w:p w14:paraId="6F094F48"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Clasificación UNSPSC</w:t>
            </w:r>
          </w:p>
        </w:tc>
        <w:tc>
          <w:tcPr>
            <w:tcW w:w="1527" w:type="pct"/>
            <w:shd w:val="clear" w:color="auto" w:fill="F2F2F2"/>
            <w:tcMar>
              <w:top w:w="0" w:type="dxa"/>
              <w:left w:w="70" w:type="dxa"/>
              <w:bottom w:w="0" w:type="dxa"/>
              <w:right w:w="70" w:type="dxa"/>
            </w:tcMar>
            <w:vAlign w:val="center"/>
            <w:hideMark/>
          </w:tcPr>
          <w:p w14:paraId="53336C20"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Segmento</w:t>
            </w:r>
          </w:p>
        </w:tc>
        <w:tc>
          <w:tcPr>
            <w:tcW w:w="1258" w:type="pct"/>
            <w:shd w:val="clear" w:color="auto" w:fill="F2F2F2"/>
            <w:tcMar>
              <w:top w:w="0" w:type="dxa"/>
              <w:left w:w="70" w:type="dxa"/>
              <w:bottom w:w="0" w:type="dxa"/>
              <w:right w:w="70" w:type="dxa"/>
            </w:tcMar>
            <w:vAlign w:val="center"/>
            <w:hideMark/>
          </w:tcPr>
          <w:p w14:paraId="76C7E1E9"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Familia</w:t>
            </w:r>
          </w:p>
        </w:tc>
        <w:tc>
          <w:tcPr>
            <w:tcW w:w="1419" w:type="pct"/>
            <w:shd w:val="clear" w:color="auto" w:fill="F2F2F2"/>
            <w:tcMar>
              <w:top w:w="0" w:type="dxa"/>
              <w:left w:w="70" w:type="dxa"/>
              <w:bottom w:w="0" w:type="dxa"/>
              <w:right w:w="70" w:type="dxa"/>
            </w:tcMar>
            <w:vAlign w:val="center"/>
            <w:hideMark/>
          </w:tcPr>
          <w:p w14:paraId="6D32A320"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Clase</w:t>
            </w:r>
          </w:p>
        </w:tc>
      </w:tr>
      <w:tr w:rsidR="00A9535E" w14:paraId="5A684A13" w14:textId="77777777" w:rsidTr="0077032A">
        <w:trPr>
          <w:trHeight w:val="238"/>
        </w:trPr>
        <w:tc>
          <w:tcPr>
            <w:tcW w:w="79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187C37" w14:textId="77777777" w:rsidR="00A9535E" w:rsidRDefault="00A9535E" w:rsidP="0077032A">
            <w:pPr>
              <w:spacing w:line="240" w:lineRule="auto"/>
              <w:jc w:val="both"/>
              <w:rPr>
                <w:rFonts w:ascii="Garamond" w:hAnsi="Garamond" w:cs="Arial"/>
                <w:bCs/>
                <w:sz w:val="24"/>
                <w:szCs w:val="24"/>
              </w:rPr>
            </w:pPr>
            <w:r>
              <w:rPr>
                <w:rFonts w:ascii="Garamond" w:hAnsi="Garamond" w:cs="Arial"/>
                <w:bCs/>
                <w:sz w:val="24"/>
                <w:szCs w:val="24"/>
              </w:rPr>
              <w:t>721029</w:t>
            </w:r>
          </w:p>
        </w:tc>
        <w:tc>
          <w:tcPr>
            <w:tcW w:w="152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622DEF" w14:textId="77777777" w:rsidR="00A9535E" w:rsidRDefault="00A9535E" w:rsidP="0077032A">
            <w:pPr>
              <w:spacing w:line="240" w:lineRule="auto"/>
              <w:jc w:val="both"/>
              <w:rPr>
                <w:rFonts w:ascii="Garamond" w:hAnsi="Garamond" w:cs="Arial"/>
                <w:bCs/>
                <w:sz w:val="24"/>
                <w:szCs w:val="24"/>
              </w:rPr>
            </w:pPr>
            <w:r>
              <w:rPr>
                <w:rFonts w:ascii="Garamond" w:hAnsi="Garamond" w:cs="Arial"/>
                <w:bCs/>
                <w:sz w:val="24"/>
                <w:szCs w:val="24"/>
              </w:rPr>
              <w:t>72 – Servicios de edificación, Construcción de instalaciones y mantenimiento</w:t>
            </w:r>
          </w:p>
        </w:tc>
        <w:tc>
          <w:tcPr>
            <w:tcW w:w="125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890F81" w14:textId="77777777" w:rsidR="00A9535E" w:rsidRDefault="00A9535E" w:rsidP="0077032A">
            <w:pPr>
              <w:spacing w:line="240" w:lineRule="auto"/>
              <w:jc w:val="both"/>
              <w:rPr>
                <w:rFonts w:ascii="Garamond" w:hAnsi="Garamond" w:cs="Arial"/>
                <w:bCs/>
                <w:sz w:val="24"/>
                <w:szCs w:val="24"/>
              </w:rPr>
            </w:pPr>
            <w:r>
              <w:rPr>
                <w:rFonts w:ascii="Garamond" w:hAnsi="Garamond" w:cs="Arial"/>
                <w:bCs/>
                <w:sz w:val="24"/>
                <w:szCs w:val="24"/>
              </w:rPr>
              <w:t>10 – Servicios de mantenimiento y reparaciones de construcción e instalaciones</w:t>
            </w:r>
          </w:p>
        </w:tc>
        <w:tc>
          <w:tcPr>
            <w:tcW w:w="14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248E00" w14:textId="77777777" w:rsidR="00A9535E" w:rsidRDefault="00A9535E" w:rsidP="0077032A">
            <w:pPr>
              <w:spacing w:line="240" w:lineRule="auto"/>
              <w:jc w:val="both"/>
              <w:rPr>
                <w:rFonts w:ascii="Garamond" w:hAnsi="Garamond" w:cs="Arial"/>
                <w:bCs/>
                <w:sz w:val="24"/>
                <w:szCs w:val="24"/>
              </w:rPr>
            </w:pPr>
            <w:r>
              <w:rPr>
                <w:rFonts w:ascii="Garamond" w:hAnsi="Garamond" w:cs="Arial"/>
                <w:bCs/>
                <w:sz w:val="24"/>
                <w:szCs w:val="24"/>
              </w:rPr>
              <w:t>29 – Servicios de mantenimiento y reparación de edificaciones</w:t>
            </w:r>
          </w:p>
        </w:tc>
      </w:tr>
    </w:tbl>
    <w:p w14:paraId="6DEE9DF4" w14:textId="77777777" w:rsidR="00A9535E" w:rsidRDefault="00A9535E" w:rsidP="00A9535E">
      <w:pPr>
        <w:pStyle w:val="Prrafodelista"/>
        <w:spacing w:line="240" w:lineRule="auto"/>
        <w:jc w:val="both"/>
        <w:rPr>
          <w:rFonts w:ascii="Garamond" w:eastAsia="Arial MT" w:hAnsi="Garamond" w:cs="Arial MT"/>
          <w:sz w:val="24"/>
          <w:szCs w:val="24"/>
          <w:lang w:val="es-ES"/>
        </w:rPr>
      </w:pPr>
    </w:p>
    <w:p w14:paraId="762E9EC9" w14:textId="77777777" w:rsidR="00A9535E" w:rsidRDefault="00A9535E" w:rsidP="00A9535E">
      <w:pPr>
        <w:spacing w:line="240" w:lineRule="auto"/>
        <w:jc w:val="both"/>
        <w:rPr>
          <w:rFonts w:ascii="Garamond" w:eastAsia="Arial MT" w:hAnsi="Garamond" w:cs="Arial MT"/>
          <w:sz w:val="24"/>
          <w:szCs w:val="24"/>
          <w:lang w:val="es-ES"/>
        </w:rPr>
      </w:pPr>
      <w:r w:rsidRPr="00B00A0B">
        <w:rPr>
          <w:rFonts w:ascii="Garamond" w:eastAsia="Arial MT" w:hAnsi="Garamond" w:cs="Arial MT"/>
          <w:sz w:val="24"/>
          <w:szCs w:val="24"/>
          <w:lang w:val="es-ES"/>
        </w:rPr>
        <w:t xml:space="preserve">A continuación, se relaciona </w:t>
      </w:r>
      <w:r w:rsidRPr="00B00A0B">
        <w:rPr>
          <w:rFonts w:ascii="Garamond" w:eastAsia="Arial MT" w:hAnsi="Garamond" w:cs="Arial MT"/>
          <w:b/>
          <w:sz w:val="24"/>
          <w:szCs w:val="24"/>
          <w:lang w:val="es-ES"/>
        </w:rPr>
        <w:t xml:space="preserve">QUIEN </w:t>
      </w:r>
      <w:r>
        <w:rPr>
          <w:rFonts w:ascii="Garamond" w:eastAsia="Arial MT" w:hAnsi="Garamond" w:cs="Arial MT"/>
          <w:b/>
          <w:sz w:val="24"/>
          <w:szCs w:val="24"/>
          <w:lang w:val="es-ES"/>
        </w:rPr>
        <w:t>COMPRA</w:t>
      </w:r>
      <w:r w:rsidRPr="00B00A0B">
        <w:rPr>
          <w:rFonts w:ascii="Garamond" w:eastAsia="Arial MT" w:hAnsi="Garamond" w:cs="Arial MT"/>
          <w:sz w:val="24"/>
          <w:szCs w:val="24"/>
          <w:lang w:val="es-ES"/>
        </w:rPr>
        <w:t xml:space="preserve"> el servicio a nivel nacional:</w:t>
      </w:r>
    </w:p>
    <w:p w14:paraId="758E7CAD" w14:textId="77777777" w:rsidR="00A9535E" w:rsidRDefault="00A9535E" w:rsidP="00A9535E">
      <w:pPr>
        <w:spacing w:line="240" w:lineRule="auto"/>
        <w:jc w:val="both"/>
        <w:rPr>
          <w:rFonts w:ascii="Garamond" w:eastAsia="Arial MT" w:hAnsi="Garamond" w:cs="Arial MT"/>
          <w:sz w:val="24"/>
          <w:szCs w:val="24"/>
          <w:lang w:val="es-ES"/>
        </w:rPr>
      </w:pPr>
    </w:p>
    <w:p w14:paraId="7651FC32" w14:textId="77777777" w:rsidR="00A9535E" w:rsidRDefault="00A9535E" w:rsidP="00A9535E">
      <w:pPr>
        <w:spacing w:line="240" w:lineRule="auto"/>
        <w:jc w:val="both"/>
        <w:rPr>
          <w:rFonts w:ascii="Garamond" w:eastAsia="Arial MT" w:hAnsi="Garamond" w:cs="Arial MT"/>
          <w:sz w:val="24"/>
          <w:szCs w:val="24"/>
          <w:lang w:val="es-ES"/>
        </w:rPr>
      </w:pPr>
    </w:p>
    <w:p w14:paraId="4244F40A" w14:textId="77777777" w:rsidR="00A9535E" w:rsidRDefault="00A9535E" w:rsidP="00A9535E">
      <w:pPr>
        <w:spacing w:line="240" w:lineRule="auto"/>
        <w:jc w:val="both"/>
        <w:rPr>
          <w:rFonts w:ascii="Garamond" w:eastAsia="Arial MT" w:hAnsi="Garamond" w:cs="Arial MT"/>
          <w:sz w:val="24"/>
          <w:szCs w:val="24"/>
          <w:lang w:val="es-ES"/>
        </w:rPr>
      </w:pPr>
    </w:p>
    <w:p w14:paraId="6A52F06F" w14:textId="77777777" w:rsidR="00A9535E" w:rsidRDefault="00A9535E" w:rsidP="00A9535E">
      <w:pPr>
        <w:spacing w:line="240" w:lineRule="auto"/>
        <w:jc w:val="both"/>
        <w:rPr>
          <w:rFonts w:ascii="Garamond" w:eastAsia="Arial MT" w:hAnsi="Garamond" w:cs="Arial MT"/>
          <w:sz w:val="24"/>
          <w:szCs w:val="24"/>
          <w:lang w:val="es-ES"/>
        </w:rPr>
      </w:pPr>
    </w:p>
    <w:p w14:paraId="0ADEB323" w14:textId="77777777" w:rsidR="00A9535E" w:rsidRDefault="00A9535E" w:rsidP="00A9535E">
      <w:pPr>
        <w:spacing w:line="240" w:lineRule="auto"/>
        <w:jc w:val="both"/>
        <w:rPr>
          <w:rFonts w:ascii="Garamond" w:eastAsia="Arial MT" w:hAnsi="Garamond" w:cs="Arial MT"/>
          <w:sz w:val="24"/>
          <w:szCs w:val="24"/>
          <w:lang w:val="es-ES"/>
        </w:rPr>
      </w:pPr>
      <w:r w:rsidRPr="00D8549E">
        <w:rPr>
          <w:rFonts w:ascii="Garamond" w:eastAsia="Arial MT" w:hAnsi="Garamond" w:cs="Arial MT"/>
          <w:noProof/>
          <w:sz w:val="24"/>
          <w:szCs w:val="24"/>
          <w:lang w:eastAsia="es-CO"/>
        </w:rPr>
        <w:lastRenderedPageBreak/>
        <w:drawing>
          <wp:anchor distT="0" distB="0" distL="114300" distR="114300" simplePos="0" relativeHeight="251727872" behindDoc="0" locked="0" layoutInCell="1" allowOverlap="1" wp14:anchorId="3241761D" wp14:editId="145CF268">
            <wp:simplePos x="0" y="0"/>
            <wp:positionH relativeFrom="column">
              <wp:posOffset>-394203</wp:posOffset>
            </wp:positionH>
            <wp:positionV relativeFrom="paragraph">
              <wp:posOffset>147856</wp:posOffset>
            </wp:positionV>
            <wp:extent cx="6719562" cy="3302758"/>
            <wp:effectExtent l="0" t="0" r="5715" b="0"/>
            <wp:wrapNone/>
            <wp:docPr id="656033833" name="Imagen 65603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extLst>
                        <a:ext uri="{28A0092B-C50C-407E-A947-70E740481C1C}">
                          <a14:useLocalDpi xmlns:a14="http://schemas.microsoft.com/office/drawing/2010/main" val="0"/>
                        </a:ext>
                      </a:extLst>
                    </a:blip>
                    <a:stretch>
                      <a:fillRect/>
                    </a:stretch>
                  </pic:blipFill>
                  <pic:spPr>
                    <a:xfrm>
                      <a:off x="0" y="0"/>
                      <a:ext cx="6719562" cy="3302758"/>
                    </a:xfrm>
                    <a:prstGeom prst="rect">
                      <a:avLst/>
                    </a:prstGeom>
                  </pic:spPr>
                </pic:pic>
              </a:graphicData>
            </a:graphic>
            <wp14:sizeRelH relativeFrom="margin">
              <wp14:pctWidth>0</wp14:pctWidth>
            </wp14:sizeRelH>
            <wp14:sizeRelV relativeFrom="margin">
              <wp14:pctHeight>0</wp14:pctHeight>
            </wp14:sizeRelV>
          </wp:anchor>
        </w:drawing>
      </w:r>
    </w:p>
    <w:p w14:paraId="1C8AECE8" w14:textId="77777777" w:rsidR="00A9535E" w:rsidRPr="00B00A0B" w:rsidRDefault="00A9535E" w:rsidP="00A9535E">
      <w:pPr>
        <w:spacing w:line="240" w:lineRule="auto"/>
        <w:jc w:val="both"/>
        <w:rPr>
          <w:rFonts w:ascii="Garamond" w:eastAsia="Arial MT" w:hAnsi="Garamond" w:cs="Arial MT"/>
          <w:sz w:val="24"/>
          <w:szCs w:val="24"/>
          <w:lang w:val="es-ES"/>
        </w:rPr>
      </w:pPr>
    </w:p>
    <w:p w14:paraId="18AF33AF" w14:textId="77777777" w:rsidR="00A9535E" w:rsidRDefault="00A9535E" w:rsidP="00A9535E">
      <w:pPr>
        <w:spacing w:line="240" w:lineRule="auto"/>
        <w:jc w:val="center"/>
        <w:rPr>
          <w:rFonts w:ascii="Garamond" w:eastAsia="Arial MT" w:hAnsi="Garamond" w:cs="Arial MT"/>
          <w:sz w:val="20"/>
          <w:szCs w:val="20"/>
          <w:lang w:val="es-ES"/>
        </w:rPr>
      </w:pPr>
    </w:p>
    <w:p w14:paraId="145E8B48" w14:textId="77777777" w:rsidR="00A9535E" w:rsidRDefault="00A9535E" w:rsidP="00A9535E">
      <w:pPr>
        <w:spacing w:line="240" w:lineRule="auto"/>
        <w:jc w:val="both"/>
        <w:rPr>
          <w:rFonts w:ascii="Garamond" w:eastAsia="Arial MT" w:hAnsi="Garamond" w:cs="Arial MT"/>
          <w:sz w:val="24"/>
          <w:szCs w:val="24"/>
          <w:lang w:val="es-ES"/>
        </w:rPr>
      </w:pPr>
    </w:p>
    <w:p w14:paraId="0A12004F" w14:textId="77777777" w:rsidR="00A9535E" w:rsidRDefault="00A9535E" w:rsidP="00A9535E">
      <w:pPr>
        <w:spacing w:line="240" w:lineRule="auto"/>
        <w:jc w:val="both"/>
        <w:rPr>
          <w:rFonts w:ascii="Garamond" w:eastAsia="Arial MT" w:hAnsi="Garamond" w:cs="Arial MT"/>
          <w:sz w:val="24"/>
          <w:szCs w:val="24"/>
          <w:lang w:val="es-ES"/>
        </w:rPr>
      </w:pPr>
    </w:p>
    <w:p w14:paraId="6FA27E2F" w14:textId="77777777" w:rsidR="00A9535E" w:rsidRDefault="00A9535E" w:rsidP="00A9535E">
      <w:pPr>
        <w:spacing w:line="240" w:lineRule="auto"/>
        <w:jc w:val="both"/>
        <w:rPr>
          <w:rFonts w:ascii="Garamond" w:eastAsia="Arial MT" w:hAnsi="Garamond" w:cs="Arial MT"/>
          <w:sz w:val="24"/>
          <w:szCs w:val="24"/>
          <w:lang w:val="es-ES"/>
        </w:rPr>
      </w:pPr>
    </w:p>
    <w:p w14:paraId="47CFC6B6" w14:textId="77777777" w:rsidR="00A9535E" w:rsidRDefault="00A9535E" w:rsidP="00A9535E">
      <w:pPr>
        <w:spacing w:line="240" w:lineRule="auto"/>
        <w:jc w:val="both"/>
        <w:rPr>
          <w:rFonts w:ascii="Garamond" w:eastAsia="Arial MT" w:hAnsi="Garamond" w:cs="Arial MT"/>
          <w:sz w:val="24"/>
          <w:szCs w:val="24"/>
          <w:lang w:val="es-ES"/>
        </w:rPr>
      </w:pPr>
    </w:p>
    <w:p w14:paraId="090714DA" w14:textId="77777777" w:rsidR="00A9535E" w:rsidRDefault="00A9535E" w:rsidP="00A9535E">
      <w:pPr>
        <w:spacing w:line="240" w:lineRule="auto"/>
        <w:jc w:val="both"/>
        <w:rPr>
          <w:rFonts w:ascii="Garamond" w:eastAsia="Arial MT" w:hAnsi="Garamond" w:cs="Arial MT"/>
          <w:sz w:val="24"/>
          <w:szCs w:val="24"/>
          <w:lang w:val="es-ES"/>
        </w:rPr>
      </w:pPr>
    </w:p>
    <w:p w14:paraId="6FB7B5C6" w14:textId="77777777" w:rsidR="00A9535E" w:rsidRDefault="00A9535E" w:rsidP="00A9535E">
      <w:pPr>
        <w:spacing w:line="240" w:lineRule="auto"/>
        <w:jc w:val="both"/>
        <w:rPr>
          <w:rFonts w:ascii="Garamond" w:eastAsia="Arial MT" w:hAnsi="Garamond" w:cs="Arial MT"/>
          <w:sz w:val="24"/>
          <w:szCs w:val="24"/>
          <w:lang w:val="es-ES"/>
        </w:rPr>
      </w:pPr>
    </w:p>
    <w:p w14:paraId="75C5712D" w14:textId="77777777" w:rsidR="00A9535E" w:rsidRDefault="00A9535E" w:rsidP="00A9535E">
      <w:pPr>
        <w:spacing w:line="240" w:lineRule="auto"/>
        <w:jc w:val="both"/>
        <w:rPr>
          <w:rFonts w:ascii="Garamond" w:eastAsia="Arial MT" w:hAnsi="Garamond" w:cs="Arial MT"/>
          <w:sz w:val="24"/>
          <w:szCs w:val="24"/>
          <w:lang w:val="es-ES"/>
        </w:rPr>
      </w:pPr>
    </w:p>
    <w:p w14:paraId="3293BC1E" w14:textId="77777777" w:rsidR="00A9535E" w:rsidRDefault="00A9535E" w:rsidP="00A9535E">
      <w:pPr>
        <w:spacing w:line="240" w:lineRule="auto"/>
        <w:jc w:val="both"/>
        <w:rPr>
          <w:rFonts w:ascii="Garamond" w:eastAsia="Arial MT" w:hAnsi="Garamond" w:cs="Arial MT"/>
          <w:sz w:val="24"/>
          <w:szCs w:val="24"/>
          <w:lang w:val="es-ES"/>
        </w:rPr>
      </w:pPr>
    </w:p>
    <w:p w14:paraId="68A48C9C" w14:textId="77777777" w:rsidR="00A9535E" w:rsidRDefault="00A9535E" w:rsidP="00A9535E">
      <w:pPr>
        <w:spacing w:line="240" w:lineRule="auto"/>
        <w:jc w:val="both"/>
        <w:rPr>
          <w:rFonts w:ascii="Garamond" w:eastAsia="Arial MT" w:hAnsi="Garamond" w:cs="Arial MT"/>
          <w:sz w:val="24"/>
          <w:szCs w:val="24"/>
          <w:lang w:val="es-ES"/>
        </w:rPr>
      </w:pPr>
    </w:p>
    <w:p w14:paraId="0BB321FA" w14:textId="77777777" w:rsidR="00A9535E" w:rsidRDefault="00A9535E" w:rsidP="00A9535E">
      <w:pPr>
        <w:spacing w:line="240" w:lineRule="auto"/>
        <w:jc w:val="both"/>
        <w:rPr>
          <w:rFonts w:ascii="Garamond" w:eastAsia="Arial MT" w:hAnsi="Garamond" w:cs="Arial MT"/>
          <w:sz w:val="24"/>
          <w:szCs w:val="24"/>
          <w:lang w:val="es-ES"/>
        </w:rPr>
      </w:pPr>
    </w:p>
    <w:p w14:paraId="722B3D79" w14:textId="19A47420"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40</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Entidad, nivel nacional, código UNSPSC 721029</w:t>
      </w:r>
    </w:p>
    <w:p w14:paraId="7FE239FF"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24D7F355" w14:textId="77777777" w:rsidR="00A9535E" w:rsidRDefault="0068116C" w:rsidP="00A9535E">
      <w:pPr>
        <w:spacing w:line="240" w:lineRule="auto"/>
        <w:jc w:val="center"/>
        <w:rPr>
          <w:rStyle w:val="Hipervnculo"/>
          <w:rFonts w:ascii="Garamond" w:eastAsia="Arial MT" w:hAnsi="Garamond" w:cs="Arial MT"/>
          <w:sz w:val="20"/>
          <w:szCs w:val="20"/>
          <w:lang w:val="es-ES"/>
        </w:rPr>
      </w:pPr>
      <w:hyperlink r:id="rId163"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B9EDBEC" w14:textId="77777777" w:rsidR="00A9535E" w:rsidRDefault="00A9535E" w:rsidP="00A9535E">
      <w:pPr>
        <w:spacing w:line="240" w:lineRule="auto"/>
        <w:jc w:val="center"/>
        <w:rPr>
          <w:rFonts w:ascii="Garamond" w:eastAsia="Arial MT" w:hAnsi="Garamond" w:cs="Arial MT"/>
          <w:sz w:val="20"/>
          <w:szCs w:val="20"/>
          <w:lang w:val="es-ES"/>
        </w:rPr>
      </w:pPr>
      <w:r w:rsidRPr="00B06C1B">
        <w:rPr>
          <w:rFonts w:ascii="Garamond" w:eastAsia="Arial MT" w:hAnsi="Garamond" w:cs="Arial MT"/>
          <w:noProof/>
          <w:sz w:val="20"/>
          <w:szCs w:val="20"/>
          <w:lang w:eastAsia="es-CO"/>
        </w:rPr>
        <w:drawing>
          <wp:inline distT="0" distB="0" distL="0" distR="0" wp14:anchorId="4CCC3847" wp14:editId="5197D3FC">
            <wp:extent cx="5612130" cy="3191510"/>
            <wp:effectExtent l="0" t="0" r="7620" b="8890"/>
            <wp:docPr id="656033834" name="Imagen 65603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5612130" cy="3191510"/>
                    </a:xfrm>
                    <a:prstGeom prst="rect">
                      <a:avLst/>
                    </a:prstGeom>
                  </pic:spPr>
                </pic:pic>
              </a:graphicData>
            </a:graphic>
          </wp:inline>
        </w:drawing>
      </w:r>
    </w:p>
    <w:p w14:paraId="6867B09E" w14:textId="4A0A14C7"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41</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a nivel nacional., código UNSPSC 721029</w:t>
      </w:r>
    </w:p>
    <w:p w14:paraId="6CEF8CF7"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lastRenderedPageBreak/>
        <w:t>Fuente: Modelo de Abastecimiento estratégico – Análisis de la oferta (Agencia Nacional de Contratación Pública Colombia Compra Eficiente CCE)</w:t>
      </w:r>
    </w:p>
    <w:p w14:paraId="3CFFCB54"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65"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3C282910" w14:textId="77777777" w:rsidR="00A9535E" w:rsidRDefault="00A9535E" w:rsidP="00A9535E">
      <w:pPr>
        <w:tabs>
          <w:tab w:val="left" w:pos="3390"/>
        </w:tabs>
        <w:spacing w:line="240" w:lineRule="auto"/>
        <w:rPr>
          <w:rStyle w:val="Hipervnculo"/>
          <w:rFonts w:ascii="Garamond" w:eastAsia="Arial MT" w:hAnsi="Garamond" w:cs="Arial MT"/>
          <w:sz w:val="20"/>
          <w:szCs w:val="20"/>
          <w:lang w:val="es-ES"/>
        </w:rPr>
      </w:pPr>
    </w:p>
    <w:p w14:paraId="6BBC1297" w14:textId="77777777" w:rsidR="00A9535E" w:rsidRDefault="00A9535E" w:rsidP="00A9535E">
      <w:pPr>
        <w:tabs>
          <w:tab w:val="left" w:pos="3390"/>
        </w:tabs>
        <w:spacing w:line="240" w:lineRule="auto"/>
        <w:rPr>
          <w:rStyle w:val="Hipervnculo"/>
          <w:rFonts w:ascii="Garamond" w:eastAsia="Arial MT" w:hAnsi="Garamond" w:cs="Arial MT"/>
          <w:sz w:val="20"/>
          <w:szCs w:val="20"/>
          <w:lang w:val="es-ES"/>
        </w:rPr>
      </w:pPr>
      <w:r>
        <w:rPr>
          <w:rFonts w:ascii="Garamond" w:hAnsi="Garamond" w:cs="Arial"/>
          <w:sz w:val="24"/>
          <w:szCs w:val="24"/>
          <w:lang w:val="es-MX"/>
        </w:rPr>
        <w:t>Se realiza el estudio de demanda para la ciudad de Bogotá D.C., frente a la obtención del bien o servicio por las entidades de la ciudad y la modalidad de selección más utilizada:</w:t>
      </w:r>
    </w:p>
    <w:p w14:paraId="29222B82" w14:textId="77777777" w:rsidR="00A9535E" w:rsidRDefault="00A9535E" w:rsidP="00A9535E">
      <w:pPr>
        <w:autoSpaceDE w:val="0"/>
        <w:autoSpaceDN w:val="0"/>
        <w:adjustRightInd w:val="0"/>
        <w:spacing w:line="240" w:lineRule="auto"/>
        <w:jc w:val="both"/>
        <w:rPr>
          <w:rFonts w:ascii="Garamond" w:hAnsi="Garamond" w:cs="Arial"/>
          <w:sz w:val="24"/>
          <w:szCs w:val="24"/>
          <w:lang w:val="es-MX"/>
        </w:rPr>
      </w:pPr>
      <w:r w:rsidRPr="00B06C1B">
        <w:rPr>
          <w:rFonts w:ascii="Garamond" w:hAnsi="Garamond" w:cs="Arial"/>
          <w:noProof/>
          <w:sz w:val="24"/>
          <w:szCs w:val="24"/>
          <w:lang w:eastAsia="es-CO"/>
        </w:rPr>
        <w:drawing>
          <wp:inline distT="0" distB="0" distL="0" distR="0" wp14:anchorId="48AC3C5E" wp14:editId="1294C97A">
            <wp:extent cx="5612130" cy="2738755"/>
            <wp:effectExtent l="0" t="0" r="7620" b="4445"/>
            <wp:docPr id="656033835" name="Imagen 65603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5612130" cy="2738755"/>
                    </a:xfrm>
                    <a:prstGeom prst="rect">
                      <a:avLst/>
                    </a:prstGeom>
                  </pic:spPr>
                </pic:pic>
              </a:graphicData>
            </a:graphic>
          </wp:inline>
        </w:drawing>
      </w:r>
    </w:p>
    <w:p w14:paraId="1EEBEF6C" w14:textId="297D5B1A"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42</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Entidad en Bogotá D.C., código UNSPSC 721029</w:t>
      </w:r>
    </w:p>
    <w:p w14:paraId="5C4CC9DD"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08E91601" w14:textId="77777777" w:rsidR="00A9535E" w:rsidRDefault="0068116C" w:rsidP="00A9535E">
      <w:pPr>
        <w:spacing w:line="240" w:lineRule="auto"/>
        <w:jc w:val="center"/>
        <w:rPr>
          <w:rStyle w:val="Hipervnculo"/>
          <w:rFonts w:ascii="Garamond" w:eastAsia="Arial MT" w:hAnsi="Garamond" w:cs="Arial MT"/>
          <w:sz w:val="20"/>
          <w:szCs w:val="20"/>
          <w:lang w:val="es-ES"/>
        </w:rPr>
      </w:pPr>
      <w:hyperlink r:id="rId167"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70FDDB5C" w14:textId="77777777" w:rsidR="00A9535E" w:rsidRDefault="00A9535E" w:rsidP="00A9535E">
      <w:pPr>
        <w:autoSpaceDE w:val="0"/>
        <w:autoSpaceDN w:val="0"/>
        <w:adjustRightInd w:val="0"/>
        <w:spacing w:line="240" w:lineRule="auto"/>
        <w:jc w:val="both"/>
        <w:rPr>
          <w:rFonts w:ascii="Garamond" w:hAnsi="Garamond" w:cs="Arial"/>
          <w:sz w:val="24"/>
          <w:szCs w:val="24"/>
          <w:lang w:val="es-MX"/>
        </w:rPr>
      </w:pPr>
      <w:r w:rsidRPr="00B06C1B">
        <w:rPr>
          <w:rFonts w:ascii="Garamond" w:hAnsi="Garamond" w:cs="Arial"/>
          <w:noProof/>
          <w:sz w:val="24"/>
          <w:szCs w:val="24"/>
          <w:lang w:eastAsia="es-CO"/>
        </w:rPr>
        <w:lastRenderedPageBreak/>
        <w:drawing>
          <wp:inline distT="0" distB="0" distL="0" distR="0" wp14:anchorId="7102134D" wp14:editId="77AB63D6">
            <wp:extent cx="5894284" cy="3384645"/>
            <wp:effectExtent l="0" t="0" r="0" b="6350"/>
            <wp:docPr id="656033836" name="Imagen 65603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5898737" cy="3387202"/>
                    </a:xfrm>
                    <a:prstGeom prst="rect">
                      <a:avLst/>
                    </a:prstGeom>
                  </pic:spPr>
                </pic:pic>
              </a:graphicData>
            </a:graphic>
          </wp:inline>
        </w:drawing>
      </w:r>
    </w:p>
    <w:p w14:paraId="55D53EB3" w14:textId="37F3F52E"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43</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en la ciudad de Bogotá D.C.., código UNSPSC 721029</w:t>
      </w:r>
    </w:p>
    <w:p w14:paraId="70D3309E"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70FD0433"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69"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3596FA76" w14:textId="77777777" w:rsidR="00A9535E" w:rsidRDefault="00A9535E" w:rsidP="00A9535E">
      <w:pPr>
        <w:spacing w:line="240" w:lineRule="auto"/>
        <w:jc w:val="both"/>
        <w:rPr>
          <w:rFonts w:ascii="Garamond" w:eastAsia="Arial MT" w:hAnsi="Garamond" w:cs="Arial MT"/>
          <w:sz w:val="24"/>
          <w:szCs w:val="24"/>
          <w:lang w:val="es-ES"/>
        </w:rPr>
      </w:pPr>
    </w:p>
    <w:p w14:paraId="7C1343ED" w14:textId="77777777" w:rsidR="00A9535E" w:rsidRDefault="00A9535E" w:rsidP="00A9535E">
      <w:pPr>
        <w:spacing w:line="240" w:lineRule="auto"/>
        <w:jc w:val="both"/>
        <w:rPr>
          <w:rFonts w:ascii="Garamond" w:eastAsia="Arial MT" w:hAnsi="Garamond" w:cs="Arial MT"/>
          <w:sz w:val="24"/>
          <w:szCs w:val="24"/>
          <w:lang w:val="es-ES"/>
        </w:rPr>
      </w:pPr>
      <w:r w:rsidRPr="00563EAE">
        <w:rPr>
          <w:rFonts w:ascii="Garamond" w:eastAsia="Arial MT" w:hAnsi="Garamond" w:cs="Arial MT"/>
          <w:sz w:val="24"/>
          <w:szCs w:val="24"/>
          <w:lang w:val="es-ES"/>
        </w:rPr>
        <w:t xml:space="preserve">Con el objetivo de identificar la </w:t>
      </w:r>
      <w:r>
        <w:rPr>
          <w:rFonts w:ascii="Garamond" w:eastAsia="Arial MT" w:hAnsi="Garamond" w:cs="Arial MT"/>
          <w:sz w:val="24"/>
          <w:szCs w:val="24"/>
          <w:lang w:val="es-ES"/>
        </w:rPr>
        <w:t>demanda</w:t>
      </w:r>
      <w:r w:rsidRPr="00563EAE">
        <w:rPr>
          <w:rFonts w:ascii="Garamond" w:eastAsia="Arial MT" w:hAnsi="Garamond" w:cs="Arial MT"/>
          <w:sz w:val="24"/>
          <w:szCs w:val="24"/>
          <w:lang w:val="es-ES"/>
        </w:rPr>
        <w:t xml:space="preserve"> </w:t>
      </w:r>
      <w:r>
        <w:rPr>
          <w:rFonts w:ascii="Garamond" w:eastAsia="Arial MT" w:hAnsi="Garamond" w:cs="Arial MT"/>
          <w:sz w:val="24"/>
          <w:szCs w:val="24"/>
          <w:lang w:val="es-ES"/>
        </w:rPr>
        <w:t>del bien o servicio</w:t>
      </w:r>
      <w:r w:rsidRPr="00563EAE">
        <w:rPr>
          <w:rFonts w:ascii="Garamond" w:eastAsia="Arial MT" w:hAnsi="Garamond" w:cs="Arial MT"/>
          <w:sz w:val="24"/>
          <w:szCs w:val="24"/>
          <w:lang w:val="es-ES"/>
        </w:rPr>
        <w:t>, se procedió a acceder a la plataforma SECOP II y, en el directorio, se i</w:t>
      </w:r>
      <w:r>
        <w:rPr>
          <w:rFonts w:ascii="Garamond" w:eastAsia="Arial MT" w:hAnsi="Garamond" w:cs="Arial MT"/>
          <w:sz w:val="24"/>
          <w:szCs w:val="24"/>
          <w:lang w:val="es-ES"/>
        </w:rPr>
        <w:t xml:space="preserve">dentificaron las entidades que compran o adquieren este tipo de bien o servicio. </w:t>
      </w:r>
      <w:r w:rsidRPr="00563EAE">
        <w:rPr>
          <w:rFonts w:ascii="Garamond" w:eastAsia="Arial MT" w:hAnsi="Garamond" w:cs="Arial MT"/>
          <w:sz w:val="24"/>
          <w:szCs w:val="24"/>
          <w:lang w:val="es-ES"/>
        </w:rPr>
        <w:t>Den</w:t>
      </w:r>
      <w:r>
        <w:rPr>
          <w:rFonts w:ascii="Garamond" w:eastAsia="Arial MT" w:hAnsi="Garamond" w:cs="Arial MT"/>
          <w:sz w:val="24"/>
          <w:szCs w:val="24"/>
          <w:lang w:val="es-ES"/>
        </w:rPr>
        <w:t>tro de ese sector, se identificaron</w:t>
      </w:r>
      <w:r w:rsidRPr="00563EAE">
        <w:rPr>
          <w:rFonts w:ascii="Garamond" w:eastAsia="Arial MT" w:hAnsi="Garamond" w:cs="Arial MT"/>
          <w:sz w:val="24"/>
          <w:szCs w:val="24"/>
          <w:lang w:val="es-ES"/>
        </w:rPr>
        <w:t xml:space="preserve"> </w:t>
      </w:r>
      <w:r>
        <w:rPr>
          <w:rFonts w:ascii="Garamond" w:eastAsia="Arial MT" w:hAnsi="Garamond" w:cs="Arial MT"/>
          <w:sz w:val="24"/>
          <w:szCs w:val="24"/>
          <w:lang w:val="es-ES"/>
        </w:rPr>
        <w:t xml:space="preserve">entidades que han contratado </w:t>
      </w:r>
      <w:r w:rsidRPr="005E68DB">
        <w:rPr>
          <w:rFonts w:ascii="Garamond" w:eastAsia="Arial MT" w:hAnsi="Garamond" w:cs="Arial MT"/>
          <w:b/>
          <w:sz w:val="24"/>
          <w:szCs w:val="24"/>
          <w:u w:val="single"/>
          <w:lang w:val="es-ES"/>
        </w:rPr>
        <w:t xml:space="preserve">los servicios </w:t>
      </w:r>
      <w:r>
        <w:rPr>
          <w:rFonts w:ascii="Garamond" w:eastAsia="Arial MT" w:hAnsi="Garamond" w:cs="Arial MT"/>
          <w:b/>
          <w:sz w:val="24"/>
          <w:szCs w:val="24"/>
          <w:u w:val="single"/>
          <w:lang w:val="es-ES"/>
        </w:rPr>
        <w:t>de edificios especializados comercios (instalación y reparación de ventanas, puertas y alambrado).</w:t>
      </w:r>
      <w:r w:rsidRPr="00306D47">
        <w:rPr>
          <w:rFonts w:ascii="Garamond" w:eastAsia="Arial MT" w:hAnsi="Garamond" w:cs="Arial MT"/>
          <w:sz w:val="24"/>
          <w:szCs w:val="24"/>
          <w:lang w:val="es-ES"/>
        </w:rPr>
        <w:t xml:space="preserve"> </w:t>
      </w:r>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2765"/>
        <w:gridCol w:w="2278"/>
        <w:gridCol w:w="2569"/>
      </w:tblGrid>
      <w:tr w:rsidR="00A9535E" w:rsidRPr="00926937" w14:paraId="1B13076C" w14:textId="77777777" w:rsidTr="0077032A">
        <w:trPr>
          <w:trHeight w:val="567"/>
        </w:trPr>
        <w:tc>
          <w:tcPr>
            <w:tcW w:w="795" w:type="pct"/>
            <w:shd w:val="clear" w:color="auto" w:fill="F2F2F2"/>
            <w:tcMar>
              <w:top w:w="0" w:type="dxa"/>
              <w:left w:w="70" w:type="dxa"/>
              <w:bottom w:w="0" w:type="dxa"/>
              <w:right w:w="70" w:type="dxa"/>
            </w:tcMar>
            <w:vAlign w:val="center"/>
            <w:hideMark/>
          </w:tcPr>
          <w:p w14:paraId="0A21CABF"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Clasificación UNSPSC</w:t>
            </w:r>
          </w:p>
        </w:tc>
        <w:tc>
          <w:tcPr>
            <w:tcW w:w="1527" w:type="pct"/>
            <w:shd w:val="clear" w:color="auto" w:fill="F2F2F2"/>
            <w:tcMar>
              <w:top w:w="0" w:type="dxa"/>
              <w:left w:w="70" w:type="dxa"/>
              <w:bottom w:w="0" w:type="dxa"/>
              <w:right w:w="70" w:type="dxa"/>
            </w:tcMar>
            <w:vAlign w:val="center"/>
            <w:hideMark/>
          </w:tcPr>
          <w:p w14:paraId="4D6BA760"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Segmento</w:t>
            </w:r>
          </w:p>
        </w:tc>
        <w:tc>
          <w:tcPr>
            <w:tcW w:w="1258" w:type="pct"/>
            <w:shd w:val="clear" w:color="auto" w:fill="F2F2F2"/>
            <w:tcMar>
              <w:top w:w="0" w:type="dxa"/>
              <w:left w:w="70" w:type="dxa"/>
              <w:bottom w:w="0" w:type="dxa"/>
              <w:right w:w="70" w:type="dxa"/>
            </w:tcMar>
            <w:vAlign w:val="center"/>
            <w:hideMark/>
          </w:tcPr>
          <w:p w14:paraId="3600EB3D"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Familia</w:t>
            </w:r>
          </w:p>
        </w:tc>
        <w:tc>
          <w:tcPr>
            <w:tcW w:w="1419" w:type="pct"/>
            <w:shd w:val="clear" w:color="auto" w:fill="F2F2F2"/>
            <w:tcMar>
              <w:top w:w="0" w:type="dxa"/>
              <w:left w:w="70" w:type="dxa"/>
              <w:bottom w:w="0" w:type="dxa"/>
              <w:right w:w="70" w:type="dxa"/>
            </w:tcMar>
            <w:vAlign w:val="center"/>
            <w:hideMark/>
          </w:tcPr>
          <w:p w14:paraId="5C4D4313" w14:textId="77777777" w:rsidR="00A9535E" w:rsidRPr="00926937" w:rsidRDefault="00A9535E" w:rsidP="0077032A">
            <w:pPr>
              <w:spacing w:line="240" w:lineRule="auto"/>
              <w:jc w:val="center"/>
              <w:rPr>
                <w:rFonts w:ascii="Garamond" w:hAnsi="Garamond" w:cs="Arial"/>
                <w:bCs/>
                <w:sz w:val="24"/>
                <w:szCs w:val="24"/>
              </w:rPr>
            </w:pPr>
            <w:r w:rsidRPr="00926937">
              <w:rPr>
                <w:rFonts w:ascii="Garamond" w:hAnsi="Garamond" w:cs="Arial"/>
                <w:bCs/>
                <w:sz w:val="24"/>
                <w:szCs w:val="24"/>
              </w:rPr>
              <w:t>Clase</w:t>
            </w:r>
          </w:p>
        </w:tc>
      </w:tr>
      <w:tr w:rsidR="00A9535E" w:rsidRPr="00926937" w14:paraId="01E567CF" w14:textId="77777777" w:rsidTr="0077032A">
        <w:trPr>
          <w:trHeight w:val="238"/>
        </w:trPr>
        <w:tc>
          <w:tcPr>
            <w:tcW w:w="795" w:type="pct"/>
            <w:tcMar>
              <w:top w:w="0" w:type="dxa"/>
              <w:left w:w="70" w:type="dxa"/>
              <w:bottom w:w="0" w:type="dxa"/>
              <w:right w:w="70" w:type="dxa"/>
            </w:tcMar>
            <w:vAlign w:val="center"/>
          </w:tcPr>
          <w:p w14:paraId="441073B4" w14:textId="77777777" w:rsidR="00A9535E" w:rsidRPr="00926937" w:rsidRDefault="00A9535E" w:rsidP="0077032A">
            <w:pPr>
              <w:spacing w:line="240" w:lineRule="auto"/>
              <w:jc w:val="both"/>
              <w:rPr>
                <w:rFonts w:ascii="Garamond" w:hAnsi="Garamond" w:cs="Arial"/>
                <w:bCs/>
                <w:sz w:val="24"/>
                <w:szCs w:val="24"/>
              </w:rPr>
            </w:pPr>
            <w:r>
              <w:rPr>
                <w:rFonts w:ascii="Garamond" w:hAnsi="Garamond" w:cs="Arial"/>
                <w:bCs/>
                <w:sz w:val="24"/>
                <w:szCs w:val="24"/>
              </w:rPr>
              <w:t>721540</w:t>
            </w:r>
          </w:p>
        </w:tc>
        <w:tc>
          <w:tcPr>
            <w:tcW w:w="1527" w:type="pct"/>
            <w:shd w:val="clear" w:color="auto" w:fill="auto"/>
            <w:tcMar>
              <w:top w:w="0" w:type="dxa"/>
              <w:left w:w="70" w:type="dxa"/>
              <w:bottom w:w="0" w:type="dxa"/>
              <w:right w:w="70" w:type="dxa"/>
            </w:tcMar>
            <w:vAlign w:val="center"/>
          </w:tcPr>
          <w:p w14:paraId="4633A671" w14:textId="77777777" w:rsidR="00A9535E" w:rsidRPr="00926937" w:rsidRDefault="00A9535E" w:rsidP="0077032A">
            <w:pPr>
              <w:spacing w:line="240" w:lineRule="auto"/>
              <w:jc w:val="both"/>
              <w:rPr>
                <w:rFonts w:ascii="Garamond" w:hAnsi="Garamond" w:cs="Arial"/>
                <w:bCs/>
                <w:sz w:val="24"/>
                <w:szCs w:val="24"/>
              </w:rPr>
            </w:pPr>
            <w:r>
              <w:rPr>
                <w:rFonts w:ascii="Garamond" w:hAnsi="Garamond" w:cs="Arial"/>
                <w:bCs/>
                <w:sz w:val="24"/>
                <w:szCs w:val="24"/>
              </w:rPr>
              <w:t>72 – Servicios de edificación, Construcción de instalaciones y mantenimiento</w:t>
            </w:r>
          </w:p>
        </w:tc>
        <w:tc>
          <w:tcPr>
            <w:tcW w:w="1258" w:type="pct"/>
            <w:tcMar>
              <w:top w:w="0" w:type="dxa"/>
              <w:left w:w="70" w:type="dxa"/>
              <w:bottom w:w="0" w:type="dxa"/>
              <w:right w:w="70" w:type="dxa"/>
            </w:tcMar>
            <w:vAlign w:val="center"/>
          </w:tcPr>
          <w:p w14:paraId="46852606" w14:textId="77777777" w:rsidR="00A9535E" w:rsidRPr="00926937" w:rsidRDefault="00A9535E" w:rsidP="0077032A">
            <w:pPr>
              <w:spacing w:line="240" w:lineRule="auto"/>
              <w:jc w:val="both"/>
              <w:rPr>
                <w:rFonts w:ascii="Garamond" w:hAnsi="Garamond" w:cs="Arial"/>
                <w:bCs/>
                <w:sz w:val="24"/>
                <w:szCs w:val="24"/>
              </w:rPr>
            </w:pPr>
            <w:r>
              <w:rPr>
                <w:rFonts w:ascii="Garamond" w:hAnsi="Garamond" w:cs="Arial"/>
                <w:bCs/>
                <w:sz w:val="24"/>
                <w:szCs w:val="24"/>
              </w:rPr>
              <w:t>15 – Servicios de mantenimiento y construcción de comercio especializado</w:t>
            </w:r>
          </w:p>
        </w:tc>
        <w:tc>
          <w:tcPr>
            <w:tcW w:w="1419" w:type="pct"/>
            <w:tcMar>
              <w:top w:w="0" w:type="dxa"/>
              <w:left w:w="70" w:type="dxa"/>
              <w:bottom w:w="0" w:type="dxa"/>
              <w:right w:w="70" w:type="dxa"/>
            </w:tcMar>
            <w:vAlign w:val="center"/>
          </w:tcPr>
          <w:p w14:paraId="7D10A05F" w14:textId="77777777" w:rsidR="00A9535E" w:rsidRPr="00926937" w:rsidRDefault="00A9535E" w:rsidP="0077032A">
            <w:pPr>
              <w:spacing w:line="240" w:lineRule="auto"/>
              <w:jc w:val="both"/>
              <w:rPr>
                <w:rFonts w:ascii="Garamond" w:hAnsi="Garamond" w:cs="Arial"/>
                <w:bCs/>
                <w:sz w:val="24"/>
                <w:szCs w:val="24"/>
              </w:rPr>
            </w:pPr>
            <w:r>
              <w:rPr>
                <w:rFonts w:ascii="Garamond" w:hAnsi="Garamond" w:cs="Arial"/>
                <w:bCs/>
                <w:sz w:val="24"/>
                <w:szCs w:val="24"/>
              </w:rPr>
              <w:t>40 – Servicios de edificios especializados y comercios (instalación y reparación de ventanas, puertas y alambrado)</w:t>
            </w:r>
          </w:p>
        </w:tc>
      </w:tr>
    </w:tbl>
    <w:p w14:paraId="58CC1716" w14:textId="77777777" w:rsidR="00A9535E" w:rsidRDefault="00A9535E" w:rsidP="00A9535E">
      <w:pPr>
        <w:tabs>
          <w:tab w:val="left" w:pos="3390"/>
        </w:tabs>
        <w:spacing w:line="240" w:lineRule="auto"/>
        <w:rPr>
          <w:rFonts w:ascii="Garamond" w:eastAsia="Arial MT" w:hAnsi="Garamond" w:cs="Arial MT"/>
          <w:sz w:val="24"/>
          <w:szCs w:val="24"/>
          <w:lang w:val="es-ES"/>
        </w:rPr>
      </w:pPr>
    </w:p>
    <w:p w14:paraId="289E8B40" w14:textId="77777777" w:rsidR="00A9535E" w:rsidRDefault="00A9535E" w:rsidP="00A9535E">
      <w:pPr>
        <w:tabs>
          <w:tab w:val="left" w:pos="3390"/>
        </w:tabs>
        <w:spacing w:line="240" w:lineRule="auto"/>
        <w:rPr>
          <w:rFonts w:ascii="Garamond" w:eastAsia="Arial MT" w:hAnsi="Garamond" w:cs="Arial MT"/>
          <w:sz w:val="20"/>
          <w:szCs w:val="20"/>
          <w:lang w:val="es-ES"/>
        </w:rPr>
      </w:pPr>
      <w:r w:rsidRPr="00B00A0B">
        <w:rPr>
          <w:rFonts w:ascii="Garamond" w:eastAsia="Arial MT" w:hAnsi="Garamond" w:cs="Arial MT"/>
          <w:sz w:val="24"/>
          <w:szCs w:val="24"/>
          <w:lang w:val="es-ES"/>
        </w:rPr>
        <w:t xml:space="preserve">A continuación, se relaciona </w:t>
      </w:r>
      <w:r w:rsidRPr="00B00A0B">
        <w:rPr>
          <w:rFonts w:ascii="Garamond" w:eastAsia="Arial MT" w:hAnsi="Garamond" w:cs="Arial MT"/>
          <w:b/>
          <w:sz w:val="24"/>
          <w:szCs w:val="24"/>
          <w:lang w:val="es-ES"/>
        </w:rPr>
        <w:t xml:space="preserve">QUIEN </w:t>
      </w:r>
      <w:r>
        <w:rPr>
          <w:rFonts w:ascii="Garamond" w:eastAsia="Arial MT" w:hAnsi="Garamond" w:cs="Arial MT"/>
          <w:b/>
          <w:sz w:val="24"/>
          <w:szCs w:val="24"/>
          <w:lang w:val="es-ES"/>
        </w:rPr>
        <w:t>COMPRA</w:t>
      </w:r>
      <w:r w:rsidRPr="00B00A0B">
        <w:rPr>
          <w:rFonts w:ascii="Garamond" w:eastAsia="Arial MT" w:hAnsi="Garamond" w:cs="Arial MT"/>
          <w:sz w:val="24"/>
          <w:szCs w:val="24"/>
          <w:lang w:val="es-ES"/>
        </w:rPr>
        <w:t xml:space="preserve"> el servicio a nivel nacional:</w:t>
      </w:r>
    </w:p>
    <w:p w14:paraId="6550E213" w14:textId="77777777" w:rsidR="00A9535E" w:rsidRDefault="00A9535E" w:rsidP="00A9535E">
      <w:pPr>
        <w:spacing w:line="240" w:lineRule="auto"/>
        <w:jc w:val="center"/>
        <w:rPr>
          <w:rFonts w:ascii="Garamond" w:eastAsia="Arial MT" w:hAnsi="Garamond" w:cs="Arial MT"/>
          <w:sz w:val="20"/>
          <w:szCs w:val="20"/>
          <w:lang w:val="es-ES"/>
        </w:rPr>
      </w:pPr>
    </w:p>
    <w:p w14:paraId="6AFDEC35" w14:textId="77777777" w:rsidR="00A9535E" w:rsidRDefault="00A9535E" w:rsidP="00A9535E">
      <w:pPr>
        <w:spacing w:line="240" w:lineRule="auto"/>
        <w:jc w:val="center"/>
        <w:rPr>
          <w:rFonts w:ascii="Garamond" w:hAnsi="Garamond" w:cs="Arial"/>
          <w:sz w:val="24"/>
          <w:szCs w:val="24"/>
        </w:rPr>
      </w:pPr>
      <w:r w:rsidRPr="00627AA4">
        <w:rPr>
          <w:rFonts w:ascii="Garamond" w:hAnsi="Garamond" w:cs="Arial"/>
          <w:noProof/>
          <w:sz w:val="24"/>
          <w:szCs w:val="24"/>
          <w:lang w:eastAsia="es-CO"/>
        </w:rPr>
        <w:lastRenderedPageBreak/>
        <w:drawing>
          <wp:inline distT="0" distB="0" distL="0" distR="0" wp14:anchorId="0521F41E" wp14:editId="029EE19E">
            <wp:extent cx="5612130" cy="2788920"/>
            <wp:effectExtent l="0" t="0" r="7620" b="0"/>
            <wp:docPr id="656033839" name="Imagen 65603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5612130" cy="2788920"/>
                    </a:xfrm>
                    <a:prstGeom prst="rect">
                      <a:avLst/>
                    </a:prstGeom>
                  </pic:spPr>
                </pic:pic>
              </a:graphicData>
            </a:graphic>
          </wp:inline>
        </w:drawing>
      </w:r>
    </w:p>
    <w:p w14:paraId="2A5BB061" w14:textId="3FB368D0"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44</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Entidad, código UNSPSC 721540</w:t>
      </w:r>
    </w:p>
    <w:p w14:paraId="1A8A4E49"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6EA0037" w14:textId="77777777" w:rsidR="00A9535E" w:rsidRDefault="0068116C" w:rsidP="00A9535E">
      <w:pPr>
        <w:spacing w:line="240" w:lineRule="auto"/>
        <w:jc w:val="center"/>
        <w:rPr>
          <w:rFonts w:ascii="Garamond" w:eastAsia="Arial MT" w:hAnsi="Garamond" w:cs="Arial MT"/>
          <w:sz w:val="20"/>
          <w:szCs w:val="20"/>
          <w:lang w:val="es-ES"/>
        </w:rPr>
      </w:pPr>
      <w:hyperlink r:id="rId171"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A171294" w14:textId="77777777" w:rsidR="00A9535E" w:rsidRDefault="00A9535E" w:rsidP="00A9535E">
      <w:pPr>
        <w:autoSpaceDE w:val="0"/>
        <w:autoSpaceDN w:val="0"/>
        <w:adjustRightInd w:val="0"/>
        <w:spacing w:line="240" w:lineRule="auto"/>
        <w:jc w:val="both"/>
        <w:rPr>
          <w:rFonts w:ascii="Garamond" w:hAnsi="Garamond" w:cs="Arial"/>
          <w:sz w:val="24"/>
          <w:szCs w:val="24"/>
          <w:lang w:val="es-MX"/>
        </w:rPr>
      </w:pPr>
      <w:r w:rsidRPr="00627AA4">
        <w:rPr>
          <w:rFonts w:ascii="Garamond" w:hAnsi="Garamond" w:cs="Arial"/>
          <w:noProof/>
          <w:sz w:val="24"/>
          <w:szCs w:val="24"/>
          <w:lang w:eastAsia="es-CO"/>
        </w:rPr>
        <w:drawing>
          <wp:inline distT="0" distB="0" distL="0" distR="0" wp14:anchorId="24421F26" wp14:editId="17B1C9DA">
            <wp:extent cx="5612130" cy="3172460"/>
            <wp:effectExtent l="0" t="0" r="7620" b="8890"/>
            <wp:docPr id="656033840" name="Imagen 65603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5612130" cy="3172460"/>
                    </a:xfrm>
                    <a:prstGeom prst="rect">
                      <a:avLst/>
                    </a:prstGeom>
                  </pic:spPr>
                </pic:pic>
              </a:graphicData>
            </a:graphic>
          </wp:inline>
        </w:drawing>
      </w:r>
    </w:p>
    <w:p w14:paraId="02306E05" w14:textId="386DF021"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45</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a nivel nacional., código UNSPSC 721540</w:t>
      </w:r>
    </w:p>
    <w:p w14:paraId="16F9566A" w14:textId="77777777" w:rsidR="00A9535E"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7674D482" w14:textId="77777777" w:rsidR="00A9535E" w:rsidRDefault="00A9535E" w:rsidP="00A9535E">
      <w:pPr>
        <w:spacing w:after="0" w:line="240" w:lineRule="auto"/>
        <w:jc w:val="center"/>
        <w:rPr>
          <w:rFonts w:ascii="Garamond" w:eastAsia="Arial MT" w:hAnsi="Garamond" w:cs="Arial MT"/>
          <w:sz w:val="20"/>
          <w:szCs w:val="20"/>
          <w:lang w:val="es-ES"/>
        </w:rPr>
      </w:pPr>
    </w:p>
    <w:p w14:paraId="7B097250" w14:textId="77777777" w:rsidR="00A9535E" w:rsidRPr="00C050A9" w:rsidRDefault="00A9535E" w:rsidP="00A9535E">
      <w:pPr>
        <w:spacing w:after="0" w:line="240" w:lineRule="auto"/>
        <w:jc w:val="center"/>
        <w:rPr>
          <w:rFonts w:ascii="Garamond" w:eastAsia="Arial MT" w:hAnsi="Garamond" w:cs="Arial MT"/>
          <w:sz w:val="20"/>
          <w:szCs w:val="20"/>
          <w:lang w:val="es-ES"/>
        </w:rPr>
      </w:pPr>
    </w:p>
    <w:p w14:paraId="34736744" w14:textId="77777777" w:rsidR="00A9535E" w:rsidRDefault="0068116C" w:rsidP="00A9535E">
      <w:pPr>
        <w:tabs>
          <w:tab w:val="left" w:pos="3390"/>
        </w:tabs>
        <w:spacing w:line="240" w:lineRule="auto"/>
        <w:rPr>
          <w:rStyle w:val="Hipervnculo"/>
          <w:rFonts w:ascii="Garamond" w:eastAsia="Arial MT" w:hAnsi="Garamond" w:cs="Arial MT"/>
          <w:sz w:val="20"/>
          <w:szCs w:val="20"/>
          <w:lang w:val="es-ES"/>
        </w:rPr>
      </w:pPr>
      <w:hyperlink r:id="rId173"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4A4D6D73" w14:textId="77777777" w:rsidR="00A9535E" w:rsidRDefault="00A9535E" w:rsidP="00A9535E">
      <w:pPr>
        <w:spacing w:after="0" w:line="240" w:lineRule="auto"/>
        <w:jc w:val="center"/>
        <w:rPr>
          <w:rFonts w:ascii="Garamond" w:eastAsia="Arial MT" w:hAnsi="Garamond" w:cs="Arial MT"/>
          <w:sz w:val="20"/>
          <w:szCs w:val="20"/>
          <w:lang w:val="es-ES"/>
        </w:rPr>
      </w:pPr>
    </w:p>
    <w:p w14:paraId="176CB523" w14:textId="77777777" w:rsidR="00A9535E" w:rsidRDefault="00A9535E" w:rsidP="00A9535E">
      <w:pPr>
        <w:tabs>
          <w:tab w:val="left" w:pos="3390"/>
        </w:tabs>
        <w:spacing w:line="240" w:lineRule="auto"/>
        <w:rPr>
          <w:rStyle w:val="Hipervnculo"/>
          <w:rFonts w:ascii="Garamond" w:eastAsia="Arial MT" w:hAnsi="Garamond" w:cs="Arial MT"/>
          <w:sz w:val="20"/>
          <w:szCs w:val="20"/>
          <w:lang w:val="es-ES"/>
        </w:rPr>
      </w:pPr>
      <w:r>
        <w:rPr>
          <w:rFonts w:ascii="Garamond" w:hAnsi="Garamond" w:cs="Arial"/>
          <w:sz w:val="24"/>
          <w:szCs w:val="24"/>
          <w:lang w:val="es-MX"/>
        </w:rPr>
        <w:t>Se realiza el estudio de demanda para la ciudad de Bogotá D.C., frente a la obtención del bien o servicio por las entidades de la ciudad y la modalidad de selección más utilizada:</w:t>
      </w:r>
    </w:p>
    <w:p w14:paraId="406DC9D2" w14:textId="77777777" w:rsidR="00A9535E" w:rsidRDefault="00A9535E" w:rsidP="00A9535E">
      <w:pPr>
        <w:spacing w:after="0" w:line="240" w:lineRule="auto"/>
        <w:jc w:val="center"/>
        <w:rPr>
          <w:rFonts w:ascii="Garamond" w:eastAsia="Arial MT" w:hAnsi="Garamond" w:cs="Arial MT"/>
          <w:sz w:val="20"/>
          <w:szCs w:val="20"/>
          <w:lang w:val="es-ES"/>
        </w:rPr>
      </w:pPr>
    </w:p>
    <w:p w14:paraId="4EE4496A" w14:textId="77777777" w:rsidR="00A9535E" w:rsidRDefault="00A9535E" w:rsidP="00A9535E">
      <w:pPr>
        <w:spacing w:after="0" w:line="240" w:lineRule="auto"/>
        <w:jc w:val="center"/>
        <w:rPr>
          <w:rFonts w:ascii="Garamond" w:eastAsia="Arial MT" w:hAnsi="Garamond" w:cs="Arial MT"/>
          <w:sz w:val="20"/>
          <w:szCs w:val="20"/>
          <w:lang w:val="es-ES"/>
        </w:rPr>
      </w:pPr>
      <w:r w:rsidRPr="00627AA4">
        <w:rPr>
          <w:rFonts w:ascii="Garamond" w:eastAsia="Arial MT" w:hAnsi="Garamond" w:cs="Arial MT"/>
          <w:noProof/>
          <w:sz w:val="20"/>
          <w:szCs w:val="20"/>
          <w:lang w:eastAsia="es-CO"/>
        </w:rPr>
        <w:drawing>
          <wp:inline distT="0" distB="0" distL="0" distR="0" wp14:anchorId="1A9980E5" wp14:editId="0DF29CB9">
            <wp:extent cx="5612130" cy="2754630"/>
            <wp:effectExtent l="0" t="0" r="7620" b="7620"/>
            <wp:docPr id="656033841" name="Imagen 65603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5612130" cy="2754630"/>
                    </a:xfrm>
                    <a:prstGeom prst="rect">
                      <a:avLst/>
                    </a:prstGeom>
                  </pic:spPr>
                </pic:pic>
              </a:graphicData>
            </a:graphic>
          </wp:inline>
        </w:drawing>
      </w:r>
    </w:p>
    <w:p w14:paraId="26E15654" w14:textId="4320C257"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46</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Entidad en la ciudad de Bogotá D.C., código UNSPSC 721540</w:t>
      </w:r>
    </w:p>
    <w:p w14:paraId="2DB9A0CB"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55A6223" w14:textId="77777777" w:rsidR="00A9535E" w:rsidRDefault="0068116C" w:rsidP="00A9535E">
      <w:pPr>
        <w:spacing w:line="240" w:lineRule="auto"/>
        <w:jc w:val="center"/>
        <w:rPr>
          <w:rFonts w:ascii="Garamond" w:eastAsia="Arial MT" w:hAnsi="Garamond" w:cs="Arial MT"/>
          <w:sz w:val="20"/>
          <w:szCs w:val="20"/>
          <w:lang w:val="es-ES"/>
        </w:rPr>
      </w:pPr>
      <w:hyperlink r:id="rId175"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3773C31D" w14:textId="77777777" w:rsidR="00A9535E" w:rsidRDefault="00A9535E" w:rsidP="00A9535E">
      <w:pPr>
        <w:spacing w:after="0" w:line="240" w:lineRule="auto"/>
        <w:jc w:val="center"/>
        <w:rPr>
          <w:rFonts w:ascii="Garamond" w:eastAsia="Arial MT" w:hAnsi="Garamond" w:cs="Arial MT"/>
          <w:sz w:val="20"/>
          <w:szCs w:val="20"/>
          <w:lang w:val="es-ES"/>
        </w:rPr>
      </w:pPr>
      <w:r w:rsidRPr="004D51B4">
        <w:rPr>
          <w:rFonts w:ascii="Garamond" w:eastAsia="Arial MT" w:hAnsi="Garamond" w:cs="Arial MT"/>
          <w:noProof/>
          <w:sz w:val="20"/>
          <w:szCs w:val="20"/>
          <w:lang w:eastAsia="es-CO"/>
        </w:rPr>
        <w:lastRenderedPageBreak/>
        <w:drawing>
          <wp:inline distT="0" distB="0" distL="0" distR="0" wp14:anchorId="2F731C48" wp14:editId="6E10BD09">
            <wp:extent cx="5612130" cy="3249295"/>
            <wp:effectExtent l="0" t="0" r="7620" b="8255"/>
            <wp:docPr id="656033842" name="Imagen 65603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5612130" cy="3249295"/>
                    </a:xfrm>
                    <a:prstGeom prst="rect">
                      <a:avLst/>
                    </a:prstGeom>
                  </pic:spPr>
                </pic:pic>
              </a:graphicData>
            </a:graphic>
          </wp:inline>
        </w:drawing>
      </w:r>
    </w:p>
    <w:p w14:paraId="6F1106AD" w14:textId="54DFF635" w:rsidR="00A9535E" w:rsidRPr="00C050A9" w:rsidRDefault="00A9535E" w:rsidP="00A9535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47</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Valor total estimado por modalidad de selección en la ciudad de Bogotá D.C.., código UNSPSC 721540</w:t>
      </w:r>
    </w:p>
    <w:p w14:paraId="7B39FE33" w14:textId="77777777" w:rsidR="00A9535E" w:rsidRPr="00C050A9" w:rsidRDefault="00A9535E" w:rsidP="00A9535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02316304" w14:textId="20E63E8C" w:rsidR="00EC1D59" w:rsidRDefault="0068116C" w:rsidP="00A9535E">
      <w:pPr>
        <w:tabs>
          <w:tab w:val="left" w:pos="3390"/>
        </w:tabs>
        <w:spacing w:line="240" w:lineRule="auto"/>
        <w:rPr>
          <w:rStyle w:val="Hipervnculo"/>
          <w:rFonts w:ascii="Garamond" w:eastAsia="Arial MT" w:hAnsi="Garamond" w:cs="Arial MT"/>
          <w:sz w:val="20"/>
          <w:szCs w:val="20"/>
          <w:lang w:val="es-ES"/>
        </w:rPr>
      </w:pPr>
      <w:hyperlink r:id="rId177" w:history="1">
        <w:r w:rsidR="00A9535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58473988" w14:textId="77777777" w:rsidR="00415BB2" w:rsidRDefault="00415BB2" w:rsidP="00415BB2">
      <w:pPr>
        <w:pStyle w:val="Textoindependiente"/>
        <w:jc w:val="both"/>
        <w:rPr>
          <w:rFonts w:ascii="Garamond" w:hAnsi="Garamond"/>
          <w:sz w:val="24"/>
          <w:szCs w:val="24"/>
        </w:rPr>
      </w:pPr>
    </w:p>
    <w:p w14:paraId="443CD855" w14:textId="4BAED2F7" w:rsidR="00415BB2" w:rsidRDefault="00415BB2" w:rsidP="00415BB2">
      <w:pPr>
        <w:pStyle w:val="Textoindependiente"/>
        <w:jc w:val="both"/>
        <w:rPr>
          <w:rFonts w:ascii="Garamond" w:hAnsi="Garamond"/>
          <w:sz w:val="24"/>
          <w:szCs w:val="24"/>
        </w:rPr>
      </w:pPr>
      <w:r w:rsidRPr="00415BB2">
        <w:rPr>
          <w:rFonts w:ascii="Garamond" w:hAnsi="Garamond"/>
          <w:sz w:val="24"/>
          <w:szCs w:val="24"/>
        </w:rPr>
        <w:t xml:space="preserve">De acuerdo con la información consolidada en el Sistema Electrónico para la Contratación Pública (SECOP) </w:t>
      </w:r>
      <w:r>
        <w:rPr>
          <w:rFonts w:ascii="Garamond" w:hAnsi="Garamond"/>
          <w:sz w:val="24"/>
          <w:szCs w:val="24"/>
        </w:rPr>
        <w:t>en el MAE, así como</w:t>
      </w:r>
      <w:r w:rsidRPr="00415BB2">
        <w:rPr>
          <w:rFonts w:ascii="Garamond" w:hAnsi="Garamond"/>
          <w:sz w:val="24"/>
          <w:szCs w:val="24"/>
        </w:rPr>
        <w:t xml:space="preserve"> el análisis de las Alcaldías Locales, se evidencia que los códigos UNSPSC vinculados al presente proceso (721540, 721526, 721029, 301918 y 301916) han sido contratados predominantemente bajo la modalidad de </w:t>
      </w:r>
      <w:r w:rsidRPr="00415BB2">
        <w:rPr>
          <w:rFonts w:ascii="Garamond" w:hAnsi="Garamond"/>
          <w:b/>
          <w:sz w:val="24"/>
          <w:szCs w:val="24"/>
          <w:u w:val="single"/>
        </w:rPr>
        <w:t>Selección Abreviada de Menor Cuantía</w:t>
      </w:r>
      <w:r w:rsidRPr="00415BB2">
        <w:rPr>
          <w:rFonts w:ascii="Garamond" w:hAnsi="Garamond"/>
          <w:sz w:val="24"/>
          <w:szCs w:val="24"/>
        </w:rPr>
        <w:t>, y en menor proporción mediante Régimen Especial.</w:t>
      </w:r>
    </w:p>
    <w:p w14:paraId="0CE020FB" w14:textId="77777777" w:rsidR="00415BB2" w:rsidRPr="00415BB2" w:rsidRDefault="00415BB2" w:rsidP="00415BB2">
      <w:pPr>
        <w:pStyle w:val="Textoindependiente"/>
        <w:jc w:val="both"/>
        <w:rPr>
          <w:rFonts w:ascii="Garamond" w:hAnsi="Garamond"/>
          <w:sz w:val="24"/>
          <w:szCs w:val="24"/>
        </w:rPr>
      </w:pPr>
    </w:p>
    <w:p w14:paraId="6D440400" w14:textId="419C44EB" w:rsidR="00415BB2" w:rsidRPr="00415BB2" w:rsidRDefault="00415BB2" w:rsidP="00415BB2">
      <w:pPr>
        <w:pStyle w:val="Textoindependiente"/>
        <w:jc w:val="both"/>
        <w:rPr>
          <w:rFonts w:ascii="Garamond" w:hAnsi="Garamond"/>
          <w:sz w:val="24"/>
          <w:szCs w:val="24"/>
        </w:rPr>
      </w:pPr>
      <w:r w:rsidRPr="00415BB2">
        <w:rPr>
          <w:rFonts w:ascii="Garamond" w:hAnsi="Garamond"/>
          <w:sz w:val="24"/>
          <w:szCs w:val="24"/>
        </w:rPr>
        <w:t xml:space="preserve">El comportamiento identificado en </w:t>
      </w:r>
      <w:r>
        <w:rPr>
          <w:rFonts w:ascii="Garamond" w:hAnsi="Garamond"/>
          <w:sz w:val="24"/>
          <w:szCs w:val="24"/>
        </w:rPr>
        <w:t>los</w:t>
      </w:r>
      <w:r w:rsidRPr="00415BB2">
        <w:rPr>
          <w:rFonts w:ascii="Garamond" w:hAnsi="Garamond"/>
          <w:sz w:val="24"/>
          <w:szCs w:val="24"/>
        </w:rPr>
        <w:t xml:space="preserve"> gráfico</w:t>
      </w:r>
      <w:r>
        <w:rPr>
          <w:rFonts w:ascii="Garamond" w:hAnsi="Garamond"/>
          <w:sz w:val="24"/>
          <w:szCs w:val="24"/>
        </w:rPr>
        <w:t>s</w:t>
      </w:r>
      <w:r w:rsidRPr="00415BB2">
        <w:rPr>
          <w:rFonts w:ascii="Garamond" w:hAnsi="Garamond"/>
          <w:sz w:val="24"/>
          <w:szCs w:val="24"/>
        </w:rPr>
        <w:t xml:space="preserve"> demuestra que, para este tipo de objetos contractuales —relacionados con actividades de mantenimiento, adecuación y suministro de elementos para obras menores o de apoyo a la infraestructura pública—, las entidades territoriales privilegian mecanismos competitivos y simplificados que permiten una mayor eficiencia en tiempos y costos, garantizando a su vez la pluralidad de oferentes.</w:t>
      </w:r>
    </w:p>
    <w:p w14:paraId="655A6D02" w14:textId="77777777" w:rsidR="00415BB2" w:rsidRPr="00415BB2" w:rsidRDefault="00415BB2" w:rsidP="00415BB2">
      <w:pPr>
        <w:pStyle w:val="Textoindependiente"/>
        <w:jc w:val="both"/>
        <w:rPr>
          <w:rFonts w:ascii="Garamond" w:hAnsi="Garamond"/>
          <w:sz w:val="24"/>
          <w:szCs w:val="24"/>
        </w:rPr>
      </w:pPr>
    </w:p>
    <w:p w14:paraId="5914CD0D" w14:textId="77777777" w:rsidR="00415BB2" w:rsidRPr="00415BB2" w:rsidRDefault="00415BB2" w:rsidP="00415BB2">
      <w:pPr>
        <w:pStyle w:val="Textoindependiente"/>
        <w:jc w:val="both"/>
        <w:rPr>
          <w:rFonts w:ascii="Garamond" w:hAnsi="Garamond"/>
          <w:sz w:val="24"/>
          <w:szCs w:val="24"/>
        </w:rPr>
      </w:pPr>
      <w:r w:rsidRPr="00415BB2">
        <w:rPr>
          <w:rFonts w:ascii="Garamond" w:hAnsi="Garamond"/>
          <w:sz w:val="24"/>
          <w:szCs w:val="24"/>
        </w:rPr>
        <w:t>No obstante, se resalta que la modalidad de Régimen Especial, aunque presenta una participación significativa en la contratación general de las Alcaldías Locales, no resulta aplicable al presente proceso, dado que esta se reserva para entidades con régimen jurídico propio (como empresas industriales y comerciales del Estado o entidades del sector defensa).</w:t>
      </w:r>
    </w:p>
    <w:p w14:paraId="0E0B5813" w14:textId="77777777" w:rsidR="00415BB2" w:rsidRPr="00415BB2" w:rsidRDefault="00415BB2" w:rsidP="00415BB2">
      <w:pPr>
        <w:pStyle w:val="Textoindependiente"/>
        <w:jc w:val="both"/>
        <w:rPr>
          <w:rFonts w:ascii="Garamond" w:hAnsi="Garamond"/>
          <w:sz w:val="24"/>
          <w:szCs w:val="24"/>
        </w:rPr>
      </w:pPr>
    </w:p>
    <w:p w14:paraId="3BB04461" w14:textId="643E770A" w:rsidR="00FC3EBB" w:rsidRPr="00415BB2" w:rsidRDefault="00415BB2" w:rsidP="00415BB2">
      <w:pPr>
        <w:pStyle w:val="Textoindependiente"/>
        <w:jc w:val="both"/>
        <w:rPr>
          <w:rFonts w:ascii="Garamond" w:hAnsi="Garamond"/>
          <w:sz w:val="24"/>
          <w:szCs w:val="24"/>
        </w:rPr>
      </w:pPr>
      <w:r w:rsidRPr="00415BB2">
        <w:rPr>
          <w:rFonts w:ascii="Garamond" w:hAnsi="Garamond"/>
          <w:sz w:val="24"/>
          <w:szCs w:val="24"/>
        </w:rPr>
        <w:t xml:space="preserve">Por tanto, y conforme a la naturaleza, alcance y valor estimado del contrato, la modalidad de Selección Abreviada de Menor Cuantía se identifica como la más adecuada y congruente con las prácticas de contratación observadas en el sector, permitiendo asegurar la transparencia, </w:t>
      </w:r>
      <w:r w:rsidRPr="00415BB2">
        <w:rPr>
          <w:rFonts w:ascii="Garamond" w:hAnsi="Garamond"/>
          <w:sz w:val="24"/>
          <w:szCs w:val="24"/>
        </w:rPr>
        <w:lastRenderedPageBreak/>
        <w:t>eficiencia y cumplimiento de los principios de la función administrativa.</w:t>
      </w:r>
    </w:p>
    <w:p w14:paraId="12A05B35" w14:textId="77777777" w:rsidR="00415BB2" w:rsidRDefault="00415BB2" w:rsidP="002A4BF2">
      <w:pPr>
        <w:pStyle w:val="Textoindependiente"/>
        <w:spacing w:before="93"/>
        <w:jc w:val="both"/>
        <w:rPr>
          <w:rFonts w:ascii="Garamond" w:hAnsi="Garamond"/>
          <w:b/>
          <w:sz w:val="24"/>
          <w:szCs w:val="24"/>
        </w:rPr>
      </w:pPr>
    </w:p>
    <w:p w14:paraId="743C125B" w14:textId="6C01B680" w:rsidR="00AD6DB4" w:rsidRPr="00306D47" w:rsidRDefault="00C403C0" w:rsidP="003A1825">
      <w:pPr>
        <w:pStyle w:val="Textoindependiente"/>
        <w:numPr>
          <w:ilvl w:val="2"/>
          <w:numId w:val="8"/>
        </w:numPr>
        <w:spacing w:before="93"/>
        <w:jc w:val="both"/>
        <w:rPr>
          <w:rFonts w:ascii="Garamond" w:hAnsi="Garamond"/>
          <w:sz w:val="24"/>
          <w:szCs w:val="24"/>
        </w:rPr>
      </w:pPr>
      <w:r>
        <w:rPr>
          <w:rFonts w:ascii="Garamond" w:hAnsi="Garamond"/>
          <w:b/>
          <w:sz w:val="24"/>
          <w:szCs w:val="24"/>
        </w:rPr>
        <w:t>ADQUISICIONES PREVIAS POR PARTE DE LA ENTIDAD</w:t>
      </w:r>
    </w:p>
    <w:p w14:paraId="3F992B17" w14:textId="77777777" w:rsidR="00AD6DB4" w:rsidRDefault="00AD6DB4" w:rsidP="002A4BF2">
      <w:pPr>
        <w:spacing w:line="240" w:lineRule="auto"/>
        <w:jc w:val="center"/>
        <w:rPr>
          <w:rFonts w:ascii="Garamond" w:eastAsia="Arial MT" w:hAnsi="Garamond" w:cs="Arial MT"/>
          <w:sz w:val="20"/>
          <w:szCs w:val="20"/>
          <w:lang w:val="es-ES"/>
        </w:rPr>
      </w:pPr>
    </w:p>
    <w:p w14:paraId="221FF54B" w14:textId="2ECB78AA" w:rsidR="00C403C0" w:rsidRDefault="00C403C0" w:rsidP="00C403C0">
      <w:pPr>
        <w:spacing w:line="240" w:lineRule="auto"/>
        <w:jc w:val="both"/>
        <w:rPr>
          <w:rFonts w:ascii="Garamond" w:hAnsi="Garamond" w:cs="Arial"/>
        </w:rPr>
      </w:pPr>
      <w:r>
        <w:rPr>
          <w:rFonts w:ascii="Garamond" w:eastAsia="Arial MT" w:hAnsi="Garamond" w:cs="Arial MT"/>
          <w:sz w:val="24"/>
          <w:szCs w:val="24"/>
          <w:lang w:val="es-ES"/>
        </w:rPr>
        <w:t>C</w:t>
      </w:r>
      <w:r w:rsidRPr="00563EAE">
        <w:rPr>
          <w:rFonts w:ascii="Garamond" w:eastAsia="Arial MT" w:hAnsi="Garamond" w:cs="Arial MT"/>
          <w:sz w:val="24"/>
          <w:szCs w:val="24"/>
          <w:lang w:val="es-ES"/>
        </w:rPr>
        <w:t xml:space="preserve">on el objetivo de identificar la </w:t>
      </w:r>
      <w:r>
        <w:rPr>
          <w:rFonts w:ascii="Garamond" w:eastAsia="Arial MT" w:hAnsi="Garamond" w:cs="Arial MT"/>
          <w:sz w:val="24"/>
          <w:szCs w:val="24"/>
          <w:lang w:val="es-ES"/>
        </w:rPr>
        <w:t>demanda</w:t>
      </w:r>
      <w:r w:rsidRPr="00563EAE">
        <w:rPr>
          <w:rFonts w:ascii="Garamond" w:eastAsia="Arial MT" w:hAnsi="Garamond" w:cs="Arial MT"/>
          <w:sz w:val="24"/>
          <w:szCs w:val="24"/>
          <w:lang w:val="es-ES"/>
        </w:rPr>
        <w:t xml:space="preserve"> </w:t>
      </w:r>
      <w:r>
        <w:rPr>
          <w:rFonts w:ascii="Garamond" w:eastAsia="Arial MT" w:hAnsi="Garamond" w:cs="Arial MT"/>
          <w:sz w:val="24"/>
          <w:szCs w:val="24"/>
          <w:lang w:val="es-ES"/>
        </w:rPr>
        <w:t>del bien o servicio por parte de la entidad FONDO DE DESARROLLO LOCAL DE ANTONIO NARIÑO</w:t>
      </w:r>
      <w:r w:rsidRPr="00563EAE">
        <w:rPr>
          <w:rFonts w:ascii="Garamond" w:eastAsia="Arial MT" w:hAnsi="Garamond" w:cs="Arial MT"/>
          <w:sz w:val="24"/>
          <w:szCs w:val="24"/>
          <w:lang w:val="es-ES"/>
        </w:rPr>
        <w:t>, se pro</w:t>
      </w:r>
      <w:r>
        <w:rPr>
          <w:rFonts w:ascii="Garamond" w:eastAsia="Arial MT" w:hAnsi="Garamond" w:cs="Arial MT"/>
          <w:sz w:val="24"/>
          <w:szCs w:val="24"/>
          <w:lang w:val="es-ES"/>
        </w:rPr>
        <w:t xml:space="preserve">cedió a acceder al </w:t>
      </w:r>
      <w:r w:rsidRPr="00AD6DB4">
        <w:rPr>
          <w:rFonts w:ascii="Garamond" w:eastAsia="Arial MT" w:hAnsi="Garamond" w:cs="Arial MT"/>
          <w:sz w:val="24"/>
          <w:szCs w:val="24"/>
          <w:lang w:val="es-ES"/>
        </w:rPr>
        <w:t xml:space="preserve">Modelo de Abastecimiento estratégico – Análisis de la oferta (Agencia Nacional de Contratación Pública </w:t>
      </w:r>
      <w:r w:rsidRPr="00C403C0">
        <w:rPr>
          <w:rFonts w:ascii="Garamond" w:eastAsia="Arial MT" w:hAnsi="Garamond" w:cs="Arial MT"/>
          <w:sz w:val="24"/>
          <w:szCs w:val="24"/>
          <w:lang w:val="es-ES"/>
        </w:rPr>
        <w:t xml:space="preserve">Colombia Compra Eficiente CCE), identificando </w:t>
      </w:r>
      <w:r w:rsidR="0077032A" w:rsidRPr="0077032A">
        <w:rPr>
          <w:rFonts w:ascii="Garamond" w:eastAsia="Arial MT" w:hAnsi="Garamond" w:cs="Arial MT"/>
          <w:sz w:val="24"/>
          <w:szCs w:val="24"/>
          <w:lang w:val="es-ES"/>
        </w:rPr>
        <w:t>las especificaciones técnicas, requisitos habilitantes, método de evaluación de ofertas y las modalidades</w:t>
      </w:r>
      <w:r w:rsidR="0077032A">
        <w:rPr>
          <w:rFonts w:ascii="Garamond" w:eastAsia="Arial MT" w:hAnsi="Garamond" w:cs="Arial MT"/>
          <w:sz w:val="24"/>
          <w:szCs w:val="24"/>
          <w:lang w:val="es-ES"/>
        </w:rPr>
        <w:t xml:space="preserve"> de contratación utilizadas de la siguiente manera:</w:t>
      </w:r>
    </w:p>
    <w:tbl>
      <w:tblPr>
        <w:tblStyle w:val="Tablaconcuadrcula"/>
        <w:tblW w:w="10916" w:type="dxa"/>
        <w:tblInd w:w="-998" w:type="dxa"/>
        <w:tblLayout w:type="fixed"/>
        <w:tblLook w:val="04A0" w:firstRow="1" w:lastRow="0" w:firstColumn="1" w:lastColumn="0" w:noHBand="0" w:noVBand="1"/>
      </w:tblPr>
      <w:tblGrid>
        <w:gridCol w:w="851"/>
        <w:gridCol w:w="1560"/>
        <w:gridCol w:w="2551"/>
        <w:gridCol w:w="1701"/>
        <w:gridCol w:w="1560"/>
        <w:gridCol w:w="1559"/>
        <w:gridCol w:w="1134"/>
      </w:tblGrid>
      <w:tr w:rsidR="0077032A" w:rsidRPr="00CA7682" w14:paraId="25BA1A8B" w14:textId="244754C5" w:rsidTr="0077032A">
        <w:tc>
          <w:tcPr>
            <w:tcW w:w="851" w:type="dxa"/>
          </w:tcPr>
          <w:p w14:paraId="3F11FC83" w14:textId="77777777" w:rsidR="0077032A" w:rsidRPr="00DC3DDD" w:rsidRDefault="0077032A" w:rsidP="0077032A">
            <w:pPr>
              <w:tabs>
                <w:tab w:val="left" w:pos="38"/>
              </w:tabs>
              <w:jc w:val="both"/>
              <w:rPr>
                <w:rFonts w:ascii="Garamond" w:hAnsi="Garamond" w:cs="Arial"/>
                <w:b/>
                <w:sz w:val="20"/>
                <w:szCs w:val="20"/>
              </w:rPr>
            </w:pPr>
            <w:r w:rsidRPr="00DC3DDD">
              <w:rPr>
                <w:rFonts w:ascii="Garamond" w:hAnsi="Garamond" w:cs="Arial"/>
                <w:b/>
                <w:sz w:val="20"/>
                <w:szCs w:val="20"/>
              </w:rPr>
              <w:t>AÑO</w:t>
            </w:r>
          </w:p>
        </w:tc>
        <w:tc>
          <w:tcPr>
            <w:tcW w:w="1560" w:type="dxa"/>
          </w:tcPr>
          <w:p w14:paraId="30110542" w14:textId="77777777" w:rsidR="0077032A" w:rsidRPr="00DC3DDD" w:rsidRDefault="0077032A" w:rsidP="0077032A">
            <w:pPr>
              <w:tabs>
                <w:tab w:val="left" w:pos="38"/>
              </w:tabs>
              <w:jc w:val="both"/>
              <w:rPr>
                <w:rFonts w:ascii="Garamond" w:hAnsi="Garamond" w:cs="Arial"/>
                <w:b/>
                <w:sz w:val="20"/>
                <w:szCs w:val="20"/>
              </w:rPr>
            </w:pPr>
            <w:r w:rsidRPr="00DC3DDD">
              <w:rPr>
                <w:rFonts w:ascii="Garamond" w:hAnsi="Garamond" w:cs="Arial"/>
                <w:b/>
                <w:sz w:val="20"/>
                <w:szCs w:val="20"/>
              </w:rPr>
              <w:t>VALOR DEL CONTRATO</w:t>
            </w:r>
          </w:p>
          <w:p w14:paraId="18037C63" w14:textId="77777777" w:rsidR="0077032A" w:rsidRPr="00DC3DDD" w:rsidRDefault="0077032A" w:rsidP="0077032A">
            <w:pPr>
              <w:tabs>
                <w:tab w:val="left" w:pos="38"/>
              </w:tabs>
              <w:jc w:val="both"/>
              <w:rPr>
                <w:rFonts w:ascii="Garamond" w:hAnsi="Garamond" w:cs="Arial"/>
                <w:b/>
                <w:sz w:val="20"/>
                <w:szCs w:val="20"/>
              </w:rPr>
            </w:pPr>
          </w:p>
          <w:p w14:paraId="58C79969" w14:textId="77777777" w:rsidR="0077032A" w:rsidRPr="00DC3DDD" w:rsidRDefault="0077032A" w:rsidP="0077032A">
            <w:pPr>
              <w:tabs>
                <w:tab w:val="left" w:pos="38"/>
              </w:tabs>
              <w:jc w:val="both"/>
              <w:rPr>
                <w:rFonts w:ascii="Garamond" w:hAnsi="Garamond" w:cs="Arial"/>
                <w:b/>
                <w:sz w:val="20"/>
                <w:szCs w:val="20"/>
              </w:rPr>
            </w:pPr>
            <w:r w:rsidRPr="00DC3DDD">
              <w:rPr>
                <w:rFonts w:ascii="Garamond" w:hAnsi="Garamond" w:cs="Arial"/>
                <w:b/>
                <w:sz w:val="20"/>
                <w:szCs w:val="20"/>
              </w:rPr>
              <w:t>(COSTO)</w:t>
            </w:r>
          </w:p>
        </w:tc>
        <w:tc>
          <w:tcPr>
            <w:tcW w:w="2551" w:type="dxa"/>
          </w:tcPr>
          <w:p w14:paraId="7C553ADD" w14:textId="77777777" w:rsidR="0077032A" w:rsidRPr="00DC3DDD" w:rsidRDefault="0077032A" w:rsidP="0077032A">
            <w:pPr>
              <w:tabs>
                <w:tab w:val="left" w:pos="38"/>
              </w:tabs>
              <w:jc w:val="both"/>
              <w:rPr>
                <w:rFonts w:ascii="Garamond" w:hAnsi="Garamond" w:cs="Arial"/>
                <w:b/>
                <w:sz w:val="20"/>
                <w:szCs w:val="20"/>
              </w:rPr>
            </w:pPr>
            <w:r w:rsidRPr="00DC3DDD">
              <w:rPr>
                <w:rFonts w:ascii="Garamond" w:hAnsi="Garamond" w:cs="Arial"/>
                <w:b/>
                <w:sz w:val="20"/>
                <w:szCs w:val="20"/>
              </w:rPr>
              <w:t>OBJETO</w:t>
            </w:r>
          </w:p>
        </w:tc>
        <w:tc>
          <w:tcPr>
            <w:tcW w:w="1701" w:type="dxa"/>
          </w:tcPr>
          <w:p w14:paraId="6CC03BCD" w14:textId="77777777" w:rsidR="0077032A" w:rsidRPr="00DC3DDD" w:rsidRDefault="0077032A" w:rsidP="0077032A">
            <w:pPr>
              <w:tabs>
                <w:tab w:val="left" w:pos="38"/>
              </w:tabs>
              <w:jc w:val="both"/>
              <w:rPr>
                <w:rFonts w:ascii="Garamond" w:hAnsi="Garamond" w:cs="Arial"/>
                <w:b/>
                <w:sz w:val="20"/>
                <w:szCs w:val="20"/>
              </w:rPr>
            </w:pPr>
            <w:r w:rsidRPr="00DC3DDD">
              <w:rPr>
                <w:rFonts w:ascii="Garamond" w:hAnsi="Garamond" w:cs="Arial"/>
                <w:b/>
                <w:sz w:val="20"/>
                <w:szCs w:val="20"/>
              </w:rPr>
              <w:t>CONTRATO O CONVENIO</w:t>
            </w:r>
          </w:p>
        </w:tc>
        <w:tc>
          <w:tcPr>
            <w:tcW w:w="1560" w:type="dxa"/>
          </w:tcPr>
          <w:p w14:paraId="209C42C4" w14:textId="77777777" w:rsidR="0077032A" w:rsidRPr="00DC3DDD" w:rsidRDefault="0077032A" w:rsidP="0077032A">
            <w:pPr>
              <w:tabs>
                <w:tab w:val="left" w:pos="38"/>
              </w:tabs>
              <w:jc w:val="both"/>
              <w:rPr>
                <w:rFonts w:ascii="Garamond" w:hAnsi="Garamond" w:cs="Arial"/>
                <w:b/>
                <w:sz w:val="20"/>
                <w:szCs w:val="20"/>
              </w:rPr>
            </w:pPr>
            <w:r w:rsidRPr="00DC3DDD">
              <w:rPr>
                <w:rFonts w:ascii="Garamond" w:hAnsi="Garamond" w:cs="Arial"/>
                <w:b/>
                <w:sz w:val="20"/>
                <w:szCs w:val="20"/>
              </w:rPr>
              <w:t>MODALIDAD DE SELECCIÓN UTILIZADA</w:t>
            </w:r>
          </w:p>
        </w:tc>
        <w:tc>
          <w:tcPr>
            <w:tcW w:w="1559" w:type="dxa"/>
          </w:tcPr>
          <w:p w14:paraId="32CDC1C2" w14:textId="1E40D7F5" w:rsidR="0077032A" w:rsidRPr="00DC3DDD" w:rsidRDefault="0077032A" w:rsidP="0077032A">
            <w:pPr>
              <w:tabs>
                <w:tab w:val="left" w:pos="38"/>
              </w:tabs>
              <w:jc w:val="both"/>
              <w:rPr>
                <w:rFonts w:ascii="Garamond" w:hAnsi="Garamond" w:cs="Arial"/>
                <w:b/>
                <w:sz w:val="20"/>
                <w:szCs w:val="20"/>
              </w:rPr>
            </w:pPr>
            <w:r>
              <w:rPr>
                <w:rFonts w:ascii="Garamond" w:hAnsi="Garamond" w:cs="Arial"/>
                <w:b/>
                <w:sz w:val="20"/>
                <w:szCs w:val="20"/>
              </w:rPr>
              <w:t>NO. DE OFERENTES</w:t>
            </w:r>
          </w:p>
        </w:tc>
        <w:tc>
          <w:tcPr>
            <w:tcW w:w="1134" w:type="dxa"/>
          </w:tcPr>
          <w:p w14:paraId="5F8BBF23" w14:textId="6C379920" w:rsidR="0077032A" w:rsidRDefault="0077032A" w:rsidP="0077032A">
            <w:pPr>
              <w:tabs>
                <w:tab w:val="left" w:pos="38"/>
              </w:tabs>
              <w:jc w:val="both"/>
              <w:rPr>
                <w:rFonts w:ascii="Garamond" w:hAnsi="Garamond" w:cs="Arial"/>
                <w:b/>
                <w:sz w:val="20"/>
                <w:szCs w:val="20"/>
              </w:rPr>
            </w:pPr>
            <w:r>
              <w:rPr>
                <w:rFonts w:ascii="Garamond" w:hAnsi="Garamond" w:cs="Arial"/>
                <w:b/>
                <w:sz w:val="20"/>
                <w:szCs w:val="20"/>
              </w:rPr>
              <w:t>PLAZO</w:t>
            </w:r>
          </w:p>
        </w:tc>
      </w:tr>
      <w:tr w:rsidR="0077032A" w:rsidRPr="00CA7682" w14:paraId="3B24ACC2" w14:textId="0F309D0D" w:rsidTr="0077032A">
        <w:trPr>
          <w:trHeight w:val="2226"/>
        </w:trPr>
        <w:tc>
          <w:tcPr>
            <w:tcW w:w="851" w:type="dxa"/>
          </w:tcPr>
          <w:p w14:paraId="6F9908F4" w14:textId="77777777" w:rsidR="0077032A" w:rsidRPr="00DC3DDD" w:rsidRDefault="0077032A" w:rsidP="0077032A">
            <w:pPr>
              <w:tabs>
                <w:tab w:val="left" w:pos="38"/>
              </w:tabs>
              <w:jc w:val="both"/>
              <w:rPr>
                <w:rFonts w:ascii="Garamond" w:hAnsi="Garamond" w:cs="Arial"/>
                <w:b/>
                <w:sz w:val="20"/>
                <w:szCs w:val="20"/>
              </w:rPr>
            </w:pPr>
            <w:r w:rsidRPr="00DC3DDD">
              <w:rPr>
                <w:rFonts w:ascii="Garamond" w:hAnsi="Garamond" w:cs="Arial"/>
                <w:b/>
                <w:sz w:val="20"/>
                <w:szCs w:val="20"/>
              </w:rPr>
              <w:t>2020</w:t>
            </w:r>
          </w:p>
        </w:tc>
        <w:tc>
          <w:tcPr>
            <w:tcW w:w="1560" w:type="dxa"/>
          </w:tcPr>
          <w:p w14:paraId="5CF97D43"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 xml:space="preserve">$ </w:t>
            </w:r>
            <w:r w:rsidRPr="00DC3DDD">
              <w:rPr>
                <w:rFonts w:ascii="Garamond" w:hAnsi="Garamond" w:cs="Arial"/>
                <w:sz w:val="20"/>
                <w:szCs w:val="20"/>
              </w:rPr>
              <w:t>127</w:t>
            </w:r>
            <w:r>
              <w:rPr>
                <w:rFonts w:ascii="Garamond" w:hAnsi="Garamond" w:cs="Arial"/>
                <w:sz w:val="20"/>
                <w:szCs w:val="20"/>
              </w:rPr>
              <w:t>.</w:t>
            </w:r>
            <w:r w:rsidRPr="00DC3DDD">
              <w:rPr>
                <w:rFonts w:ascii="Garamond" w:hAnsi="Garamond" w:cs="Arial"/>
                <w:sz w:val="20"/>
                <w:szCs w:val="20"/>
              </w:rPr>
              <w:t>321</w:t>
            </w:r>
            <w:r>
              <w:rPr>
                <w:rFonts w:ascii="Garamond" w:hAnsi="Garamond" w:cs="Arial"/>
                <w:sz w:val="20"/>
                <w:szCs w:val="20"/>
              </w:rPr>
              <w:t>.</w:t>
            </w:r>
            <w:r w:rsidRPr="00DC3DDD">
              <w:rPr>
                <w:rFonts w:ascii="Garamond" w:hAnsi="Garamond" w:cs="Arial"/>
                <w:sz w:val="20"/>
                <w:szCs w:val="20"/>
              </w:rPr>
              <w:t>348</w:t>
            </w:r>
            <w:r>
              <w:rPr>
                <w:rFonts w:ascii="Garamond" w:hAnsi="Garamond" w:cs="Arial"/>
                <w:sz w:val="20"/>
                <w:szCs w:val="20"/>
              </w:rPr>
              <w:t>,00</w:t>
            </w:r>
          </w:p>
          <w:p w14:paraId="6A4760A8" w14:textId="77777777" w:rsidR="0077032A" w:rsidRPr="00DC3DDD" w:rsidRDefault="0077032A" w:rsidP="0077032A">
            <w:pPr>
              <w:tabs>
                <w:tab w:val="left" w:pos="38"/>
              </w:tabs>
              <w:jc w:val="both"/>
              <w:rPr>
                <w:rFonts w:ascii="Garamond" w:hAnsi="Garamond" w:cs="Arial"/>
                <w:sz w:val="20"/>
                <w:szCs w:val="20"/>
              </w:rPr>
            </w:pPr>
          </w:p>
          <w:p w14:paraId="4F540DC2" w14:textId="77777777" w:rsidR="0077032A" w:rsidRPr="00DC3DDD" w:rsidRDefault="0077032A" w:rsidP="0077032A">
            <w:pPr>
              <w:tabs>
                <w:tab w:val="left" w:pos="38"/>
              </w:tabs>
              <w:jc w:val="both"/>
              <w:rPr>
                <w:rFonts w:ascii="Garamond" w:hAnsi="Garamond" w:cs="Arial"/>
                <w:sz w:val="20"/>
                <w:szCs w:val="20"/>
              </w:rPr>
            </w:pPr>
          </w:p>
          <w:p w14:paraId="66A0A790" w14:textId="77777777" w:rsidR="0077032A" w:rsidRPr="00DC3DDD" w:rsidRDefault="0077032A" w:rsidP="0077032A">
            <w:pPr>
              <w:tabs>
                <w:tab w:val="left" w:pos="38"/>
              </w:tabs>
              <w:jc w:val="both"/>
              <w:rPr>
                <w:rFonts w:ascii="Garamond" w:hAnsi="Garamond" w:cs="Arial"/>
                <w:sz w:val="20"/>
                <w:szCs w:val="20"/>
              </w:rPr>
            </w:pPr>
          </w:p>
          <w:p w14:paraId="3C492238" w14:textId="77777777" w:rsidR="0077032A" w:rsidRPr="00DC3DDD" w:rsidRDefault="0077032A" w:rsidP="0077032A">
            <w:pPr>
              <w:tabs>
                <w:tab w:val="left" w:pos="38"/>
              </w:tabs>
              <w:jc w:val="both"/>
              <w:rPr>
                <w:rFonts w:ascii="Garamond" w:hAnsi="Garamond" w:cs="Arial"/>
                <w:sz w:val="20"/>
                <w:szCs w:val="20"/>
              </w:rPr>
            </w:pPr>
          </w:p>
          <w:p w14:paraId="5CB28F31" w14:textId="77777777" w:rsidR="0077032A" w:rsidRPr="00DC3DDD" w:rsidRDefault="0077032A" w:rsidP="0077032A">
            <w:pPr>
              <w:tabs>
                <w:tab w:val="left" w:pos="38"/>
              </w:tabs>
              <w:jc w:val="both"/>
              <w:rPr>
                <w:rFonts w:ascii="Garamond" w:hAnsi="Garamond" w:cs="Arial"/>
                <w:sz w:val="20"/>
                <w:szCs w:val="20"/>
              </w:rPr>
            </w:pPr>
          </w:p>
        </w:tc>
        <w:tc>
          <w:tcPr>
            <w:tcW w:w="2551" w:type="dxa"/>
          </w:tcPr>
          <w:p w14:paraId="492C2444" w14:textId="77777777" w:rsidR="0077032A" w:rsidRPr="00DC3DDD" w:rsidRDefault="0077032A" w:rsidP="0077032A">
            <w:pPr>
              <w:tabs>
                <w:tab w:val="left" w:pos="38"/>
              </w:tabs>
              <w:jc w:val="both"/>
              <w:rPr>
                <w:rFonts w:ascii="Garamond" w:hAnsi="Garamond" w:cs="Arial"/>
                <w:sz w:val="20"/>
                <w:szCs w:val="20"/>
              </w:rPr>
            </w:pPr>
            <w:r w:rsidRPr="00DC3DDD">
              <w:rPr>
                <w:rFonts w:ascii="Garamond" w:hAnsi="Garamond" w:cs="Arial"/>
                <w:sz w:val="20"/>
                <w:szCs w:val="20"/>
              </w:rPr>
              <w:t>REALIZAR BAJO EL SISTEMA DE PRECIOS UNITARIOS FIJOS SIN FÓRMULA DE REAJUSTE LAS OBRAS REQUERIDAS PARA CONSERVACIÓN DE LA EDIFICACIÓN DONDE FUNCIONA LA ALCALDIA LOCAL ANTONIO NARIÑO</w:t>
            </w:r>
          </w:p>
        </w:tc>
        <w:tc>
          <w:tcPr>
            <w:tcW w:w="1701" w:type="dxa"/>
          </w:tcPr>
          <w:p w14:paraId="3D7819E6" w14:textId="77777777" w:rsidR="0077032A" w:rsidRPr="00DC3DDD" w:rsidRDefault="0077032A" w:rsidP="0077032A">
            <w:pPr>
              <w:tabs>
                <w:tab w:val="left" w:pos="38"/>
              </w:tabs>
              <w:jc w:val="both"/>
              <w:rPr>
                <w:rFonts w:ascii="Garamond" w:hAnsi="Garamond" w:cs="Arial"/>
                <w:sz w:val="20"/>
                <w:szCs w:val="20"/>
              </w:rPr>
            </w:pPr>
          </w:p>
          <w:p w14:paraId="43865430"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196</w:t>
            </w:r>
            <w:r w:rsidRPr="00DC3DDD">
              <w:rPr>
                <w:rFonts w:ascii="Garamond" w:hAnsi="Garamond" w:cs="Arial"/>
                <w:sz w:val="20"/>
                <w:szCs w:val="20"/>
              </w:rPr>
              <w:t>-2020</w:t>
            </w:r>
          </w:p>
          <w:p w14:paraId="135881CB" w14:textId="77777777" w:rsidR="0077032A" w:rsidRPr="00DC3DDD" w:rsidRDefault="0077032A" w:rsidP="0077032A">
            <w:pPr>
              <w:tabs>
                <w:tab w:val="left" w:pos="38"/>
              </w:tabs>
              <w:jc w:val="both"/>
              <w:rPr>
                <w:rFonts w:ascii="Garamond" w:hAnsi="Garamond" w:cs="Arial"/>
                <w:sz w:val="20"/>
                <w:szCs w:val="20"/>
              </w:rPr>
            </w:pPr>
          </w:p>
          <w:p w14:paraId="4577FFBE" w14:textId="77777777" w:rsidR="0077032A" w:rsidRPr="00DC3DDD" w:rsidRDefault="0077032A" w:rsidP="0077032A">
            <w:pPr>
              <w:tabs>
                <w:tab w:val="left" w:pos="38"/>
              </w:tabs>
              <w:jc w:val="both"/>
              <w:rPr>
                <w:rFonts w:ascii="Garamond" w:hAnsi="Garamond" w:cs="Arial"/>
                <w:sz w:val="20"/>
                <w:szCs w:val="20"/>
              </w:rPr>
            </w:pPr>
          </w:p>
          <w:p w14:paraId="279B024D" w14:textId="77777777" w:rsidR="0077032A" w:rsidRPr="00DC3DDD" w:rsidRDefault="0077032A" w:rsidP="0077032A">
            <w:pPr>
              <w:tabs>
                <w:tab w:val="left" w:pos="38"/>
              </w:tabs>
              <w:jc w:val="both"/>
              <w:rPr>
                <w:rFonts w:ascii="Garamond" w:hAnsi="Garamond" w:cs="Arial"/>
                <w:sz w:val="20"/>
                <w:szCs w:val="20"/>
              </w:rPr>
            </w:pPr>
          </w:p>
          <w:p w14:paraId="00B41B7E" w14:textId="77777777" w:rsidR="0077032A" w:rsidRPr="00DC3DDD" w:rsidRDefault="0077032A" w:rsidP="0077032A">
            <w:pPr>
              <w:tabs>
                <w:tab w:val="left" w:pos="38"/>
              </w:tabs>
              <w:jc w:val="both"/>
              <w:rPr>
                <w:rFonts w:ascii="Garamond" w:hAnsi="Garamond" w:cs="Arial"/>
                <w:sz w:val="20"/>
                <w:szCs w:val="20"/>
              </w:rPr>
            </w:pPr>
          </w:p>
          <w:p w14:paraId="188F6A3F" w14:textId="77777777" w:rsidR="0077032A" w:rsidRPr="00DC3DDD" w:rsidRDefault="0077032A" w:rsidP="0077032A">
            <w:pPr>
              <w:tabs>
                <w:tab w:val="left" w:pos="38"/>
              </w:tabs>
              <w:jc w:val="both"/>
              <w:rPr>
                <w:rFonts w:ascii="Garamond" w:hAnsi="Garamond" w:cs="Arial"/>
                <w:sz w:val="20"/>
                <w:szCs w:val="20"/>
              </w:rPr>
            </w:pPr>
          </w:p>
        </w:tc>
        <w:tc>
          <w:tcPr>
            <w:tcW w:w="1560" w:type="dxa"/>
          </w:tcPr>
          <w:p w14:paraId="60E2868A" w14:textId="77777777" w:rsidR="0077032A" w:rsidRPr="00DC3DDD" w:rsidRDefault="0077032A" w:rsidP="0077032A">
            <w:pPr>
              <w:tabs>
                <w:tab w:val="left" w:pos="38"/>
              </w:tabs>
              <w:jc w:val="both"/>
              <w:rPr>
                <w:rFonts w:ascii="Garamond" w:hAnsi="Garamond" w:cs="Arial"/>
                <w:sz w:val="20"/>
                <w:szCs w:val="20"/>
              </w:rPr>
            </w:pPr>
          </w:p>
          <w:p w14:paraId="6D5042EF" w14:textId="77777777" w:rsidR="0077032A" w:rsidRPr="00DC3DDD" w:rsidRDefault="0077032A" w:rsidP="0077032A">
            <w:pPr>
              <w:tabs>
                <w:tab w:val="left" w:pos="38"/>
              </w:tabs>
              <w:jc w:val="both"/>
              <w:rPr>
                <w:rFonts w:ascii="Garamond" w:hAnsi="Garamond" w:cs="Arial"/>
                <w:sz w:val="20"/>
                <w:szCs w:val="20"/>
              </w:rPr>
            </w:pPr>
            <w:r w:rsidRPr="00DC3DDD">
              <w:rPr>
                <w:rFonts w:ascii="Garamond" w:hAnsi="Garamond" w:cs="Arial"/>
                <w:sz w:val="20"/>
                <w:szCs w:val="20"/>
              </w:rPr>
              <w:t>SELECCIÓN ABREVIADA MENOR CUANTÍA</w:t>
            </w:r>
          </w:p>
        </w:tc>
        <w:tc>
          <w:tcPr>
            <w:tcW w:w="1559" w:type="dxa"/>
          </w:tcPr>
          <w:p w14:paraId="7ACA2C97" w14:textId="77777777" w:rsidR="0077032A" w:rsidRPr="00DC3DDD" w:rsidRDefault="0077032A" w:rsidP="0077032A">
            <w:pPr>
              <w:tabs>
                <w:tab w:val="left" w:pos="38"/>
              </w:tabs>
              <w:jc w:val="both"/>
              <w:rPr>
                <w:rFonts w:ascii="Garamond" w:hAnsi="Garamond" w:cs="Arial"/>
                <w:sz w:val="20"/>
                <w:szCs w:val="20"/>
              </w:rPr>
            </w:pPr>
          </w:p>
        </w:tc>
        <w:tc>
          <w:tcPr>
            <w:tcW w:w="1134" w:type="dxa"/>
          </w:tcPr>
          <w:p w14:paraId="5705AE73" w14:textId="77777777" w:rsidR="0077032A" w:rsidRPr="00DC3DDD" w:rsidRDefault="0077032A" w:rsidP="0077032A">
            <w:pPr>
              <w:tabs>
                <w:tab w:val="left" w:pos="38"/>
              </w:tabs>
              <w:jc w:val="both"/>
              <w:rPr>
                <w:rFonts w:ascii="Garamond" w:hAnsi="Garamond" w:cs="Arial"/>
                <w:sz w:val="20"/>
                <w:szCs w:val="20"/>
              </w:rPr>
            </w:pPr>
          </w:p>
        </w:tc>
      </w:tr>
      <w:tr w:rsidR="0077032A" w:rsidRPr="00CA7682" w14:paraId="5E1701F3" w14:textId="10024A7F" w:rsidTr="0077032A">
        <w:tc>
          <w:tcPr>
            <w:tcW w:w="851" w:type="dxa"/>
          </w:tcPr>
          <w:p w14:paraId="0904518B" w14:textId="77777777" w:rsidR="0077032A" w:rsidRPr="00DC3DDD" w:rsidRDefault="0077032A" w:rsidP="0077032A">
            <w:pPr>
              <w:tabs>
                <w:tab w:val="left" w:pos="38"/>
              </w:tabs>
              <w:jc w:val="both"/>
              <w:rPr>
                <w:rFonts w:ascii="Garamond" w:hAnsi="Garamond" w:cs="Arial"/>
                <w:b/>
                <w:sz w:val="20"/>
                <w:szCs w:val="20"/>
              </w:rPr>
            </w:pPr>
          </w:p>
          <w:p w14:paraId="05B8E46B" w14:textId="77777777" w:rsidR="0077032A" w:rsidRPr="00DC3DDD" w:rsidRDefault="0077032A" w:rsidP="0077032A">
            <w:pPr>
              <w:tabs>
                <w:tab w:val="left" w:pos="38"/>
              </w:tabs>
              <w:jc w:val="both"/>
              <w:rPr>
                <w:rFonts w:ascii="Garamond" w:hAnsi="Garamond" w:cs="Arial"/>
                <w:b/>
                <w:sz w:val="20"/>
                <w:szCs w:val="20"/>
              </w:rPr>
            </w:pPr>
          </w:p>
          <w:p w14:paraId="211F82B6" w14:textId="77777777" w:rsidR="0077032A" w:rsidRPr="00DC3DDD" w:rsidRDefault="0077032A" w:rsidP="0077032A">
            <w:pPr>
              <w:tabs>
                <w:tab w:val="left" w:pos="38"/>
              </w:tabs>
              <w:jc w:val="both"/>
              <w:rPr>
                <w:rFonts w:ascii="Garamond" w:hAnsi="Garamond" w:cs="Arial"/>
                <w:b/>
                <w:sz w:val="20"/>
                <w:szCs w:val="20"/>
              </w:rPr>
            </w:pPr>
          </w:p>
          <w:p w14:paraId="50E64F8A" w14:textId="77777777" w:rsidR="0077032A" w:rsidRPr="00DC3DDD" w:rsidRDefault="0077032A" w:rsidP="0077032A">
            <w:pPr>
              <w:tabs>
                <w:tab w:val="left" w:pos="38"/>
              </w:tabs>
              <w:jc w:val="both"/>
              <w:rPr>
                <w:rFonts w:ascii="Garamond" w:hAnsi="Garamond" w:cs="Arial"/>
                <w:b/>
                <w:sz w:val="20"/>
                <w:szCs w:val="20"/>
              </w:rPr>
            </w:pPr>
          </w:p>
          <w:p w14:paraId="2E864FA7" w14:textId="77777777" w:rsidR="0077032A" w:rsidRPr="00DC3DDD" w:rsidRDefault="0077032A" w:rsidP="0077032A">
            <w:pPr>
              <w:tabs>
                <w:tab w:val="left" w:pos="38"/>
              </w:tabs>
              <w:jc w:val="both"/>
              <w:rPr>
                <w:rFonts w:ascii="Garamond" w:hAnsi="Garamond" w:cs="Arial"/>
                <w:b/>
                <w:sz w:val="20"/>
                <w:szCs w:val="20"/>
              </w:rPr>
            </w:pPr>
          </w:p>
          <w:p w14:paraId="71AA906F" w14:textId="77777777" w:rsidR="0077032A" w:rsidRPr="00DC3DDD" w:rsidRDefault="0077032A" w:rsidP="0077032A">
            <w:pPr>
              <w:tabs>
                <w:tab w:val="left" w:pos="38"/>
              </w:tabs>
              <w:jc w:val="both"/>
              <w:rPr>
                <w:rFonts w:ascii="Garamond" w:hAnsi="Garamond" w:cs="Arial"/>
                <w:b/>
                <w:sz w:val="20"/>
                <w:szCs w:val="20"/>
              </w:rPr>
            </w:pPr>
            <w:r>
              <w:rPr>
                <w:rFonts w:ascii="Garamond" w:hAnsi="Garamond" w:cs="Arial"/>
                <w:b/>
                <w:sz w:val="20"/>
                <w:szCs w:val="20"/>
              </w:rPr>
              <w:t>2022</w:t>
            </w:r>
          </w:p>
        </w:tc>
        <w:tc>
          <w:tcPr>
            <w:tcW w:w="1560" w:type="dxa"/>
          </w:tcPr>
          <w:p w14:paraId="3773D934" w14:textId="77777777" w:rsidR="0077032A" w:rsidRDefault="0077032A" w:rsidP="0077032A">
            <w:pPr>
              <w:tabs>
                <w:tab w:val="left" w:pos="38"/>
              </w:tabs>
              <w:jc w:val="both"/>
              <w:rPr>
                <w:rFonts w:ascii="Garamond" w:hAnsi="Garamond" w:cs="Arial"/>
                <w:sz w:val="20"/>
                <w:szCs w:val="20"/>
              </w:rPr>
            </w:pPr>
          </w:p>
          <w:p w14:paraId="72606280" w14:textId="77777777" w:rsidR="0077032A" w:rsidRDefault="0077032A" w:rsidP="0077032A">
            <w:pPr>
              <w:tabs>
                <w:tab w:val="left" w:pos="38"/>
              </w:tabs>
              <w:jc w:val="both"/>
              <w:rPr>
                <w:rFonts w:ascii="Garamond" w:hAnsi="Garamond" w:cs="Arial"/>
                <w:sz w:val="20"/>
                <w:szCs w:val="20"/>
              </w:rPr>
            </w:pPr>
          </w:p>
          <w:p w14:paraId="76AFB4B2" w14:textId="77777777" w:rsidR="0077032A" w:rsidRDefault="0077032A" w:rsidP="0077032A">
            <w:pPr>
              <w:tabs>
                <w:tab w:val="left" w:pos="38"/>
              </w:tabs>
              <w:jc w:val="both"/>
              <w:rPr>
                <w:rFonts w:ascii="Garamond" w:hAnsi="Garamond" w:cs="Arial"/>
                <w:sz w:val="20"/>
                <w:szCs w:val="20"/>
              </w:rPr>
            </w:pPr>
          </w:p>
          <w:p w14:paraId="4DB3F598" w14:textId="77777777" w:rsidR="0077032A" w:rsidRDefault="0077032A" w:rsidP="0077032A">
            <w:pPr>
              <w:tabs>
                <w:tab w:val="left" w:pos="38"/>
              </w:tabs>
              <w:jc w:val="both"/>
              <w:rPr>
                <w:rFonts w:ascii="Garamond" w:hAnsi="Garamond" w:cs="Arial"/>
                <w:sz w:val="20"/>
                <w:szCs w:val="20"/>
              </w:rPr>
            </w:pPr>
          </w:p>
          <w:p w14:paraId="0BE19579" w14:textId="77777777" w:rsidR="0077032A" w:rsidRDefault="0077032A" w:rsidP="0077032A">
            <w:pPr>
              <w:tabs>
                <w:tab w:val="left" w:pos="38"/>
              </w:tabs>
              <w:jc w:val="both"/>
              <w:rPr>
                <w:rFonts w:ascii="Garamond" w:hAnsi="Garamond" w:cs="Arial"/>
                <w:sz w:val="20"/>
                <w:szCs w:val="20"/>
              </w:rPr>
            </w:pPr>
          </w:p>
          <w:p w14:paraId="683000D8"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$ 28.000.000,00</w:t>
            </w:r>
          </w:p>
        </w:tc>
        <w:tc>
          <w:tcPr>
            <w:tcW w:w="2551" w:type="dxa"/>
          </w:tcPr>
          <w:p w14:paraId="149D6006" w14:textId="77777777" w:rsidR="0077032A" w:rsidRPr="00DC3DDD" w:rsidRDefault="0077032A" w:rsidP="0077032A">
            <w:pPr>
              <w:tabs>
                <w:tab w:val="left" w:pos="38"/>
              </w:tabs>
              <w:jc w:val="both"/>
              <w:rPr>
                <w:rFonts w:ascii="Garamond" w:hAnsi="Garamond" w:cs="Arial"/>
                <w:sz w:val="20"/>
                <w:szCs w:val="20"/>
              </w:rPr>
            </w:pPr>
            <w:r w:rsidRPr="00DC3DDD">
              <w:rPr>
                <w:rFonts w:ascii="Garamond" w:hAnsi="Garamond" w:cs="Arial"/>
                <w:sz w:val="20"/>
                <w:szCs w:val="20"/>
              </w:rPr>
              <w:t>CONTRATAR BAJO LA MODALIDAD DE PRECIOS UNITARIOS FIJOS A MONTO AGOTABLE Y SIN FÓRMULA DE REAJUSTE, LAS OBRAS REQUERIDAS PARA EL MANTENIMIENTO DEL TEATRO VILLA MAYOR UBICADO EN LA LOCALIDAD ANTONIO NARIÑO</w:t>
            </w:r>
          </w:p>
        </w:tc>
        <w:tc>
          <w:tcPr>
            <w:tcW w:w="1701" w:type="dxa"/>
          </w:tcPr>
          <w:p w14:paraId="74797BD3" w14:textId="77777777" w:rsidR="0077032A" w:rsidRPr="00DC3DDD" w:rsidRDefault="0077032A" w:rsidP="0077032A">
            <w:pPr>
              <w:tabs>
                <w:tab w:val="left" w:pos="38"/>
              </w:tabs>
              <w:jc w:val="both"/>
              <w:rPr>
                <w:rFonts w:ascii="Garamond" w:hAnsi="Garamond" w:cs="Arial"/>
                <w:sz w:val="20"/>
                <w:szCs w:val="20"/>
              </w:rPr>
            </w:pPr>
          </w:p>
          <w:p w14:paraId="73904FF3" w14:textId="77777777" w:rsidR="0077032A" w:rsidRPr="00DC3DDD" w:rsidRDefault="0077032A" w:rsidP="0077032A">
            <w:pPr>
              <w:tabs>
                <w:tab w:val="left" w:pos="38"/>
              </w:tabs>
              <w:jc w:val="both"/>
              <w:rPr>
                <w:rFonts w:ascii="Garamond" w:hAnsi="Garamond" w:cs="Arial"/>
                <w:sz w:val="20"/>
                <w:szCs w:val="20"/>
              </w:rPr>
            </w:pPr>
          </w:p>
          <w:p w14:paraId="025818B0" w14:textId="77777777" w:rsidR="0077032A" w:rsidRPr="00DC3DDD" w:rsidRDefault="0077032A" w:rsidP="0077032A">
            <w:pPr>
              <w:tabs>
                <w:tab w:val="left" w:pos="38"/>
              </w:tabs>
              <w:jc w:val="both"/>
              <w:rPr>
                <w:rFonts w:ascii="Garamond" w:hAnsi="Garamond" w:cs="Arial"/>
                <w:sz w:val="20"/>
                <w:szCs w:val="20"/>
              </w:rPr>
            </w:pPr>
          </w:p>
          <w:p w14:paraId="08B7D1B6" w14:textId="77777777" w:rsidR="0077032A" w:rsidRPr="00DC3DDD" w:rsidRDefault="0077032A" w:rsidP="0077032A">
            <w:pPr>
              <w:tabs>
                <w:tab w:val="left" w:pos="38"/>
              </w:tabs>
              <w:jc w:val="both"/>
              <w:rPr>
                <w:rFonts w:ascii="Garamond" w:hAnsi="Garamond" w:cs="Arial"/>
                <w:sz w:val="20"/>
                <w:szCs w:val="20"/>
              </w:rPr>
            </w:pPr>
          </w:p>
          <w:p w14:paraId="0EF4E852" w14:textId="77777777" w:rsidR="0077032A" w:rsidRPr="00DC3DDD" w:rsidRDefault="0077032A" w:rsidP="0077032A">
            <w:pPr>
              <w:tabs>
                <w:tab w:val="left" w:pos="38"/>
              </w:tabs>
              <w:jc w:val="both"/>
              <w:rPr>
                <w:rFonts w:ascii="Garamond" w:hAnsi="Garamond" w:cs="Arial"/>
                <w:sz w:val="20"/>
                <w:szCs w:val="20"/>
              </w:rPr>
            </w:pPr>
          </w:p>
          <w:p w14:paraId="64815AE8"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136-2022</w:t>
            </w:r>
          </w:p>
        </w:tc>
        <w:tc>
          <w:tcPr>
            <w:tcW w:w="1560" w:type="dxa"/>
          </w:tcPr>
          <w:p w14:paraId="716A8FB5" w14:textId="77777777" w:rsidR="0077032A" w:rsidRDefault="0077032A" w:rsidP="0077032A">
            <w:pPr>
              <w:tabs>
                <w:tab w:val="left" w:pos="38"/>
              </w:tabs>
              <w:jc w:val="both"/>
              <w:rPr>
                <w:rFonts w:ascii="Garamond" w:hAnsi="Garamond" w:cs="Arial"/>
                <w:sz w:val="20"/>
                <w:szCs w:val="20"/>
              </w:rPr>
            </w:pPr>
          </w:p>
          <w:p w14:paraId="201818A7" w14:textId="77777777" w:rsidR="0077032A" w:rsidRDefault="0077032A" w:rsidP="0077032A">
            <w:pPr>
              <w:tabs>
                <w:tab w:val="left" w:pos="38"/>
              </w:tabs>
              <w:jc w:val="both"/>
              <w:rPr>
                <w:rFonts w:ascii="Garamond" w:hAnsi="Garamond" w:cs="Arial"/>
                <w:sz w:val="20"/>
                <w:szCs w:val="20"/>
              </w:rPr>
            </w:pPr>
          </w:p>
          <w:p w14:paraId="577688EC" w14:textId="77777777" w:rsidR="0077032A" w:rsidRDefault="0077032A" w:rsidP="0077032A">
            <w:pPr>
              <w:tabs>
                <w:tab w:val="left" w:pos="38"/>
              </w:tabs>
              <w:jc w:val="both"/>
              <w:rPr>
                <w:rFonts w:ascii="Garamond" w:hAnsi="Garamond" w:cs="Arial"/>
                <w:sz w:val="20"/>
                <w:szCs w:val="20"/>
              </w:rPr>
            </w:pPr>
          </w:p>
          <w:p w14:paraId="796F9FCC" w14:textId="77777777" w:rsidR="0077032A" w:rsidRDefault="0077032A" w:rsidP="0077032A">
            <w:pPr>
              <w:tabs>
                <w:tab w:val="left" w:pos="38"/>
              </w:tabs>
              <w:jc w:val="both"/>
              <w:rPr>
                <w:rFonts w:ascii="Garamond" w:hAnsi="Garamond" w:cs="Arial"/>
                <w:sz w:val="20"/>
                <w:szCs w:val="20"/>
              </w:rPr>
            </w:pPr>
          </w:p>
          <w:p w14:paraId="4A523BB0" w14:textId="77777777" w:rsidR="0077032A" w:rsidRDefault="0077032A" w:rsidP="0077032A">
            <w:pPr>
              <w:tabs>
                <w:tab w:val="left" w:pos="38"/>
              </w:tabs>
              <w:jc w:val="both"/>
              <w:rPr>
                <w:rFonts w:ascii="Garamond" w:hAnsi="Garamond" w:cs="Arial"/>
                <w:sz w:val="20"/>
                <w:szCs w:val="20"/>
              </w:rPr>
            </w:pPr>
          </w:p>
          <w:p w14:paraId="4FC89C0A"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MÍNIMA CUANTÍA</w:t>
            </w:r>
          </w:p>
        </w:tc>
        <w:tc>
          <w:tcPr>
            <w:tcW w:w="1559" w:type="dxa"/>
          </w:tcPr>
          <w:p w14:paraId="3C61E556" w14:textId="77777777" w:rsidR="0077032A" w:rsidRDefault="0077032A" w:rsidP="0077032A">
            <w:pPr>
              <w:tabs>
                <w:tab w:val="left" w:pos="38"/>
              </w:tabs>
              <w:jc w:val="both"/>
              <w:rPr>
                <w:rFonts w:ascii="Garamond" w:hAnsi="Garamond" w:cs="Arial"/>
                <w:sz w:val="20"/>
                <w:szCs w:val="20"/>
              </w:rPr>
            </w:pPr>
          </w:p>
        </w:tc>
        <w:tc>
          <w:tcPr>
            <w:tcW w:w="1134" w:type="dxa"/>
          </w:tcPr>
          <w:p w14:paraId="42F0A003" w14:textId="77777777" w:rsidR="0077032A" w:rsidRDefault="0077032A" w:rsidP="0077032A">
            <w:pPr>
              <w:tabs>
                <w:tab w:val="left" w:pos="38"/>
              </w:tabs>
              <w:jc w:val="both"/>
              <w:rPr>
                <w:rFonts w:ascii="Garamond" w:hAnsi="Garamond" w:cs="Arial"/>
                <w:sz w:val="20"/>
                <w:szCs w:val="20"/>
              </w:rPr>
            </w:pPr>
          </w:p>
        </w:tc>
      </w:tr>
      <w:tr w:rsidR="0077032A" w:rsidRPr="00CA7682" w14:paraId="3AD2D503" w14:textId="24375D92" w:rsidTr="0077032A">
        <w:tc>
          <w:tcPr>
            <w:tcW w:w="851" w:type="dxa"/>
          </w:tcPr>
          <w:p w14:paraId="33B2AAB5" w14:textId="77777777" w:rsidR="0077032A" w:rsidRPr="00DC3DDD" w:rsidRDefault="0077032A" w:rsidP="0077032A">
            <w:pPr>
              <w:tabs>
                <w:tab w:val="left" w:pos="38"/>
              </w:tabs>
              <w:jc w:val="both"/>
              <w:rPr>
                <w:rFonts w:ascii="Garamond" w:hAnsi="Garamond" w:cs="Arial"/>
                <w:b/>
                <w:sz w:val="20"/>
                <w:szCs w:val="20"/>
              </w:rPr>
            </w:pPr>
          </w:p>
          <w:p w14:paraId="684BBD04" w14:textId="77777777" w:rsidR="0077032A" w:rsidRPr="00DC3DDD" w:rsidRDefault="0077032A" w:rsidP="0077032A">
            <w:pPr>
              <w:tabs>
                <w:tab w:val="left" w:pos="38"/>
              </w:tabs>
              <w:jc w:val="both"/>
              <w:rPr>
                <w:rFonts w:ascii="Garamond" w:hAnsi="Garamond" w:cs="Arial"/>
                <w:b/>
                <w:sz w:val="20"/>
                <w:szCs w:val="20"/>
              </w:rPr>
            </w:pPr>
          </w:p>
          <w:p w14:paraId="3C9F256F" w14:textId="77777777" w:rsidR="0077032A" w:rsidRPr="00DC3DDD" w:rsidRDefault="0077032A" w:rsidP="0077032A">
            <w:pPr>
              <w:tabs>
                <w:tab w:val="left" w:pos="38"/>
              </w:tabs>
              <w:jc w:val="both"/>
              <w:rPr>
                <w:rFonts w:ascii="Garamond" w:hAnsi="Garamond" w:cs="Arial"/>
                <w:b/>
                <w:sz w:val="20"/>
                <w:szCs w:val="20"/>
              </w:rPr>
            </w:pPr>
          </w:p>
          <w:p w14:paraId="406BEB24" w14:textId="77777777" w:rsidR="0077032A" w:rsidRPr="00DC3DDD" w:rsidRDefault="0077032A" w:rsidP="0077032A">
            <w:pPr>
              <w:tabs>
                <w:tab w:val="left" w:pos="38"/>
              </w:tabs>
              <w:jc w:val="both"/>
              <w:rPr>
                <w:rFonts w:ascii="Garamond" w:hAnsi="Garamond" w:cs="Arial"/>
                <w:b/>
                <w:sz w:val="20"/>
                <w:szCs w:val="20"/>
              </w:rPr>
            </w:pPr>
          </w:p>
          <w:p w14:paraId="0728996D" w14:textId="77777777" w:rsidR="0077032A" w:rsidRPr="00DC3DDD" w:rsidRDefault="0077032A" w:rsidP="0077032A">
            <w:pPr>
              <w:tabs>
                <w:tab w:val="left" w:pos="38"/>
              </w:tabs>
              <w:jc w:val="both"/>
              <w:rPr>
                <w:rFonts w:ascii="Garamond" w:hAnsi="Garamond" w:cs="Arial"/>
                <w:b/>
                <w:sz w:val="20"/>
                <w:szCs w:val="20"/>
              </w:rPr>
            </w:pPr>
          </w:p>
          <w:p w14:paraId="3B9299CE" w14:textId="77777777" w:rsidR="0077032A" w:rsidRPr="00DC3DDD" w:rsidRDefault="0077032A" w:rsidP="0077032A">
            <w:pPr>
              <w:tabs>
                <w:tab w:val="left" w:pos="38"/>
              </w:tabs>
              <w:jc w:val="both"/>
              <w:rPr>
                <w:rFonts w:ascii="Garamond" w:hAnsi="Garamond" w:cs="Arial"/>
                <w:b/>
                <w:sz w:val="20"/>
                <w:szCs w:val="20"/>
              </w:rPr>
            </w:pPr>
            <w:r>
              <w:rPr>
                <w:rFonts w:ascii="Garamond" w:hAnsi="Garamond" w:cs="Arial"/>
                <w:b/>
                <w:sz w:val="20"/>
                <w:szCs w:val="20"/>
              </w:rPr>
              <w:t>2022</w:t>
            </w:r>
          </w:p>
        </w:tc>
        <w:tc>
          <w:tcPr>
            <w:tcW w:w="1560" w:type="dxa"/>
          </w:tcPr>
          <w:p w14:paraId="022337F3" w14:textId="77777777" w:rsidR="0077032A" w:rsidRDefault="0077032A" w:rsidP="0077032A">
            <w:pPr>
              <w:tabs>
                <w:tab w:val="left" w:pos="38"/>
              </w:tabs>
              <w:jc w:val="both"/>
              <w:rPr>
                <w:rFonts w:ascii="Garamond" w:hAnsi="Garamond" w:cs="Arial"/>
                <w:sz w:val="20"/>
                <w:szCs w:val="20"/>
              </w:rPr>
            </w:pPr>
          </w:p>
          <w:p w14:paraId="1C261D07" w14:textId="77777777" w:rsidR="0077032A" w:rsidRDefault="0077032A" w:rsidP="0077032A">
            <w:pPr>
              <w:tabs>
                <w:tab w:val="left" w:pos="38"/>
              </w:tabs>
              <w:jc w:val="both"/>
              <w:rPr>
                <w:rFonts w:ascii="Garamond" w:hAnsi="Garamond" w:cs="Arial"/>
                <w:sz w:val="20"/>
                <w:szCs w:val="20"/>
              </w:rPr>
            </w:pPr>
          </w:p>
          <w:p w14:paraId="7D344E6A" w14:textId="77777777" w:rsidR="0077032A" w:rsidRDefault="0077032A" w:rsidP="0077032A">
            <w:pPr>
              <w:tabs>
                <w:tab w:val="left" w:pos="38"/>
              </w:tabs>
              <w:jc w:val="both"/>
              <w:rPr>
                <w:rFonts w:ascii="Garamond" w:hAnsi="Garamond" w:cs="Arial"/>
                <w:sz w:val="20"/>
                <w:szCs w:val="20"/>
              </w:rPr>
            </w:pPr>
          </w:p>
          <w:p w14:paraId="5AB1242E" w14:textId="77777777" w:rsidR="0077032A" w:rsidRDefault="0077032A" w:rsidP="0077032A">
            <w:pPr>
              <w:tabs>
                <w:tab w:val="left" w:pos="38"/>
              </w:tabs>
              <w:jc w:val="both"/>
              <w:rPr>
                <w:rFonts w:ascii="Garamond" w:hAnsi="Garamond" w:cs="Arial"/>
                <w:sz w:val="20"/>
                <w:szCs w:val="20"/>
              </w:rPr>
            </w:pPr>
          </w:p>
          <w:p w14:paraId="58C5D34C" w14:textId="77777777" w:rsidR="0077032A" w:rsidRDefault="0077032A" w:rsidP="0077032A">
            <w:pPr>
              <w:tabs>
                <w:tab w:val="left" w:pos="38"/>
              </w:tabs>
              <w:jc w:val="both"/>
              <w:rPr>
                <w:rFonts w:ascii="Garamond" w:hAnsi="Garamond" w:cs="Arial"/>
                <w:sz w:val="20"/>
                <w:szCs w:val="20"/>
              </w:rPr>
            </w:pPr>
          </w:p>
          <w:p w14:paraId="3847FB9A" w14:textId="77777777" w:rsidR="0077032A" w:rsidRDefault="0077032A" w:rsidP="0077032A">
            <w:pPr>
              <w:tabs>
                <w:tab w:val="left" w:pos="38"/>
              </w:tabs>
              <w:jc w:val="both"/>
              <w:rPr>
                <w:rFonts w:ascii="Garamond" w:hAnsi="Garamond" w:cs="Arial"/>
                <w:sz w:val="20"/>
                <w:szCs w:val="20"/>
              </w:rPr>
            </w:pPr>
            <w:r>
              <w:rPr>
                <w:rFonts w:ascii="Garamond" w:hAnsi="Garamond" w:cs="Arial"/>
                <w:sz w:val="20"/>
                <w:szCs w:val="20"/>
              </w:rPr>
              <w:t xml:space="preserve">$ </w:t>
            </w:r>
            <w:r w:rsidRPr="009D4FF0">
              <w:rPr>
                <w:rFonts w:ascii="Garamond" w:hAnsi="Garamond" w:cs="Arial"/>
                <w:sz w:val="20"/>
                <w:szCs w:val="20"/>
              </w:rPr>
              <w:t>161</w:t>
            </w:r>
            <w:r>
              <w:rPr>
                <w:rFonts w:ascii="Garamond" w:hAnsi="Garamond" w:cs="Arial"/>
                <w:sz w:val="20"/>
                <w:szCs w:val="20"/>
              </w:rPr>
              <w:t>.</w:t>
            </w:r>
            <w:r w:rsidRPr="009D4FF0">
              <w:rPr>
                <w:rFonts w:ascii="Garamond" w:hAnsi="Garamond" w:cs="Arial"/>
                <w:sz w:val="20"/>
                <w:szCs w:val="20"/>
              </w:rPr>
              <w:t>380</w:t>
            </w:r>
            <w:r>
              <w:rPr>
                <w:rFonts w:ascii="Garamond" w:hAnsi="Garamond" w:cs="Arial"/>
                <w:sz w:val="20"/>
                <w:szCs w:val="20"/>
              </w:rPr>
              <w:t>.</w:t>
            </w:r>
            <w:r w:rsidRPr="009D4FF0">
              <w:rPr>
                <w:rFonts w:ascii="Garamond" w:hAnsi="Garamond" w:cs="Arial"/>
                <w:sz w:val="20"/>
                <w:szCs w:val="20"/>
              </w:rPr>
              <w:t>000</w:t>
            </w:r>
          </w:p>
        </w:tc>
        <w:tc>
          <w:tcPr>
            <w:tcW w:w="2551" w:type="dxa"/>
          </w:tcPr>
          <w:p w14:paraId="3C8C197D" w14:textId="77777777" w:rsidR="0077032A" w:rsidRPr="00DC3DDD" w:rsidRDefault="0077032A" w:rsidP="0077032A">
            <w:pPr>
              <w:tabs>
                <w:tab w:val="left" w:pos="38"/>
              </w:tabs>
              <w:jc w:val="both"/>
              <w:rPr>
                <w:rFonts w:ascii="Garamond" w:hAnsi="Garamond" w:cs="Arial"/>
                <w:sz w:val="20"/>
                <w:szCs w:val="20"/>
              </w:rPr>
            </w:pPr>
            <w:r w:rsidRPr="009D4FF0">
              <w:rPr>
                <w:rFonts w:ascii="Garamond" w:hAnsi="Garamond" w:cs="Arial"/>
                <w:sz w:val="20"/>
                <w:szCs w:val="20"/>
              </w:rPr>
              <w:t>CONTRATAR BAJO LA MODALIDAD DE PRECIOS UNITARIOS FIJOS A MONTO AGOTABLE Y SIN FÓRMULA DE REAJUSTE, LAS OBRAS DE MANTENIMIENTO Y CONSERVACIÓN DE SALONES COMUNALES UBICADOS EN LA LOCALIDAD ANTONIO NARIÑO</w:t>
            </w:r>
          </w:p>
        </w:tc>
        <w:tc>
          <w:tcPr>
            <w:tcW w:w="1701" w:type="dxa"/>
          </w:tcPr>
          <w:p w14:paraId="65BAA261" w14:textId="77777777" w:rsidR="0077032A" w:rsidRPr="00DC3DDD" w:rsidRDefault="0077032A" w:rsidP="0077032A">
            <w:pPr>
              <w:tabs>
                <w:tab w:val="left" w:pos="38"/>
              </w:tabs>
              <w:jc w:val="both"/>
              <w:rPr>
                <w:rFonts w:ascii="Garamond" w:hAnsi="Garamond" w:cs="Arial"/>
                <w:sz w:val="20"/>
                <w:szCs w:val="20"/>
              </w:rPr>
            </w:pPr>
          </w:p>
          <w:p w14:paraId="43F45880" w14:textId="77777777" w:rsidR="0077032A" w:rsidRPr="00DC3DDD" w:rsidRDefault="0077032A" w:rsidP="0077032A">
            <w:pPr>
              <w:tabs>
                <w:tab w:val="left" w:pos="38"/>
              </w:tabs>
              <w:jc w:val="both"/>
              <w:rPr>
                <w:rFonts w:ascii="Garamond" w:hAnsi="Garamond" w:cs="Arial"/>
                <w:sz w:val="20"/>
                <w:szCs w:val="20"/>
              </w:rPr>
            </w:pPr>
          </w:p>
          <w:p w14:paraId="0FF40A9C" w14:textId="77777777" w:rsidR="0077032A" w:rsidRPr="00DC3DDD" w:rsidRDefault="0077032A" w:rsidP="0077032A">
            <w:pPr>
              <w:tabs>
                <w:tab w:val="left" w:pos="38"/>
              </w:tabs>
              <w:jc w:val="both"/>
              <w:rPr>
                <w:rFonts w:ascii="Garamond" w:hAnsi="Garamond" w:cs="Arial"/>
                <w:sz w:val="20"/>
                <w:szCs w:val="20"/>
              </w:rPr>
            </w:pPr>
          </w:p>
          <w:p w14:paraId="2047A990" w14:textId="77777777" w:rsidR="0077032A" w:rsidRPr="00DC3DDD" w:rsidRDefault="0077032A" w:rsidP="0077032A">
            <w:pPr>
              <w:tabs>
                <w:tab w:val="left" w:pos="38"/>
              </w:tabs>
              <w:jc w:val="both"/>
              <w:rPr>
                <w:rFonts w:ascii="Garamond" w:hAnsi="Garamond" w:cs="Arial"/>
                <w:sz w:val="20"/>
                <w:szCs w:val="20"/>
              </w:rPr>
            </w:pPr>
          </w:p>
          <w:p w14:paraId="7840B733" w14:textId="77777777" w:rsidR="0077032A" w:rsidRPr="00DC3DDD" w:rsidRDefault="0077032A" w:rsidP="0077032A">
            <w:pPr>
              <w:tabs>
                <w:tab w:val="left" w:pos="38"/>
              </w:tabs>
              <w:jc w:val="both"/>
              <w:rPr>
                <w:rFonts w:ascii="Garamond" w:hAnsi="Garamond" w:cs="Arial"/>
                <w:sz w:val="20"/>
                <w:szCs w:val="20"/>
              </w:rPr>
            </w:pPr>
          </w:p>
          <w:p w14:paraId="65C12114"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139-2022</w:t>
            </w:r>
          </w:p>
        </w:tc>
        <w:tc>
          <w:tcPr>
            <w:tcW w:w="1560" w:type="dxa"/>
          </w:tcPr>
          <w:p w14:paraId="5E416584" w14:textId="77777777" w:rsidR="0077032A" w:rsidRPr="00DC3DDD" w:rsidRDefault="0077032A" w:rsidP="0077032A">
            <w:pPr>
              <w:tabs>
                <w:tab w:val="left" w:pos="38"/>
              </w:tabs>
              <w:jc w:val="both"/>
              <w:rPr>
                <w:rFonts w:ascii="Garamond" w:hAnsi="Garamond" w:cs="Arial"/>
                <w:sz w:val="20"/>
                <w:szCs w:val="20"/>
              </w:rPr>
            </w:pPr>
          </w:p>
          <w:p w14:paraId="0DE05664" w14:textId="77777777" w:rsidR="0077032A" w:rsidRDefault="0077032A" w:rsidP="0077032A">
            <w:pPr>
              <w:tabs>
                <w:tab w:val="left" w:pos="38"/>
              </w:tabs>
              <w:jc w:val="both"/>
              <w:rPr>
                <w:rFonts w:ascii="Garamond" w:hAnsi="Garamond" w:cs="Arial"/>
                <w:sz w:val="20"/>
                <w:szCs w:val="20"/>
              </w:rPr>
            </w:pPr>
          </w:p>
          <w:p w14:paraId="725F0135" w14:textId="77777777" w:rsidR="0077032A" w:rsidRDefault="0077032A" w:rsidP="0077032A">
            <w:pPr>
              <w:tabs>
                <w:tab w:val="left" w:pos="38"/>
              </w:tabs>
              <w:jc w:val="both"/>
              <w:rPr>
                <w:rFonts w:ascii="Garamond" w:hAnsi="Garamond" w:cs="Arial"/>
                <w:sz w:val="20"/>
                <w:szCs w:val="20"/>
              </w:rPr>
            </w:pPr>
          </w:p>
          <w:p w14:paraId="41BE4803" w14:textId="77777777" w:rsidR="0077032A" w:rsidRDefault="0077032A" w:rsidP="0077032A">
            <w:pPr>
              <w:tabs>
                <w:tab w:val="left" w:pos="38"/>
              </w:tabs>
              <w:jc w:val="both"/>
              <w:rPr>
                <w:rFonts w:ascii="Garamond" w:hAnsi="Garamond" w:cs="Arial"/>
                <w:sz w:val="20"/>
                <w:szCs w:val="20"/>
              </w:rPr>
            </w:pPr>
          </w:p>
          <w:p w14:paraId="3BDD7B60" w14:textId="77777777" w:rsidR="0077032A" w:rsidRDefault="0077032A" w:rsidP="0077032A">
            <w:pPr>
              <w:tabs>
                <w:tab w:val="left" w:pos="38"/>
              </w:tabs>
              <w:jc w:val="both"/>
              <w:rPr>
                <w:rFonts w:ascii="Garamond" w:hAnsi="Garamond" w:cs="Arial"/>
                <w:sz w:val="20"/>
                <w:szCs w:val="20"/>
              </w:rPr>
            </w:pPr>
            <w:r w:rsidRPr="00DC3DDD">
              <w:rPr>
                <w:rFonts w:ascii="Garamond" w:hAnsi="Garamond" w:cs="Arial"/>
                <w:sz w:val="20"/>
                <w:szCs w:val="20"/>
              </w:rPr>
              <w:t>SELECCIÓN ABREVIADA MENOR CUANTÍA</w:t>
            </w:r>
          </w:p>
        </w:tc>
        <w:tc>
          <w:tcPr>
            <w:tcW w:w="1559" w:type="dxa"/>
          </w:tcPr>
          <w:p w14:paraId="501A8527" w14:textId="77777777" w:rsidR="0077032A" w:rsidRPr="00DC3DDD" w:rsidRDefault="0077032A" w:rsidP="0077032A">
            <w:pPr>
              <w:tabs>
                <w:tab w:val="left" w:pos="38"/>
              </w:tabs>
              <w:jc w:val="both"/>
              <w:rPr>
                <w:rFonts w:ascii="Garamond" w:hAnsi="Garamond" w:cs="Arial"/>
                <w:sz w:val="20"/>
                <w:szCs w:val="20"/>
              </w:rPr>
            </w:pPr>
          </w:p>
        </w:tc>
        <w:tc>
          <w:tcPr>
            <w:tcW w:w="1134" w:type="dxa"/>
          </w:tcPr>
          <w:p w14:paraId="7B0D72A4" w14:textId="77777777" w:rsidR="0077032A" w:rsidRPr="00DC3DDD" w:rsidRDefault="0077032A" w:rsidP="0077032A">
            <w:pPr>
              <w:tabs>
                <w:tab w:val="left" w:pos="38"/>
              </w:tabs>
              <w:jc w:val="both"/>
              <w:rPr>
                <w:rFonts w:ascii="Garamond" w:hAnsi="Garamond" w:cs="Arial"/>
                <w:sz w:val="20"/>
                <w:szCs w:val="20"/>
              </w:rPr>
            </w:pPr>
          </w:p>
        </w:tc>
      </w:tr>
      <w:tr w:rsidR="0077032A" w:rsidRPr="00CA7682" w14:paraId="16ED50B8" w14:textId="4DF3FE28" w:rsidTr="0077032A">
        <w:tc>
          <w:tcPr>
            <w:tcW w:w="851" w:type="dxa"/>
          </w:tcPr>
          <w:p w14:paraId="4542A457" w14:textId="77777777" w:rsidR="0077032A" w:rsidRPr="00DC3DDD" w:rsidRDefault="0077032A" w:rsidP="0077032A">
            <w:pPr>
              <w:tabs>
                <w:tab w:val="left" w:pos="38"/>
              </w:tabs>
              <w:jc w:val="both"/>
              <w:rPr>
                <w:rFonts w:ascii="Garamond" w:hAnsi="Garamond" w:cs="Arial"/>
                <w:b/>
                <w:sz w:val="20"/>
                <w:szCs w:val="20"/>
              </w:rPr>
            </w:pPr>
            <w:r>
              <w:rPr>
                <w:rFonts w:ascii="Garamond" w:hAnsi="Garamond" w:cs="Arial"/>
                <w:b/>
                <w:sz w:val="20"/>
                <w:szCs w:val="20"/>
              </w:rPr>
              <w:lastRenderedPageBreak/>
              <w:t>2022</w:t>
            </w:r>
          </w:p>
        </w:tc>
        <w:tc>
          <w:tcPr>
            <w:tcW w:w="1560" w:type="dxa"/>
          </w:tcPr>
          <w:p w14:paraId="28A765B0"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 xml:space="preserve">$ </w:t>
            </w:r>
            <w:r w:rsidRPr="009D4FF0">
              <w:rPr>
                <w:rFonts w:ascii="Garamond" w:hAnsi="Garamond" w:cs="Arial"/>
                <w:sz w:val="20"/>
                <w:szCs w:val="20"/>
              </w:rPr>
              <w:t>211</w:t>
            </w:r>
            <w:r>
              <w:rPr>
                <w:rFonts w:ascii="Garamond" w:hAnsi="Garamond" w:cs="Arial"/>
                <w:sz w:val="20"/>
                <w:szCs w:val="20"/>
              </w:rPr>
              <w:t>.</w:t>
            </w:r>
            <w:r w:rsidRPr="009D4FF0">
              <w:rPr>
                <w:rFonts w:ascii="Garamond" w:hAnsi="Garamond" w:cs="Arial"/>
                <w:sz w:val="20"/>
                <w:szCs w:val="20"/>
              </w:rPr>
              <w:t>158</w:t>
            </w:r>
            <w:r>
              <w:rPr>
                <w:rFonts w:ascii="Garamond" w:hAnsi="Garamond" w:cs="Arial"/>
                <w:sz w:val="20"/>
                <w:szCs w:val="20"/>
              </w:rPr>
              <w:t>.</w:t>
            </w:r>
            <w:r w:rsidRPr="009D4FF0">
              <w:rPr>
                <w:rFonts w:ascii="Garamond" w:hAnsi="Garamond" w:cs="Arial"/>
                <w:sz w:val="20"/>
                <w:szCs w:val="20"/>
              </w:rPr>
              <w:t>006</w:t>
            </w:r>
          </w:p>
        </w:tc>
        <w:tc>
          <w:tcPr>
            <w:tcW w:w="2551" w:type="dxa"/>
          </w:tcPr>
          <w:p w14:paraId="38F4E0BD" w14:textId="77777777" w:rsidR="0077032A" w:rsidRPr="00DC3DDD" w:rsidRDefault="0077032A" w:rsidP="0077032A">
            <w:pPr>
              <w:tabs>
                <w:tab w:val="left" w:pos="38"/>
              </w:tabs>
              <w:jc w:val="both"/>
              <w:rPr>
                <w:rFonts w:ascii="Garamond" w:hAnsi="Garamond" w:cs="Arial"/>
                <w:sz w:val="20"/>
                <w:szCs w:val="20"/>
              </w:rPr>
            </w:pPr>
            <w:r w:rsidRPr="009D4FF0">
              <w:rPr>
                <w:rFonts w:ascii="Garamond" w:hAnsi="Garamond" w:cs="Arial"/>
                <w:sz w:val="20"/>
                <w:szCs w:val="20"/>
              </w:rPr>
              <w:t>CONTRATAR BAJO LA MODALIDAD DE PRECIOS UNITARIOS FIJOS A MONTO AGOTABLE, LAS OBRAS DE MANTENIMIENTO Y ADECUACION DE LAS ZONAS LOCATIVAS Y SALA DE LACTANCIA DEL FONDO DE DESARROLLO LOCAL DE ANTONIO NARIÑO.</w:t>
            </w:r>
          </w:p>
        </w:tc>
        <w:tc>
          <w:tcPr>
            <w:tcW w:w="1701" w:type="dxa"/>
          </w:tcPr>
          <w:p w14:paraId="255E774C"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268-2022</w:t>
            </w:r>
          </w:p>
        </w:tc>
        <w:tc>
          <w:tcPr>
            <w:tcW w:w="1560" w:type="dxa"/>
          </w:tcPr>
          <w:p w14:paraId="66744E50" w14:textId="77777777" w:rsidR="0077032A" w:rsidRPr="00DC3DDD" w:rsidRDefault="0077032A" w:rsidP="0077032A">
            <w:pPr>
              <w:tabs>
                <w:tab w:val="left" w:pos="38"/>
              </w:tabs>
              <w:jc w:val="both"/>
              <w:rPr>
                <w:rFonts w:ascii="Garamond" w:hAnsi="Garamond" w:cs="Arial"/>
                <w:sz w:val="20"/>
                <w:szCs w:val="20"/>
              </w:rPr>
            </w:pPr>
            <w:r w:rsidRPr="00DC3DDD">
              <w:rPr>
                <w:rFonts w:ascii="Garamond" w:hAnsi="Garamond" w:cs="Arial"/>
                <w:sz w:val="20"/>
                <w:szCs w:val="20"/>
              </w:rPr>
              <w:t>SELECCIÓN ABREVIADA MENOR CUANTÍA</w:t>
            </w:r>
          </w:p>
        </w:tc>
        <w:tc>
          <w:tcPr>
            <w:tcW w:w="1559" w:type="dxa"/>
          </w:tcPr>
          <w:p w14:paraId="6C8C06C8" w14:textId="77777777" w:rsidR="0077032A" w:rsidRPr="00DC3DDD" w:rsidRDefault="0077032A" w:rsidP="0077032A">
            <w:pPr>
              <w:tabs>
                <w:tab w:val="left" w:pos="38"/>
              </w:tabs>
              <w:jc w:val="both"/>
              <w:rPr>
                <w:rFonts w:ascii="Garamond" w:hAnsi="Garamond" w:cs="Arial"/>
                <w:sz w:val="20"/>
                <w:szCs w:val="20"/>
              </w:rPr>
            </w:pPr>
          </w:p>
        </w:tc>
        <w:tc>
          <w:tcPr>
            <w:tcW w:w="1134" w:type="dxa"/>
          </w:tcPr>
          <w:p w14:paraId="246A12AF" w14:textId="77777777" w:rsidR="0077032A" w:rsidRPr="00DC3DDD" w:rsidRDefault="0077032A" w:rsidP="0077032A">
            <w:pPr>
              <w:tabs>
                <w:tab w:val="left" w:pos="38"/>
              </w:tabs>
              <w:jc w:val="both"/>
              <w:rPr>
                <w:rFonts w:ascii="Garamond" w:hAnsi="Garamond" w:cs="Arial"/>
                <w:sz w:val="20"/>
                <w:szCs w:val="20"/>
              </w:rPr>
            </w:pPr>
          </w:p>
        </w:tc>
      </w:tr>
      <w:tr w:rsidR="0077032A" w:rsidRPr="00CA7682" w14:paraId="0605069A" w14:textId="145B885D" w:rsidTr="0077032A">
        <w:tc>
          <w:tcPr>
            <w:tcW w:w="851" w:type="dxa"/>
          </w:tcPr>
          <w:p w14:paraId="293E6DC6" w14:textId="77777777" w:rsidR="0077032A" w:rsidRDefault="0077032A" w:rsidP="0077032A">
            <w:pPr>
              <w:tabs>
                <w:tab w:val="left" w:pos="38"/>
              </w:tabs>
              <w:jc w:val="both"/>
              <w:rPr>
                <w:rFonts w:ascii="Garamond" w:hAnsi="Garamond" w:cs="Arial"/>
                <w:b/>
                <w:sz w:val="20"/>
                <w:szCs w:val="20"/>
              </w:rPr>
            </w:pPr>
            <w:r>
              <w:rPr>
                <w:rFonts w:ascii="Garamond" w:hAnsi="Garamond" w:cs="Arial"/>
                <w:b/>
                <w:sz w:val="20"/>
                <w:szCs w:val="20"/>
              </w:rPr>
              <w:t>2023</w:t>
            </w:r>
          </w:p>
        </w:tc>
        <w:tc>
          <w:tcPr>
            <w:tcW w:w="1560" w:type="dxa"/>
          </w:tcPr>
          <w:p w14:paraId="5B0610FB" w14:textId="77777777" w:rsidR="0077032A" w:rsidRDefault="0077032A" w:rsidP="0077032A">
            <w:pPr>
              <w:tabs>
                <w:tab w:val="left" w:pos="38"/>
              </w:tabs>
              <w:jc w:val="both"/>
              <w:rPr>
                <w:rFonts w:ascii="Garamond" w:hAnsi="Garamond" w:cs="Arial"/>
                <w:sz w:val="20"/>
                <w:szCs w:val="20"/>
              </w:rPr>
            </w:pPr>
            <w:r>
              <w:rPr>
                <w:rFonts w:ascii="Garamond" w:hAnsi="Garamond" w:cs="Arial"/>
                <w:sz w:val="20"/>
                <w:szCs w:val="20"/>
              </w:rPr>
              <w:t xml:space="preserve">$ </w:t>
            </w:r>
            <w:r w:rsidRPr="00775564">
              <w:rPr>
                <w:rFonts w:ascii="Garamond" w:hAnsi="Garamond" w:cs="Arial"/>
                <w:sz w:val="20"/>
                <w:szCs w:val="20"/>
              </w:rPr>
              <w:t>413</w:t>
            </w:r>
            <w:r>
              <w:rPr>
                <w:rFonts w:ascii="Garamond" w:hAnsi="Garamond" w:cs="Arial"/>
                <w:sz w:val="20"/>
                <w:szCs w:val="20"/>
              </w:rPr>
              <w:t>.</w:t>
            </w:r>
            <w:r w:rsidRPr="00775564">
              <w:rPr>
                <w:rFonts w:ascii="Garamond" w:hAnsi="Garamond" w:cs="Arial"/>
                <w:sz w:val="20"/>
                <w:szCs w:val="20"/>
              </w:rPr>
              <w:t>524</w:t>
            </w:r>
            <w:r>
              <w:rPr>
                <w:rFonts w:ascii="Garamond" w:hAnsi="Garamond" w:cs="Arial"/>
                <w:sz w:val="20"/>
                <w:szCs w:val="20"/>
              </w:rPr>
              <w:t>.</w:t>
            </w:r>
            <w:r w:rsidRPr="00775564">
              <w:rPr>
                <w:rFonts w:ascii="Garamond" w:hAnsi="Garamond" w:cs="Arial"/>
                <w:sz w:val="20"/>
                <w:szCs w:val="20"/>
              </w:rPr>
              <w:t>222</w:t>
            </w:r>
          </w:p>
        </w:tc>
        <w:tc>
          <w:tcPr>
            <w:tcW w:w="2551" w:type="dxa"/>
          </w:tcPr>
          <w:p w14:paraId="12C6550A" w14:textId="77777777" w:rsidR="0077032A" w:rsidRPr="009D4FF0" w:rsidRDefault="0077032A" w:rsidP="0077032A">
            <w:pPr>
              <w:tabs>
                <w:tab w:val="left" w:pos="38"/>
              </w:tabs>
              <w:jc w:val="both"/>
              <w:rPr>
                <w:rFonts w:ascii="Garamond" w:hAnsi="Garamond" w:cs="Arial"/>
                <w:sz w:val="20"/>
                <w:szCs w:val="20"/>
              </w:rPr>
            </w:pPr>
            <w:r w:rsidRPr="00775564">
              <w:rPr>
                <w:rFonts w:ascii="Garamond" w:hAnsi="Garamond" w:cs="Arial"/>
                <w:sz w:val="20"/>
                <w:szCs w:val="20"/>
              </w:rPr>
              <w:t xml:space="preserve">CONTRATAR LAS OBRAS REQUERIDAS PARA EL MANTENIMIENTO Y CONSERVACIÓN DEL SALÓN CULTURAL LA FRAGUITA Y DE LOS SALONES COMUNALES PRIORIZADOS POR EL FONDO DE DESARROLLO LOCAL </w:t>
            </w:r>
            <w:r>
              <w:rPr>
                <w:rFonts w:ascii="Garamond" w:hAnsi="Garamond" w:cs="Arial"/>
                <w:sz w:val="20"/>
                <w:szCs w:val="20"/>
              </w:rPr>
              <w:t>DE LA LOCALIDAD ANTONIO NARIÑO.</w:t>
            </w:r>
          </w:p>
        </w:tc>
        <w:tc>
          <w:tcPr>
            <w:tcW w:w="1701" w:type="dxa"/>
          </w:tcPr>
          <w:p w14:paraId="5DB90AAB" w14:textId="77777777" w:rsidR="0077032A" w:rsidRDefault="0077032A" w:rsidP="0077032A">
            <w:pPr>
              <w:tabs>
                <w:tab w:val="left" w:pos="38"/>
              </w:tabs>
              <w:jc w:val="both"/>
              <w:rPr>
                <w:rFonts w:ascii="Garamond" w:hAnsi="Garamond" w:cs="Arial"/>
                <w:sz w:val="20"/>
                <w:szCs w:val="20"/>
              </w:rPr>
            </w:pPr>
            <w:r>
              <w:rPr>
                <w:rFonts w:ascii="Garamond" w:hAnsi="Garamond" w:cs="Arial"/>
                <w:sz w:val="20"/>
                <w:szCs w:val="20"/>
              </w:rPr>
              <w:t>340-2023</w:t>
            </w:r>
          </w:p>
        </w:tc>
        <w:tc>
          <w:tcPr>
            <w:tcW w:w="1560" w:type="dxa"/>
          </w:tcPr>
          <w:p w14:paraId="5639E4A2" w14:textId="77777777" w:rsidR="0077032A" w:rsidRPr="00DC3DDD" w:rsidRDefault="0077032A" w:rsidP="0077032A">
            <w:pPr>
              <w:tabs>
                <w:tab w:val="left" w:pos="38"/>
              </w:tabs>
              <w:jc w:val="both"/>
              <w:rPr>
                <w:rFonts w:ascii="Garamond" w:hAnsi="Garamond" w:cs="Arial"/>
                <w:sz w:val="20"/>
                <w:szCs w:val="20"/>
              </w:rPr>
            </w:pPr>
            <w:r>
              <w:rPr>
                <w:rFonts w:ascii="Garamond" w:hAnsi="Garamond" w:cs="Arial"/>
                <w:sz w:val="20"/>
                <w:szCs w:val="20"/>
              </w:rPr>
              <w:t>LICITACIÓN PÚBLICA</w:t>
            </w:r>
          </w:p>
        </w:tc>
        <w:tc>
          <w:tcPr>
            <w:tcW w:w="1559" w:type="dxa"/>
          </w:tcPr>
          <w:p w14:paraId="6E1B41B3" w14:textId="77777777" w:rsidR="0077032A" w:rsidRDefault="0077032A" w:rsidP="0077032A">
            <w:pPr>
              <w:tabs>
                <w:tab w:val="left" w:pos="38"/>
              </w:tabs>
              <w:jc w:val="both"/>
              <w:rPr>
                <w:rFonts w:ascii="Garamond" w:hAnsi="Garamond" w:cs="Arial"/>
                <w:sz w:val="20"/>
                <w:szCs w:val="20"/>
              </w:rPr>
            </w:pPr>
          </w:p>
        </w:tc>
        <w:tc>
          <w:tcPr>
            <w:tcW w:w="1134" w:type="dxa"/>
          </w:tcPr>
          <w:p w14:paraId="168B0186" w14:textId="77777777" w:rsidR="0077032A" w:rsidRDefault="0077032A" w:rsidP="0077032A">
            <w:pPr>
              <w:tabs>
                <w:tab w:val="left" w:pos="38"/>
              </w:tabs>
              <w:jc w:val="both"/>
              <w:rPr>
                <w:rFonts w:ascii="Garamond" w:hAnsi="Garamond" w:cs="Arial"/>
                <w:sz w:val="20"/>
                <w:szCs w:val="20"/>
              </w:rPr>
            </w:pPr>
          </w:p>
        </w:tc>
      </w:tr>
      <w:tr w:rsidR="0077032A" w:rsidRPr="00CA7682" w14:paraId="24FD4F8D" w14:textId="6DC62BD2" w:rsidTr="0077032A">
        <w:tc>
          <w:tcPr>
            <w:tcW w:w="851" w:type="dxa"/>
          </w:tcPr>
          <w:p w14:paraId="09DAFD11" w14:textId="77777777" w:rsidR="0077032A" w:rsidRDefault="0077032A" w:rsidP="0077032A">
            <w:pPr>
              <w:tabs>
                <w:tab w:val="left" w:pos="38"/>
              </w:tabs>
              <w:jc w:val="both"/>
              <w:rPr>
                <w:rFonts w:ascii="Garamond" w:hAnsi="Garamond" w:cs="Arial"/>
                <w:b/>
                <w:sz w:val="20"/>
                <w:szCs w:val="20"/>
              </w:rPr>
            </w:pPr>
            <w:r>
              <w:rPr>
                <w:rFonts w:ascii="Garamond" w:hAnsi="Garamond" w:cs="Arial"/>
                <w:b/>
                <w:sz w:val="20"/>
                <w:szCs w:val="20"/>
              </w:rPr>
              <w:t>2023</w:t>
            </w:r>
          </w:p>
        </w:tc>
        <w:tc>
          <w:tcPr>
            <w:tcW w:w="1560" w:type="dxa"/>
          </w:tcPr>
          <w:p w14:paraId="312B34B7" w14:textId="77777777" w:rsidR="0077032A" w:rsidRDefault="0077032A" w:rsidP="0077032A">
            <w:pPr>
              <w:tabs>
                <w:tab w:val="left" w:pos="38"/>
              </w:tabs>
              <w:jc w:val="both"/>
              <w:rPr>
                <w:rFonts w:ascii="Garamond" w:hAnsi="Garamond" w:cs="Arial"/>
                <w:sz w:val="20"/>
                <w:szCs w:val="20"/>
              </w:rPr>
            </w:pPr>
            <w:r>
              <w:rPr>
                <w:rFonts w:ascii="Garamond" w:hAnsi="Garamond" w:cs="Arial"/>
                <w:sz w:val="20"/>
                <w:szCs w:val="20"/>
              </w:rPr>
              <w:t xml:space="preserve">$ </w:t>
            </w:r>
            <w:r w:rsidRPr="00053E7A">
              <w:rPr>
                <w:rFonts w:ascii="Garamond" w:hAnsi="Garamond" w:cs="Arial"/>
                <w:sz w:val="20"/>
                <w:szCs w:val="20"/>
              </w:rPr>
              <w:t>149</w:t>
            </w:r>
            <w:r>
              <w:rPr>
                <w:rFonts w:ascii="Garamond" w:hAnsi="Garamond" w:cs="Arial"/>
                <w:sz w:val="20"/>
                <w:szCs w:val="20"/>
              </w:rPr>
              <w:t>.</w:t>
            </w:r>
            <w:r w:rsidRPr="00053E7A">
              <w:rPr>
                <w:rFonts w:ascii="Garamond" w:hAnsi="Garamond" w:cs="Arial"/>
                <w:sz w:val="20"/>
                <w:szCs w:val="20"/>
              </w:rPr>
              <w:t>102</w:t>
            </w:r>
            <w:r>
              <w:rPr>
                <w:rFonts w:ascii="Garamond" w:hAnsi="Garamond" w:cs="Arial"/>
                <w:sz w:val="20"/>
                <w:szCs w:val="20"/>
              </w:rPr>
              <w:t>.</w:t>
            </w:r>
            <w:r w:rsidRPr="00053E7A">
              <w:rPr>
                <w:rFonts w:ascii="Garamond" w:hAnsi="Garamond" w:cs="Arial"/>
                <w:sz w:val="20"/>
                <w:szCs w:val="20"/>
              </w:rPr>
              <w:t>508</w:t>
            </w:r>
          </w:p>
        </w:tc>
        <w:tc>
          <w:tcPr>
            <w:tcW w:w="2551" w:type="dxa"/>
          </w:tcPr>
          <w:p w14:paraId="61922B84" w14:textId="77777777" w:rsidR="0077032A" w:rsidRPr="009D4FF0" w:rsidRDefault="0077032A" w:rsidP="0077032A">
            <w:pPr>
              <w:tabs>
                <w:tab w:val="left" w:pos="38"/>
              </w:tabs>
              <w:jc w:val="both"/>
              <w:rPr>
                <w:rFonts w:ascii="Garamond" w:hAnsi="Garamond" w:cs="Arial"/>
                <w:sz w:val="20"/>
                <w:szCs w:val="20"/>
              </w:rPr>
            </w:pPr>
            <w:r w:rsidRPr="00053E7A">
              <w:rPr>
                <w:rFonts w:ascii="Garamond" w:hAnsi="Garamond" w:cs="Arial"/>
                <w:sz w:val="20"/>
                <w:szCs w:val="20"/>
              </w:rPr>
              <w:t>CONTRATAR MEDIANTE EL SISTEMA DE PRECIOS UNITARIOS A MONTO AGOTABLE, LAS OBRAS DE MEJORAMIENTO Y/O MANTENIMIENTO DEL TEATRO VILLA MAYOR</w:t>
            </w:r>
          </w:p>
        </w:tc>
        <w:tc>
          <w:tcPr>
            <w:tcW w:w="1701" w:type="dxa"/>
          </w:tcPr>
          <w:p w14:paraId="3F9C5B64" w14:textId="77777777" w:rsidR="0077032A" w:rsidRDefault="0077032A" w:rsidP="0077032A">
            <w:pPr>
              <w:tabs>
                <w:tab w:val="left" w:pos="38"/>
              </w:tabs>
              <w:jc w:val="both"/>
              <w:rPr>
                <w:rFonts w:ascii="Garamond" w:hAnsi="Garamond" w:cs="Arial"/>
                <w:sz w:val="20"/>
                <w:szCs w:val="20"/>
              </w:rPr>
            </w:pPr>
            <w:r>
              <w:rPr>
                <w:rFonts w:ascii="Garamond" w:hAnsi="Garamond" w:cs="Arial"/>
                <w:sz w:val="20"/>
                <w:szCs w:val="20"/>
              </w:rPr>
              <w:t>368-2023</w:t>
            </w:r>
          </w:p>
        </w:tc>
        <w:tc>
          <w:tcPr>
            <w:tcW w:w="1560" w:type="dxa"/>
          </w:tcPr>
          <w:p w14:paraId="5D732272" w14:textId="77777777" w:rsidR="0077032A" w:rsidRPr="00DC3DDD" w:rsidRDefault="0077032A" w:rsidP="0077032A">
            <w:pPr>
              <w:tabs>
                <w:tab w:val="left" w:pos="38"/>
              </w:tabs>
              <w:jc w:val="both"/>
              <w:rPr>
                <w:rFonts w:ascii="Garamond" w:hAnsi="Garamond" w:cs="Arial"/>
                <w:sz w:val="20"/>
                <w:szCs w:val="20"/>
              </w:rPr>
            </w:pPr>
            <w:r w:rsidRPr="00DC3DDD">
              <w:rPr>
                <w:rFonts w:ascii="Garamond" w:hAnsi="Garamond" w:cs="Arial"/>
                <w:sz w:val="20"/>
                <w:szCs w:val="20"/>
              </w:rPr>
              <w:t>SELECCIÓN ABREVIADA MENOR CUANTÍA</w:t>
            </w:r>
          </w:p>
        </w:tc>
        <w:tc>
          <w:tcPr>
            <w:tcW w:w="1559" w:type="dxa"/>
          </w:tcPr>
          <w:p w14:paraId="71179236" w14:textId="77777777" w:rsidR="0077032A" w:rsidRPr="00DC3DDD" w:rsidRDefault="0077032A" w:rsidP="0077032A">
            <w:pPr>
              <w:tabs>
                <w:tab w:val="left" w:pos="38"/>
              </w:tabs>
              <w:jc w:val="both"/>
              <w:rPr>
                <w:rFonts w:ascii="Garamond" w:hAnsi="Garamond" w:cs="Arial"/>
                <w:sz w:val="20"/>
                <w:szCs w:val="20"/>
              </w:rPr>
            </w:pPr>
          </w:p>
        </w:tc>
        <w:tc>
          <w:tcPr>
            <w:tcW w:w="1134" w:type="dxa"/>
          </w:tcPr>
          <w:p w14:paraId="668C15B1" w14:textId="77777777" w:rsidR="0077032A" w:rsidRPr="00DC3DDD" w:rsidRDefault="0077032A" w:rsidP="0077032A">
            <w:pPr>
              <w:tabs>
                <w:tab w:val="left" w:pos="38"/>
              </w:tabs>
              <w:jc w:val="both"/>
              <w:rPr>
                <w:rFonts w:ascii="Garamond" w:hAnsi="Garamond" w:cs="Arial"/>
                <w:sz w:val="20"/>
                <w:szCs w:val="20"/>
              </w:rPr>
            </w:pPr>
          </w:p>
        </w:tc>
      </w:tr>
      <w:tr w:rsidR="0077032A" w:rsidRPr="00CA7682" w14:paraId="253D662C" w14:textId="272911A0" w:rsidTr="0077032A">
        <w:tc>
          <w:tcPr>
            <w:tcW w:w="851" w:type="dxa"/>
          </w:tcPr>
          <w:p w14:paraId="24E1896C" w14:textId="77777777" w:rsidR="0077032A" w:rsidRDefault="0077032A" w:rsidP="0077032A">
            <w:pPr>
              <w:tabs>
                <w:tab w:val="left" w:pos="38"/>
              </w:tabs>
              <w:jc w:val="both"/>
              <w:rPr>
                <w:rFonts w:ascii="Garamond" w:hAnsi="Garamond" w:cs="Arial"/>
                <w:b/>
                <w:sz w:val="20"/>
                <w:szCs w:val="20"/>
              </w:rPr>
            </w:pPr>
            <w:r>
              <w:rPr>
                <w:rFonts w:ascii="Garamond" w:hAnsi="Garamond" w:cs="Arial"/>
                <w:b/>
                <w:sz w:val="20"/>
                <w:szCs w:val="20"/>
              </w:rPr>
              <w:t>2024</w:t>
            </w:r>
          </w:p>
        </w:tc>
        <w:tc>
          <w:tcPr>
            <w:tcW w:w="1560" w:type="dxa"/>
          </w:tcPr>
          <w:p w14:paraId="7B61CCB9" w14:textId="77777777" w:rsidR="0077032A" w:rsidRDefault="0077032A" w:rsidP="0077032A">
            <w:pPr>
              <w:tabs>
                <w:tab w:val="left" w:pos="38"/>
              </w:tabs>
              <w:jc w:val="both"/>
              <w:rPr>
                <w:rFonts w:ascii="Garamond" w:hAnsi="Garamond" w:cs="Arial"/>
                <w:sz w:val="20"/>
                <w:szCs w:val="20"/>
              </w:rPr>
            </w:pPr>
            <w:r>
              <w:rPr>
                <w:rFonts w:ascii="Garamond" w:hAnsi="Garamond" w:cs="Arial"/>
                <w:sz w:val="20"/>
                <w:szCs w:val="20"/>
              </w:rPr>
              <w:t xml:space="preserve">$ </w:t>
            </w:r>
            <w:r w:rsidRPr="009D4FF0">
              <w:rPr>
                <w:rFonts w:ascii="Garamond" w:hAnsi="Garamond" w:cs="Arial"/>
                <w:sz w:val="20"/>
                <w:szCs w:val="20"/>
              </w:rPr>
              <w:t>199</w:t>
            </w:r>
            <w:r>
              <w:rPr>
                <w:rFonts w:ascii="Garamond" w:hAnsi="Garamond" w:cs="Arial"/>
                <w:sz w:val="20"/>
                <w:szCs w:val="20"/>
              </w:rPr>
              <w:t>.</w:t>
            </w:r>
            <w:r w:rsidRPr="009D4FF0">
              <w:rPr>
                <w:rFonts w:ascii="Garamond" w:hAnsi="Garamond" w:cs="Arial"/>
                <w:sz w:val="20"/>
                <w:szCs w:val="20"/>
              </w:rPr>
              <w:t>995</w:t>
            </w:r>
            <w:r>
              <w:rPr>
                <w:rFonts w:ascii="Garamond" w:hAnsi="Garamond" w:cs="Arial"/>
                <w:sz w:val="20"/>
                <w:szCs w:val="20"/>
              </w:rPr>
              <w:t>.</w:t>
            </w:r>
            <w:r w:rsidRPr="009D4FF0">
              <w:rPr>
                <w:rFonts w:ascii="Garamond" w:hAnsi="Garamond" w:cs="Arial"/>
                <w:sz w:val="20"/>
                <w:szCs w:val="20"/>
              </w:rPr>
              <w:t>185</w:t>
            </w:r>
          </w:p>
        </w:tc>
        <w:tc>
          <w:tcPr>
            <w:tcW w:w="2551" w:type="dxa"/>
          </w:tcPr>
          <w:p w14:paraId="71F7C2E6" w14:textId="77777777" w:rsidR="0077032A" w:rsidRPr="009D4FF0" w:rsidRDefault="0077032A" w:rsidP="0077032A">
            <w:pPr>
              <w:tabs>
                <w:tab w:val="left" w:pos="38"/>
              </w:tabs>
              <w:jc w:val="both"/>
              <w:rPr>
                <w:rFonts w:ascii="Garamond" w:hAnsi="Garamond" w:cs="Arial"/>
                <w:sz w:val="20"/>
                <w:szCs w:val="20"/>
              </w:rPr>
            </w:pPr>
            <w:r w:rsidRPr="009D4FF0">
              <w:rPr>
                <w:rFonts w:ascii="Garamond" w:hAnsi="Garamond" w:cs="Arial"/>
                <w:sz w:val="20"/>
                <w:szCs w:val="20"/>
              </w:rPr>
              <w:t>CONTRATAR MEDIANTE EL SISTEMA DE PRECIOS UNITARIOS A MONTO AGOTABLE, LAS OBRAS DE REHABILITACIÓN Y/O CONSERVACIÓN Y/O MEJORAMIENTO Y/O MANTENIMIENTO DE LA EDIFICACIÓN DONDE FUNCIONA LA ALCALDÍA LOCAL DE ANTONIO NARIÑO COMO ACCIÓN DE FORTALECIMIENTO INSTITUCIONAL</w:t>
            </w:r>
          </w:p>
        </w:tc>
        <w:tc>
          <w:tcPr>
            <w:tcW w:w="1701" w:type="dxa"/>
          </w:tcPr>
          <w:p w14:paraId="48FCEEC2" w14:textId="77777777" w:rsidR="0077032A" w:rsidRDefault="0077032A" w:rsidP="0077032A">
            <w:pPr>
              <w:tabs>
                <w:tab w:val="left" w:pos="38"/>
              </w:tabs>
              <w:jc w:val="both"/>
              <w:rPr>
                <w:rFonts w:ascii="Garamond" w:hAnsi="Garamond" w:cs="Arial"/>
                <w:sz w:val="20"/>
                <w:szCs w:val="20"/>
              </w:rPr>
            </w:pPr>
            <w:r>
              <w:rPr>
                <w:rFonts w:ascii="Garamond" w:hAnsi="Garamond" w:cs="Arial"/>
                <w:sz w:val="20"/>
                <w:szCs w:val="20"/>
              </w:rPr>
              <w:t>336-2024</w:t>
            </w:r>
          </w:p>
        </w:tc>
        <w:tc>
          <w:tcPr>
            <w:tcW w:w="1560" w:type="dxa"/>
          </w:tcPr>
          <w:p w14:paraId="51AAEC70" w14:textId="77777777" w:rsidR="0077032A" w:rsidRPr="00DC3DDD" w:rsidRDefault="0077032A" w:rsidP="0077032A">
            <w:pPr>
              <w:tabs>
                <w:tab w:val="left" w:pos="38"/>
              </w:tabs>
              <w:jc w:val="both"/>
              <w:rPr>
                <w:rFonts w:ascii="Garamond" w:hAnsi="Garamond" w:cs="Arial"/>
                <w:sz w:val="20"/>
                <w:szCs w:val="20"/>
              </w:rPr>
            </w:pPr>
            <w:r w:rsidRPr="00DC3DDD">
              <w:rPr>
                <w:rFonts w:ascii="Garamond" w:hAnsi="Garamond" w:cs="Arial"/>
                <w:sz w:val="20"/>
                <w:szCs w:val="20"/>
              </w:rPr>
              <w:t>SELECCIÓN ABREVIADA MENOR CUANTÍA</w:t>
            </w:r>
          </w:p>
        </w:tc>
        <w:tc>
          <w:tcPr>
            <w:tcW w:w="1559" w:type="dxa"/>
          </w:tcPr>
          <w:p w14:paraId="3406E18D" w14:textId="77777777" w:rsidR="0077032A" w:rsidRPr="00DC3DDD" w:rsidRDefault="0077032A" w:rsidP="0077032A">
            <w:pPr>
              <w:tabs>
                <w:tab w:val="left" w:pos="38"/>
              </w:tabs>
              <w:jc w:val="both"/>
              <w:rPr>
                <w:rFonts w:ascii="Garamond" w:hAnsi="Garamond" w:cs="Arial"/>
                <w:sz w:val="20"/>
                <w:szCs w:val="20"/>
              </w:rPr>
            </w:pPr>
          </w:p>
        </w:tc>
        <w:tc>
          <w:tcPr>
            <w:tcW w:w="1134" w:type="dxa"/>
          </w:tcPr>
          <w:p w14:paraId="6D95F74C" w14:textId="77777777" w:rsidR="0077032A" w:rsidRPr="00DC3DDD" w:rsidRDefault="0077032A" w:rsidP="0077032A">
            <w:pPr>
              <w:tabs>
                <w:tab w:val="left" w:pos="38"/>
              </w:tabs>
              <w:jc w:val="both"/>
              <w:rPr>
                <w:rFonts w:ascii="Garamond" w:hAnsi="Garamond" w:cs="Arial"/>
                <w:sz w:val="20"/>
                <w:szCs w:val="20"/>
              </w:rPr>
            </w:pPr>
          </w:p>
        </w:tc>
      </w:tr>
      <w:tr w:rsidR="0077032A" w14:paraId="297C1E0B" w14:textId="2D3D0616" w:rsidTr="0077032A">
        <w:tc>
          <w:tcPr>
            <w:tcW w:w="851" w:type="dxa"/>
          </w:tcPr>
          <w:p w14:paraId="3F856586" w14:textId="77777777" w:rsidR="0077032A" w:rsidRPr="00DC3DDD" w:rsidRDefault="0077032A" w:rsidP="0077032A">
            <w:pPr>
              <w:tabs>
                <w:tab w:val="left" w:pos="38"/>
              </w:tabs>
              <w:jc w:val="both"/>
              <w:rPr>
                <w:rFonts w:ascii="Garamond" w:hAnsi="Garamond" w:cs="Arial"/>
                <w:b/>
                <w:sz w:val="20"/>
                <w:szCs w:val="20"/>
              </w:rPr>
            </w:pPr>
          </w:p>
        </w:tc>
        <w:tc>
          <w:tcPr>
            <w:tcW w:w="1560" w:type="dxa"/>
          </w:tcPr>
          <w:p w14:paraId="7B94A0B7" w14:textId="77777777" w:rsidR="0077032A" w:rsidRPr="00DC3DDD" w:rsidRDefault="0077032A" w:rsidP="0077032A">
            <w:pPr>
              <w:tabs>
                <w:tab w:val="left" w:pos="38"/>
              </w:tabs>
              <w:jc w:val="both"/>
              <w:rPr>
                <w:rFonts w:ascii="Garamond" w:hAnsi="Garamond" w:cs="Arial"/>
                <w:sz w:val="20"/>
                <w:szCs w:val="20"/>
              </w:rPr>
            </w:pPr>
          </w:p>
        </w:tc>
        <w:tc>
          <w:tcPr>
            <w:tcW w:w="2551" w:type="dxa"/>
          </w:tcPr>
          <w:p w14:paraId="0FE680EC" w14:textId="77777777" w:rsidR="0077032A" w:rsidRPr="00DC3DDD" w:rsidRDefault="0077032A" w:rsidP="0077032A">
            <w:pPr>
              <w:tabs>
                <w:tab w:val="left" w:pos="38"/>
              </w:tabs>
              <w:jc w:val="both"/>
              <w:rPr>
                <w:rFonts w:ascii="Garamond" w:hAnsi="Garamond" w:cs="Arial"/>
                <w:sz w:val="20"/>
                <w:szCs w:val="20"/>
              </w:rPr>
            </w:pPr>
          </w:p>
        </w:tc>
        <w:tc>
          <w:tcPr>
            <w:tcW w:w="1701" w:type="dxa"/>
          </w:tcPr>
          <w:p w14:paraId="18EC9BB4" w14:textId="77777777" w:rsidR="0077032A" w:rsidRPr="00DC3DDD" w:rsidRDefault="0077032A" w:rsidP="0077032A">
            <w:pPr>
              <w:tabs>
                <w:tab w:val="left" w:pos="38"/>
              </w:tabs>
              <w:jc w:val="both"/>
              <w:rPr>
                <w:rFonts w:ascii="Garamond" w:hAnsi="Garamond" w:cs="Arial"/>
                <w:sz w:val="20"/>
                <w:szCs w:val="20"/>
              </w:rPr>
            </w:pPr>
          </w:p>
        </w:tc>
        <w:tc>
          <w:tcPr>
            <w:tcW w:w="1560" w:type="dxa"/>
          </w:tcPr>
          <w:p w14:paraId="429356F7" w14:textId="77777777" w:rsidR="0077032A" w:rsidRPr="00DC3DDD" w:rsidRDefault="0077032A" w:rsidP="0077032A">
            <w:pPr>
              <w:tabs>
                <w:tab w:val="left" w:pos="38"/>
              </w:tabs>
              <w:jc w:val="center"/>
              <w:rPr>
                <w:rFonts w:ascii="Garamond" w:hAnsi="Garamond" w:cs="Arial"/>
                <w:sz w:val="20"/>
                <w:szCs w:val="20"/>
              </w:rPr>
            </w:pPr>
            <w:r w:rsidRPr="009D4FF0">
              <w:rPr>
                <w:rFonts w:ascii="Garamond" w:hAnsi="Garamond" w:cs="Arial"/>
                <w:b/>
                <w:sz w:val="20"/>
                <w:szCs w:val="20"/>
              </w:rPr>
              <w:t>SELECCIÓN ABREVIADA MENOR CUANTÍA</w:t>
            </w:r>
          </w:p>
        </w:tc>
        <w:tc>
          <w:tcPr>
            <w:tcW w:w="1559" w:type="dxa"/>
          </w:tcPr>
          <w:p w14:paraId="4CA34134" w14:textId="77777777" w:rsidR="0077032A" w:rsidRPr="009D4FF0" w:rsidRDefault="0077032A" w:rsidP="0077032A">
            <w:pPr>
              <w:tabs>
                <w:tab w:val="left" w:pos="38"/>
              </w:tabs>
              <w:jc w:val="center"/>
              <w:rPr>
                <w:rFonts w:ascii="Garamond" w:hAnsi="Garamond" w:cs="Arial"/>
                <w:b/>
                <w:sz w:val="20"/>
                <w:szCs w:val="20"/>
              </w:rPr>
            </w:pPr>
          </w:p>
        </w:tc>
        <w:tc>
          <w:tcPr>
            <w:tcW w:w="1134" w:type="dxa"/>
          </w:tcPr>
          <w:p w14:paraId="191F4DFD" w14:textId="77777777" w:rsidR="0077032A" w:rsidRPr="009D4FF0" w:rsidRDefault="0077032A" w:rsidP="0077032A">
            <w:pPr>
              <w:tabs>
                <w:tab w:val="left" w:pos="38"/>
              </w:tabs>
              <w:jc w:val="center"/>
              <w:rPr>
                <w:rFonts w:ascii="Garamond" w:hAnsi="Garamond" w:cs="Arial"/>
                <w:b/>
                <w:sz w:val="20"/>
                <w:szCs w:val="20"/>
              </w:rPr>
            </w:pPr>
          </w:p>
        </w:tc>
      </w:tr>
    </w:tbl>
    <w:p w14:paraId="10F04B33" w14:textId="30315A6B" w:rsidR="00C403C0" w:rsidRDefault="00C403C0" w:rsidP="002A4BF2">
      <w:pPr>
        <w:spacing w:line="240" w:lineRule="auto"/>
        <w:jc w:val="both"/>
        <w:rPr>
          <w:rFonts w:ascii="Garamond" w:eastAsia="Arial MT" w:hAnsi="Garamond" w:cs="Arial MT"/>
          <w:sz w:val="24"/>
          <w:szCs w:val="24"/>
          <w:lang w:val="es-ES"/>
        </w:rPr>
      </w:pPr>
    </w:p>
    <w:p w14:paraId="70667CE1" w14:textId="7DC5BCC9" w:rsidR="00415BB2" w:rsidRDefault="00415BB2" w:rsidP="00415BB2">
      <w:pPr>
        <w:spacing w:line="240" w:lineRule="auto"/>
        <w:jc w:val="center"/>
        <w:rPr>
          <w:rFonts w:ascii="Garamond" w:eastAsia="Arial MT" w:hAnsi="Garamond" w:cs="Arial MT"/>
          <w:sz w:val="24"/>
          <w:szCs w:val="24"/>
          <w:lang w:val="es-ES"/>
        </w:rPr>
      </w:pPr>
      <w:r w:rsidRPr="00415BB2">
        <w:rPr>
          <w:rFonts w:ascii="Garamond" w:eastAsia="Arial MT" w:hAnsi="Garamond" w:cs="Arial MT"/>
          <w:noProof/>
          <w:sz w:val="24"/>
          <w:szCs w:val="24"/>
          <w:lang w:eastAsia="es-CO"/>
        </w:rPr>
        <w:lastRenderedPageBreak/>
        <w:drawing>
          <wp:inline distT="0" distB="0" distL="0" distR="0" wp14:anchorId="25E8672D" wp14:editId="5FCB0270">
            <wp:extent cx="5001323" cy="4658375"/>
            <wp:effectExtent l="0" t="0" r="8890" b="8890"/>
            <wp:docPr id="1997869500" name="Imagen 199786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001323" cy="4658375"/>
                    </a:xfrm>
                    <a:prstGeom prst="rect">
                      <a:avLst/>
                    </a:prstGeom>
                  </pic:spPr>
                </pic:pic>
              </a:graphicData>
            </a:graphic>
          </wp:inline>
        </w:drawing>
      </w:r>
    </w:p>
    <w:p w14:paraId="153D4722" w14:textId="7696060F" w:rsidR="00415BB2" w:rsidRPr="00C050A9" w:rsidRDefault="00415BB2" w:rsidP="00415BB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48</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Gasto anual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6ADEA4E9" w14:textId="77777777" w:rsidR="00415BB2" w:rsidRPr="00C050A9" w:rsidRDefault="00415BB2" w:rsidP="00415BB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7A697C5F" w14:textId="77777777" w:rsidR="00415BB2" w:rsidRDefault="0068116C" w:rsidP="00415BB2">
      <w:pPr>
        <w:tabs>
          <w:tab w:val="left" w:pos="3390"/>
        </w:tabs>
        <w:spacing w:line="240" w:lineRule="auto"/>
        <w:rPr>
          <w:rStyle w:val="Hipervnculo"/>
          <w:rFonts w:ascii="Garamond" w:eastAsia="Arial MT" w:hAnsi="Garamond" w:cs="Arial MT"/>
          <w:sz w:val="20"/>
          <w:szCs w:val="20"/>
          <w:lang w:val="es-ES"/>
        </w:rPr>
      </w:pPr>
      <w:hyperlink r:id="rId179" w:history="1">
        <w:r w:rsidR="00415BB2"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7EAFC924" w14:textId="1663FF13" w:rsidR="00AD6DB4" w:rsidRDefault="00AD6DB4" w:rsidP="00415BB2">
      <w:pPr>
        <w:spacing w:after="0" w:line="240" w:lineRule="auto"/>
        <w:jc w:val="center"/>
        <w:rPr>
          <w:rFonts w:ascii="Garamond" w:hAnsi="Garamond" w:cs="Arial"/>
          <w:sz w:val="24"/>
          <w:szCs w:val="24"/>
        </w:rPr>
      </w:pPr>
    </w:p>
    <w:p w14:paraId="4A49377E" w14:textId="4883EA36" w:rsidR="00C403C0" w:rsidRDefault="00415BB2" w:rsidP="00415BB2">
      <w:pPr>
        <w:tabs>
          <w:tab w:val="left" w:pos="3390"/>
        </w:tabs>
        <w:spacing w:line="240" w:lineRule="auto"/>
        <w:jc w:val="center"/>
        <w:rPr>
          <w:rFonts w:ascii="Garamond" w:hAnsi="Garamond" w:cs="Arial"/>
          <w:sz w:val="24"/>
          <w:szCs w:val="24"/>
        </w:rPr>
      </w:pPr>
      <w:r w:rsidRPr="00415BB2">
        <w:rPr>
          <w:rFonts w:ascii="Garamond" w:hAnsi="Garamond" w:cs="Arial"/>
          <w:noProof/>
          <w:sz w:val="24"/>
          <w:szCs w:val="24"/>
          <w:lang w:eastAsia="es-CO"/>
        </w:rPr>
        <w:lastRenderedPageBreak/>
        <w:drawing>
          <wp:inline distT="0" distB="0" distL="0" distR="0" wp14:anchorId="07BCF7E1" wp14:editId="777E398B">
            <wp:extent cx="5115639" cy="4696480"/>
            <wp:effectExtent l="0" t="0" r="8890" b="8890"/>
            <wp:docPr id="1997869501" name="Imagen 1997869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5115639" cy="4696480"/>
                    </a:xfrm>
                    <a:prstGeom prst="rect">
                      <a:avLst/>
                    </a:prstGeom>
                  </pic:spPr>
                </pic:pic>
              </a:graphicData>
            </a:graphic>
          </wp:inline>
        </w:drawing>
      </w:r>
    </w:p>
    <w:p w14:paraId="08A73ECA" w14:textId="5779B9BC" w:rsidR="00415BB2" w:rsidRPr="00C050A9" w:rsidRDefault="00415BB2" w:rsidP="00415BB2">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49</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Cantidad de contratos anual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132093C4" w14:textId="77777777" w:rsidR="00415BB2" w:rsidRPr="00C050A9" w:rsidRDefault="00415BB2" w:rsidP="00415BB2">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63D18B83" w14:textId="77777777" w:rsidR="00415BB2" w:rsidRDefault="0068116C" w:rsidP="00415BB2">
      <w:pPr>
        <w:tabs>
          <w:tab w:val="left" w:pos="3390"/>
        </w:tabs>
        <w:spacing w:line="240" w:lineRule="auto"/>
        <w:rPr>
          <w:rStyle w:val="Hipervnculo"/>
          <w:rFonts w:ascii="Garamond" w:eastAsia="Arial MT" w:hAnsi="Garamond" w:cs="Arial MT"/>
          <w:sz w:val="20"/>
          <w:szCs w:val="20"/>
          <w:lang w:val="es-ES"/>
        </w:rPr>
      </w:pPr>
      <w:hyperlink r:id="rId181" w:history="1">
        <w:r w:rsidR="00415BB2"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6EEA66A" w14:textId="6B570AA8" w:rsidR="00C403C0" w:rsidRDefault="00326519" w:rsidP="002A4BF2">
      <w:pPr>
        <w:tabs>
          <w:tab w:val="left" w:pos="3390"/>
        </w:tabs>
        <w:spacing w:line="240" w:lineRule="auto"/>
        <w:rPr>
          <w:rFonts w:ascii="Garamond" w:hAnsi="Garamond" w:cs="Arial"/>
          <w:sz w:val="24"/>
          <w:szCs w:val="24"/>
        </w:rPr>
      </w:pPr>
      <w:r w:rsidRPr="00326519">
        <w:rPr>
          <w:rFonts w:ascii="Garamond" w:hAnsi="Garamond" w:cs="Arial"/>
          <w:noProof/>
          <w:sz w:val="24"/>
          <w:szCs w:val="24"/>
          <w:lang w:eastAsia="es-CO"/>
        </w:rPr>
        <w:lastRenderedPageBreak/>
        <w:drawing>
          <wp:inline distT="0" distB="0" distL="0" distR="0" wp14:anchorId="7C1D9763" wp14:editId="13C75214">
            <wp:extent cx="5612130" cy="3683635"/>
            <wp:effectExtent l="0" t="0" r="7620" b="0"/>
            <wp:docPr id="1997869502" name="Imagen 1997869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5612130" cy="3683635"/>
                    </a:xfrm>
                    <a:prstGeom prst="rect">
                      <a:avLst/>
                    </a:prstGeom>
                  </pic:spPr>
                </pic:pic>
              </a:graphicData>
            </a:graphic>
          </wp:inline>
        </w:drawing>
      </w:r>
    </w:p>
    <w:p w14:paraId="7860DDDE" w14:textId="3C695F5C" w:rsidR="00326519" w:rsidRPr="00C050A9" w:rsidRDefault="00326519" w:rsidP="00326519">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50</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Gasto mensual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372C7D98" w14:textId="77777777" w:rsidR="00326519" w:rsidRPr="00C050A9" w:rsidRDefault="00326519" w:rsidP="00326519">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0DAF215" w14:textId="77777777" w:rsidR="00326519" w:rsidRDefault="0068116C" w:rsidP="00326519">
      <w:pPr>
        <w:tabs>
          <w:tab w:val="left" w:pos="3390"/>
        </w:tabs>
        <w:spacing w:line="240" w:lineRule="auto"/>
        <w:rPr>
          <w:rStyle w:val="Hipervnculo"/>
          <w:rFonts w:ascii="Garamond" w:eastAsia="Arial MT" w:hAnsi="Garamond" w:cs="Arial MT"/>
          <w:sz w:val="20"/>
          <w:szCs w:val="20"/>
          <w:lang w:val="es-ES"/>
        </w:rPr>
      </w:pPr>
      <w:hyperlink r:id="rId183" w:history="1">
        <w:r w:rsidR="0032651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540AC8C" w14:textId="50B93323" w:rsidR="00326519" w:rsidRDefault="00326519" w:rsidP="002A4BF2">
      <w:pPr>
        <w:tabs>
          <w:tab w:val="left" w:pos="3390"/>
        </w:tabs>
        <w:spacing w:line="240" w:lineRule="auto"/>
        <w:rPr>
          <w:rFonts w:ascii="Garamond" w:hAnsi="Garamond" w:cs="Arial"/>
          <w:sz w:val="24"/>
          <w:szCs w:val="24"/>
        </w:rPr>
      </w:pPr>
      <w:r w:rsidRPr="00326519">
        <w:rPr>
          <w:rFonts w:ascii="Garamond" w:hAnsi="Garamond" w:cs="Arial"/>
          <w:noProof/>
          <w:sz w:val="24"/>
          <w:szCs w:val="24"/>
          <w:lang w:eastAsia="es-CO"/>
        </w:rPr>
        <w:lastRenderedPageBreak/>
        <w:drawing>
          <wp:inline distT="0" distB="0" distL="0" distR="0" wp14:anchorId="6BEBA253" wp14:editId="75293E2B">
            <wp:extent cx="5612130" cy="3561715"/>
            <wp:effectExtent l="0" t="0" r="7620" b="635"/>
            <wp:docPr id="1997869503" name="Imagen 1997869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5612130" cy="3561715"/>
                    </a:xfrm>
                    <a:prstGeom prst="rect">
                      <a:avLst/>
                    </a:prstGeom>
                  </pic:spPr>
                </pic:pic>
              </a:graphicData>
            </a:graphic>
          </wp:inline>
        </w:drawing>
      </w:r>
    </w:p>
    <w:p w14:paraId="6455C786" w14:textId="178DA3E8" w:rsidR="00326519" w:rsidRPr="00C050A9" w:rsidRDefault="00326519" w:rsidP="00326519">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51</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Gasto mensual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49D4491B" w14:textId="77777777" w:rsidR="00326519" w:rsidRPr="00C050A9" w:rsidRDefault="00326519" w:rsidP="00326519">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70055A16" w14:textId="77777777" w:rsidR="00326519" w:rsidRDefault="0068116C" w:rsidP="00326519">
      <w:pPr>
        <w:tabs>
          <w:tab w:val="left" w:pos="3390"/>
        </w:tabs>
        <w:spacing w:line="240" w:lineRule="auto"/>
        <w:rPr>
          <w:rStyle w:val="Hipervnculo"/>
          <w:rFonts w:ascii="Garamond" w:eastAsia="Arial MT" w:hAnsi="Garamond" w:cs="Arial MT"/>
          <w:sz w:val="20"/>
          <w:szCs w:val="20"/>
          <w:lang w:val="es-ES"/>
        </w:rPr>
      </w:pPr>
      <w:hyperlink r:id="rId185" w:history="1">
        <w:r w:rsidR="0032651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27210B9C" w14:textId="048488C8" w:rsidR="00326519" w:rsidRDefault="00326519" w:rsidP="002A4BF2">
      <w:pPr>
        <w:tabs>
          <w:tab w:val="left" w:pos="3390"/>
        </w:tabs>
        <w:spacing w:line="240" w:lineRule="auto"/>
        <w:rPr>
          <w:rFonts w:ascii="Garamond" w:hAnsi="Garamond" w:cs="Arial"/>
          <w:sz w:val="24"/>
          <w:szCs w:val="24"/>
        </w:rPr>
      </w:pPr>
      <w:r w:rsidRPr="00326519">
        <w:rPr>
          <w:rFonts w:ascii="Garamond" w:hAnsi="Garamond" w:cs="Arial"/>
          <w:noProof/>
          <w:sz w:val="24"/>
          <w:szCs w:val="24"/>
          <w:lang w:eastAsia="es-CO"/>
        </w:rPr>
        <w:drawing>
          <wp:inline distT="0" distB="0" distL="0" distR="0" wp14:anchorId="6B800FB5" wp14:editId="18733394">
            <wp:extent cx="5612130" cy="2704465"/>
            <wp:effectExtent l="0" t="0" r="7620" b="63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5612130" cy="2704465"/>
                    </a:xfrm>
                    <a:prstGeom prst="rect">
                      <a:avLst/>
                    </a:prstGeom>
                  </pic:spPr>
                </pic:pic>
              </a:graphicData>
            </a:graphic>
          </wp:inline>
        </w:drawing>
      </w:r>
    </w:p>
    <w:p w14:paraId="4E9D9D64" w14:textId="033FB15B" w:rsidR="00326519" w:rsidRPr="00C050A9" w:rsidRDefault="00326519" w:rsidP="00326519">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52</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Valor total estimado por familia en el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0FABE205" w14:textId="77777777" w:rsidR="00326519" w:rsidRPr="00C050A9" w:rsidRDefault="00326519" w:rsidP="00326519">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500A8161" w14:textId="77777777" w:rsidR="00326519" w:rsidRDefault="0068116C" w:rsidP="00326519">
      <w:pPr>
        <w:tabs>
          <w:tab w:val="left" w:pos="3390"/>
        </w:tabs>
        <w:spacing w:line="240" w:lineRule="auto"/>
        <w:rPr>
          <w:rStyle w:val="Hipervnculo"/>
          <w:rFonts w:ascii="Garamond" w:eastAsia="Arial MT" w:hAnsi="Garamond" w:cs="Arial MT"/>
          <w:sz w:val="20"/>
          <w:szCs w:val="20"/>
          <w:lang w:val="es-ES"/>
        </w:rPr>
      </w:pPr>
      <w:hyperlink r:id="rId187" w:history="1">
        <w:r w:rsidR="0032651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69023513" w14:textId="23C6E9D4" w:rsidR="00326519" w:rsidRDefault="00326519" w:rsidP="002A4BF2">
      <w:pPr>
        <w:tabs>
          <w:tab w:val="left" w:pos="3390"/>
        </w:tabs>
        <w:spacing w:line="240" w:lineRule="auto"/>
        <w:rPr>
          <w:rFonts w:ascii="Garamond" w:hAnsi="Garamond" w:cs="Arial"/>
          <w:sz w:val="24"/>
          <w:szCs w:val="24"/>
        </w:rPr>
      </w:pPr>
      <w:r w:rsidRPr="00326519">
        <w:rPr>
          <w:rFonts w:ascii="Garamond" w:hAnsi="Garamond" w:cs="Arial"/>
          <w:noProof/>
          <w:sz w:val="24"/>
          <w:szCs w:val="24"/>
          <w:lang w:eastAsia="es-CO"/>
        </w:rPr>
        <w:drawing>
          <wp:inline distT="0" distB="0" distL="0" distR="0" wp14:anchorId="228354E1" wp14:editId="54A3BA7A">
            <wp:extent cx="5612130" cy="1095375"/>
            <wp:effectExtent l="0" t="0" r="7620" b="952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5612130" cy="1095375"/>
                    </a:xfrm>
                    <a:prstGeom prst="rect">
                      <a:avLst/>
                    </a:prstGeom>
                  </pic:spPr>
                </pic:pic>
              </a:graphicData>
            </a:graphic>
          </wp:inline>
        </w:drawing>
      </w:r>
    </w:p>
    <w:p w14:paraId="210527FC" w14:textId="21D8868D" w:rsidR="00326519" w:rsidRDefault="00326519" w:rsidP="002A4BF2">
      <w:pPr>
        <w:tabs>
          <w:tab w:val="left" w:pos="3390"/>
        </w:tabs>
        <w:spacing w:line="240" w:lineRule="auto"/>
        <w:rPr>
          <w:rFonts w:ascii="Garamond" w:hAnsi="Garamond" w:cs="Arial"/>
          <w:sz w:val="24"/>
          <w:szCs w:val="24"/>
        </w:rPr>
      </w:pPr>
      <w:r w:rsidRPr="00326519">
        <w:rPr>
          <w:rFonts w:ascii="Garamond" w:hAnsi="Garamond" w:cs="Arial"/>
          <w:noProof/>
          <w:sz w:val="24"/>
          <w:szCs w:val="24"/>
          <w:lang w:eastAsia="es-CO"/>
        </w:rPr>
        <w:drawing>
          <wp:inline distT="0" distB="0" distL="0" distR="0" wp14:anchorId="0AAEA59E" wp14:editId="180B11CA">
            <wp:extent cx="5612130" cy="1819910"/>
            <wp:effectExtent l="0" t="0" r="7620" b="889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5612130" cy="1819910"/>
                    </a:xfrm>
                    <a:prstGeom prst="rect">
                      <a:avLst/>
                    </a:prstGeom>
                  </pic:spPr>
                </pic:pic>
              </a:graphicData>
            </a:graphic>
          </wp:inline>
        </w:drawing>
      </w:r>
    </w:p>
    <w:p w14:paraId="525161A1" w14:textId="3691A414" w:rsidR="00326519" w:rsidRDefault="00326519" w:rsidP="00326519">
      <w:pPr>
        <w:tabs>
          <w:tab w:val="left" w:pos="3390"/>
        </w:tabs>
        <w:spacing w:line="240" w:lineRule="auto"/>
        <w:jc w:val="center"/>
        <w:rPr>
          <w:rFonts w:ascii="Garamond" w:hAnsi="Garamond" w:cs="Arial"/>
          <w:sz w:val="24"/>
          <w:szCs w:val="24"/>
        </w:rPr>
      </w:pPr>
      <w:r w:rsidRPr="00326519">
        <w:rPr>
          <w:rFonts w:ascii="Garamond" w:hAnsi="Garamond" w:cs="Arial"/>
          <w:noProof/>
          <w:sz w:val="24"/>
          <w:szCs w:val="24"/>
          <w:lang w:eastAsia="es-CO"/>
        </w:rPr>
        <w:drawing>
          <wp:inline distT="0" distB="0" distL="0" distR="0" wp14:anchorId="0C505C40" wp14:editId="01EFB395">
            <wp:extent cx="3534268" cy="1895740"/>
            <wp:effectExtent l="0" t="0" r="0"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3534268" cy="1895740"/>
                    </a:xfrm>
                    <a:prstGeom prst="rect">
                      <a:avLst/>
                    </a:prstGeom>
                  </pic:spPr>
                </pic:pic>
              </a:graphicData>
            </a:graphic>
          </wp:inline>
        </w:drawing>
      </w:r>
    </w:p>
    <w:p w14:paraId="7C8EB98F" w14:textId="3752773B" w:rsidR="00326519" w:rsidRPr="00C050A9" w:rsidRDefault="00326519" w:rsidP="00326519">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53</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Comportamiento contratación por bienes y/o servicios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0A71A82D" w14:textId="77777777" w:rsidR="00326519" w:rsidRPr="00C050A9" w:rsidRDefault="00326519" w:rsidP="00326519">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454D7853" w14:textId="77777777" w:rsidR="00326519" w:rsidRDefault="0068116C" w:rsidP="00326519">
      <w:pPr>
        <w:tabs>
          <w:tab w:val="left" w:pos="3390"/>
        </w:tabs>
        <w:spacing w:line="240" w:lineRule="auto"/>
        <w:rPr>
          <w:rStyle w:val="Hipervnculo"/>
          <w:rFonts w:ascii="Garamond" w:eastAsia="Arial MT" w:hAnsi="Garamond" w:cs="Arial MT"/>
          <w:sz w:val="20"/>
          <w:szCs w:val="20"/>
          <w:lang w:val="es-ES"/>
        </w:rPr>
      </w:pPr>
      <w:hyperlink r:id="rId191" w:history="1">
        <w:r w:rsidR="0032651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0B4E8CE0" w14:textId="14004794" w:rsidR="00326519" w:rsidRDefault="00326519" w:rsidP="002A4BF2">
      <w:pPr>
        <w:tabs>
          <w:tab w:val="left" w:pos="3390"/>
        </w:tabs>
        <w:spacing w:line="240" w:lineRule="auto"/>
        <w:rPr>
          <w:rFonts w:ascii="Garamond" w:hAnsi="Garamond" w:cs="Arial"/>
          <w:sz w:val="24"/>
          <w:szCs w:val="24"/>
        </w:rPr>
      </w:pPr>
      <w:r w:rsidRPr="00326519">
        <w:rPr>
          <w:rFonts w:ascii="Garamond" w:hAnsi="Garamond" w:cs="Arial"/>
          <w:noProof/>
          <w:sz w:val="24"/>
          <w:szCs w:val="24"/>
          <w:lang w:eastAsia="es-CO"/>
        </w:rPr>
        <w:lastRenderedPageBreak/>
        <w:drawing>
          <wp:inline distT="0" distB="0" distL="0" distR="0" wp14:anchorId="69C6BE5F" wp14:editId="259F769D">
            <wp:extent cx="5612130" cy="3052445"/>
            <wp:effectExtent l="0" t="0" r="762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5612130" cy="3052445"/>
                    </a:xfrm>
                    <a:prstGeom prst="rect">
                      <a:avLst/>
                    </a:prstGeom>
                  </pic:spPr>
                </pic:pic>
              </a:graphicData>
            </a:graphic>
          </wp:inline>
        </w:drawing>
      </w:r>
    </w:p>
    <w:p w14:paraId="019CF3E5" w14:textId="0BD5690A" w:rsidR="00326519" w:rsidRPr="00C050A9" w:rsidRDefault="00326519" w:rsidP="00326519">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54</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Valor total estimado por Proveedores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7D453DF4" w14:textId="77777777" w:rsidR="00326519" w:rsidRPr="00C050A9" w:rsidRDefault="00326519" w:rsidP="00326519">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6466B3F5" w14:textId="77777777" w:rsidR="00326519" w:rsidRDefault="0068116C" w:rsidP="00326519">
      <w:pPr>
        <w:tabs>
          <w:tab w:val="left" w:pos="3390"/>
        </w:tabs>
        <w:spacing w:line="240" w:lineRule="auto"/>
        <w:rPr>
          <w:rStyle w:val="Hipervnculo"/>
          <w:rFonts w:ascii="Garamond" w:eastAsia="Arial MT" w:hAnsi="Garamond" w:cs="Arial MT"/>
          <w:sz w:val="20"/>
          <w:szCs w:val="20"/>
          <w:lang w:val="es-ES"/>
        </w:rPr>
      </w:pPr>
      <w:hyperlink r:id="rId193" w:history="1">
        <w:r w:rsidR="0032651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29503190" w14:textId="048A1B89" w:rsidR="00326519" w:rsidRDefault="00326519" w:rsidP="002A4BF2">
      <w:pPr>
        <w:tabs>
          <w:tab w:val="left" w:pos="3390"/>
        </w:tabs>
        <w:spacing w:line="240" w:lineRule="auto"/>
        <w:rPr>
          <w:rFonts w:ascii="Garamond" w:hAnsi="Garamond" w:cs="Arial"/>
          <w:sz w:val="24"/>
          <w:szCs w:val="24"/>
        </w:rPr>
      </w:pPr>
    </w:p>
    <w:p w14:paraId="414F0F6A" w14:textId="1E77A948" w:rsidR="00326519" w:rsidRDefault="00326519" w:rsidP="002A4BF2">
      <w:pPr>
        <w:tabs>
          <w:tab w:val="left" w:pos="3390"/>
        </w:tabs>
        <w:spacing w:line="240" w:lineRule="auto"/>
        <w:rPr>
          <w:rFonts w:ascii="Garamond" w:hAnsi="Garamond" w:cs="Arial"/>
          <w:sz w:val="24"/>
          <w:szCs w:val="24"/>
        </w:rPr>
      </w:pPr>
      <w:r w:rsidRPr="00326519">
        <w:rPr>
          <w:rFonts w:ascii="Garamond" w:hAnsi="Garamond" w:cs="Arial"/>
          <w:noProof/>
          <w:sz w:val="24"/>
          <w:szCs w:val="24"/>
          <w:lang w:eastAsia="es-CO"/>
        </w:rPr>
        <w:drawing>
          <wp:inline distT="0" distB="0" distL="0" distR="0" wp14:anchorId="6FA5FF8D" wp14:editId="58B63F89">
            <wp:extent cx="5612130" cy="3041015"/>
            <wp:effectExtent l="0" t="0" r="7620" b="698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612130" cy="3041015"/>
                    </a:xfrm>
                    <a:prstGeom prst="rect">
                      <a:avLst/>
                    </a:prstGeom>
                  </pic:spPr>
                </pic:pic>
              </a:graphicData>
            </a:graphic>
          </wp:inline>
        </w:drawing>
      </w:r>
    </w:p>
    <w:p w14:paraId="21FBDA78" w14:textId="6744A11F" w:rsidR="00326519" w:rsidRPr="00C050A9" w:rsidRDefault="00326519" w:rsidP="00326519">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55</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Número de contratos por Proveedores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55F8FCDE" w14:textId="77777777" w:rsidR="00326519" w:rsidRPr="00C050A9" w:rsidRDefault="00326519" w:rsidP="00326519">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lastRenderedPageBreak/>
        <w:t>Fuente: Modelo de Abastecimiento estratégico – Análisis de la oferta (Agencia Nacional de Contratación Pública Colombia Compra Eficiente CCE)</w:t>
      </w:r>
    </w:p>
    <w:p w14:paraId="4C09B13B" w14:textId="77777777" w:rsidR="00326519" w:rsidRDefault="0068116C" w:rsidP="00326519">
      <w:pPr>
        <w:tabs>
          <w:tab w:val="left" w:pos="3390"/>
        </w:tabs>
        <w:spacing w:line="240" w:lineRule="auto"/>
        <w:rPr>
          <w:rStyle w:val="Hipervnculo"/>
          <w:rFonts w:ascii="Garamond" w:eastAsia="Arial MT" w:hAnsi="Garamond" w:cs="Arial MT"/>
          <w:sz w:val="20"/>
          <w:szCs w:val="20"/>
          <w:lang w:val="es-ES"/>
        </w:rPr>
      </w:pPr>
      <w:hyperlink r:id="rId195" w:history="1">
        <w:r w:rsidR="00326519"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106FA5CC" w14:textId="65AD62EA" w:rsidR="00326519" w:rsidRDefault="00BB213E" w:rsidP="002A4BF2">
      <w:pPr>
        <w:tabs>
          <w:tab w:val="left" w:pos="3390"/>
        </w:tabs>
        <w:spacing w:line="240" w:lineRule="auto"/>
        <w:rPr>
          <w:rFonts w:ascii="Garamond" w:hAnsi="Garamond" w:cs="Arial"/>
          <w:sz w:val="24"/>
          <w:szCs w:val="24"/>
        </w:rPr>
      </w:pPr>
      <w:r w:rsidRPr="00BB213E">
        <w:rPr>
          <w:rFonts w:ascii="Garamond" w:hAnsi="Garamond" w:cs="Arial"/>
          <w:noProof/>
          <w:sz w:val="24"/>
          <w:szCs w:val="24"/>
          <w:lang w:eastAsia="es-CO"/>
        </w:rPr>
        <w:drawing>
          <wp:inline distT="0" distB="0" distL="0" distR="0" wp14:anchorId="2A7C762A" wp14:editId="7EEF123D">
            <wp:extent cx="5612130" cy="2289810"/>
            <wp:effectExtent l="0" t="0" r="762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612130" cy="2289810"/>
                    </a:xfrm>
                    <a:prstGeom prst="rect">
                      <a:avLst/>
                    </a:prstGeom>
                  </pic:spPr>
                </pic:pic>
              </a:graphicData>
            </a:graphic>
          </wp:inline>
        </w:drawing>
      </w:r>
    </w:p>
    <w:p w14:paraId="419D0510" w14:textId="4AF5C756" w:rsidR="00BB213E" w:rsidRPr="00C050A9" w:rsidRDefault="00BB213E" w:rsidP="00BB213E">
      <w:pPr>
        <w:spacing w:after="0" w:line="240" w:lineRule="auto"/>
        <w:jc w:val="center"/>
        <w:rPr>
          <w:rFonts w:ascii="Garamond" w:eastAsia="Arial MT" w:hAnsi="Garamond" w:cs="Arial MT"/>
          <w:sz w:val="20"/>
          <w:szCs w:val="20"/>
          <w:lang w:val="es-ES"/>
        </w:rPr>
      </w:pPr>
      <w:r>
        <w:rPr>
          <w:rFonts w:ascii="Garamond" w:eastAsia="Arial MT" w:hAnsi="Garamond" w:cs="Arial MT"/>
          <w:sz w:val="20"/>
          <w:szCs w:val="20"/>
          <w:lang w:val="es-ES"/>
        </w:rPr>
        <w:t>Imagen 56</w:t>
      </w:r>
      <w:r w:rsidRPr="00C050A9">
        <w:rPr>
          <w:rFonts w:ascii="Garamond" w:eastAsia="Arial MT" w:hAnsi="Garamond" w:cs="Arial MT"/>
          <w:sz w:val="20"/>
          <w:szCs w:val="20"/>
          <w:lang w:val="es-ES"/>
        </w:rPr>
        <w:t xml:space="preserve">. </w:t>
      </w:r>
      <w:r>
        <w:rPr>
          <w:rFonts w:ascii="Garamond" w:eastAsia="Arial MT" w:hAnsi="Garamond" w:cs="Arial MT"/>
          <w:sz w:val="20"/>
          <w:szCs w:val="20"/>
          <w:lang w:val="es-ES"/>
        </w:rPr>
        <w:t xml:space="preserve">Valor total estimado por Modalidad de selección FDLAN, código UNSPSC 721540, </w:t>
      </w:r>
      <w:r w:rsidRPr="00A9535E">
        <w:rPr>
          <w:rFonts w:ascii="Garamond" w:eastAsia="Arial MT" w:hAnsi="Garamond" w:cs="Arial MT"/>
          <w:sz w:val="20"/>
          <w:szCs w:val="20"/>
          <w:lang w:val="es-ES"/>
        </w:rPr>
        <w:t>721526</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721029</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301918</w:t>
      </w:r>
      <w:r>
        <w:rPr>
          <w:rFonts w:ascii="Garamond" w:eastAsia="Arial MT" w:hAnsi="Garamond" w:cs="Arial MT"/>
          <w:sz w:val="20"/>
          <w:szCs w:val="20"/>
          <w:lang w:val="es-ES"/>
        </w:rPr>
        <w:t xml:space="preserve">, </w:t>
      </w:r>
      <w:r w:rsidRPr="00A9535E">
        <w:rPr>
          <w:rFonts w:ascii="Garamond" w:eastAsia="Arial MT" w:hAnsi="Garamond" w:cs="Arial MT"/>
          <w:sz w:val="20"/>
          <w:szCs w:val="20"/>
          <w:lang w:val="es-ES"/>
        </w:rPr>
        <w:t>301916</w:t>
      </w:r>
    </w:p>
    <w:p w14:paraId="3FD817C5" w14:textId="77777777" w:rsidR="00BB213E" w:rsidRPr="00C050A9" w:rsidRDefault="00BB213E" w:rsidP="00BB213E">
      <w:pPr>
        <w:spacing w:after="0" w:line="240" w:lineRule="auto"/>
        <w:jc w:val="center"/>
        <w:rPr>
          <w:rFonts w:ascii="Garamond" w:eastAsia="Arial MT" w:hAnsi="Garamond" w:cs="Arial MT"/>
          <w:sz w:val="20"/>
          <w:szCs w:val="20"/>
          <w:lang w:val="es-ES"/>
        </w:rPr>
      </w:pPr>
      <w:r w:rsidRPr="00C050A9">
        <w:rPr>
          <w:rFonts w:ascii="Garamond" w:eastAsia="Arial MT" w:hAnsi="Garamond" w:cs="Arial MT"/>
          <w:sz w:val="20"/>
          <w:szCs w:val="20"/>
          <w:lang w:val="es-ES"/>
        </w:rPr>
        <w:t>Fuente: Modelo de Abastecimiento estratégico – Análisis de la oferta (Agencia Nacional de Contratación Pública Colombia Compra Eficiente CCE)</w:t>
      </w:r>
    </w:p>
    <w:p w14:paraId="6014BC0D" w14:textId="77777777" w:rsidR="00BB213E" w:rsidRDefault="0068116C" w:rsidP="00BB213E">
      <w:pPr>
        <w:tabs>
          <w:tab w:val="left" w:pos="3390"/>
        </w:tabs>
        <w:spacing w:line="240" w:lineRule="auto"/>
        <w:rPr>
          <w:rStyle w:val="Hipervnculo"/>
          <w:rFonts w:ascii="Garamond" w:eastAsia="Arial MT" w:hAnsi="Garamond" w:cs="Arial MT"/>
          <w:sz w:val="20"/>
          <w:szCs w:val="20"/>
          <w:lang w:val="es-ES"/>
        </w:rPr>
      </w:pPr>
      <w:hyperlink r:id="rId197" w:history="1">
        <w:r w:rsidR="00BB213E" w:rsidRPr="00C050A9">
          <w:rPr>
            <w:rStyle w:val="Hipervnculo"/>
            <w:rFonts w:ascii="Garamond" w:eastAsia="Arial MT" w:hAnsi="Garamond" w:cs="Arial MT"/>
            <w:sz w:val="20"/>
            <w:szCs w:val="20"/>
            <w:lang w:val="es-ES"/>
          </w:rPr>
          <w:t>https://app.powerbi.com/view?r=eyJrIjoiOTk0MWM1MjMtYzhkOS00NDUwLThmOTEtMmRmMTQxNTEyYTczIiwidCI6IjdiMDkwNDFlLTI0NTEtNDlkMC04Y2IxLTc5ZDVlM2Q4YzFiZSIsImMiOjR9</w:t>
        </w:r>
      </w:hyperlink>
    </w:p>
    <w:p w14:paraId="47B887EB" w14:textId="0D432534" w:rsidR="00BB213E" w:rsidRDefault="00BB213E" w:rsidP="00BB213E">
      <w:pPr>
        <w:tabs>
          <w:tab w:val="left" w:pos="3390"/>
        </w:tabs>
        <w:spacing w:after="0" w:line="240" w:lineRule="auto"/>
        <w:rPr>
          <w:rFonts w:ascii="Garamond" w:hAnsi="Garamond" w:cs="Arial"/>
          <w:sz w:val="24"/>
          <w:szCs w:val="24"/>
        </w:rPr>
      </w:pPr>
    </w:p>
    <w:p w14:paraId="31706B27" w14:textId="3852B66D" w:rsidR="00BB213E" w:rsidRDefault="00BB213E" w:rsidP="00BB213E">
      <w:pPr>
        <w:tabs>
          <w:tab w:val="left" w:pos="3390"/>
        </w:tabs>
        <w:spacing w:after="0" w:line="240" w:lineRule="auto"/>
        <w:jc w:val="both"/>
        <w:rPr>
          <w:rFonts w:ascii="Garamond" w:hAnsi="Garamond" w:cs="Arial"/>
          <w:sz w:val="24"/>
          <w:szCs w:val="24"/>
        </w:rPr>
      </w:pPr>
      <w:r w:rsidRPr="00BB213E">
        <w:rPr>
          <w:rFonts w:ascii="Garamond" w:hAnsi="Garamond" w:cs="Arial"/>
          <w:sz w:val="24"/>
          <w:szCs w:val="24"/>
        </w:rPr>
        <w:t xml:space="preserve">En conclusión, el análisis efectuado bajo los lineamientos del Modelo de Abastecimiento Estratégico (MAE) de Colombia Compra Eficiente, permitió identificar y corroborar la existencia de un mercado proveedor activo y suficiente para la </w:t>
      </w:r>
      <w:r w:rsidR="00D82131">
        <w:rPr>
          <w:rFonts w:ascii="Garamond" w:hAnsi="Garamond" w:cs="Arial"/>
          <w:sz w:val="24"/>
          <w:szCs w:val="24"/>
        </w:rPr>
        <w:t>prestación del servicio</w:t>
      </w:r>
      <w:r w:rsidRPr="00BB213E">
        <w:rPr>
          <w:rFonts w:ascii="Garamond" w:hAnsi="Garamond" w:cs="Arial"/>
          <w:sz w:val="24"/>
          <w:szCs w:val="24"/>
        </w:rPr>
        <w:t xml:space="preserve"> objeto de la presente contratación, evidenciando la concurrencia de oferentes tanto a nivel nacional como distrital, especialmente en la ciudad de Bogotá D.C.. Asimismo, el estudio de la información histórica registrada en el SECOP II demuestra que</w:t>
      </w:r>
      <w:r w:rsidR="00D82131">
        <w:rPr>
          <w:rFonts w:ascii="Garamond" w:hAnsi="Garamond" w:cs="Arial"/>
          <w:sz w:val="24"/>
          <w:szCs w:val="24"/>
        </w:rPr>
        <w:t xml:space="preserve"> el Fondo de Desarrollo Local de Antonio Nariño - FDLAN</w:t>
      </w:r>
      <w:r w:rsidRPr="00BB213E">
        <w:rPr>
          <w:rFonts w:ascii="Garamond" w:hAnsi="Garamond" w:cs="Arial"/>
          <w:sz w:val="24"/>
          <w:szCs w:val="24"/>
        </w:rPr>
        <w:t xml:space="preserve"> ha desarrollado procesos contractuales de naturaleza y cuantía semejantes mediante la modalidad de Selección Abreviada de Menor Cuantía, en rangos económicos que oscilan entre $28 millones y $211 millones, y bajo condiciones técnicas de baja complejidad, lo cual reafirma la pertinencia y coherencia de emplear dicha modalidad en el presente proceso.</w:t>
      </w:r>
    </w:p>
    <w:p w14:paraId="09E915C5" w14:textId="77777777" w:rsidR="00BB213E" w:rsidRPr="00BB213E" w:rsidRDefault="00BB213E" w:rsidP="00BB213E">
      <w:pPr>
        <w:tabs>
          <w:tab w:val="left" w:pos="3390"/>
        </w:tabs>
        <w:spacing w:after="0" w:line="240" w:lineRule="auto"/>
        <w:jc w:val="both"/>
        <w:rPr>
          <w:rFonts w:ascii="Garamond" w:hAnsi="Garamond" w:cs="Arial"/>
          <w:sz w:val="24"/>
          <w:szCs w:val="24"/>
        </w:rPr>
      </w:pPr>
    </w:p>
    <w:p w14:paraId="63F705C5" w14:textId="40CB9235" w:rsidR="00BB213E" w:rsidRDefault="00BB213E" w:rsidP="00BB213E">
      <w:pPr>
        <w:tabs>
          <w:tab w:val="left" w:pos="3390"/>
        </w:tabs>
        <w:spacing w:after="0" w:line="240" w:lineRule="auto"/>
        <w:jc w:val="both"/>
        <w:rPr>
          <w:rFonts w:ascii="Garamond" w:hAnsi="Garamond" w:cs="Arial"/>
          <w:sz w:val="24"/>
          <w:szCs w:val="24"/>
        </w:rPr>
      </w:pPr>
      <w:r w:rsidRPr="00BB213E">
        <w:rPr>
          <w:rFonts w:ascii="Garamond" w:hAnsi="Garamond" w:cs="Arial"/>
          <w:sz w:val="24"/>
          <w:szCs w:val="24"/>
        </w:rPr>
        <w:t>De igual manera, el comportamiento contractual observado refleja un uso eficiente, transparente y racional de los recursos públicos, ajustado a los principios de planeación, economía, eficacia y transparencia establecidos en el artículo 209 de la Constitución Política, en la Ley 80 de 1993 y en el Decreto 1082 de 2015. En este contexto, se concluye que la Selección Abreviada de Menor Cuantía constituye el mecanismo idóneo para garantizar la participación plural de los interesados, la adecuada competencia en el mercado, y la correcta ejecución de los recursos asignados, en atención a las necesidades del Fondo de Desarrollo Local de Antonio Nariño y a las directrices de la política pública de compras y contratación estatal.</w:t>
      </w:r>
    </w:p>
    <w:p w14:paraId="5ACE90FC" w14:textId="582D5860" w:rsidR="00BB213E" w:rsidRDefault="00BB213E" w:rsidP="002A4BF2">
      <w:pPr>
        <w:tabs>
          <w:tab w:val="left" w:pos="3390"/>
        </w:tabs>
        <w:spacing w:line="240" w:lineRule="auto"/>
        <w:rPr>
          <w:rFonts w:ascii="Garamond" w:hAnsi="Garamond" w:cs="Arial"/>
          <w:sz w:val="24"/>
          <w:szCs w:val="24"/>
        </w:rPr>
      </w:pPr>
    </w:p>
    <w:p w14:paraId="5EA4407A" w14:textId="77777777" w:rsidR="00D82131" w:rsidRDefault="00D82131" w:rsidP="002A4BF2">
      <w:pPr>
        <w:tabs>
          <w:tab w:val="left" w:pos="3390"/>
        </w:tabs>
        <w:spacing w:line="240" w:lineRule="auto"/>
        <w:rPr>
          <w:rFonts w:ascii="Garamond" w:hAnsi="Garamond" w:cs="Arial"/>
          <w:sz w:val="24"/>
          <w:szCs w:val="24"/>
        </w:rPr>
      </w:pPr>
    </w:p>
    <w:p w14:paraId="38C4676F" w14:textId="77777777" w:rsidR="00F970C5" w:rsidRDefault="00F970C5" w:rsidP="003A1825">
      <w:pPr>
        <w:pStyle w:val="Prrafodelista"/>
        <w:numPr>
          <w:ilvl w:val="0"/>
          <w:numId w:val="8"/>
        </w:numPr>
        <w:tabs>
          <w:tab w:val="left" w:pos="3390"/>
        </w:tabs>
        <w:spacing w:line="240" w:lineRule="auto"/>
        <w:rPr>
          <w:rFonts w:ascii="Garamond" w:hAnsi="Garamond" w:cs="Arial"/>
          <w:b/>
          <w:sz w:val="24"/>
          <w:szCs w:val="24"/>
        </w:rPr>
      </w:pPr>
      <w:r w:rsidRPr="00F970C5">
        <w:rPr>
          <w:rFonts w:ascii="Garamond" w:hAnsi="Garamond" w:cs="Arial"/>
          <w:b/>
          <w:sz w:val="24"/>
          <w:szCs w:val="24"/>
        </w:rPr>
        <w:lastRenderedPageBreak/>
        <w:t>ANÁLISIS DEL RIESGO</w:t>
      </w:r>
    </w:p>
    <w:p w14:paraId="32E72F88"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La Matriz 3 – Riesgos, en la cual se tipifican los riegos previsibles, preparada por la Entidad hace parte integrante del presente Pliego de Condiciones y los interesados podrán presentar sus observaciones durante la etapa de observaciones al proyecto o al Pliego de Condiciones.</w:t>
      </w:r>
    </w:p>
    <w:p w14:paraId="6A175596"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1C3B4BE3" w14:textId="72B51C86"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Como factores precursores de eventos y causantes de cambios e</w:t>
      </w:r>
      <w:r>
        <w:rPr>
          <w:rFonts w:ascii="Garamond" w:hAnsi="Garamond" w:cs="Arial"/>
          <w:sz w:val="24"/>
          <w:szCs w:val="24"/>
        </w:rPr>
        <w:t>n la ecuación económica y la es</w:t>
      </w:r>
      <w:r w:rsidRPr="00415BB2">
        <w:rPr>
          <w:rFonts w:ascii="Garamond" w:hAnsi="Garamond" w:cs="Arial"/>
          <w:sz w:val="24"/>
          <w:szCs w:val="24"/>
        </w:rPr>
        <w:t xml:space="preserve">tructura de costos, gastos y egresos que debe considerar el futuro contratista, se han tenido en cuenta los siguientes factores, los cuales, se presentan agrupados </w:t>
      </w:r>
      <w:r>
        <w:rPr>
          <w:rFonts w:ascii="Garamond" w:hAnsi="Garamond" w:cs="Arial"/>
          <w:sz w:val="24"/>
          <w:szCs w:val="24"/>
        </w:rPr>
        <w:t>según las categorías de documen</w:t>
      </w:r>
      <w:r w:rsidRPr="00415BB2">
        <w:rPr>
          <w:rFonts w:ascii="Garamond" w:hAnsi="Garamond" w:cs="Arial"/>
          <w:sz w:val="24"/>
          <w:szCs w:val="24"/>
        </w:rPr>
        <w:t>tos CONPES 3714 de diciembre 1 de 2011, y sobre los que con</w:t>
      </w:r>
      <w:r>
        <w:rPr>
          <w:rFonts w:ascii="Garamond" w:hAnsi="Garamond" w:cs="Arial"/>
          <w:sz w:val="24"/>
          <w:szCs w:val="24"/>
        </w:rPr>
        <w:t xml:space="preserve"> una descripción de eventos pro</w:t>
      </w:r>
      <w:r w:rsidRPr="00415BB2">
        <w:rPr>
          <w:rFonts w:ascii="Garamond" w:hAnsi="Garamond" w:cs="Arial"/>
          <w:sz w:val="24"/>
          <w:szCs w:val="24"/>
        </w:rPr>
        <w:t>pios de cada categoría, proceden a ser enunciados a continuación, sin perjuicio por supuesto, de haber considerado otros eventos que correspondan a dichas categorías:</w:t>
      </w:r>
    </w:p>
    <w:p w14:paraId="29DB08A0"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52E6AEB3" w14:textId="30196009"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 xml:space="preserve">1.- Riesgos Económicos: Son aquellos que se derivan del comportamiento del mercado, tales como la fluctuación de los precios de los insumos, desabastecimiento y </w:t>
      </w:r>
      <w:r>
        <w:rPr>
          <w:rFonts w:ascii="Garamond" w:hAnsi="Garamond" w:cs="Arial"/>
          <w:sz w:val="24"/>
          <w:szCs w:val="24"/>
        </w:rPr>
        <w:t>especulación de los mis</w:t>
      </w:r>
      <w:r w:rsidRPr="00415BB2">
        <w:rPr>
          <w:rFonts w:ascii="Garamond" w:hAnsi="Garamond" w:cs="Arial"/>
          <w:sz w:val="24"/>
          <w:szCs w:val="24"/>
        </w:rPr>
        <w:t>mos, entre otros. Por ejemplo, es usual que en contratos que involucran la ejecución de actividades en cuya estructura se ha definido un marco cambiario, se identifi</w:t>
      </w:r>
      <w:r>
        <w:rPr>
          <w:rFonts w:ascii="Garamond" w:hAnsi="Garamond" w:cs="Arial"/>
          <w:sz w:val="24"/>
          <w:szCs w:val="24"/>
        </w:rPr>
        <w:t>quen alteraciones por el compor</w:t>
      </w:r>
      <w:r w:rsidRPr="00415BB2">
        <w:rPr>
          <w:rFonts w:ascii="Garamond" w:hAnsi="Garamond" w:cs="Arial"/>
          <w:sz w:val="24"/>
          <w:szCs w:val="24"/>
        </w:rPr>
        <w:t>tamiento de la moneda o por circunstancias colaterales que imponen una incidencia crítica. Así mismo, en los contratos de suministro de bienes o prestación de ser</w:t>
      </w:r>
      <w:r>
        <w:rPr>
          <w:rFonts w:ascii="Garamond" w:hAnsi="Garamond" w:cs="Arial"/>
          <w:sz w:val="24"/>
          <w:szCs w:val="24"/>
        </w:rPr>
        <w:t>vicios, donde no es posible lle</w:t>
      </w:r>
      <w:r w:rsidRPr="00415BB2">
        <w:rPr>
          <w:rFonts w:ascii="Garamond" w:hAnsi="Garamond" w:cs="Arial"/>
          <w:sz w:val="24"/>
          <w:szCs w:val="24"/>
        </w:rPr>
        <w:t>var a cabo el objeto del contrato por desabastecimiento o especulación dentro del mercado propio de los insumos. Su inclusión dependerá de la posibilidad de previsión del mismo.</w:t>
      </w:r>
    </w:p>
    <w:p w14:paraId="76C8FB4A"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175D462A" w14:textId="07C51E8A"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2- Riesgos Financieros: Este riesgo tiene dos componentes básicos: I. El riesgo de consecución de financiación o riesgo de liquidez, y II. El riesgo de las condiciones financieras. El primero se refiere a la dificultad de conseguir los recursos financieros, ya sea e</w:t>
      </w:r>
      <w:r>
        <w:rPr>
          <w:rFonts w:ascii="Garamond" w:hAnsi="Garamond" w:cs="Arial"/>
          <w:sz w:val="24"/>
          <w:szCs w:val="24"/>
        </w:rPr>
        <w:t>n el sector financiero o el mer</w:t>
      </w:r>
      <w:r w:rsidRPr="00415BB2">
        <w:rPr>
          <w:rFonts w:ascii="Garamond" w:hAnsi="Garamond" w:cs="Arial"/>
          <w:sz w:val="24"/>
          <w:szCs w:val="24"/>
        </w:rPr>
        <w:t>cado de capitales, para lograr el objetivo del contrato. El segundo hace referencia a los términos financieros de dichos recursos, entre estos encontramos plazos, tasas, garantías, contragarantías, refinanciaciones entre otros.</w:t>
      </w:r>
    </w:p>
    <w:p w14:paraId="70596B88"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317F3C0A"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3.- Riesgos Operacionales: Son aquellos riesgos asociados a la operatividad del contrato. Entre estos encontramos: La posibilidad de que el monto de la inversión no sea el previsto para cumplir el objeto del contrato. También se presenta la extensión del plazo cuando los contratos se realizan en tiempos distintos a los inicialmente programados, por circunstancias no imputables a las partes.</w:t>
      </w:r>
    </w:p>
    <w:p w14:paraId="792F1A61"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1F13F7C5"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 xml:space="preserve">Adicionalmente, se presenta por la posibilidad de no consecución del objeto del contrato como consecuencia de la existencia de inadecuados procesos, procedimientos. </w:t>
      </w:r>
    </w:p>
    <w:p w14:paraId="5C151635"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3001E0B2"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4.- Riesgos Tecnológicos: Se refiere a eventuales fallos en las telecomunicaciones, suspensión de servicios públicos, advenimiento de nuevos desarrollos tecnológicos o estándares que deben ser tenidos en cuenta para la ejecución del contrato, así como la obsolescencia tecnológica.</w:t>
      </w:r>
    </w:p>
    <w:p w14:paraId="5315E6A7"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0A3E7448"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lastRenderedPageBreak/>
        <w:t>5.- Riesgos Ambientales: Se refiere a las obligaciones que emanan de las licencias ambientales, de los planes de manejo ambiental, de las condiciones ambientales o ecológicas exigidas y de la evolución de las tasas retributivas y de uso del agua. Por ejemplo, cuando durante la ejecución del contrato se configuren pasivos ambientales causados por mala gestión de la licencia ambiental y/o el plan de manejo ambiental o el costo de las obligaciones ambientales resulte superior al estimado no siendo imputables a las partes.</w:t>
      </w:r>
    </w:p>
    <w:p w14:paraId="18FF98F1"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209B2487"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6.- Riesgos Regulatorios: Son los posibles cambios regulatorios o reglamentarios que, siendo pre-visibles, afecten el equilibrio contractual. Por ejemplo, cambios en las tarifas, mercados regulados, cambios en los regímenes especiales (regalías, pensional), designación de zonas francas, planes de ordenamiento territorial, expedición de normas de carácter técnico o de calidad, entre otros.</w:t>
      </w:r>
    </w:p>
    <w:p w14:paraId="7AD513C0"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5B639C3E" w14:textId="4000DC70"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7.- Riesgos Sociales o Políticos: Son aquellos que se derivan por</w:t>
      </w:r>
      <w:r>
        <w:rPr>
          <w:rFonts w:ascii="Garamond" w:hAnsi="Garamond" w:cs="Arial"/>
          <w:sz w:val="24"/>
          <w:szCs w:val="24"/>
        </w:rPr>
        <w:t xml:space="preserve"> cambios de las políticas guber</w:t>
      </w:r>
      <w:r w:rsidRPr="00415BB2">
        <w:rPr>
          <w:rFonts w:ascii="Garamond" w:hAnsi="Garamond" w:cs="Arial"/>
          <w:sz w:val="24"/>
          <w:szCs w:val="24"/>
        </w:rPr>
        <w:t>namentales que sean probables y previsibles, tales como cambios en la situación política, sistema de Gobierno y cambio en las condiciones sociales que tengan impacto en la ejecución del contrato.</w:t>
      </w:r>
    </w:p>
    <w:p w14:paraId="176DDB28"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6C7D3ED5"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8.- Riesgos de Corrupción: Posibilidad de que, por acción u omisión, se use el poder para desviar la gestión de lo público hacia un beneficio privado”4. Un ejemplo de un riesgo de corrupción es la posibilidad de recibir o solicitar cualquier dádiva o beneficio a nombre propio o de terceros para el otorgamiento de una licencia / celebración de contrato / de emisión de un concepto.</w:t>
      </w:r>
    </w:p>
    <w:p w14:paraId="1BE05F27"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09AF12B2" w14:textId="603AD789"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También suelen presentarse por fallas en la manera en que se relacionan entre sí, el Gobierno y la población, grupos de interés o la sociedad. Por ejemplo, los paros, huelgas, actos terroristas, etc. Para la determinación de su previsibilidad, la entidad podrá acudir</w:t>
      </w:r>
      <w:r>
        <w:rPr>
          <w:rFonts w:ascii="Garamond" w:hAnsi="Garamond" w:cs="Arial"/>
          <w:sz w:val="24"/>
          <w:szCs w:val="24"/>
        </w:rPr>
        <w:t xml:space="preserve"> a las autoridades públicas com</w:t>
      </w:r>
      <w:r w:rsidRPr="00415BB2">
        <w:rPr>
          <w:rFonts w:ascii="Garamond" w:hAnsi="Garamond" w:cs="Arial"/>
          <w:sz w:val="24"/>
          <w:szCs w:val="24"/>
        </w:rPr>
        <w:t>petentes en la recopilación de datos estadísticos o fuentes oficiales (POLICIA NACIONAL, FUERZAS ARMADAS DE COLOMBIA, MINISTERIO DE LA PROTECCIÓN SOCIAL, etc.)</w:t>
      </w:r>
    </w:p>
    <w:p w14:paraId="1C6CDAA2"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170C3386"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9.-Riesgos de la Naturaleza: Son los eventos causados por la naturaleza sin la intervención o voluntad del hombre, que, aunque pueden ser previsibles por su frecuencia o diagnóstico están fuera del control de las partes. Para la determinación de su existencia y/o previsibilidad, se podrá acudir a las autoridades públicas o entidades competentes en la recopilación de datos estadísticos o fuentes oficiales (INSTITUTO AGUSTIN CODAZZI, INGEOMINAS, IDEAM, etc.)</w:t>
      </w:r>
    </w:p>
    <w:p w14:paraId="4A2157C6"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7C311454"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Para el ejercicio de tipificación, éstos se refieren a los hechos de la naturaleza que puedan tener un impacto sobre la ejecución del contrato, por ejemplo, los temblores, inundaciones, lluvias, sequias, entre otros, siempre y cuando los mismos puedan proveerse.</w:t>
      </w:r>
    </w:p>
    <w:p w14:paraId="01E5CCB6"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67EB0EB3"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Pr="00415BB2">
        <w:rPr>
          <w:rFonts w:ascii="Garamond" w:hAnsi="Garamond" w:cs="Arial"/>
          <w:sz w:val="24"/>
          <w:szCs w:val="24"/>
        </w:rPr>
        <w:lastRenderedPageBreak/>
        <w:t>Proponente debe tener en cuenta el cálculo de los aspectos económicos del proyecto, los cuales deben incluir todas las obligaciones y asunción de riesgos que emanan del Contrato.</w:t>
      </w:r>
    </w:p>
    <w:p w14:paraId="3F9FC5CB" w14:textId="77777777" w:rsidR="00415BB2" w:rsidRPr="00415BB2" w:rsidRDefault="00415BB2" w:rsidP="00415BB2">
      <w:pPr>
        <w:tabs>
          <w:tab w:val="left" w:pos="3390"/>
        </w:tabs>
        <w:spacing w:after="0" w:line="240" w:lineRule="auto"/>
        <w:ind w:left="360"/>
        <w:jc w:val="both"/>
        <w:rPr>
          <w:rFonts w:ascii="Garamond" w:hAnsi="Garamond" w:cs="Arial"/>
          <w:sz w:val="24"/>
          <w:szCs w:val="24"/>
        </w:rPr>
      </w:pPr>
    </w:p>
    <w:p w14:paraId="3FCA4F6E" w14:textId="7C30C61A" w:rsidR="00516AC6" w:rsidRDefault="00415BB2" w:rsidP="00415BB2">
      <w:pPr>
        <w:tabs>
          <w:tab w:val="left" w:pos="3390"/>
        </w:tabs>
        <w:spacing w:after="0" w:line="240" w:lineRule="auto"/>
        <w:ind w:left="360"/>
        <w:jc w:val="both"/>
        <w:rPr>
          <w:rFonts w:ascii="Garamond" w:hAnsi="Garamond" w:cs="Arial"/>
          <w:sz w:val="24"/>
          <w:szCs w:val="24"/>
        </w:rPr>
      </w:pPr>
      <w:r w:rsidRPr="00415BB2">
        <w:rPr>
          <w:rFonts w:ascii="Garamond" w:hAnsi="Garamond" w:cs="Arial"/>
          <w:sz w:val="24"/>
          <w:szCs w:val="24"/>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762CC0EA" w14:textId="2DF1B962" w:rsidR="00E268B1" w:rsidRDefault="00E268B1" w:rsidP="00415BB2">
      <w:pPr>
        <w:tabs>
          <w:tab w:val="left" w:pos="3390"/>
        </w:tabs>
        <w:spacing w:after="0" w:line="240" w:lineRule="auto"/>
        <w:ind w:left="360"/>
        <w:jc w:val="both"/>
        <w:rPr>
          <w:rFonts w:ascii="Garamond" w:hAnsi="Garamond" w:cs="Arial"/>
          <w:sz w:val="24"/>
          <w:szCs w:val="24"/>
        </w:rPr>
      </w:pPr>
    </w:p>
    <w:p w14:paraId="7B70F6FF" w14:textId="77777777" w:rsidR="009D5A1A" w:rsidRDefault="009D5A1A" w:rsidP="003A1825">
      <w:pPr>
        <w:pStyle w:val="Prrafodelista"/>
        <w:numPr>
          <w:ilvl w:val="0"/>
          <w:numId w:val="8"/>
        </w:numPr>
        <w:tabs>
          <w:tab w:val="left" w:pos="3390"/>
        </w:tabs>
        <w:spacing w:after="0" w:line="240" w:lineRule="auto"/>
        <w:jc w:val="both"/>
        <w:rPr>
          <w:rFonts w:ascii="Garamond" w:hAnsi="Garamond" w:cs="Arial"/>
          <w:b/>
          <w:sz w:val="24"/>
          <w:szCs w:val="24"/>
        </w:rPr>
      </w:pPr>
      <w:r>
        <w:rPr>
          <w:rFonts w:ascii="Garamond" w:hAnsi="Garamond" w:cs="Arial"/>
          <w:b/>
          <w:sz w:val="24"/>
          <w:szCs w:val="24"/>
        </w:rPr>
        <w:t>CONCLUSIONES</w:t>
      </w:r>
    </w:p>
    <w:p w14:paraId="6F888B8A" w14:textId="77777777" w:rsidR="009D5A1A" w:rsidRDefault="009D5A1A" w:rsidP="009D5A1A">
      <w:pPr>
        <w:pStyle w:val="Prrafodelista"/>
        <w:tabs>
          <w:tab w:val="left" w:pos="3390"/>
        </w:tabs>
        <w:spacing w:after="0" w:line="240" w:lineRule="auto"/>
        <w:ind w:left="360"/>
        <w:jc w:val="both"/>
        <w:rPr>
          <w:rFonts w:ascii="Garamond" w:hAnsi="Garamond" w:cs="Arial"/>
          <w:b/>
          <w:sz w:val="24"/>
          <w:szCs w:val="24"/>
        </w:rPr>
      </w:pPr>
    </w:p>
    <w:p w14:paraId="2D61BF7E" w14:textId="45106CE8" w:rsidR="00E268B1" w:rsidRPr="009D5A1A" w:rsidRDefault="00E268B1" w:rsidP="003A1825">
      <w:pPr>
        <w:pStyle w:val="Prrafodelista"/>
        <w:numPr>
          <w:ilvl w:val="1"/>
          <w:numId w:val="8"/>
        </w:numPr>
        <w:tabs>
          <w:tab w:val="left" w:pos="3390"/>
        </w:tabs>
        <w:spacing w:after="0" w:line="240" w:lineRule="auto"/>
        <w:jc w:val="both"/>
        <w:rPr>
          <w:rFonts w:ascii="Garamond" w:hAnsi="Garamond" w:cs="Arial"/>
          <w:b/>
          <w:sz w:val="24"/>
          <w:szCs w:val="24"/>
        </w:rPr>
      </w:pPr>
      <w:r w:rsidRPr="009D5A1A">
        <w:rPr>
          <w:rFonts w:ascii="Garamond" w:hAnsi="Garamond" w:cs="Arial"/>
          <w:b/>
          <w:sz w:val="24"/>
          <w:szCs w:val="24"/>
        </w:rPr>
        <w:t>INDICADORES FINANCIEROS</w:t>
      </w:r>
    </w:p>
    <w:p w14:paraId="1CD3D701" w14:textId="2A448E77" w:rsidR="00E268B1" w:rsidRDefault="00E268B1" w:rsidP="00E268B1">
      <w:pPr>
        <w:tabs>
          <w:tab w:val="left" w:pos="3390"/>
        </w:tabs>
        <w:spacing w:after="0" w:line="240" w:lineRule="auto"/>
        <w:jc w:val="both"/>
        <w:rPr>
          <w:rFonts w:ascii="Garamond" w:hAnsi="Garamond" w:cs="Arial"/>
          <w:sz w:val="24"/>
          <w:szCs w:val="24"/>
        </w:rPr>
      </w:pPr>
    </w:p>
    <w:p w14:paraId="231A34ED" w14:textId="3D310B6F" w:rsidR="00343DA3" w:rsidRDefault="00343DA3" w:rsidP="00343DA3">
      <w:pPr>
        <w:tabs>
          <w:tab w:val="left" w:pos="3390"/>
        </w:tabs>
        <w:spacing w:after="0" w:line="240" w:lineRule="auto"/>
        <w:ind w:left="284"/>
        <w:jc w:val="both"/>
        <w:rPr>
          <w:rFonts w:ascii="Garamond" w:hAnsi="Garamond" w:cs="Arial"/>
          <w:sz w:val="24"/>
          <w:szCs w:val="24"/>
        </w:rPr>
      </w:pPr>
      <w:r w:rsidRPr="00343DA3">
        <w:rPr>
          <w:rFonts w:ascii="Garamond" w:hAnsi="Garamond" w:cs="Arial"/>
          <w:sz w:val="24"/>
          <w:szCs w:val="24"/>
        </w:rPr>
        <w:t xml:space="preserve">El estudio financiero consistirá en verificar que los proponentes cumplan con las condiciones que el </w:t>
      </w:r>
      <w:r>
        <w:rPr>
          <w:rFonts w:ascii="Garamond" w:hAnsi="Garamond" w:cs="Arial"/>
          <w:sz w:val="24"/>
          <w:szCs w:val="24"/>
        </w:rPr>
        <w:t>FDLAN</w:t>
      </w:r>
      <w:r w:rsidRPr="00343DA3">
        <w:rPr>
          <w:rFonts w:ascii="Garamond" w:hAnsi="Garamond" w:cs="Arial"/>
          <w:sz w:val="24"/>
          <w:szCs w:val="24"/>
        </w:rPr>
        <w:t xml:space="preserve"> considera necesarias para la correcta ejecución del contrato. Dichas condiciones son el resultado del análisis del sector en el cual se toma el nicho de mercado y se realiza un comparativo con los Fondos de Desarrollo y entidades que contratan procesos similares. De igual forma, se verifica que el valor de la propuesta no sea superior al presupuesto oficial estimado por el </w:t>
      </w:r>
      <w:r>
        <w:rPr>
          <w:rFonts w:ascii="Garamond" w:hAnsi="Garamond" w:cs="Arial"/>
          <w:sz w:val="24"/>
          <w:szCs w:val="24"/>
        </w:rPr>
        <w:t>FDLAN</w:t>
      </w:r>
      <w:r w:rsidRPr="00343DA3">
        <w:rPr>
          <w:rFonts w:ascii="Garamond" w:hAnsi="Garamond" w:cs="Arial"/>
          <w:sz w:val="24"/>
          <w:szCs w:val="24"/>
        </w:rPr>
        <w:t xml:space="preserve"> y que cumpla con los indicadores financieros descritos a continuación.</w:t>
      </w:r>
    </w:p>
    <w:p w14:paraId="1D9069A2" w14:textId="48312A31" w:rsidR="009D5A1A" w:rsidRDefault="009D5A1A" w:rsidP="00343DA3">
      <w:pPr>
        <w:tabs>
          <w:tab w:val="left" w:pos="3390"/>
        </w:tabs>
        <w:spacing w:after="0" w:line="240" w:lineRule="auto"/>
        <w:ind w:left="284"/>
        <w:jc w:val="both"/>
        <w:rPr>
          <w:rFonts w:ascii="Garamond" w:hAnsi="Garamond" w:cs="Arial"/>
          <w:sz w:val="24"/>
          <w:szCs w:val="24"/>
        </w:rPr>
      </w:pPr>
    </w:p>
    <w:p w14:paraId="084A27C3" w14:textId="77777777" w:rsidR="009D5A1A" w:rsidRDefault="009D5A1A" w:rsidP="009D5A1A">
      <w:pPr>
        <w:ind w:left="284"/>
        <w:jc w:val="both"/>
        <w:rPr>
          <w:rFonts w:ascii="Garamond" w:eastAsia="Arial" w:hAnsi="Garamond" w:cs="Arial"/>
          <w:color w:val="000000" w:themeColor="text1"/>
        </w:rPr>
      </w:pPr>
      <w:r w:rsidRPr="004624AE">
        <w:rPr>
          <w:rFonts w:ascii="Garamond" w:hAnsi="Garamond" w:cs="Arial"/>
        </w:rPr>
        <w:t>Los</w:t>
      </w:r>
      <w:r w:rsidRPr="004624AE">
        <w:rPr>
          <w:rFonts w:ascii="Garamond" w:eastAsia="Arial" w:hAnsi="Garamond" w:cs="Arial"/>
        </w:rPr>
        <w:t xml:space="preserve"> </w:t>
      </w:r>
      <w:r w:rsidRPr="004624AE">
        <w:rPr>
          <w:rFonts w:ascii="Garamond" w:hAnsi="Garamond" w:cs="Arial"/>
        </w:rPr>
        <w:t>Proponentes</w:t>
      </w:r>
      <w:r w:rsidRPr="004624AE">
        <w:rPr>
          <w:rFonts w:ascii="Garamond" w:eastAsia="Arial" w:hAnsi="Garamond" w:cs="Arial"/>
        </w:rPr>
        <w:t xml:space="preserve"> </w:t>
      </w:r>
      <w:r w:rsidRPr="004624AE">
        <w:rPr>
          <w:rFonts w:ascii="Garamond" w:hAnsi="Garamond" w:cs="Arial"/>
        </w:rPr>
        <w:t>deberán</w:t>
      </w:r>
      <w:r w:rsidRPr="004624AE">
        <w:rPr>
          <w:rFonts w:ascii="Garamond" w:eastAsia="Arial" w:hAnsi="Garamond" w:cs="Arial"/>
        </w:rPr>
        <w:t xml:space="preserve"> </w:t>
      </w:r>
      <w:r w:rsidRPr="004624AE">
        <w:rPr>
          <w:rFonts w:ascii="Garamond" w:hAnsi="Garamond" w:cs="Arial"/>
        </w:rPr>
        <w:t>acreditar</w:t>
      </w:r>
      <w:r w:rsidRPr="004624AE">
        <w:rPr>
          <w:rFonts w:ascii="Garamond" w:eastAsia="Arial" w:hAnsi="Garamond" w:cs="Arial"/>
        </w:rPr>
        <w:t xml:space="preserve"> </w:t>
      </w:r>
      <w:r w:rsidRPr="004624AE">
        <w:rPr>
          <w:rFonts w:ascii="Garamond" w:hAnsi="Garamond" w:cs="Arial"/>
        </w:rPr>
        <w:t>los</w:t>
      </w:r>
      <w:r w:rsidRPr="004624AE">
        <w:rPr>
          <w:rFonts w:ascii="Garamond" w:eastAsia="Arial" w:hAnsi="Garamond" w:cs="Arial"/>
        </w:rPr>
        <w:t xml:space="preserve"> </w:t>
      </w:r>
      <w:r w:rsidRPr="004624AE">
        <w:rPr>
          <w:rFonts w:ascii="Garamond" w:hAnsi="Garamond" w:cs="Arial"/>
        </w:rPr>
        <w:t>siguientes indicadores</w:t>
      </w:r>
      <w:r w:rsidRPr="004624AE">
        <w:rPr>
          <w:rFonts w:ascii="Garamond" w:eastAsia="Arial" w:hAnsi="Garamond" w:cs="Arial"/>
        </w:rPr>
        <w:t xml:space="preserve"> </w:t>
      </w:r>
      <w:r w:rsidRPr="004624AE">
        <w:rPr>
          <w:rFonts w:ascii="Garamond" w:hAnsi="Garamond" w:cs="Arial"/>
        </w:rPr>
        <w:t>en los términos señalados en la Matriz 2 – Indicadores financieros y organizacionales y bajo las condiciones señaladas en el numeral 3.9</w:t>
      </w:r>
      <w:r w:rsidRPr="004624AE">
        <w:rPr>
          <w:rFonts w:ascii="Garamond" w:eastAsia="Arial" w:hAnsi="Garamond" w:cs="Arial"/>
        </w:rPr>
        <w:t>:</w:t>
      </w:r>
      <w:r w:rsidRPr="004624AE">
        <w:rPr>
          <w:rFonts w:ascii="Garamond" w:eastAsia="Arial" w:hAnsi="Garamond" w:cs="Arial"/>
          <w:color w:val="000000" w:themeColor="text1"/>
        </w:rPr>
        <w:t xml:space="preserve"> </w:t>
      </w:r>
    </w:p>
    <w:p w14:paraId="0A830341" w14:textId="1A30579E" w:rsidR="009D5A1A" w:rsidRPr="004624AE" w:rsidRDefault="009D5A1A" w:rsidP="009D5A1A">
      <w:pPr>
        <w:ind w:left="284"/>
        <w:jc w:val="both"/>
        <w:rPr>
          <w:rFonts w:ascii="Garamond" w:eastAsia="Arial" w:hAnsi="Garamond" w:cs="Arial"/>
          <w:color w:val="000000" w:themeColor="text1"/>
        </w:rPr>
      </w:pPr>
      <w:r w:rsidRPr="00AB6ADC">
        <w:rPr>
          <w:rFonts w:ascii="Garamond" w:eastAsia="Arial" w:hAnsi="Garamond" w:cs="Arial"/>
          <w:color w:val="000000" w:themeColor="text1"/>
        </w:rPr>
        <w:t>1.</w:t>
      </w:r>
      <w:r w:rsidRPr="00AB6ADC">
        <w:rPr>
          <w:rFonts w:ascii="Garamond" w:eastAsia="Arial" w:hAnsi="Garamond" w:cs="Arial"/>
          <w:b/>
          <w:color w:val="000000" w:themeColor="text1"/>
        </w:rPr>
        <w:tab/>
        <w:t>Índices de capacidad financiera y organizacionales para Mipyme.</w:t>
      </w:r>
    </w:p>
    <w:tbl>
      <w:tblPr>
        <w:tblStyle w:val="Tablaconcuadrcula1"/>
        <w:tblW w:w="0" w:type="auto"/>
        <w:jc w:val="center"/>
        <w:tblLook w:val="04A0" w:firstRow="1" w:lastRow="0" w:firstColumn="1" w:lastColumn="0" w:noHBand="0" w:noVBand="1"/>
      </w:tblPr>
      <w:tblGrid>
        <w:gridCol w:w="2689"/>
        <w:gridCol w:w="2268"/>
      </w:tblGrid>
      <w:tr w:rsidR="009D5A1A" w:rsidRPr="00C85DED" w14:paraId="45EED2CB" w14:textId="77777777" w:rsidTr="00B01719">
        <w:trPr>
          <w:trHeight w:val="20"/>
          <w:jc w:val="center"/>
        </w:trPr>
        <w:tc>
          <w:tcPr>
            <w:tcW w:w="2689" w:type="dxa"/>
            <w:shd w:val="clear" w:color="auto" w:fill="F7CAAC" w:themeFill="accent2" w:themeFillTint="66"/>
            <w:vAlign w:val="center"/>
          </w:tcPr>
          <w:p w14:paraId="5F208B9C" w14:textId="77777777" w:rsidR="009D5A1A" w:rsidRPr="00AB6ADC" w:rsidRDefault="009D5A1A" w:rsidP="009D5A1A">
            <w:pPr>
              <w:ind w:left="284" w:hanging="174"/>
              <w:jc w:val="center"/>
              <w:rPr>
                <w:rFonts w:ascii="Garamond" w:hAnsi="Garamond" w:cs="Arial"/>
                <w:b/>
              </w:rPr>
            </w:pPr>
            <w:r w:rsidRPr="00AB6ADC">
              <w:rPr>
                <w:rFonts w:ascii="Garamond" w:hAnsi="Garamond" w:cs="Arial"/>
                <w:b/>
              </w:rPr>
              <w:t>Indicador</w:t>
            </w:r>
          </w:p>
        </w:tc>
        <w:tc>
          <w:tcPr>
            <w:tcW w:w="2268" w:type="dxa"/>
            <w:shd w:val="clear" w:color="auto" w:fill="F7CAAC" w:themeFill="accent2" w:themeFillTint="66"/>
            <w:vAlign w:val="center"/>
          </w:tcPr>
          <w:p w14:paraId="7E98C5F2" w14:textId="77777777" w:rsidR="009D5A1A" w:rsidRPr="00AB6ADC" w:rsidRDefault="009D5A1A" w:rsidP="009D5A1A">
            <w:pPr>
              <w:ind w:left="284" w:hanging="174"/>
              <w:jc w:val="center"/>
              <w:rPr>
                <w:rFonts w:ascii="Garamond" w:hAnsi="Garamond" w:cs="Arial"/>
                <w:b/>
              </w:rPr>
            </w:pPr>
            <w:r w:rsidRPr="00AB6ADC">
              <w:rPr>
                <w:rFonts w:ascii="Garamond" w:hAnsi="Garamond" w:cs="Arial"/>
                <w:b/>
              </w:rPr>
              <w:t>Valor concertado</w:t>
            </w:r>
          </w:p>
        </w:tc>
      </w:tr>
      <w:tr w:rsidR="009D5A1A" w:rsidRPr="00C85DED" w14:paraId="1088039D" w14:textId="77777777" w:rsidTr="00B01719">
        <w:trPr>
          <w:trHeight w:val="20"/>
          <w:jc w:val="center"/>
        </w:trPr>
        <w:tc>
          <w:tcPr>
            <w:tcW w:w="2689" w:type="dxa"/>
            <w:vAlign w:val="center"/>
          </w:tcPr>
          <w:p w14:paraId="76199594" w14:textId="77777777" w:rsidR="009D5A1A" w:rsidRPr="00AB6ADC" w:rsidRDefault="009D5A1A" w:rsidP="009D5A1A">
            <w:pPr>
              <w:ind w:left="284"/>
              <w:jc w:val="center"/>
              <w:rPr>
                <w:rFonts w:ascii="Garamond" w:hAnsi="Garamond" w:cstheme="minorHAnsi"/>
              </w:rPr>
            </w:pPr>
          </w:p>
          <w:p w14:paraId="4E8C34D1" w14:textId="77777777" w:rsidR="009D5A1A" w:rsidRPr="00AB6ADC" w:rsidRDefault="009D5A1A" w:rsidP="009D5A1A">
            <w:pPr>
              <w:ind w:left="284"/>
              <w:jc w:val="center"/>
              <w:rPr>
                <w:rFonts w:ascii="Garamond" w:hAnsi="Garamond" w:cstheme="minorHAnsi"/>
              </w:rPr>
            </w:pPr>
            <w:r w:rsidRPr="00AB6ADC">
              <w:rPr>
                <w:rFonts w:ascii="Garamond" w:hAnsi="Garamond" w:cstheme="minorHAnsi"/>
              </w:rPr>
              <w:t>Índice de liquidez</w:t>
            </w:r>
          </w:p>
        </w:tc>
        <w:tc>
          <w:tcPr>
            <w:tcW w:w="2268" w:type="dxa"/>
            <w:vAlign w:val="center"/>
          </w:tcPr>
          <w:p w14:paraId="73D31F0C" w14:textId="77777777" w:rsidR="009D5A1A" w:rsidRPr="00AB6ADC" w:rsidRDefault="009D5A1A" w:rsidP="009D5A1A">
            <w:pPr>
              <w:spacing w:before="240"/>
              <w:ind w:left="284"/>
              <w:jc w:val="center"/>
              <w:rPr>
                <w:rFonts w:ascii="Garamond" w:hAnsi="Garamond" w:cs="Arial"/>
                <w:bCs/>
              </w:rPr>
            </w:pPr>
            <m:oMath>
              <m:r>
                <m:rPr>
                  <m:sty m:val="p"/>
                </m:rPr>
                <w:rPr>
                  <w:rFonts w:ascii="Cambria Math" w:hAnsi="Cambria Math" w:cs="Arial"/>
                </w:rPr>
                <m:t>≥</m:t>
              </m:r>
            </m:oMath>
            <w:r w:rsidRPr="00AB6ADC">
              <w:rPr>
                <w:rFonts w:ascii="Garamond" w:hAnsi="Garamond" w:cs="Arial"/>
                <w:bCs/>
              </w:rPr>
              <w:t>1,1</w:t>
            </w:r>
          </w:p>
          <w:p w14:paraId="055B097F" w14:textId="77777777" w:rsidR="009D5A1A" w:rsidRPr="00AB6ADC" w:rsidRDefault="009D5A1A" w:rsidP="009D5A1A">
            <w:pPr>
              <w:ind w:left="284"/>
              <w:jc w:val="center"/>
              <w:rPr>
                <w:rFonts w:ascii="Garamond" w:hAnsi="Garamond" w:cstheme="minorHAnsi"/>
                <w:bCs/>
              </w:rPr>
            </w:pPr>
          </w:p>
        </w:tc>
      </w:tr>
      <w:tr w:rsidR="009D5A1A" w:rsidRPr="00C85DED" w14:paraId="7269ADE7" w14:textId="77777777" w:rsidTr="00B01719">
        <w:trPr>
          <w:trHeight w:val="20"/>
          <w:jc w:val="center"/>
        </w:trPr>
        <w:tc>
          <w:tcPr>
            <w:tcW w:w="2689" w:type="dxa"/>
            <w:vAlign w:val="center"/>
          </w:tcPr>
          <w:p w14:paraId="4CFF5389" w14:textId="77777777" w:rsidR="009D5A1A" w:rsidRPr="00AB6ADC" w:rsidRDefault="009D5A1A" w:rsidP="009D5A1A">
            <w:pPr>
              <w:ind w:left="284"/>
              <w:jc w:val="center"/>
              <w:rPr>
                <w:rFonts w:ascii="Garamond" w:hAnsi="Garamond" w:cstheme="minorHAnsi"/>
              </w:rPr>
            </w:pPr>
          </w:p>
          <w:p w14:paraId="7A347CC4" w14:textId="77777777" w:rsidR="009D5A1A" w:rsidRPr="00AB6ADC" w:rsidRDefault="009D5A1A" w:rsidP="009D5A1A">
            <w:pPr>
              <w:ind w:left="284"/>
              <w:jc w:val="center"/>
              <w:rPr>
                <w:rFonts w:ascii="Garamond" w:hAnsi="Garamond" w:cstheme="minorHAnsi"/>
              </w:rPr>
            </w:pPr>
            <w:r w:rsidRPr="00AB6ADC">
              <w:rPr>
                <w:rFonts w:ascii="Garamond" w:hAnsi="Garamond" w:cstheme="minorHAnsi"/>
              </w:rPr>
              <w:t>Índice de endeudamiento</w:t>
            </w:r>
          </w:p>
        </w:tc>
        <w:tc>
          <w:tcPr>
            <w:tcW w:w="2268" w:type="dxa"/>
            <w:vAlign w:val="center"/>
          </w:tcPr>
          <w:p w14:paraId="4AA36EC7" w14:textId="77777777" w:rsidR="009D5A1A" w:rsidRPr="00AB6ADC" w:rsidRDefault="009D5A1A" w:rsidP="009D5A1A">
            <w:pPr>
              <w:ind w:left="284"/>
              <w:jc w:val="center"/>
              <w:rPr>
                <w:rFonts w:ascii="Garamond" w:eastAsiaTheme="minorEastAsia" w:hAnsi="Garamond" w:cstheme="minorHAnsi"/>
                <w:bCs/>
              </w:rPr>
            </w:pPr>
          </w:p>
          <w:p w14:paraId="7ADDA0A1" w14:textId="77777777" w:rsidR="009D5A1A" w:rsidRPr="00AB6ADC" w:rsidRDefault="009D5A1A" w:rsidP="009D5A1A">
            <w:pPr>
              <w:ind w:left="284"/>
              <w:jc w:val="center"/>
              <w:rPr>
                <w:rFonts w:ascii="Garamond" w:hAnsi="Garamond" w:cstheme="minorHAnsi"/>
                <w:bCs/>
              </w:rPr>
            </w:pPr>
            <m:oMathPara>
              <m:oMath>
                <m:r>
                  <m:rPr>
                    <m:sty m:val="p"/>
                  </m:rPr>
                  <w:rPr>
                    <w:rFonts w:ascii="Cambria Math" w:hAnsi="Cambria Math" w:cstheme="minorHAnsi"/>
                  </w:rPr>
                  <m:t>≤ 0,70</m:t>
                </m:r>
              </m:oMath>
            </m:oMathPara>
          </w:p>
          <w:p w14:paraId="2368469D" w14:textId="77777777" w:rsidR="009D5A1A" w:rsidRPr="00AB6ADC" w:rsidRDefault="009D5A1A" w:rsidP="009D5A1A">
            <w:pPr>
              <w:ind w:left="284"/>
              <w:jc w:val="center"/>
              <w:rPr>
                <w:rFonts w:ascii="Garamond" w:hAnsi="Garamond" w:cstheme="minorHAnsi"/>
                <w:bCs/>
              </w:rPr>
            </w:pPr>
          </w:p>
        </w:tc>
      </w:tr>
      <w:tr w:rsidR="009D5A1A" w:rsidRPr="00C85DED" w14:paraId="28C27AAE" w14:textId="77777777" w:rsidTr="00B01719">
        <w:trPr>
          <w:trHeight w:val="20"/>
          <w:jc w:val="center"/>
        </w:trPr>
        <w:tc>
          <w:tcPr>
            <w:tcW w:w="2689" w:type="dxa"/>
            <w:vAlign w:val="center"/>
          </w:tcPr>
          <w:p w14:paraId="5B4171F3" w14:textId="77777777" w:rsidR="009D5A1A" w:rsidRPr="00AB6ADC" w:rsidRDefault="009D5A1A" w:rsidP="009D5A1A">
            <w:pPr>
              <w:ind w:left="284"/>
              <w:jc w:val="center"/>
              <w:rPr>
                <w:rFonts w:ascii="Garamond" w:hAnsi="Garamond" w:cstheme="minorHAnsi"/>
              </w:rPr>
            </w:pPr>
          </w:p>
          <w:p w14:paraId="78BD5B01" w14:textId="77777777" w:rsidR="009D5A1A" w:rsidRPr="00AB6ADC" w:rsidRDefault="009D5A1A" w:rsidP="009D5A1A">
            <w:pPr>
              <w:ind w:left="284"/>
              <w:jc w:val="center"/>
              <w:rPr>
                <w:rFonts w:ascii="Garamond" w:hAnsi="Garamond" w:cstheme="minorHAnsi"/>
              </w:rPr>
            </w:pPr>
            <w:r w:rsidRPr="00AB6ADC">
              <w:rPr>
                <w:rFonts w:ascii="Garamond" w:hAnsi="Garamond" w:cstheme="minorHAnsi"/>
              </w:rPr>
              <w:t>Razón de cobertura de intereses</w:t>
            </w:r>
          </w:p>
        </w:tc>
        <w:tc>
          <w:tcPr>
            <w:tcW w:w="2268" w:type="dxa"/>
            <w:vAlign w:val="center"/>
          </w:tcPr>
          <w:p w14:paraId="13592C81" w14:textId="77777777" w:rsidR="009D5A1A" w:rsidRPr="00AB6ADC" w:rsidRDefault="009D5A1A" w:rsidP="009D5A1A">
            <w:pPr>
              <w:ind w:left="284"/>
              <w:jc w:val="center"/>
              <w:rPr>
                <w:rFonts w:ascii="Garamond" w:eastAsiaTheme="minorEastAsia" w:hAnsi="Garamond" w:cstheme="minorHAnsi"/>
                <w:bCs/>
              </w:rPr>
            </w:pPr>
          </w:p>
          <w:p w14:paraId="5F0CFD25" w14:textId="77777777" w:rsidR="009D5A1A" w:rsidRPr="00AB6ADC" w:rsidRDefault="009D5A1A" w:rsidP="009D5A1A">
            <w:pPr>
              <w:ind w:left="284"/>
              <w:jc w:val="center"/>
              <w:rPr>
                <w:rFonts w:ascii="Garamond" w:eastAsiaTheme="minorEastAsia" w:hAnsi="Garamond" w:cstheme="minorHAnsi"/>
                <w:bCs/>
              </w:rPr>
            </w:pPr>
            <m:oMathPara>
              <m:oMath>
                <m:r>
                  <m:rPr>
                    <m:sty m:val="p"/>
                  </m:rPr>
                  <w:rPr>
                    <w:rFonts w:ascii="Cambria Math" w:hAnsi="Cambria Math" w:cstheme="minorHAnsi"/>
                  </w:rPr>
                  <m:t>≥1</m:t>
                </m:r>
              </m:oMath>
            </m:oMathPara>
          </w:p>
          <w:p w14:paraId="10585BB2" w14:textId="77777777" w:rsidR="009D5A1A" w:rsidRPr="00AB6ADC" w:rsidRDefault="009D5A1A" w:rsidP="009D5A1A">
            <w:pPr>
              <w:ind w:left="284"/>
              <w:jc w:val="center"/>
              <w:rPr>
                <w:rFonts w:ascii="Garamond" w:hAnsi="Garamond" w:cstheme="minorHAnsi"/>
                <w:bCs/>
              </w:rPr>
            </w:pPr>
          </w:p>
        </w:tc>
      </w:tr>
      <w:tr w:rsidR="009D5A1A" w:rsidRPr="00C85DED" w14:paraId="194CBA8D" w14:textId="77777777" w:rsidTr="00B01719">
        <w:trPr>
          <w:trHeight w:val="20"/>
          <w:jc w:val="center"/>
        </w:trPr>
        <w:tc>
          <w:tcPr>
            <w:tcW w:w="2689" w:type="dxa"/>
            <w:vAlign w:val="center"/>
          </w:tcPr>
          <w:p w14:paraId="47E935D5" w14:textId="77777777" w:rsidR="009D5A1A" w:rsidRPr="00AB6ADC" w:rsidRDefault="009D5A1A" w:rsidP="009D5A1A">
            <w:pPr>
              <w:ind w:left="284"/>
              <w:jc w:val="center"/>
              <w:rPr>
                <w:rFonts w:ascii="Garamond" w:hAnsi="Garamond" w:cstheme="minorHAnsi"/>
              </w:rPr>
            </w:pPr>
          </w:p>
          <w:p w14:paraId="58C3174D" w14:textId="77777777" w:rsidR="009D5A1A" w:rsidRPr="00AB6ADC" w:rsidRDefault="009D5A1A" w:rsidP="009D5A1A">
            <w:pPr>
              <w:ind w:left="284"/>
              <w:jc w:val="center"/>
              <w:rPr>
                <w:rFonts w:ascii="Garamond" w:hAnsi="Garamond" w:cstheme="minorHAnsi"/>
              </w:rPr>
            </w:pPr>
            <w:r w:rsidRPr="00AB6ADC">
              <w:rPr>
                <w:rFonts w:ascii="Garamond" w:hAnsi="Garamond" w:cstheme="minorHAnsi"/>
              </w:rPr>
              <w:t>Capital de trabajo</w:t>
            </w:r>
          </w:p>
        </w:tc>
        <w:tc>
          <w:tcPr>
            <w:tcW w:w="2268" w:type="dxa"/>
            <w:vAlign w:val="center"/>
          </w:tcPr>
          <w:p w14:paraId="4F61C687" w14:textId="77777777" w:rsidR="009D5A1A" w:rsidRPr="00AB6ADC" w:rsidRDefault="009D5A1A" w:rsidP="009D5A1A">
            <w:pPr>
              <w:ind w:left="284"/>
              <w:jc w:val="center"/>
              <w:rPr>
                <w:rFonts w:ascii="Garamond" w:hAnsi="Garamond" w:cstheme="minorHAnsi"/>
                <w:bCs/>
              </w:rPr>
            </w:pPr>
          </w:p>
          <w:p w14:paraId="750A15E9" w14:textId="77777777" w:rsidR="009D5A1A" w:rsidRPr="00AB6ADC" w:rsidRDefault="009D5A1A" w:rsidP="009D5A1A">
            <w:pPr>
              <w:ind w:left="284"/>
              <w:jc w:val="center"/>
              <w:rPr>
                <w:rFonts w:ascii="Garamond" w:hAnsi="Garamond" w:cstheme="minorHAnsi"/>
                <w:bCs/>
              </w:rPr>
            </w:pPr>
            <w:r w:rsidRPr="00AB6ADC">
              <w:rPr>
                <w:rFonts w:ascii="Garamond" w:hAnsi="Garamond" w:cstheme="minorHAnsi"/>
                <w:bCs/>
              </w:rPr>
              <w:t>Definido en los Pliegos Tipo</w:t>
            </w:r>
          </w:p>
          <w:p w14:paraId="1EF788ED" w14:textId="77777777" w:rsidR="009D5A1A" w:rsidRPr="00AB6ADC" w:rsidRDefault="009D5A1A" w:rsidP="009D5A1A">
            <w:pPr>
              <w:ind w:left="284"/>
              <w:jc w:val="center"/>
              <w:rPr>
                <w:rFonts w:ascii="Garamond" w:hAnsi="Garamond" w:cstheme="minorHAnsi"/>
                <w:bCs/>
              </w:rPr>
            </w:pPr>
          </w:p>
        </w:tc>
      </w:tr>
      <w:tr w:rsidR="009D5A1A" w:rsidRPr="00C85DED" w14:paraId="0683455C" w14:textId="77777777" w:rsidTr="00B01719">
        <w:trPr>
          <w:trHeight w:val="20"/>
          <w:jc w:val="center"/>
        </w:trPr>
        <w:tc>
          <w:tcPr>
            <w:tcW w:w="2689" w:type="dxa"/>
            <w:vAlign w:val="center"/>
          </w:tcPr>
          <w:p w14:paraId="2F9D6D85" w14:textId="77777777" w:rsidR="009D5A1A" w:rsidRPr="00AB6ADC" w:rsidRDefault="009D5A1A" w:rsidP="009D5A1A">
            <w:pPr>
              <w:ind w:left="284"/>
              <w:jc w:val="center"/>
              <w:rPr>
                <w:rFonts w:ascii="Garamond" w:hAnsi="Garamond" w:cstheme="minorHAnsi"/>
              </w:rPr>
            </w:pPr>
          </w:p>
          <w:p w14:paraId="457F46EE" w14:textId="77777777" w:rsidR="009D5A1A" w:rsidRPr="00AB6ADC" w:rsidRDefault="009D5A1A" w:rsidP="009D5A1A">
            <w:pPr>
              <w:ind w:left="284"/>
              <w:jc w:val="center"/>
              <w:rPr>
                <w:rFonts w:ascii="Garamond" w:hAnsi="Garamond" w:cstheme="minorHAnsi"/>
              </w:rPr>
            </w:pPr>
            <w:r w:rsidRPr="00AB6ADC">
              <w:rPr>
                <w:rFonts w:ascii="Garamond" w:hAnsi="Garamond" w:cstheme="minorHAnsi"/>
              </w:rPr>
              <w:t>Rentabilidad del patrimonio</w:t>
            </w:r>
          </w:p>
        </w:tc>
        <w:tc>
          <w:tcPr>
            <w:tcW w:w="2268" w:type="dxa"/>
            <w:vAlign w:val="center"/>
          </w:tcPr>
          <w:p w14:paraId="3ED0FA78" w14:textId="77777777" w:rsidR="009D5A1A" w:rsidRPr="00AB6ADC" w:rsidRDefault="009D5A1A" w:rsidP="009D5A1A">
            <w:pPr>
              <w:ind w:left="284"/>
              <w:jc w:val="center"/>
              <w:rPr>
                <w:rFonts w:ascii="Garamond" w:eastAsiaTheme="minorEastAsia" w:hAnsi="Garamond" w:cstheme="minorHAnsi"/>
                <w:bCs/>
              </w:rPr>
            </w:pPr>
          </w:p>
          <w:p w14:paraId="7225978C" w14:textId="77777777" w:rsidR="009D5A1A" w:rsidRPr="00AB6ADC" w:rsidRDefault="009D5A1A" w:rsidP="009D5A1A">
            <w:pPr>
              <w:ind w:left="284"/>
              <w:jc w:val="center"/>
              <w:rPr>
                <w:rFonts w:ascii="Garamond" w:eastAsiaTheme="minorEastAsia" w:hAnsi="Garamond" w:cs="Arial"/>
                <w:bCs/>
              </w:rPr>
            </w:pPr>
            <m:oMathPara>
              <m:oMath>
                <m:r>
                  <m:rPr>
                    <m:sty m:val="p"/>
                  </m:rPr>
                  <w:rPr>
                    <w:rFonts w:ascii="Cambria Math" w:hAnsi="Cambria Math" w:cs="Arial"/>
                  </w:rPr>
                  <m:t>≥0,02</m:t>
                </m:r>
              </m:oMath>
            </m:oMathPara>
          </w:p>
          <w:p w14:paraId="2733BA6A" w14:textId="77777777" w:rsidR="009D5A1A" w:rsidRPr="00AB6ADC" w:rsidRDefault="009D5A1A" w:rsidP="009D5A1A">
            <w:pPr>
              <w:ind w:left="284"/>
              <w:jc w:val="center"/>
              <w:rPr>
                <w:rFonts w:ascii="Garamond" w:hAnsi="Garamond" w:cstheme="minorHAnsi"/>
                <w:bCs/>
              </w:rPr>
            </w:pPr>
          </w:p>
        </w:tc>
      </w:tr>
      <w:tr w:rsidR="009D5A1A" w:rsidRPr="00C85DED" w14:paraId="701D3CAD" w14:textId="77777777" w:rsidTr="00B01719">
        <w:trPr>
          <w:trHeight w:val="20"/>
          <w:jc w:val="center"/>
        </w:trPr>
        <w:tc>
          <w:tcPr>
            <w:tcW w:w="2689" w:type="dxa"/>
            <w:vAlign w:val="center"/>
          </w:tcPr>
          <w:p w14:paraId="75088D85" w14:textId="77777777" w:rsidR="009D5A1A" w:rsidRPr="00AB6ADC" w:rsidRDefault="009D5A1A" w:rsidP="009D5A1A">
            <w:pPr>
              <w:ind w:left="284"/>
              <w:jc w:val="center"/>
              <w:rPr>
                <w:rFonts w:ascii="Garamond" w:hAnsi="Garamond" w:cstheme="minorHAnsi"/>
              </w:rPr>
            </w:pPr>
          </w:p>
          <w:p w14:paraId="642A22DF" w14:textId="77777777" w:rsidR="009D5A1A" w:rsidRPr="00AB6ADC" w:rsidRDefault="009D5A1A" w:rsidP="009D5A1A">
            <w:pPr>
              <w:ind w:left="284"/>
              <w:jc w:val="center"/>
              <w:rPr>
                <w:rFonts w:ascii="Garamond" w:hAnsi="Garamond" w:cstheme="minorHAnsi"/>
              </w:rPr>
            </w:pPr>
            <w:r w:rsidRPr="00AB6ADC">
              <w:rPr>
                <w:rFonts w:ascii="Garamond" w:hAnsi="Garamond" w:cstheme="minorHAnsi"/>
              </w:rPr>
              <w:t>Rentabilidad del activo</w:t>
            </w:r>
          </w:p>
        </w:tc>
        <w:tc>
          <w:tcPr>
            <w:tcW w:w="2268" w:type="dxa"/>
            <w:vAlign w:val="center"/>
          </w:tcPr>
          <w:p w14:paraId="3F88B315" w14:textId="77777777" w:rsidR="009D5A1A" w:rsidRPr="00AB6ADC" w:rsidRDefault="009D5A1A" w:rsidP="009D5A1A">
            <w:pPr>
              <w:ind w:left="284"/>
              <w:jc w:val="center"/>
              <w:rPr>
                <w:rFonts w:ascii="Garamond" w:eastAsiaTheme="minorEastAsia" w:hAnsi="Garamond" w:cstheme="minorHAnsi"/>
                <w:bCs/>
              </w:rPr>
            </w:pPr>
          </w:p>
          <w:p w14:paraId="7A4AFFF2" w14:textId="77777777" w:rsidR="009D5A1A" w:rsidRPr="00AB6ADC" w:rsidRDefault="009D5A1A" w:rsidP="009D5A1A">
            <w:pPr>
              <w:ind w:left="284"/>
              <w:jc w:val="center"/>
              <w:rPr>
                <w:rFonts w:ascii="Garamond" w:eastAsiaTheme="minorEastAsia" w:hAnsi="Garamond" w:cstheme="minorHAnsi"/>
                <w:bCs/>
              </w:rPr>
            </w:pPr>
            <m:oMathPara>
              <m:oMath>
                <m:r>
                  <m:rPr>
                    <m:sty m:val="p"/>
                  </m:rPr>
                  <w:rPr>
                    <w:rFonts w:ascii="Cambria Math" w:hAnsi="Cambria Math" w:cstheme="minorHAnsi"/>
                  </w:rPr>
                  <m:t>≥0,01</m:t>
                </m:r>
              </m:oMath>
            </m:oMathPara>
          </w:p>
          <w:p w14:paraId="2A49E685" w14:textId="77777777" w:rsidR="009D5A1A" w:rsidRPr="00AB6ADC" w:rsidRDefault="009D5A1A" w:rsidP="009D5A1A">
            <w:pPr>
              <w:ind w:left="284"/>
              <w:jc w:val="center"/>
              <w:rPr>
                <w:rFonts w:ascii="Garamond" w:hAnsi="Garamond" w:cstheme="minorHAnsi"/>
                <w:bCs/>
              </w:rPr>
            </w:pPr>
          </w:p>
        </w:tc>
      </w:tr>
    </w:tbl>
    <w:p w14:paraId="2CADBA2D" w14:textId="77777777" w:rsidR="009D5A1A" w:rsidRDefault="009D5A1A" w:rsidP="009D5A1A">
      <w:pPr>
        <w:ind w:left="284"/>
        <w:jc w:val="both"/>
        <w:rPr>
          <w:rFonts w:ascii="Garamond" w:hAnsi="Garamond" w:cs="Arial"/>
          <w:color w:val="000000" w:themeColor="text1"/>
        </w:rPr>
      </w:pPr>
    </w:p>
    <w:p w14:paraId="1FCC179B" w14:textId="77777777" w:rsidR="009D5A1A" w:rsidRPr="00AB6ADC" w:rsidRDefault="009D5A1A" w:rsidP="009D5A1A">
      <w:pPr>
        <w:spacing w:after="0"/>
        <w:ind w:left="284"/>
        <w:jc w:val="both"/>
        <w:rPr>
          <w:rFonts w:ascii="Garamond" w:hAnsi="Garamond" w:cs="Arial"/>
          <w:color w:val="000000" w:themeColor="text1"/>
        </w:rPr>
      </w:pPr>
      <w:r w:rsidRPr="00AB6ADC">
        <w:rPr>
          <w:rFonts w:ascii="Garamond" w:hAnsi="Garamond" w:cs="Arial"/>
          <w:color w:val="000000" w:themeColor="text1"/>
        </w:rPr>
        <w:lastRenderedPageBreak/>
        <w:t>Tratándose de Proponente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73B2652E" w14:textId="77777777" w:rsidR="009D5A1A" w:rsidRPr="00AB6ADC" w:rsidRDefault="009D5A1A" w:rsidP="009D5A1A">
      <w:pPr>
        <w:spacing w:after="0"/>
        <w:ind w:left="284"/>
        <w:jc w:val="both"/>
        <w:rPr>
          <w:rFonts w:ascii="Garamond" w:hAnsi="Garamond" w:cs="Arial"/>
          <w:color w:val="000000" w:themeColor="text1"/>
        </w:rPr>
      </w:pPr>
    </w:p>
    <w:p w14:paraId="1DE087AE" w14:textId="77777777" w:rsidR="009D5A1A" w:rsidRDefault="009D5A1A" w:rsidP="009D5A1A">
      <w:pPr>
        <w:spacing w:after="0"/>
        <w:ind w:left="284"/>
        <w:jc w:val="both"/>
        <w:rPr>
          <w:rFonts w:ascii="Garamond" w:hAnsi="Garamond" w:cs="Arial"/>
          <w:color w:val="000000" w:themeColor="text1"/>
        </w:rPr>
      </w:pPr>
      <w:r w:rsidRPr="00AB6ADC">
        <w:rPr>
          <w:rFonts w:ascii="Garamond" w:hAnsi="Garamond" w:cs="Arial"/>
          <w:color w:val="000000" w:themeColor="text1"/>
        </w:rPr>
        <w:t>Para acreditar la calidad de Mipyme el Proponente entregará copia del certificado del Registro Único de Proponentes, el cual deberá encontrarse vigente y en firme al momento de su presentación.</w:t>
      </w:r>
    </w:p>
    <w:p w14:paraId="49C1DC54" w14:textId="77777777" w:rsidR="009D5A1A" w:rsidRDefault="009D5A1A" w:rsidP="009D5A1A">
      <w:pPr>
        <w:spacing w:after="0"/>
        <w:ind w:left="284"/>
        <w:jc w:val="both"/>
        <w:rPr>
          <w:rFonts w:ascii="Garamond" w:hAnsi="Garamond" w:cs="Arial"/>
          <w:color w:val="000000" w:themeColor="text1"/>
        </w:rPr>
      </w:pPr>
    </w:p>
    <w:p w14:paraId="2D2E4C3F" w14:textId="77777777" w:rsidR="009D5A1A" w:rsidRPr="00AB6ADC" w:rsidRDefault="009D5A1A" w:rsidP="009D5A1A">
      <w:pPr>
        <w:spacing w:after="0"/>
        <w:ind w:left="284"/>
        <w:jc w:val="both"/>
        <w:rPr>
          <w:rFonts w:ascii="Garamond" w:eastAsia="Arial" w:hAnsi="Garamond" w:cs="Arial"/>
          <w:b/>
          <w:color w:val="000000" w:themeColor="text1"/>
        </w:rPr>
      </w:pPr>
      <w:r>
        <w:rPr>
          <w:rFonts w:ascii="Garamond" w:eastAsia="Arial" w:hAnsi="Garamond" w:cs="Arial"/>
          <w:b/>
          <w:color w:val="000000" w:themeColor="text1"/>
        </w:rPr>
        <w:t xml:space="preserve">2. </w:t>
      </w:r>
      <w:r w:rsidRPr="00AB6ADC">
        <w:rPr>
          <w:rFonts w:ascii="Garamond" w:eastAsia="Arial" w:hAnsi="Garamond" w:cs="Arial"/>
          <w:b/>
          <w:color w:val="000000" w:themeColor="text1"/>
        </w:rPr>
        <w:t>Índices de capacidad financiera y organizacionales para los demás Proponentes</w:t>
      </w:r>
    </w:p>
    <w:p w14:paraId="642FDC89" w14:textId="77777777" w:rsidR="009D5A1A" w:rsidRDefault="009D5A1A" w:rsidP="009D5A1A">
      <w:pPr>
        <w:spacing w:after="0"/>
        <w:ind w:left="284"/>
        <w:jc w:val="both"/>
        <w:rPr>
          <w:rFonts w:ascii="Garamond" w:hAnsi="Garamond" w:cs="Arial"/>
          <w:color w:val="000000" w:themeColor="text1"/>
        </w:rPr>
      </w:pPr>
    </w:p>
    <w:p w14:paraId="0E25C5C9" w14:textId="355CC27C" w:rsidR="009D5A1A" w:rsidRDefault="009D5A1A" w:rsidP="009D5A1A">
      <w:pPr>
        <w:spacing w:after="0"/>
        <w:ind w:left="284"/>
        <w:jc w:val="both"/>
        <w:rPr>
          <w:rFonts w:ascii="Garamond" w:hAnsi="Garamond" w:cs="Arial"/>
          <w:color w:val="000000" w:themeColor="text1"/>
        </w:rPr>
      </w:pPr>
      <w:r w:rsidRPr="00AB6ADC">
        <w:rPr>
          <w:rFonts w:ascii="Garamond" w:hAnsi="Garamond" w:cs="Arial"/>
          <w:color w:val="000000" w:themeColor="text1"/>
        </w:rPr>
        <w:t>Los Proponentes que NO demuestren la condición de Mipyme de conformidad con lo en el artículo 2.2.1.2.4.2.4. del Decreto 1082 de 2015, en concordancia con el parágrafo del artículo 2.2.1.13.2.4 del Decreto 1074 de 2015 o las normas que los modifiquen, sustituyan o complementen, acreditarán los siguientes indicadores:</w:t>
      </w:r>
    </w:p>
    <w:tbl>
      <w:tblPr>
        <w:tblStyle w:val="Tablaconcuadrcula1"/>
        <w:tblW w:w="0" w:type="auto"/>
        <w:jc w:val="center"/>
        <w:tblLook w:val="04A0" w:firstRow="1" w:lastRow="0" w:firstColumn="1" w:lastColumn="0" w:noHBand="0" w:noVBand="1"/>
      </w:tblPr>
      <w:tblGrid>
        <w:gridCol w:w="2689"/>
        <w:gridCol w:w="2268"/>
      </w:tblGrid>
      <w:tr w:rsidR="009D5A1A" w:rsidRPr="0052328B" w14:paraId="613D9BEC" w14:textId="77777777" w:rsidTr="00B01719">
        <w:trPr>
          <w:cantSplit/>
          <w:trHeight w:val="20"/>
          <w:tblHeader/>
          <w:jc w:val="center"/>
        </w:trPr>
        <w:tc>
          <w:tcPr>
            <w:tcW w:w="2689" w:type="dxa"/>
            <w:shd w:val="clear" w:color="auto" w:fill="F7CAAC" w:themeFill="accent2" w:themeFillTint="66"/>
            <w:vAlign w:val="center"/>
          </w:tcPr>
          <w:p w14:paraId="5A2171A8" w14:textId="77777777" w:rsidR="009D5A1A" w:rsidRPr="00AB6ADC" w:rsidRDefault="009D5A1A" w:rsidP="009D5A1A">
            <w:pPr>
              <w:ind w:left="284" w:hanging="174"/>
              <w:jc w:val="center"/>
              <w:rPr>
                <w:rFonts w:ascii="Garamond" w:hAnsi="Garamond" w:cs="Arial"/>
                <w:b/>
              </w:rPr>
            </w:pPr>
            <w:r w:rsidRPr="00AB6ADC">
              <w:rPr>
                <w:rFonts w:ascii="Garamond" w:hAnsi="Garamond" w:cs="Arial"/>
                <w:b/>
              </w:rPr>
              <w:t>Indicador</w:t>
            </w:r>
          </w:p>
        </w:tc>
        <w:tc>
          <w:tcPr>
            <w:tcW w:w="2268" w:type="dxa"/>
            <w:shd w:val="clear" w:color="auto" w:fill="F7CAAC" w:themeFill="accent2" w:themeFillTint="66"/>
            <w:vAlign w:val="center"/>
          </w:tcPr>
          <w:p w14:paraId="5012185E" w14:textId="77777777" w:rsidR="009D5A1A" w:rsidRPr="00AB6ADC" w:rsidRDefault="009D5A1A" w:rsidP="009D5A1A">
            <w:pPr>
              <w:ind w:left="284" w:hanging="174"/>
              <w:jc w:val="center"/>
              <w:rPr>
                <w:rFonts w:ascii="Garamond" w:hAnsi="Garamond" w:cs="Arial"/>
                <w:b/>
              </w:rPr>
            </w:pPr>
            <w:r w:rsidRPr="00AB6ADC">
              <w:rPr>
                <w:rFonts w:ascii="Garamond" w:hAnsi="Garamond" w:cs="Arial"/>
                <w:b/>
              </w:rPr>
              <w:t>Valor concertado</w:t>
            </w:r>
          </w:p>
        </w:tc>
      </w:tr>
      <w:tr w:rsidR="009D5A1A" w:rsidRPr="00C85DED" w14:paraId="0D74324B" w14:textId="77777777" w:rsidTr="00B01719">
        <w:trPr>
          <w:cantSplit/>
          <w:trHeight w:val="20"/>
          <w:jc w:val="center"/>
        </w:trPr>
        <w:tc>
          <w:tcPr>
            <w:tcW w:w="2689" w:type="dxa"/>
            <w:vAlign w:val="center"/>
          </w:tcPr>
          <w:p w14:paraId="13939B68" w14:textId="77777777" w:rsidR="009D5A1A" w:rsidRPr="00AB6ADC" w:rsidRDefault="009D5A1A" w:rsidP="009D5A1A">
            <w:pPr>
              <w:ind w:left="284"/>
              <w:jc w:val="center"/>
              <w:rPr>
                <w:rFonts w:ascii="Garamond" w:hAnsi="Garamond" w:cs="Arial"/>
              </w:rPr>
            </w:pPr>
          </w:p>
          <w:p w14:paraId="20BDA320" w14:textId="77777777" w:rsidR="009D5A1A" w:rsidRPr="00AB6ADC" w:rsidRDefault="009D5A1A" w:rsidP="009D5A1A">
            <w:pPr>
              <w:ind w:left="284"/>
              <w:jc w:val="center"/>
              <w:rPr>
                <w:rFonts w:ascii="Garamond" w:hAnsi="Garamond" w:cs="Arial"/>
              </w:rPr>
            </w:pPr>
            <w:r w:rsidRPr="00AB6ADC">
              <w:rPr>
                <w:rFonts w:ascii="Garamond" w:hAnsi="Garamond" w:cs="Arial"/>
              </w:rPr>
              <w:t>Índice de liquidez</w:t>
            </w:r>
          </w:p>
        </w:tc>
        <w:tc>
          <w:tcPr>
            <w:tcW w:w="2268" w:type="dxa"/>
            <w:vAlign w:val="center"/>
          </w:tcPr>
          <w:p w14:paraId="2627BAE6" w14:textId="77777777" w:rsidR="009D5A1A" w:rsidRPr="00AB6ADC" w:rsidRDefault="009D5A1A" w:rsidP="009D5A1A">
            <w:pPr>
              <w:spacing w:before="240"/>
              <w:ind w:left="284"/>
              <w:jc w:val="center"/>
              <w:rPr>
                <w:rFonts w:ascii="Garamond" w:hAnsi="Garamond" w:cs="Arial"/>
                <w:bCs/>
              </w:rPr>
            </w:pPr>
            <m:oMath>
              <m:r>
                <m:rPr>
                  <m:sty m:val="p"/>
                </m:rPr>
                <w:rPr>
                  <w:rFonts w:ascii="Cambria Math" w:hAnsi="Cambria Math" w:cs="Arial"/>
                </w:rPr>
                <m:t>≥</m:t>
              </m:r>
            </m:oMath>
            <w:r w:rsidRPr="00AB6ADC">
              <w:rPr>
                <w:rFonts w:ascii="Garamond" w:hAnsi="Garamond" w:cs="Arial"/>
                <w:bCs/>
              </w:rPr>
              <w:t>1,2</w:t>
            </w:r>
          </w:p>
          <w:p w14:paraId="5D39CCD7" w14:textId="77777777" w:rsidR="009D5A1A" w:rsidRPr="00AB6ADC" w:rsidRDefault="009D5A1A" w:rsidP="009D5A1A">
            <w:pPr>
              <w:ind w:left="284"/>
              <w:jc w:val="center"/>
              <w:rPr>
                <w:rFonts w:ascii="Garamond" w:hAnsi="Garamond" w:cs="Arial"/>
                <w:bCs/>
              </w:rPr>
            </w:pPr>
          </w:p>
        </w:tc>
      </w:tr>
      <w:tr w:rsidR="009D5A1A" w:rsidRPr="00C85DED" w14:paraId="7AEDADD5" w14:textId="77777777" w:rsidTr="00B01719">
        <w:trPr>
          <w:cantSplit/>
          <w:trHeight w:val="20"/>
          <w:jc w:val="center"/>
        </w:trPr>
        <w:tc>
          <w:tcPr>
            <w:tcW w:w="2689" w:type="dxa"/>
            <w:vAlign w:val="center"/>
          </w:tcPr>
          <w:p w14:paraId="3DBA2716" w14:textId="77777777" w:rsidR="009D5A1A" w:rsidRPr="00AB6ADC" w:rsidRDefault="009D5A1A" w:rsidP="009D5A1A">
            <w:pPr>
              <w:ind w:left="284"/>
              <w:jc w:val="center"/>
              <w:rPr>
                <w:rFonts w:ascii="Garamond" w:hAnsi="Garamond" w:cs="Arial"/>
              </w:rPr>
            </w:pPr>
          </w:p>
          <w:p w14:paraId="297A478B" w14:textId="77777777" w:rsidR="009D5A1A" w:rsidRPr="00AB6ADC" w:rsidRDefault="009D5A1A" w:rsidP="009D5A1A">
            <w:pPr>
              <w:ind w:left="284"/>
              <w:jc w:val="center"/>
              <w:rPr>
                <w:rFonts w:ascii="Garamond" w:hAnsi="Garamond" w:cs="Arial"/>
              </w:rPr>
            </w:pPr>
            <w:r w:rsidRPr="00AB6ADC">
              <w:rPr>
                <w:rFonts w:ascii="Garamond" w:hAnsi="Garamond" w:cs="Arial"/>
              </w:rPr>
              <w:t>Índice de endeudamiento</w:t>
            </w:r>
          </w:p>
        </w:tc>
        <w:tc>
          <w:tcPr>
            <w:tcW w:w="2268" w:type="dxa"/>
            <w:vAlign w:val="center"/>
          </w:tcPr>
          <w:p w14:paraId="53175D16" w14:textId="77777777" w:rsidR="009D5A1A" w:rsidRPr="00AB6ADC" w:rsidRDefault="009D5A1A" w:rsidP="009D5A1A">
            <w:pPr>
              <w:ind w:left="284"/>
              <w:jc w:val="center"/>
              <w:rPr>
                <w:rFonts w:ascii="Garamond" w:eastAsiaTheme="minorEastAsia" w:hAnsi="Garamond" w:cs="Arial"/>
                <w:bCs/>
              </w:rPr>
            </w:pPr>
          </w:p>
          <w:p w14:paraId="425AFAAC" w14:textId="77777777" w:rsidR="009D5A1A" w:rsidRPr="00AB6ADC" w:rsidRDefault="009D5A1A" w:rsidP="009D5A1A">
            <w:pPr>
              <w:ind w:left="284"/>
              <w:jc w:val="center"/>
              <w:rPr>
                <w:rFonts w:ascii="Garamond" w:hAnsi="Garamond" w:cs="Arial"/>
                <w:bCs/>
              </w:rPr>
            </w:pPr>
            <m:oMathPara>
              <m:oMath>
                <m:r>
                  <m:rPr>
                    <m:sty m:val="p"/>
                  </m:rPr>
                  <w:rPr>
                    <w:rFonts w:ascii="Cambria Math" w:hAnsi="Cambria Math" w:cs="Arial"/>
                  </w:rPr>
                  <m:t>≤ 0,70</m:t>
                </m:r>
              </m:oMath>
            </m:oMathPara>
          </w:p>
          <w:p w14:paraId="374F5E9E" w14:textId="77777777" w:rsidR="009D5A1A" w:rsidRPr="00AB6ADC" w:rsidRDefault="009D5A1A" w:rsidP="009D5A1A">
            <w:pPr>
              <w:ind w:left="284"/>
              <w:jc w:val="center"/>
              <w:rPr>
                <w:rFonts w:ascii="Garamond" w:hAnsi="Garamond" w:cs="Arial"/>
                <w:bCs/>
              </w:rPr>
            </w:pPr>
          </w:p>
        </w:tc>
      </w:tr>
      <w:tr w:rsidR="009D5A1A" w:rsidRPr="00C85DED" w14:paraId="4C63332D" w14:textId="77777777" w:rsidTr="00B01719">
        <w:trPr>
          <w:cantSplit/>
          <w:trHeight w:val="20"/>
          <w:jc w:val="center"/>
        </w:trPr>
        <w:tc>
          <w:tcPr>
            <w:tcW w:w="2689" w:type="dxa"/>
            <w:vAlign w:val="center"/>
          </w:tcPr>
          <w:p w14:paraId="0B32CDCD" w14:textId="77777777" w:rsidR="009D5A1A" w:rsidRPr="00AB6ADC" w:rsidRDefault="009D5A1A" w:rsidP="009D5A1A">
            <w:pPr>
              <w:ind w:left="284"/>
              <w:jc w:val="center"/>
              <w:rPr>
                <w:rFonts w:ascii="Garamond" w:hAnsi="Garamond" w:cs="Arial"/>
              </w:rPr>
            </w:pPr>
          </w:p>
          <w:p w14:paraId="370DEA0B" w14:textId="77777777" w:rsidR="009D5A1A" w:rsidRPr="00AB6ADC" w:rsidRDefault="009D5A1A" w:rsidP="009D5A1A">
            <w:pPr>
              <w:ind w:left="284"/>
              <w:jc w:val="center"/>
              <w:rPr>
                <w:rFonts w:ascii="Garamond" w:hAnsi="Garamond" w:cs="Arial"/>
              </w:rPr>
            </w:pPr>
            <w:r w:rsidRPr="00AB6ADC">
              <w:rPr>
                <w:rFonts w:ascii="Garamond" w:hAnsi="Garamond" w:cs="Arial"/>
              </w:rPr>
              <w:t>Razón de cobertura de intereses</w:t>
            </w:r>
          </w:p>
        </w:tc>
        <w:tc>
          <w:tcPr>
            <w:tcW w:w="2268" w:type="dxa"/>
            <w:vAlign w:val="center"/>
          </w:tcPr>
          <w:p w14:paraId="2BD88728" w14:textId="77777777" w:rsidR="009D5A1A" w:rsidRPr="00AB6ADC" w:rsidRDefault="009D5A1A" w:rsidP="009D5A1A">
            <w:pPr>
              <w:ind w:left="284"/>
              <w:jc w:val="center"/>
              <w:rPr>
                <w:rFonts w:ascii="Garamond" w:eastAsiaTheme="minorEastAsia" w:hAnsi="Garamond" w:cs="Arial"/>
                <w:bCs/>
              </w:rPr>
            </w:pPr>
          </w:p>
          <w:p w14:paraId="2CC5D73C" w14:textId="77777777" w:rsidR="009D5A1A" w:rsidRPr="00AB6ADC" w:rsidRDefault="009D5A1A" w:rsidP="009D5A1A">
            <w:pPr>
              <w:ind w:left="284"/>
              <w:jc w:val="center"/>
              <w:rPr>
                <w:rFonts w:ascii="Garamond" w:eastAsiaTheme="minorEastAsia" w:hAnsi="Garamond" w:cs="Arial"/>
                <w:bCs/>
              </w:rPr>
            </w:pPr>
            <m:oMathPara>
              <m:oMath>
                <m:r>
                  <m:rPr>
                    <m:sty m:val="p"/>
                  </m:rPr>
                  <w:rPr>
                    <w:rFonts w:ascii="Cambria Math" w:hAnsi="Cambria Math" w:cs="Arial"/>
                  </w:rPr>
                  <m:t>≥1</m:t>
                </m:r>
              </m:oMath>
            </m:oMathPara>
          </w:p>
          <w:p w14:paraId="3CDEDA23" w14:textId="77777777" w:rsidR="009D5A1A" w:rsidRPr="00AB6ADC" w:rsidRDefault="009D5A1A" w:rsidP="009D5A1A">
            <w:pPr>
              <w:ind w:left="284"/>
              <w:jc w:val="center"/>
              <w:rPr>
                <w:rFonts w:ascii="Garamond" w:hAnsi="Garamond" w:cs="Arial"/>
                <w:bCs/>
              </w:rPr>
            </w:pPr>
          </w:p>
        </w:tc>
      </w:tr>
      <w:tr w:rsidR="009D5A1A" w:rsidRPr="00C85DED" w14:paraId="30975FCB" w14:textId="77777777" w:rsidTr="00B01719">
        <w:trPr>
          <w:cantSplit/>
          <w:trHeight w:val="20"/>
          <w:jc w:val="center"/>
        </w:trPr>
        <w:tc>
          <w:tcPr>
            <w:tcW w:w="2689" w:type="dxa"/>
            <w:vAlign w:val="center"/>
          </w:tcPr>
          <w:p w14:paraId="14AF239C" w14:textId="77777777" w:rsidR="009D5A1A" w:rsidRPr="00AB6ADC" w:rsidRDefault="009D5A1A" w:rsidP="009D5A1A">
            <w:pPr>
              <w:ind w:left="284"/>
              <w:jc w:val="center"/>
              <w:rPr>
                <w:rFonts w:ascii="Garamond" w:hAnsi="Garamond" w:cs="Arial"/>
              </w:rPr>
            </w:pPr>
          </w:p>
          <w:p w14:paraId="1DF5DE7B" w14:textId="77777777" w:rsidR="009D5A1A" w:rsidRPr="00AB6ADC" w:rsidRDefault="009D5A1A" w:rsidP="009D5A1A">
            <w:pPr>
              <w:ind w:left="284"/>
              <w:jc w:val="center"/>
              <w:rPr>
                <w:rFonts w:ascii="Garamond" w:hAnsi="Garamond" w:cs="Arial"/>
              </w:rPr>
            </w:pPr>
            <w:r w:rsidRPr="00AB6ADC">
              <w:rPr>
                <w:rFonts w:ascii="Garamond" w:hAnsi="Garamond" w:cs="Arial"/>
              </w:rPr>
              <w:t>Capital de trabajo</w:t>
            </w:r>
          </w:p>
        </w:tc>
        <w:tc>
          <w:tcPr>
            <w:tcW w:w="2268" w:type="dxa"/>
            <w:vAlign w:val="center"/>
          </w:tcPr>
          <w:p w14:paraId="7C64E11B" w14:textId="77777777" w:rsidR="009D5A1A" w:rsidRPr="00AB6ADC" w:rsidRDefault="009D5A1A" w:rsidP="009D5A1A">
            <w:pPr>
              <w:ind w:left="284"/>
              <w:jc w:val="center"/>
              <w:rPr>
                <w:rFonts w:ascii="Garamond" w:hAnsi="Garamond" w:cs="Arial"/>
                <w:bCs/>
              </w:rPr>
            </w:pPr>
          </w:p>
          <w:p w14:paraId="451CD380" w14:textId="77777777" w:rsidR="009D5A1A" w:rsidRPr="00AB6ADC" w:rsidRDefault="009D5A1A" w:rsidP="009D5A1A">
            <w:pPr>
              <w:ind w:left="284"/>
              <w:jc w:val="center"/>
              <w:rPr>
                <w:rFonts w:ascii="Garamond" w:hAnsi="Garamond" w:cs="Arial"/>
                <w:bCs/>
              </w:rPr>
            </w:pPr>
            <w:r w:rsidRPr="00AB6ADC">
              <w:rPr>
                <w:rFonts w:ascii="Garamond" w:hAnsi="Garamond" w:cs="Arial"/>
                <w:bCs/>
              </w:rPr>
              <w:t>Definido en los Pliegos Tipo</w:t>
            </w:r>
          </w:p>
          <w:p w14:paraId="7DEAB7BA" w14:textId="77777777" w:rsidR="009D5A1A" w:rsidRPr="00AB6ADC" w:rsidRDefault="009D5A1A" w:rsidP="009D5A1A">
            <w:pPr>
              <w:ind w:left="284"/>
              <w:jc w:val="center"/>
              <w:rPr>
                <w:rFonts w:ascii="Garamond" w:hAnsi="Garamond" w:cs="Arial"/>
                <w:bCs/>
              </w:rPr>
            </w:pPr>
          </w:p>
        </w:tc>
      </w:tr>
      <w:tr w:rsidR="009D5A1A" w:rsidRPr="00C85DED" w14:paraId="1C7495BF" w14:textId="77777777" w:rsidTr="00B01719">
        <w:trPr>
          <w:cantSplit/>
          <w:trHeight w:val="20"/>
          <w:jc w:val="center"/>
        </w:trPr>
        <w:tc>
          <w:tcPr>
            <w:tcW w:w="2689" w:type="dxa"/>
            <w:vAlign w:val="center"/>
          </w:tcPr>
          <w:p w14:paraId="3A42C716" w14:textId="77777777" w:rsidR="009D5A1A" w:rsidRPr="00AB6ADC" w:rsidRDefault="009D5A1A" w:rsidP="009D5A1A">
            <w:pPr>
              <w:ind w:left="284"/>
              <w:jc w:val="center"/>
              <w:rPr>
                <w:rFonts w:ascii="Garamond" w:hAnsi="Garamond" w:cs="Arial"/>
              </w:rPr>
            </w:pPr>
          </w:p>
          <w:p w14:paraId="2EDC76C0" w14:textId="77777777" w:rsidR="009D5A1A" w:rsidRPr="00AB6ADC" w:rsidRDefault="009D5A1A" w:rsidP="009D5A1A">
            <w:pPr>
              <w:ind w:left="284"/>
              <w:jc w:val="center"/>
              <w:rPr>
                <w:rFonts w:ascii="Garamond" w:hAnsi="Garamond" w:cs="Arial"/>
              </w:rPr>
            </w:pPr>
            <w:r w:rsidRPr="00AB6ADC">
              <w:rPr>
                <w:rFonts w:ascii="Garamond" w:hAnsi="Garamond" w:cs="Arial"/>
              </w:rPr>
              <w:t>Rentabilidad del patrimonio</w:t>
            </w:r>
          </w:p>
        </w:tc>
        <w:tc>
          <w:tcPr>
            <w:tcW w:w="2268" w:type="dxa"/>
            <w:vAlign w:val="center"/>
          </w:tcPr>
          <w:p w14:paraId="5AC482D5" w14:textId="77777777" w:rsidR="009D5A1A" w:rsidRPr="00AB6ADC" w:rsidRDefault="009D5A1A" w:rsidP="009D5A1A">
            <w:pPr>
              <w:ind w:left="284"/>
              <w:jc w:val="center"/>
              <w:rPr>
                <w:rFonts w:ascii="Garamond" w:eastAsiaTheme="minorEastAsia" w:hAnsi="Garamond" w:cs="Arial"/>
                <w:bCs/>
              </w:rPr>
            </w:pPr>
          </w:p>
          <w:p w14:paraId="3FDC127A" w14:textId="77777777" w:rsidR="009D5A1A" w:rsidRPr="00AB6ADC" w:rsidRDefault="009D5A1A" w:rsidP="009D5A1A">
            <w:pPr>
              <w:ind w:left="284"/>
              <w:jc w:val="center"/>
              <w:rPr>
                <w:rFonts w:ascii="Garamond" w:eastAsiaTheme="minorEastAsia" w:hAnsi="Garamond" w:cs="Arial"/>
                <w:bCs/>
              </w:rPr>
            </w:pPr>
            <m:oMathPara>
              <m:oMath>
                <m:r>
                  <m:rPr>
                    <m:sty m:val="p"/>
                  </m:rPr>
                  <w:rPr>
                    <w:rFonts w:ascii="Cambria Math" w:hAnsi="Cambria Math" w:cs="Arial"/>
                  </w:rPr>
                  <m:t>≥0</m:t>
                </m:r>
                <m:r>
                  <w:rPr>
                    <w:rFonts w:ascii="Cambria Math" w:eastAsiaTheme="minorEastAsia" w:hAnsi="Cambria Math" w:cs="Arial"/>
                  </w:rPr>
                  <m:t>,04</m:t>
                </m:r>
              </m:oMath>
            </m:oMathPara>
          </w:p>
          <w:p w14:paraId="78BD97C7" w14:textId="77777777" w:rsidR="009D5A1A" w:rsidRPr="00AB6ADC" w:rsidRDefault="009D5A1A" w:rsidP="009D5A1A">
            <w:pPr>
              <w:ind w:left="284"/>
              <w:jc w:val="center"/>
              <w:rPr>
                <w:rFonts w:ascii="Garamond" w:hAnsi="Garamond" w:cs="Arial"/>
                <w:bCs/>
              </w:rPr>
            </w:pPr>
          </w:p>
        </w:tc>
      </w:tr>
      <w:tr w:rsidR="009D5A1A" w:rsidRPr="00C85DED" w14:paraId="3F44BE93" w14:textId="77777777" w:rsidTr="00B01719">
        <w:trPr>
          <w:cantSplit/>
          <w:trHeight w:val="20"/>
          <w:jc w:val="center"/>
        </w:trPr>
        <w:tc>
          <w:tcPr>
            <w:tcW w:w="2689" w:type="dxa"/>
            <w:vAlign w:val="center"/>
          </w:tcPr>
          <w:p w14:paraId="3FA17BF4" w14:textId="77777777" w:rsidR="009D5A1A" w:rsidRPr="00AB6ADC" w:rsidRDefault="009D5A1A" w:rsidP="009D5A1A">
            <w:pPr>
              <w:ind w:left="284"/>
              <w:jc w:val="center"/>
              <w:rPr>
                <w:rFonts w:ascii="Garamond" w:hAnsi="Garamond" w:cs="Arial"/>
              </w:rPr>
            </w:pPr>
          </w:p>
          <w:p w14:paraId="311D28FE" w14:textId="77777777" w:rsidR="009D5A1A" w:rsidRPr="00AB6ADC" w:rsidRDefault="009D5A1A" w:rsidP="009D5A1A">
            <w:pPr>
              <w:ind w:left="284"/>
              <w:jc w:val="center"/>
              <w:rPr>
                <w:rFonts w:ascii="Garamond" w:hAnsi="Garamond" w:cs="Arial"/>
              </w:rPr>
            </w:pPr>
            <w:r w:rsidRPr="00AB6ADC">
              <w:rPr>
                <w:rFonts w:ascii="Garamond" w:hAnsi="Garamond" w:cs="Arial"/>
              </w:rPr>
              <w:t>Rentabilidad del activo</w:t>
            </w:r>
          </w:p>
        </w:tc>
        <w:tc>
          <w:tcPr>
            <w:tcW w:w="2268" w:type="dxa"/>
            <w:vAlign w:val="center"/>
          </w:tcPr>
          <w:p w14:paraId="46BA5A96" w14:textId="77777777" w:rsidR="009D5A1A" w:rsidRPr="00AB6ADC" w:rsidRDefault="009D5A1A" w:rsidP="009D5A1A">
            <w:pPr>
              <w:ind w:left="284"/>
              <w:jc w:val="center"/>
              <w:rPr>
                <w:rFonts w:ascii="Garamond" w:eastAsiaTheme="minorEastAsia" w:hAnsi="Garamond" w:cs="Arial"/>
                <w:bCs/>
              </w:rPr>
            </w:pPr>
          </w:p>
          <w:p w14:paraId="7631FCD0" w14:textId="77777777" w:rsidR="009D5A1A" w:rsidRPr="00AB6ADC" w:rsidRDefault="009D5A1A" w:rsidP="009D5A1A">
            <w:pPr>
              <w:ind w:left="284"/>
              <w:jc w:val="center"/>
              <w:rPr>
                <w:rFonts w:ascii="Garamond" w:eastAsiaTheme="minorEastAsia" w:hAnsi="Garamond" w:cs="Arial"/>
                <w:bCs/>
              </w:rPr>
            </w:pPr>
            <m:oMathPara>
              <m:oMath>
                <m:r>
                  <m:rPr>
                    <m:sty m:val="p"/>
                  </m:rPr>
                  <w:rPr>
                    <w:rFonts w:ascii="Cambria Math" w:hAnsi="Cambria Math" w:cs="Arial"/>
                  </w:rPr>
                  <m:t>≥0,02</m:t>
                </m:r>
              </m:oMath>
            </m:oMathPara>
          </w:p>
          <w:p w14:paraId="76BCACF9" w14:textId="77777777" w:rsidR="009D5A1A" w:rsidRPr="00AB6ADC" w:rsidRDefault="009D5A1A" w:rsidP="009D5A1A">
            <w:pPr>
              <w:ind w:left="284"/>
              <w:jc w:val="center"/>
              <w:rPr>
                <w:rFonts w:ascii="Garamond" w:hAnsi="Garamond" w:cs="Arial"/>
                <w:bCs/>
              </w:rPr>
            </w:pPr>
          </w:p>
        </w:tc>
      </w:tr>
    </w:tbl>
    <w:p w14:paraId="4B4FD974" w14:textId="77777777" w:rsidR="009D5A1A" w:rsidRDefault="009D5A1A" w:rsidP="009D5A1A">
      <w:pPr>
        <w:ind w:left="284"/>
        <w:jc w:val="both"/>
        <w:rPr>
          <w:rFonts w:ascii="Garamond" w:hAnsi="Garamond" w:cs="Arial"/>
          <w:color w:val="000000" w:themeColor="text1"/>
        </w:rPr>
      </w:pPr>
    </w:p>
    <w:p w14:paraId="66DB8B34" w14:textId="6C657E0F" w:rsidR="009D5A1A" w:rsidRDefault="009D5A1A" w:rsidP="009D5A1A">
      <w:pPr>
        <w:jc w:val="both"/>
        <w:rPr>
          <w:rFonts w:ascii="Garamond" w:hAnsi="Garamond" w:cs="Arial"/>
          <w:color w:val="000000" w:themeColor="text1"/>
        </w:rPr>
      </w:pPr>
      <w:r w:rsidRPr="00AB6ADC">
        <w:rPr>
          <w:rFonts w:ascii="Garamond" w:hAnsi="Garamond" w:cs="Arial"/>
          <w:color w:val="000000" w:themeColor="text1"/>
        </w:rPr>
        <w:t>Los indicadores definidos en la presente matriz deben ser usados por las Entidades en la estructuración de los Documentos del Proceso de Contratación de selección abreviada de menor cuantía para obra pública para infraestructura social.</w:t>
      </w:r>
    </w:p>
    <w:p w14:paraId="112BB000" w14:textId="77777777" w:rsidR="009D5A1A" w:rsidRPr="009D5A1A" w:rsidRDefault="009D5A1A" w:rsidP="009D5A1A">
      <w:pPr>
        <w:jc w:val="both"/>
        <w:rPr>
          <w:rFonts w:ascii="Garamond" w:hAnsi="Garamond" w:cs="Arial"/>
          <w:sz w:val="24"/>
          <w:szCs w:val="24"/>
        </w:rPr>
      </w:pPr>
      <w:r w:rsidRPr="009D5A1A">
        <w:rPr>
          <w:rFonts w:ascii="Garamond" w:hAnsi="Garamond" w:cs="Arial"/>
          <w:sz w:val="24"/>
          <w:szCs w:val="24"/>
        </w:rPr>
        <w:t>En cumplimiento de los principios de planeación, transparencia y selección objetiva establecidos en los artículos 24 y 26 de la Ley 80 de 1993, así como del artículo 5° de la Ley 1150 de 2007, la Entidad efectuó un análisis de información financiera proveniente de contratistas que han ejecutado contratos de objeto y magnitud similar, en el marco de proyectos de rehabilitación, conservación y/o mantenimiento de parques y espacio público.</w:t>
      </w:r>
    </w:p>
    <w:p w14:paraId="4CFD1608" w14:textId="066FAEEB" w:rsidR="00343DA3" w:rsidRPr="00343DA3" w:rsidRDefault="00343DA3" w:rsidP="009D5A1A">
      <w:pPr>
        <w:tabs>
          <w:tab w:val="left" w:pos="3390"/>
        </w:tabs>
        <w:spacing w:after="0" w:line="240" w:lineRule="auto"/>
        <w:jc w:val="both"/>
        <w:rPr>
          <w:rFonts w:ascii="Garamond" w:hAnsi="Garamond" w:cs="Arial"/>
          <w:sz w:val="24"/>
          <w:szCs w:val="24"/>
        </w:rPr>
      </w:pPr>
      <w:r w:rsidRPr="00343DA3">
        <w:rPr>
          <w:rFonts w:ascii="Garamond" w:hAnsi="Garamond" w:cs="Arial"/>
          <w:sz w:val="24"/>
          <w:szCs w:val="24"/>
        </w:rPr>
        <w:t>Para el cálculo de los indicadores se utilizaron una muestra de 198 empresas, usando los códigos de actividades económicas obtenidos de las cotizaciones utilizadas en el estudio de mercado:</w:t>
      </w:r>
    </w:p>
    <w:p w14:paraId="24430E45" w14:textId="24EAF124" w:rsidR="00343DA3" w:rsidRDefault="00343DA3" w:rsidP="00343DA3">
      <w:pPr>
        <w:tabs>
          <w:tab w:val="left" w:pos="3390"/>
        </w:tabs>
        <w:spacing w:after="0" w:line="240" w:lineRule="auto"/>
        <w:ind w:left="284"/>
        <w:jc w:val="both"/>
        <w:rPr>
          <w:rFonts w:ascii="Garamond" w:hAnsi="Garamond" w:cs="Arial"/>
          <w:sz w:val="24"/>
          <w:szCs w:val="24"/>
        </w:rPr>
      </w:pPr>
    </w:p>
    <w:p w14:paraId="1369100E" w14:textId="77777777" w:rsidR="00343DA3" w:rsidRDefault="00343DA3" w:rsidP="003A1825">
      <w:pPr>
        <w:pStyle w:val="Prrafodelista"/>
        <w:numPr>
          <w:ilvl w:val="0"/>
          <w:numId w:val="3"/>
        </w:numPr>
        <w:tabs>
          <w:tab w:val="left" w:pos="3390"/>
        </w:tabs>
        <w:spacing w:after="0" w:line="240" w:lineRule="auto"/>
        <w:ind w:left="567"/>
        <w:jc w:val="both"/>
        <w:rPr>
          <w:rFonts w:ascii="Garamond" w:hAnsi="Garamond" w:cs="Arial"/>
          <w:sz w:val="24"/>
          <w:szCs w:val="24"/>
        </w:rPr>
      </w:pPr>
      <w:r w:rsidRPr="00343DA3">
        <w:rPr>
          <w:rFonts w:ascii="Garamond" w:hAnsi="Garamond" w:cs="Arial"/>
          <w:sz w:val="24"/>
          <w:szCs w:val="24"/>
        </w:rPr>
        <w:t>7110 actividades de arquitectura e ingeniería y otras actividades conexas de consultoría técnica</w:t>
      </w:r>
    </w:p>
    <w:p w14:paraId="0424E572" w14:textId="77777777" w:rsidR="00343DA3" w:rsidRDefault="00343DA3" w:rsidP="003A1825">
      <w:pPr>
        <w:pStyle w:val="Prrafodelista"/>
        <w:numPr>
          <w:ilvl w:val="0"/>
          <w:numId w:val="3"/>
        </w:numPr>
        <w:tabs>
          <w:tab w:val="left" w:pos="3390"/>
        </w:tabs>
        <w:spacing w:after="0" w:line="240" w:lineRule="auto"/>
        <w:ind w:left="567"/>
        <w:jc w:val="both"/>
        <w:rPr>
          <w:rFonts w:ascii="Garamond" w:hAnsi="Garamond" w:cs="Arial"/>
          <w:sz w:val="24"/>
          <w:szCs w:val="24"/>
        </w:rPr>
      </w:pPr>
      <w:r w:rsidRPr="00343DA3">
        <w:rPr>
          <w:rFonts w:ascii="Garamond" w:hAnsi="Garamond" w:cs="Arial"/>
          <w:sz w:val="24"/>
          <w:szCs w:val="24"/>
        </w:rPr>
        <w:t>4100 construcción de edificios</w:t>
      </w:r>
    </w:p>
    <w:p w14:paraId="355B9A93" w14:textId="28D93B12" w:rsidR="00343DA3" w:rsidRDefault="00343DA3" w:rsidP="003A1825">
      <w:pPr>
        <w:pStyle w:val="Prrafodelista"/>
        <w:numPr>
          <w:ilvl w:val="0"/>
          <w:numId w:val="3"/>
        </w:numPr>
        <w:tabs>
          <w:tab w:val="left" w:pos="3390"/>
        </w:tabs>
        <w:spacing w:after="0" w:line="240" w:lineRule="auto"/>
        <w:ind w:left="567"/>
        <w:jc w:val="both"/>
        <w:rPr>
          <w:rFonts w:ascii="Garamond" w:hAnsi="Garamond" w:cs="Arial"/>
          <w:sz w:val="24"/>
          <w:szCs w:val="24"/>
        </w:rPr>
      </w:pPr>
      <w:r w:rsidRPr="00343DA3">
        <w:rPr>
          <w:rFonts w:ascii="Garamond" w:hAnsi="Garamond" w:cs="Arial"/>
          <w:sz w:val="24"/>
          <w:szCs w:val="24"/>
        </w:rPr>
        <w:t>4330 terminación y acabado de edificios</w:t>
      </w:r>
    </w:p>
    <w:p w14:paraId="30BBF370" w14:textId="193AD45A" w:rsidR="00343DA3" w:rsidRDefault="00343DA3" w:rsidP="00343DA3">
      <w:pPr>
        <w:tabs>
          <w:tab w:val="left" w:pos="3390"/>
        </w:tabs>
        <w:spacing w:after="0" w:line="240" w:lineRule="auto"/>
        <w:ind w:left="207"/>
        <w:jc w:val="both"/>
        <w:rPr>
          <w:rFonts w:ascii="Garamond" w:hAnsi="Garamond" w:cs="Arial"/>
          <w:sz w:val="24"/>
          <w:szCs w:val="24"/>
        </w:rPr>
      </w:pPr>
    </w:p>
    <w:p w14:paraId="00F13883" w14:textId="649F7180" w:rsidR="00343DA3" w:rsidRPr="00343DA3" w:rsidRDefault="00343DA3" w:rsidP="00343DA3">
      <w:pPr>
        <w:tabs>
          <w:tab w:val="left" w:pos="3390"/>
        </w:tabs>
        <w:spacing w:after="0" w:line="240" w:lineRule="auto"/>
        <w:ind w:left="207"/>
        <w:jc w:val="both"/>
        <w:rPr>
          <w:rFonts w:ascii="Garamond" w:hAnsi="Garamond" w:cs="Arial"/>
          <w:sz w:val="24"/>
          <w:szCs w:val="24"/>
        </w:rPr>
      </w:pPr>
      <w:r w:rsidRPr="00343DA3">
        <w:rPr>
          <w:rFonts w:ascii="Garamond" w:hAnsi="Garamond" w:cs="Arial"/>
          <w:sz w:val="24"/>
          <w:szCs w:val="24"/>
        </w:rPr>
        <w:t>Se generó el siguiente resultado</w:t>
      </w:r>
      <w:r>
        <w:rPr>
          <w:rFonts w:ascii="Garamond" w:hAnsi="Garamond" w:cs="Arial"/>
          <w:sz w:val="24"/>
          <w:szCs w:val="24"/>
        </w:rPr>
        <w:t>:</w:t>
      </w:r>
    </w:p>
    <w:p w14:paraId="6DEB3090" w14:textId="6DDAF7EE" w:rsidR="00343DA3" w:rsidRDefault="00343DA3" w:rsidP="00343DA3">
      <w:pPr>
        <w:tabs>
          <w:tab w:val="left" w:pos="3390"/>
        </w:tabs>
        <w:spacing w:after="0" w:line="240" w:lineRule="auto"/>
        <w:ind w:left="207"/>
        <w:jc w:val="both"/>
        <w:rPr>
          <w:rFonts w:ascii="Garamond" w:hAnsi="Garamond"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62"/>
        <w:gridCol w:w="1015"/>
        <w:gridCol w:w="1676"/>
        <w:gridCol w:w="1437"/>
        <w:gridCol w:w="1389"/>
        <w:gridCol w:w="1115"/>
        <w:gridCol w:w="934"/>
      </w:tblGrid>
      <w:tr w:rsidR="00343DA3" w:rsidRPr="00343DA3" w14:paraId="7A578187" w14:textId="77777777" w:rsidTr="00343DA3">
        <w:trPr>
          <w:tblHeader/>
          <w:tblCellSpacing w:w="15" w:type="dxa"/>
        </w:trPr>
        <w:tc>
          <w:tcPr>
            <w:tcW w:w="0" w:type="auto"/>
            <w:vAlign w:val="center"/>
            <w:hideMark/>
          </w:tcPr>
          <w:p w14:paraId="192285C5" w14:textId="77777777" w:rsidR="00343DA3" w:rsidRPr="00343DA3" w:rsidRDefault="00343DA3" w:rsidP="00343DA3">
            <w:pPr>
              <w:spacing w:after="0" w:line="240" w:lineRule="auto"/>
              <w:jc w:val="center"/>
              <w:rPr>
                <w:rFonts w:ascii="Garamond" w:eastAsia="Times New Roman" w:hAnsi="Garamond" w:cs="Times New Roman"/>
                <w:b/>
                <w:bCs/>
                <w:lang w:eastAsia="es-CO"/>
              </w:rPr>
            </w:pPr>
            <w:r w:rsidRPr="00343DA3">
              <w:rPr>
                <w:rFonts w:ascii="Garamond" w:eastAsia="Times New Roman" w:hAnsi="Garamond" w:cs="Times New Roman"/>
                <w:b/>
                <w:bCs/>
                <w:lang w:eastAsia="es-CO"/>
              </w:rPr>
              <w:t>Mediana</w:t>
            </w:r>
          </w:p>
        </w:tc>
        <w:tc>
          <w:tcPr>
            <w:tcW w:w="0" w:type="auto"/>
            <w:vAlign w:val="center"/>
            <w:hideMark/>
          </w:tcPr>
          <w:p w14:paraId="5C7290EF" w14:textId="77777777" w:rsidR="00343DA3" w:rsidRPr="00343DA3" w:rsidRDefault="00343DA3" w:rsidP="00343DA3">
            <w:pPr>
              <w:spacing w:after="0" w:line="240" w:lineRule="auto"/>
              <w:jc w:val="center"/>
              <w:rPr>
                <w:rFonts w:ascii="Garamond" w:eastAsia="Times New Roman" w:hAnsi="Garamond" w:cs="Times New Roman"/>
                <w:b/>
                <w:bCs/>
                <w:lang w:eastAsia="es-CO"/>
              </w:rPr>
            </w:pPr>
            <w:r w:rsidRPr="00343DA3">
              <w:rPr>
                <w:rFonts w:ascii="Garamond" w:eastAsia="Times New Roman" w:hAnsi="Garamond" w:cs="Times New Roman"/>
                <w:b/>
                <w:bCs/>
                <w:lang w:eastAsia="es-CO"/>
              </w:rPr>
              <w:t>Índice de Liquidez</w:t>
            </w:r>
          </w:p>
        </w:tc>
        <w:tc>
          <w:tcPr>
            <w:tcW w:w="0" w:type="auto"/>
            <w:vAlign w:val="center"/>
            <w:hideMark/>
          </w:tcPr>
          <w:p w14:paraId="322F0DC5" w14:textId="77777777" w:rsidR="00343DA3" w:rsidRPr="00343DA3" w:rsidRDefault="00343DA3" w:rsidP="00343DA3">
            <w:pPr>
              <w:spacing w:after="0" w:line="240" w:lineRule="auto"/>
              <w:jc w:val="center"/>
              <w:rPr>
                <w:rFonts w:ascii="Garamond" w:eastAsia="Times New Roman" w:hAnsi="Garamond" w:cs="Times New Roman"/>
                <w:b/>
                <w:bCs/>
                <w:lang w:eastAsia="es-CO"/>
              </w:rPr>
            </w:pPr>
            <w:r w:rsidRPr="00343DA3">
              <w:rPr>
                <w:rFonts w:ascii="Garamond" w:eastAsia="Times New Roman" w:hAnsi="Garamond" w:cs="Times New Roman"/>
                <w:b/>
                <w:bCs/>
                <w:lang w:eastAsia="es-CO"/>
              </w:rPr>
              <w:t>Nivel de Endeudamiento</w:t>
            </w:r>
          </w:p>
        </w:tc>
        <w:tc>
          <w:tcPr>
            <w:tcW w:w="0" w:type="auto"/>
            <w:vAlign w:val="center"/>
            <w:hideMark/>
          </w:tcPr>
          <w:p w14:paraId="52301C73" w14:textId="77777777" w:rsidR="00343DA3" w:rsidRPr="00343DA3" w:rsidRDefault="00343DA3" w:rsidP="00343DA3">
            <w:pPr>
              <w:spacing w:after="0" w:line="240" w:lineRule="auto"/>
              <w:jc w:val="center"/>
              <w:rPr>
                <w:rFonts w:ascii="Garamond" w:eastAsia="Times New Roman" w:hAnsi="Garamond" w:cs="Times New Roman"/>
                <w:b/>
                <w:bCs/>
                <w:lang w:eastAsia="es-CO"/>
              </w:rPr>
            </w:pPr>
            <w:r w:rsidRPr="00343DA3">
              <w:rPr>
                <w:rFonts w:ascii="Garamond" w:eastAsia="Times New Roman" w:hAnsi="Garamond" w:cs="Times New Roman"/>
                <w:b/>
                <w:bCs/>
                <w:lang w:eastAsia="es-CO"/>
              </w:rPr>
              <w:t>Rentabilidad del Patrimonio</w:t>
            </w:r>
          </w:p>
        </w:tc>
        <w:tc>
          <w:tcPr>
            <w:tcW w:w="0" w:type="auto"/>
            <w:vAlign w:val="center"/>
            <w:hideMark/>
          </w:tcPr>
          <w:p w14:paraId="1AC05879" w14:textId="77777777" w:rsidR="00343DA3" w:rsidRPr="00343DA3" w:rsidRDefault="00343DA3" w:rsidP="00343DA3">
            <w:pPr>
              <w:spacing w:after="0" w:line="240" w:lineRule="auto"/>
              <w:jc w:val="center"/>
              <w:rPr>
                <w:rFonts w:ascii="Garamond" w:eastAsia="Times New Roman" w:hAnsi="Garamond" w:cs="Times New Roman"/>
                <w:b/>
                <w:bCs/>
                <w:lang w:eastAsia="es-CO"/>
              </w:rPr>
            </w:pPr>
            <w:r w:rsidRPr="00343DA3">
              <w:rPr>
                <w:rFonts w:ascii="Garamond" w:eastAsia="Times New Roman" w:hAnsi="Garamond" w:cs="Times New Roman"/>
                <w:b/>
                <w:bCs/>
                <w:lang w:eastAsia="es-CO"/>
              </w:rPr>
              <w:t>Rentabilidad del Activo</w:t>
            </w:r>
          </w:p>
        </w:tc>
        <w:tc>
          <w:tcPr>
            <w:tcW w:w="0" w:type="auto"/>
            <w:vAlign w:val="center"/>
            <w:hideMark/>
          </w:tcPr>
          <w:p w14:paraId="600ED4A0" w14:textId="77777777" w:rsidR="00343DA3" w:rsidRPr="00343DA3" w:rsidRDefault="00343DA3" w:rsidP="00343DA3">
            <w:pPr>
              <w:spacing w:after="0" w:line="240" w:lineRule="auto"/>
              <w:jc w:val="center"/>
              <w:rPr>
                <w:rFonts w:ascii="Garamond" w:eastAsia="Times New Roman" w:hAnsi="Garamond" w:cs="Times New Roman"/>
                <w:b/>
                <w:bCs/>
                <w:lang w:eastAsia="es-CO"/>
              </w:rPr>
            </w:pPr>
            <w:r w:rsidRPr="00343DA3">
              <w:rPr>
                <w:rFonts w:ascii="Garamond" w:eastAsia="Times New Roman" w:hAnsi="Garamond" w:cs="Times New Roman"/>
                <w:b/>
                <w:bCs/>
                <w:lang w:eastAsia="es-CO"/>
              </w:rPr>
              <w:t>Razón de Cobertura</w:t>
            </w:r>
          </w:p>
        </w:tc>
        <w:tc>
          <w:tcPr>
            <w:tcW w:w="0" w:type="auto"/>
            <w:vAlign w:val="center"/>
            <w:hideMark/>
          </w:tcPr>
          <w:p w14:paraId="33FFE095" w14:textId="77777777" w:rsidR="00343DA3" w:rsidRPr="00343DA3" w:rsidRDefault="00343DA3" w:rsidP="00343DA3">
            <w:pPr>
              <w:spacing w:after="0" w:line="240" w:lineRule="auto"/>
              <w:jc w:val="center"/>
              <w:rPr>
                <w:rFonts w:ascii="Garamond" w:eastAsia="Times New Roman" w:hAnsi="Garamond" w:cs="Times New Roman"/>
                <w:b/>
                <w:bCs/>
                <w:lang w:eastAsia="es-CO"/>
              </w:rPr>
            </w:pPr>
            <w:r w:rsidRPr="00343DA3">
              <w:rPr>
                <w:rFonts w:ascii="Garamond" w:eastAsia="Times New Roman" w:hAnsi="Garamond" w:cs="Times New Roman"/>
                <w:b/>
                <w:bCs/>
                <w:lang w:eastAsia="es-CO"/>
              </w:rPr>
              <w:t>Capital de Trabajo</w:t>
            </w:r>
          </w:p>
        </w:tc>
      </w:tr>
      <w:tr w:rsidR="00343DA3" w:rsidRPr="00343DA3" w14:paraId="55E22AD3" w14:textId="77777777" w:rsidTr="00343DA3">
        <w:trPr>
          <w:tblCellSpacing w:w="15" w:type="dxa"/>
        </w:trPr>
        <w:tc>
          <w:tcPr>
            <w:tcW w:w="0" w:type="auto"/>
            <w:vAlign w:val="center"/>
            <w:hideMark/>
          </w:tcPr>
          <w:p w14:paraId="0A110A3D" w14:textId="77777777" w:rsidR="00343DA3" w:rsidRPr="00343DA3" w:rsidRDefault="00343DA3" w:rsidP="00343DA3">
            <w:pPr>
              <w:spacing w:after="0" w:line="240" w:lineRule="auto"/>
              <w:rPr>
                <w:rFonts w:ascii="Garamond" w:eastAsia="Times New Roman" w:hAnsi="Garamond" w:cs="Times New Roman"/>
                <w:b/>
                <w:lang w:eastAsia="es-CO"/>
              </w:rPr>
            </w:pPr>
            <w:r w:rsidRPr="00343DA3">
              <w:rPr>
                <w:rFonts w:ascii="Garamond" w:eastAsia="Times New Roman" w:hAnsi="Garamond" w:cs="Times New Roman"/>
                <w:b/>
                <w:lang w:eastAsia="es-CO"/>
              </w:rPr>
              <w:t>FDLRUU-SAMC-004-2024</w:t>
            </w:r>
          </w:p>
        </w:tc>
        <w:tc>
          <w:tcPr>
            <w:tcW w:w="0" w:type="auto"/>
            <w:vAlign w:val="center"/>
            <w:hideMark/>
          </w:tcPr>
          <w:p w14:paraId="4AC272BE"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1,19</w:t>
            </w:r>
          </w:p>
        </w:tc>
        <w:tc>
          <w:tcPr>
            <w:tcW w:w="0" w:type="auto"/>
            <w:vAlign w:val="center"/>
            <w:hideMark/>
          </w:tcPr>
          <w:p w14:paraId="20B8BFC9"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0,70</w:t>
            </w:r>
          </w:p>
        </w:tc>
        <w:tc>
          <w:tcPr>
            <w:tcW w:w="0" w:type="auto"/>
            <w:vAlign w:val="center"/>
            <w:hideMark/>
          </w:tcPr>
          <w:p w14:paraId="6AA256E9"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0,04</w:t>
            </w:r>
          </w:p>
        </w:tc>
        <w:tc>
          <w:tcPr>
            <w:tcW w:w="0" w:type="auto"/>
            <w:vAlign w:val="center"/>
            <w:hideMark/>
          </w:tcPr>
          <w:p w14:paraId="70ED2120"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0,02</w:t>
            </w:r>
          </w:p>
        </w:tc>
        <w:tc>
          <w:tcPr>
            <w:tcW w:w="0" w:type="auto"/>
            <w:vAlign w:val="center"/>
            <w:hideMark/>
          </w:tcPr>
          <w:p w14:paraId="541CCBD3"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w:t>
            </w:r>
          </w:p>
        </w:tc>
        <w:tc>
          <w:tcPr>
            <w:tcW w:w="0" w:type="auto"/>
            <w:vAlign w:val="center"/>
            <w:hideMark/>
          </w:tcPr>
          <w:p w14:paraId="6FC43996"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20%</w:t>
            </w:r>
          </w:p>
        </w:tc>
      </w:tr>
      <w:tr w:rsidR="00343DA3" w:rsidRPr="00343DA3" w14:paraId="52F3F45B" w14:textId="77777777" w:rsidTr="00343DA3">
        <w:trPr>
          <w:tblCellSpacing w:w="15" w:type="dxa"/>
        </w:trPr>
        <w:tc>
          <w:tcPr>
            <w:tcW w:w="0" w:type="auto"/>
            <w:vAlign w:val="center"/>
            <w:hideMark/>
          </w:tcPr>
          <w:p w14:paraId="6091B9E4" w14:textId="77777777" w:rsidR="00343DA3" w:rsidRPr="00343DA3" w:rsidRDefault="00343DA3" w:rsidP="00343DA3">
            <w:pPr>
              <w:spacing w:after="0" w:line="240" w:lineRule="auto"/>
              <w:rPr>
                <w:rFonts w:ascii="Garamond" w:eastAsia="Times New Roman" w:hAnsi="Garamond" w:cs="Times New Roman"/>
                <w:b/>
                <w:lang w:eastAsia="es-CO"/>
              </w:rPr>
            </w:pPr>
            <w:r w:rsidRPr="00343DA3">
              <w:rPr>
                <w:rFonts w:ascii="Garamond" w:eastAsia="Times New Roman" w:hAnsi="Garamond" w:cs="Times New Roman"/>
                <w:b/>
                <w:lang w:eastAsia="es-CO"/>
              </w:rPr>
              <w:t>FDLBU-SAMC-002-2024</w:t>
            </w:r>
          </w:p>
        </w:tc>
        <w:tc>
          <w:tcPr>
            <w:tcW w:w="0" w:type="auto"/>
            <w:vAlign w:val="center"/>
            <w:hideMark/>
          </w:tcPr>
          <w:p w14:paraId="5195467B"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1,50</w:t>
            </w:r>
          </w:p>
        </w:tc>
        <w:tc>
          <w:tcPr>
            <w:tcW w:w="0" w:type="auto"/>
            <w:vAlign w:val="center"/>
            <w:hideMark/>
          </w:tcPr>
          <w:p w14:paraId="66BDB0AD"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0,70</w:t>
            </w:r>
          </w:p>
        </w:tc>
        <w:tc>
          <w:tcPr>
            <w:tcW w:w="0" w:type="auto"/>
            <w:vAlign w:val="center"/>
            <w:hideMark/>
          </w:tcPr>
          <w:p w14:paraId="162FCE71"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0,10</w:t>
            </w:r>
          </w:p>
        </w:tc>
        <w:tc>
          <w:tcPr>
            <w:tcW w:w="0" w:type="auto"/>
            <w:vAlign w:val="center"/>
            <w:hideMark/>
          </w:tcPr>
          <w:p w14:paraId="430F869D"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0,07</w:t>
            </w:r>
          </w:p>
        </w:tc>
        <w:tc>
          <w:tcPr>
            <w:tcW w:w="0" w:type="auto"/>
            <w:vAlign w:val="center"/>
            <w:hideMark/>
          </w:tcPr>
          <w:p w14:paraId="45AC0C67"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w:t>
            </w:r>
          </w:p>
        </w:tc>
        <w:tc>
          <w:tcPr>
            <w:tcW w:w="0" w:type="auto"/>
            <w:vAlign w:val="center"/>
            <w:hideMark/>
          </w:tcPr>
          <w:p w14:paraId="74649D50"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10%</w:t>
            </w:r>
          </w:p>
        </w:tc>
      </w:tr>
      <w:tr w:rsidR="00343DA3" w:rsidRPr="00343DA3" w14:paraId="3A821153" w14:textId="77777777" w:rsidTr="00343DA3">
        <w:trPr>
          <w:tblCellSpacing w:w="15" w:type="dxa"/>
        </w:trPr>
        <w:tc>
          <w:tcPr>
            <w:tcW w:w="0" w:type="auto"/>
            <w:vAlign w:val="center"/>
            <w:hideMark/>
          </w:tcPr>
          <w:p w14:paraId="73F22F48" w14:textId="77777777" w:rsidR="00343DA3" w:rsidRPr="00343DA3" w:rsidRDefault="00343DA3" w:rsidP="00343DA3">
            <w:pPr>
              <w:spacing w:after="0" w:line="240" w:lineRule="auto"/>
              <w:rPr>
                <w:rFonts w:ascii="Garamond" w:eastAsia="Times New Roman" w:hAnsi="Garamond" w:cs="Times New Roman"/>
                <w:b/>
                <w:lang w:eastAsia="es-CO"/>
              </w:rPr>
            </w:pPr>
            <w:r w:rsidRPr="00343DA3">
              <w:rPr>
                <w:rFonts w:ascii="Garamond" w:eastAsia="Times New Roman" w:hAnsi="Garamond" w:cs="Times New Roman"/>
                <w:b/>
                <w:lang w:eastAsia="es-CO"/>
              </w:rPr>
              <w:t>FDLT-SAMC-025-2023</w:t>
            </w:r>
          </w:p>
        </w:tc>
        <w:tc>
          <w:tcPr>
            <w:tcW w:w="0" w:type="auto"/>
            <w:vAlign w:val="center"/>
            <w:hideMark/>
          </w:tcPr>
          <w:p w14:paraId="2D0CD066"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1,80</w:t>
            </w:r>
          </w:p>
        </w:tc>
        <w:tc>
          <w:tcPr>
            <w:tcW w:w="0" w:type="auto"/>
            <w:vAlign w:val="center"/>
            <w:hideMark/>
          </w:tcPr>
          <w:p w14:paraId="5FA39A9E"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0,50</w:t>
            </w:r>
          </w:p>
        </w:tc>
        <w:tc>
          <w:tcPr>
            <w:tcW w:w="0" w:type="auto"/>
            <w:vAlign w:val="center"/>
            <w:hideMark/>
          </w:tcPr>
          <w:p w14:paraId="226F76C4"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0,10</w:t>
            </w:r>
          </w:p>
        </w:tc>
        <w:tc>
          <w:tcPr>
            <w:tcW w:w="0" w:type="auto"/>
            <w:vAlign w:val="center"/>
            <w:hideMark/>
          </w:tcPr>
          <w:p w14:paraId="292C0F1A"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0,06</w:t>
            </w:r>
          </w:p>
        </w:tc>
        <w:tc>
          <w:tcPr>
            <w:tcW w:w="0" w:type="auto"/>
            <w:vAlign w:val="center"/>
            <w:hideMark/>
          </w:tcPr>
          <w:p w14:paraId="1A4C2061"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w:t>
            </w:r>
          </w:p>
        </w:tc>
        <w:tc>
          <w:tcPr>
            <w:tcW w:w="0" w:type="auto"/>
            <w:vAlign w:val="center"/>
            <w:hideMark/>
          </w:tcPr>
          <w:p w14:paraId="7582EB19"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100%</w:t>
            </w:r>
          </w:p>
        </w:tc>
      </w:tr>
      <w:tr w:rsidR="00343DA3" w:rsidRPr="00343DA3" w14:paraId="01267729" w14:textId="77777777" w:rsidTr="00343DA3">
        <w:trPr>
          <w:tblCellSpacing w:w="15" w:type="dxa"/>
        </w:trPr>
        <w:tc>
          <w:tcPr>
            <w:tcW w:w="0" w:type="auto"/>
            <w:vAlign w:val="center"/>
            <w:hideMark/>
          </w:tcPr>
          <w:p w14:paraId="2ADF5EB7" w14:textId="77777777" w:rsidR="00343DA3" w:rsidRPr="00343DA3" w:rsidRDefault="00343DA3" w:rsidP="00343DA3">
            <w:pPr>
              <w:spacing w:after="0" w:line="240" w:lineRule="auto"/>
              <w:rPr>
                <w:rFonts w:ascii="Garamond" w:eastAsia="Times New Roman" w:hAnsi="Garamond" w:cs="Times New Roman"/>
                <w:b/>
                <w:lang w:eastAsia="es-CO"/>
              </w:rPr>
            </w:pPr>
            <w:r w:rsidRPr="00343DA3">
              <w:rPr>
                <w:rFonts w:ascii="Garamond" w:eastAsia="Times New Roman" w:hAnsi="Garamond" w:cs="Times New Roman"/>
                <w:b/>
                <w:lang w:eastAsia="es-CO"/>
              </w:rPr>
              <w:t>ALPA-SAMC-026-2019</w:t>
            </w:r>
          </w:p>
        </w:tc>
        <w:tc>
          <w:tcPr>
            <w:tcW w:w="0" w:type="auto"/>
            <w:vAlign w:val="center"/>
            <w:hideMark/>
          </w:tcPr>
          <w:p w14:paraId="564169D9"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1,50</w:t>
            </w:r>
          </w:p>
        </w:tc>
        <w:tc>
          <w:tcPr>
            <w:tcW w:w="0" w:type="auto"/>
            <w:vAlign w:val="center"/>
            <w:hideMark/>
          </w:tcPr>
          <w:p w14:paraId="26867BBB"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0,60</w:t>
            </w:r>
          </w:p>
        </w:tc>
        <w:tc>
          <w:tcPr>
            <w:tcW w:w="0" w:type="auto"/>
            <w:vAlign w:val="center"/>
            <w:hideMark/>
          </w:tcPr>
          <w:p w14:paraId="10457CDE"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0,05</w:t>
            </w:r>
          </w:p>
        </w:tc>
        <w:tc>
          <w:tcPr>
            <w:tcW w:w="0" w:type="auto"/>
            <w:vAlign w:val="center"/>
            <w:hideMark/>
          </w:tcPr>
          <w:p w14:paraId="54D41282"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0,015</w:t>
            </w:r>
          </w:p>
        </w:tc>
        <w:tc>
          <w:tcPr>
            <w:tcW w:w="0" w:type="auto"/>
            <w:vAlign w:val="center"/>
            <w:hideMark/>
          </w:tcPr>
          <w:p w14:paraId="66D6F877"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3</w:t>
            </w:r>
          </w:p>
        </w:tc>
        <w:tc>
          <w:tcPr>
            <w:tcW w:w="0" w:type="auto"/>
            <w:vAlign w:val="center"/>
            <w:hideMark/>
          </w:tcPr>
          <w:p w14:paraId="6006D501"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30%</w:t>
            </w:r>
          </w:p>
        </w:tc>
      </w:tr>
      <w:tr w:rsidR="00343DA3" w:rsidRPr="00343DA3" w14:paraId="47B6C594" w14:textId="77777777" w:rsidTr="00343DA3">
        <w:trPr>
          <w:tblCellSpacing w:w="15" w:type="dxa"/>
        </w:trPr>
        <w:tc>
          <w:tcPr>
            <w:tcW w:w="0" w:type="auto"/>
            <w:vAlign w:val="center"/>
            <w:hideMark/>
          </w:tcPr>
          <w:p w14:paraId="3BB613AC" w14:textId="77777777" w:rsidR="00343DA3" w:rsidRPr="00343DA3" w:rsidRDefault="00343DA3" w:rsidP="00343DA3">
            <w:pPr>
              <w:spacing w:after="0" w:line="240" w:lineRule="auto"/>
              <w:rPr>
                <w:rFonts w:ascii="Garamond" w:eastAsia="Times New Roman" w:hAnsi="Garamond" w:cs="Times New Roman"/>
                <w:b/>
                <w:lang w:eastAsia="es-CO"/>
              </w:rPr>
            </w:pPr>
            <w:r w:rsidRPr="00343DA3">
              <w:rPr>
                <w:rFonts w:ascii="Garamond" w:eastAsia="Times New Roman" w:hAnsi="Garamond" w:cs="Times New Roman"/>
                <w:b/>
                <w:lang w:eastAsia="es-CO"/>
              </w:rPr>
              <w:t>ALPA-SAMC-024-2018</w:t>
            </w:r>
          </w:p>
        </w:tc>
        <w:tc>
          <w:tcPr>
            <w:tcW w:w="0" w:type="auto"/>
            <w:vAlign w:val="center"/>
            <w:hideMark/>
          </w:tcPr>
          <w:p w14:paraId="531D74AB"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1,50</w:t>
            </w:r>
          </w:p>
        </w:tc>
        <w:tc>
          <w:tcPr>
            <w:tcW w:w="0" w:type="auto"/>
            <w:vAlign w:val="center"/>
            <w:hideMark/>
          </w:tcPr>
          <w:p w14:paraId="2C11987E"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0,60</w:t>
            </w:r>
          </w:p>
        </w:tc>
        <w:tc>
          <w:tcPr>
            <w:tcW w:w="0" w:type="auto"/>
            <w:vAlign w:val="center"/>
            <w:hideMark/>
          </w:tcPr>
          <w:p w14:paraId="3A13E17B"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0,05</w:t>
            </w:r>
          </w:p>
        </w:tc>
        <w:tc>
          <w:tcPr>
            <w:tcW w:w="0" w:type="auto"/>
            <w:vAlign w:val="center"/>
            <w:hideMark/>
          </w:tcPr>
          <w:p w14:paraId="27BDFF01"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0,015</w:t>
            </w:r>
          </w:p>
        </w:tc>
        <w:tc>
          <w:tcPr>
            <w:tcW w:w="0" w:type="auto"/>
            <w:vAlign w:val="center"/>
            <w:hideMark/>
          </w:tcPr>
          <w:p w14:paraId="3EECA29A"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3</w:t>
            </w:r>
          </w:p>
        </w:tc>
        <w:tc>
          <w:tcPr>
            <w:tcW w:w="0" w:type="auto"/>
            <w:vAlign w:val="center"/>
            <w:hideMark/>
          </w:tcPr>
          <w:p w14:paraId="1726D49A"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lang w:eastAsia="es-CO"/>
              </w:rPr>
              <w:t>30%</w:t>
            </w:r>
          </w:p>
        </w:tc>
      </w:tr>
      <w:tr w:rsidR="009D5A1A" w:rsidRPr="00343DA3" w14:paraId="23E1CF44" w14:textId="77777777" w:rsidTr="009D5A1A">
        <w:trPr>
          <w:tblCellSpacing w:w="15" w:type="dxa"/>
        </w:trPr>
        <w:tc>
          <w:tcPr>
            <w:tcW w:w="0" w:type="auto"/>
            <w:shd w:val="clear" w:color="auto" w:fill="BFBFBF" w:themeFill="background1" w:themeFillShade="BF"/>
            <w:vAlign w:val="center"/>
            <w:hideMark/>
          </w:tcPr>
          <w:p w14:paraId="49C689FE"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b/>
                <w:bCs/>
                <w:lang w:eastAsia="es-CO"/>
              </w:rPr>
              <w:t>Mediana</w:t>
            </w:r>
          </w:p>
        </w:tc>
        <w:tc>
          <w:tcPr>
            <w:tcW w:w="0" w:type="auto"/>
            <w:shd w:val="clear" w:color="auto" w:fill="BFBFBF" w:themeFill="background1" w:themeFillShade="BF"/>
            <w:vAlign w:val="center"/>
            <w:hideMark/>
          </w:tcPr>
          <w:p w14:paraId="60A8BD33"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b/>
                <w:bCs/>
                <w:lang w:eastAsia="es-CO"/>
              </w:rPr>
              <w:t>1,5</w:t>
            </w:r>
          </w:p>
        </w:tc>
        <w:tc>
          <w:tcPr>
            <w:tcW w:w="0" w:type="auto"/>
            <w:shd w:val="clear" w:color="auto" w:fill="BFBFBF" w:themeFill="background1" w:themeFillShade="BF"/>
            <w:vAlign w:val="center"/>
            <w:hideMark/>
          </w:tcPr>
          <w:p w14:paraId="446F24E5"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b/>
                <w:bCs/>
                <w:lang w:eastAsia="es-CO"/>
              </w:rPr>
              <w:t>0,6</w:t>
            </w:r>
          </w:p>
        </w:tc>
        <w:tc>
          <w:tcPr>
            <w:tcW w:w="0" w:type="auto"/>
            <w:shd w:val="clear" w:color="auto" w:fill="BFBFBF" w:themeFill="background1" w:themeFillShade="BF"/>
            <w:vAlign w:val="center"/>
            <w:hideMark/>
          </w:tcPr>
          <w:p w14:paraId="76E73716"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b/>
                <w:bCs/>
                <w:lang w:eastAsia="es-CO"/>
              </w:rPr>
              <w:t>0,05</w:t>
            </w:r>
          </w:p>
        </w:tc>
        <w:tc>
          <w:tcPr>
            <w:tcW w:w="0" w:type="auto"/>
            <w:shd w:val="clear" w:color="auto" w:fill="BFBFBF" w:themeFill="background1" w:themeFillShade="BF"/>
            <w:vAlign w:val="center"/>
            <w:hideMark/>
          </w:tcPr>
          <w:p w14:paraId="1F39354A"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b/>
                <w:bCs/>
                <w:lang w:eastAsia="es-CO"/>
              </w:rPr>
              <w:t>0,02</w:t>
            </w:r>
          </w:p>
        </w:tc>
        <w:tc>
          <w:tcPr>
            <w:tcW w:w="0" w:type="auto"/>
            <w:shd w:val="clear" w:color="auto" w:fill="BFBFBF" w:themeFill="background1" w:themeFillShade="BF"/>
            <w:vAlign w:val="center"/>
            <w:hideMark/>
          </w:tcPr>
          <w:p w14:paraId="70BE19BE"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b/>
                <w:bCs/>
                <w:lang w:eastAsia="es-CO"/>
              </w:rPr>
              <w:t>1</w:t>
            </w:r>
          </w:p>
        </w:tc>
        <w:tc>
          <w:tcPr>
            <w:tcW w:w="0" w:type="auto"/>
            <w:shd w:val="clear" w:color="auto" w:fill="BFBFBF" w:themeFill="background1" w:themeFillShade="BF"/>
            <w:vAlign w:val="center"/>
            <w:hideMark/>
          </w:tcPr>
          <w:p w14:paraId="47EE8143" w14:textId="77777777" w:rsidR="00343DA3" w:rsidRPr="00343DA3" w:rsidRDefault="00343DA3" w:rsidP="00343DA3">
            <w:pPr>
              <w:spacing w:after="0" w:line="240" w:lineRule="auto"/>
              <w:rPr>
                <w:rFonts w:ascii="Garamond" w:eastAsia="Times New Roman" w:hAnsi="Garamond" w:cs="Times New Roman"/>
                <w:lang w:eastAsia="es-CO"/>
              </w:rPr>
            </w:pPr>
            <w:r w:rsidRPr="00343DA3">
              <w:rPr>
                <w:rFonts w:ascii="Garamond" w:eastAsia="Times New Roman" w:hAnsi="Garamond" w:cs="Times New Roman"/>
                <w:b/>
                <w:bCs/>
                <w:lang w:eastAsia="es-CO"/>
              </w:rPr>
              <w:t>30%</w:t>
            </w:r>
          </w:p>
        </w:tc>
      </w:tr>
    </w:tbl>
    <w:p w14:paraId="688FDFE4" w14:textId="167C36FD" w:rsidR="00343DA3" w:rsidRDefault="00343DA3" w:rsidP="00343DA3">
      <w:pPr>
        <w:tabs>
          <w:tab w:val="left" w:pos="3390"/>
        </w:tabs>
        <w:spacing w:after="0" w:line="240" w:lineRule="auto"/>
        <w:ind w:left="284"/>
        <w:jc w:val="both"/>
        <w:rPr>
          <w:rFonts w:ascii="Garamond" w:hAnsi="Garamond" w:cs="Arial"/>
          <w:sz w:val="24"/>
          <w:szCs w:val="24"/>
        </w:rPr>
      </w:pPr>
    </w:p>
    <w:p w14:paraId="365635B1" w14:textId="2456A078" w:rsidR="009D5A1A" w:rsidRDefault="009D5A1A" w:rsidP="00343DA3">
      <w:pPr>
        <w:tabs>
          <w:tab w:val="left" w:pos="3390"/>
        </w:tabs>
        <w:spacing w:after="0" w:line="240" w:lineRule="auto"/>
        <w:ind w:left="284"/>
        <w:jc w:val="both"/>
        <w:rPr>
          <w:rFonts w:ascii="Garamond" w:hAnsi="Garamond" w:cs="Arial"/>
          <w:sz w:val="24"/>
          <w:szCs w:val="24"/>
        </w:rPr>
      </w:pPr>
    </w:p>
    <w:p w14:paraId="1C2BBBDB" w14:textId="4BFFFD55" w:rsidR="009D5A1A" w:rsidRDefault="009D5A1A" w:rsidP="001B3684">
      <w:pPr>
        <w:jc w:val="both"/>
        <w:rPr>
          <w:rFonts w:ascii="Garamond" w:hAnsi="Garamond" w:cs="Arial"/>
          <w:sz w:val="24"/>
          <w:szCs w:val="24"/>
        </w:rPr>
      </w:pPr>
      <w:r w:rsidRPr="009D5A1A">
        <w:rPr>
          <w:rFonts w:ascii="Garamond" w:hAnsi="Garamond" w:cs="Arial"/>
          <w:sz w:val="24"/>
          <w:szCs w:val="24"/>
        </w:rPr>
        <w:t>El análisis permitió identificar los siguientes promedios sectoriales, los cuales se comparan con los valores mínimos exigidos por los Pliegos Tipo de Menor Cuantía de obra pública de infraestructura social CCE-EICP – Versión 3 (Resolución 219 de 2021 modificada por la Resolución 275 de 2022) expedidos por Colombia Compra Eficiente:</w:t>
      </w:r>
    </w:p>
    <w:p w14:paraId="2AF09577" w14:textId="6AA2C966" w:rsidR="009D5A1A" w:rsidRDefault="009D5A1A" w:rsidP="00343DA3">
      <w:pPr>
        <w:tabs>
          <w:tab w:val="left" w:pos="3390"/>
        </w:tabs>
        <w:spacing w:after="0" w:line="240" w:lineRule="auto"/>
        <w:ind w:left="284"/>
        <w:jc w:val="both"/>
        <w:rPr>
          <w:rFonts w:ascii="Garamond" w:hAnsi="Garamond" w:cs="Arial"/>
          <w:sz w:val="24"/>
          <w:szCs w:val="24"/>
        </w:rPr>
      </w:pPr>
    </w:p>
    <w:p w14:paraId="02153FBA" w14:textId="043A64BE" w:rsidR="009D5A1A" w:rsidRDefault="009D5A1A" w:rsidP="00343DA3">
      <w:pPr>
        <w:tabs>
          <w:tab w:val="left" w:pos="3390"/>
        </w:tabs>
        <w:spacing w:after="0" w:line="240" w:lineRule="auto"/>
        <w:ind w:left="284"/>
        <w:jc w:val="both"/>
        <w:rPr>
          <w:rFonts w:ascii="Garamond" w:hAnsi="Garamond" w:cs="Arial"/>
          <w:sz w:val="24"/>
          <w:szCs w:val="24"/>
        </w:rPr>
      </w:pPr>
    </w:p>
    <w:p w14:paraId="4F3779E8" w14:textId="1E4CA28C" w:rsidR="009D5A1A" w:rsidRDefault="009D5A1A" w:rsidP="00343DA3">
      <w:pPr>
        <w:tabs>
          <w:tab w:val="left" w:pos="3390"/>
        </w:tabs>
        <w:spacing w:after="0" w:line="240" w:lineRule="auto"/>
        <w:ind w:left="284"/>
        <w:jc w:val="both"/>
        <w:rPr>
          <w:rFonts w:ascii="Garamond" w:hAnsi="Garamond" w:cs="Arial"/>
          <w:sz w:val="24"/>
          <w:szCs w:val="24"/>
        </w:rPr>
      </w:pPr>
    </w:p>
    <w:p w14:paraId="7D04A747" w14:textId="36924781" w:rsidR="009D5A1A" w:rsidRDefault="009D5A1A" w:rsidP="00343DA3">
      <w:pPr>
        <w:tabs>
          <w:tab w:val="left" w:pos="3390"/>
        </w:tabs>
        <w:spacing w:after="0" w:line="240" w:lineRule="auto"/>
        <w:ind w:left="284"/>
        <w:jc w:val="both"/>
        <w:rPr>
          <w:rFonts w:ascii="Garamond" w:hAnsi="Garamond" w:cs="Arial"/>
          <w:sz w:val="24"/>
          <w:szCs w:val="24"/>
        </w:rPr>
      </w:pPr>
    </w:p>
    <w:p w14:paraId="24CDEB51" w14:textId="0AC958E6" w:rsidR="009D5A1A" w:rsidRDefault="009D5A1A" w:rsidP="00343DA3">
      <w:pPr>
        <w:tabs>
          <w:tab w:val="left" w:pos="3390"/>
        </w:tabs>
        <w:spacing w:after="0" w:line="240" w:lineRule="auto"/>
        <w:ind w:left="284"/>
        <w:jc w:val="both"/>
        <w:rPr>
          <w:rFonts w:ascii="Garamond" w:hAnsi="Garamond" w:cs="Arial"/>
          <w:sz w:val="24"/>
          <w:szCs w:val="24"/>
        </w:rPr>
      </w:pPr>
    </w:p>
    <w:p w14:paraId="69641431" w14:textId="3F67952F" w:rsidR="009D5A1A" w:rsidRDefault="009D5A1A" w:rsidP="00343DA3">
      <w:pPr>
        <w:tabs>
          <w:tab w:val="left" w:pos="3390"/>
        </w:tabs>
        <w:spacing w:after="0" w:line="240" w:lineRule="auto"/>
        <w:ind w:left="284"/>
        <w:jc w:val="both"/>
        <w:rPr>
          <w:rFonts w:ascii="Garamond" w:hAnsi="Garamond" w:cs="Arial"/>
          <w:sz w:val="24"/>
          <w:szCs w:val="24"/>
        </w:rPr>
      </w:pPr>
    </w:p>
    <w:p w14:paraId="03D30FCF" w14:textId="77777777" w:rsidR="009D5A1A" w:rsidRDefault="009D5A1A" w:rsidP="00343DA3">
      <w:pPr>
        <w:tabs>
          <w:tab w:val="left" w:pos="3390"/>
        </w:tabs>
        <w:spacing w:after="0" w:line="240" w:lineRule="auto"/>
        <w:ind w:left="284"/>
        <w:jc w:val="both"/>
        <w:rPr>
          <w:rFonts w:ascii="Garamond" w:hAnsi="Garamond" w:cs="Arial"/>
          <w:sz w:val="24"/>
          <w:szCs w:val="24"/>
        </w:rPr>
      </w:pPr>
    </w:p>
    <w:tbl>
      <w:tblPr>
        <w:tblW w:w="10915" w:type="dxa"/>
        <w:tblCellSpacing w:w="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6"/>
        <w:gridCol w:w="1771"/>
        <w:gridCol w:w="1788"/>
        <w:gridCol w:w="1998"/>
        <w:gridCol w:w="3402"/>
      </w:tblGrid>
      <w:tr w:rsidR="001B3684" w:rsidRPr="009D5A1A" w14:paraId="2EFDB6C5" w14:textId="77777777" w:rsidTr="0080095C">
        <w:trPr>
          <w:tblHeader/>
          <w:tblCellSpacing w:w="15" w:type="dxa"/>
        </w:trPr>
        <w:tc>
          <w:tcPr>
            <w:tcW w:w="1911" w:type="dxa"/>
            <w:vAlign w:val="center"/>
            <w:hideMark/>
          </w:tcPr>
          <w:p w14:paraId="2BDEC8D3" w14:textId="77777777" w:rsidR="009D5A1A" w:rsidRPr="009D5A1A" w:rsidRDefault="009D5A1A" w:rsidP="009D5A1A">
            <w:pPr>
              <w:spacing w:after="0" w:line="240" w:lineRule="auto"/>
              <w:jc w:val="center"/>
              <w:rPr>
                <w:rFonts w:ascii="Garamond" w:eastAsia="Times New Roman" w:hAnsi="Garamond" w:cs="Times New Roman"/>
                <w:b/>
                <w:bCs/>
                <w:lang w:eastAsia="es-CO"/>
              </w:rPr>
            </w:pPr>
            <w:r w:rsidRPr="00047D49">
              <w:rPr>
                <w:rFonts w:ascii="Garamond" w:eastAsia="Times New Roman" w:hAnsi="Garamond" w:cs="Times New Roman"/>
                <w:b/>
                <w:bCs/>
                <w:lang w:eastAsia="es-CO"/>
              </w:rPr>
              <w:lastRenderedPageBreak/>
              <w:t>Indicador</w:t>
            </w:r>
          </w:p>
        </w:tc>
        <w:tc>
          <w:tcPr>
            <w:tcW w:w="1741" w:type="dxa"/>
            <w:vAlign w:val="center"/>
            <w:hideMark/>
          </w:tcPr>
          <w:p w14:paraId="1CCB0140" w14:textId="7F1D3252" w:rsidR="009D5A1A" w:rsidRPr="009D5A1A" w:rsidRDefault="009D5A1A" w:rsidP="001B3684">
            <w:pPr>
              <w:spacing w:after="0" w:line="240" w:lineRule="auto"/>
              <w:jc w:val="center"/>
              <w:rPr>
                <w:rFonts w:ascii="Garamond" w:eastAsia="Times New Roman" w:hAnsi="Garamond" w:cs="Times New Roman"/>
                <w:b/>
                <w:bCs/>
                <w:lang w:eastAsia="es-CO"/>
              </w:rPr>
            </w:pPr>
            <w:r w:rsidRPr="00047D49">
              <w:rPr>
                <w:rFonts w:ascii="Garamond" w:eastAsia="Times New Roman" w:hAnsi="Garamond" w:cs="Times New Roman"/>
                <w:b/>
                <w:bCs/>
                <w:lang w:eastAsia="es-CO"/>
              </w:rPr>
              <w:t>Mediana (sector / procesos similares)</w:t>
            </w:r>
          </w:p>
        </w:tc>
        <w:tc>
          <w:tcPr>
            <w:tcW w:w="1758" w:type="dxa"/>
            <w:vAlign w:val="center"/>
            <w:hideMark/>
          </w:tcPr>
          <w:p w14:paraId="12A98F33" w14:textId="34346368" w:rsidR="001B3684" w:rsidRPr="00047D49" w:rsidRDefault="001B3684" w:rsidP="009D5A1A">
            <w:pPr>
              <w:spacing w:after="0" w:line="240" w:lineRule="auto"/>
              <w:jc w:val="center"/>
              <w:rPr>
                <w:rFonts w:ascii="Garamond" w:eastAsia="Times New Roman" w:hAnsi="Garamond" w:cs="Times New Roman"/>
                <w:b/>
                <w:bCs/>
                <w:lang w:eastAsia="es-CO"/>
              </w:rPr>
            </w:pPr>
            <w:r w:rsidRPr="00047D49">
              <w:rPr>
                <w:rFonts w:ascii="Garamond" w:eastAsia="Times New Roman" w:hAnsi="Garamond" w:cs="Times New Roman"/>
                <w:b/>
                <w:bCs/>
                <w:lang w:eastAsia="es-CO"/>
              </w:rPr>
              <w:t>Pliegos Tipo de Menor Cuantía de obra pública de infraestructura social CCE-EICP – Versión 3 – Matriz 2 -</w:t>
            </w:r>
            <w:r w:rsidRPr="00047D49">
              <w:t xml:space="preserve"> </w:t>
            </w:r>
            <w:r w:rsidRPr="00047D49">
              <w:rPr>
                <w:rFonts w:ascii="Garamond" w:eastAsia="Times New Roman" w:hAnsi="Garamond" w:cs="Times New Roman"/>
                <w:b/>
                <w:bCs/>
                <w:lang w:eastAsia="es-CO"/>
              </w:rPr>
              <w:t>Indicadores financieros y organizacionales</w:t>
            </w:r>
          </w:p>
          <w:p w14:paraId="32FBA960" w14:textId="06F8D254" w:rsidR="009D5A1A" w:rsidRPr="009D5A1A" w:rsidRDefault="009D5A1A" w:rsidP="009D5A1A">
            <w:pPr>
              <w:spacing w:after="0" w:line="240" w:lineRule="auto"/>
              <w:jc w:val="center"/>
              <w:rPr>
                <w:rFonts w:ascii="Garamond" w:eastAsia="Times New Roman" w:hAnsi="Garamond" w:cs="Times New Roman"/>
                <w:b/>
                <w:bCs/>
                <w:lang w:eastAsia="es-CO"/>
              </w:rPr>
            </w:pPr>
            <w:r w:rsidRPr="00047D49">
              <w:rPr>
                <w:rFonts w:ascii="Garamond" w:eastAsia="Times New Roman" w:hAnsi="Garamond" w:cs="Times New Roman"/>
                <w:b/>
                <w:bCs/>
                <w:lang w:eastAsia="es-CO"/>
              </w:rPr>
              <w:t>MIPYMES</w:t>
            </w:r>
            <w:r w:rsidR="001B3684" w:rsidRPr="00047D49">
              <w:rPr>
                <w:rFonts w:ascii="Garamond" w:eastAsia="Times New Roman" w:hAnsi="Garamond" w:cs="Times New Roman"/>
                <w:b/>
                <w:bCs/>
                <w:lang w:eastAsia="es-CO"/>
              </w:rPr>
              <w:t xml:space="preserve"> </w:t>
            </w:r>
          </w:p>
        </w:tc>
        <w:tc>
          <w:tcPr>
            <w:tcW w:w="1968" w:type="dxa"/>
            <w:vAlign w:val="center"/>
            <w:hideMark/>
          </w:tcPr>
          <w:p w14:paraId="3DDB7B73" w14:textId="37B56AC6" w:rsidR="001B3684" w:rsidRPr="00047D49" w:rsidRDefault="001B3684" w:rsidP="001B3684">
            <w:pPr>
              <w:spacing w:after="0" w:line="240" w:lineRule="auto"/>
              <w:jc w:val="center"/>
              <w:rPr>
                <w:rFonts w:ascii="Garamond" w:eastAsia="Times New Roman" w:hAnsi="Garamond" w:cs="Times New Roman"/>
                <w:b/>
                <w:bCs/>
                <w:lang w:eastAsia="es-CO"/>
              </w:rPr>
            </w:pPr>
            <w:r w:rsidRPr="00047D49">
              <w:rPr>
                <w:rFonts w:ascii="Garamond" w:eastAsia="Times New Roman" w:hAnsi="Garamond" w:cs="Times New Roman"/>
                <w:b/>
                <w:bCs/>
                <w:lang w:eastAsia="es-CO"/>
              </w:rPr>
              <w:t>Pliegos Tipo de Menor Cuantía de obra pública de infraestructura social CCE-EICP – Versión 3 Matriz 2 -</w:t>
            </w:r>
            <w:r w:rsidRPr="00047D49">
              <w:t xml:space="preserve"> </w:t>
            </w:r>
            <w:r w:rsidRPr="00047D49">
              <w:rPr>
                <w:rFonts w:ascii="Garamond" w:eastAsia="Times New Roman" w:hAnsi="Garamond" w:cs="Times New Roman"/>
                <w:b/>
                <w:bCs/>
                <w:lang w:eastAsia="es-CO"/>
              </w:rPr>
              <w:t>Indicadores financieros y organizacionales</w:t>
            </w:r>
          </w:p>
          <w:p w14:paraId="4C66D22A" w14:textId="77777777" w:rsidR="001B3684" w:rsidRPr="00047D49" w:rsidRDefault="001B3684" w:rsidP="009D5A1A">
            <w:pPr>
              <w:spacing w:after="0" w:line="240" w:lineRule="auto"/>
              <w:jc w:val="center"/>
              <w:rPr>
                <w:rFonts w:ascii="Garamond" w:eastAsia="Times New Roman" w:hAnsi="Garamond" w:cs="Times New Roman"/>
                <w:b/>
                <w:bCs/>
                <w:lang w:eastAsia="es-CO"/>
              </w:rPr>
            </w:pPr>
          </w:p>
          <w:p w14:paraId="7B9D9965" w14:textId="281BC525" w:rsidR="009D5A1A" w:rsidRPr="009D5A1A" w:rsidRDefault="009D5A1A" w:rsidP="009D5A1A">
            <w:pPr>
              <w:spacing w:after="0" w:line="240" w:lineRule="auto"/>
              <w:jc w:val="center"/>
              <w:rPr>
                <w:rFonts w:ascii="Garamond" w:eastAsia="Times New Roman" w:hAnsi="Garamond" w:cs="Times New Roman"/>
                <w:b/>
                <w:bCs/>
                <w:lang w:eastAsia="es-CO"/>
              </w:rPr>
            </w:pPr>
            <w:r w:rsidRPr="00047D49">
              <w:rPr>
                <w:rFonts w:ascii="Garamond" w:eastAsia="Times New Roman" w:hAnsi="Garamond" w:cs="Times New Roman"/>
                <w:b/>
                <w:bCs/>
                <w:lang w:eastAsia="es-CO"/>
              </w:rPr>
              <w:t>Demás empresas</w:t>
            </w:r>
          </w:p>
        </w:tc>
        <w:tc>
          <w:tcPr>
            <w:tcW w:w="3357" w:type="dxa"/>
            <w:vAlign w:val="center"/>
            <w:hideMark/>
          </w:tcPr>
          <w:p w14:paraId="6812A981" w14:textId="1B766DE7" w:rsidR="009D5A1A" w:rsidRPr="009D5A1A" w:rsidRDefault="0080095C" w:rsidP="0080095C">
            <w:pPr>
              <w:spacing w:after="0" w:line="240" w:lineRule="auto"/>
              <w:jc w:val="center"/>
              <w:rPr>
                <w:rFonts w:ascii="Garamond" w:eastAsia="Times New Roman" w:hAnsi="Garamond" w:cs="Times New Roman"/>
                <w:b/>
                <w:bCs/>
                <w:lang w:eastAsia="es-CO"/>
              </w:rPr>
            </w:pPr>
            <w:r w:rsidRPr="00047D49">
              <w:rPr>
                <w:rFonts w:ascii="Garamond" w:eastAsia="Times New Roman" w:hAnsi="Garamond" w:cs="Times New Roman"/>
                <w:b/>
                <w:bCs/>
                <w:lang w:eastAsia="es-CO"/>
              </w:rPr>
              <w:t>Análisis comparativo (análisis del sector e indicadores del Pliego tipo)</w:t>
            </w:r>
          </w:p>
        </w:tc>
      </w:tr>
      <w:tr w:rsidR="001B3684" w:rsidRPr="009D5A1A" w14:paraId="790BFD1B" w14:textId="77777777" w:rsidTr="0080095C">
        <w:trPr>
          <w:tblCellSpacing w:w="15" w:type="dxa"/>
        </w:trPr>
        <w:tc>
          <w:tcPr>
            <w:tcW w:w="1911" w:type="dxa"/>
            <w:vAlign w:val="center"/>
            <w:hideMark/>
          </w:tcPr>
          <w:p w14:paraId="56597589" w14:textId="77777777" w:rsidR="009D5A1A" w:rsidRPr="009D5A1A" w:rsidRDefault="009D5A1A" w:rsidP="009D5A1A">
            <w:pPr>
              <w:spacing w:after="0" w:line="240" w:lineRule="auto"/>
              <w:rPr>
                <w:rFonts w:ascii="Garamond" w:eastAsia="Times New Roman" w:hAnsi="Garamond" w:cs="Times New Roman"/>
                <w:lang w:eastAsia="es-CO"/>
              </w:rPr>
            </w:pPr>
            <w:r w:rsidRPr="00047D49">
              <w:rPr>
                <w:rFonts w:ascii="Garamond" w:eastAsia="Times New Roman" w:hAnsi="Garamond" w:cs="Times New Roman"/>
                <w:b/>
                <w:bCs/>
                <w:lang w:eastAsia="es-CO"/>
              </w:rPr>
              <w:t>Índice de liquidez</w:t>
            </w:r>
          </w:p>
        </w:tc>
        <w:tc>
          <w:tcPr>
            <w:tcW w:w="1741" w:type="dxa"/>
            <w:vAlign w:val="center"/>
            <w:hideMark/>
          </w:tcPr>
          <w:p w14:paraId="40FEFE08"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1,5</w:t>
            </w:r>
          </w:p>
        </w:tc>
        <w:tc>
          <w:tcPr>
            <w:tcW w:w="1758" w:type="dxa"/>
            <w:vAlign w:val="center"/>
            <w:hideMark/>
          </w:tcPr>
          <w:p w14:paraId="11645D03"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1,1</w:t>
            </w:r>
          </w:p>
        </w:tc>
        <w:tc>
          <w:tcPr>
            <w:tcW w:w="1968" w:type="dxa"/>
            <w:vAlign w:val="center"/>
            <w:hideMark/>
          </w:tcPr>
          <w:p w14:paraId="52510957"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1,2</w:t>
            </w:r>
          </w:p>
        </w:tc>
        <w:tc>
          <w:tcPr>
            <w:tcW w:w="3357" w:type="dxa"/>
            <w:vAlign w:val="center"/>
            <w:hideMark/>
          </w:tcPr>
          <w:p w14:paraId="09E032DD" w14:textId="0AA6CED2" w:rsidR="009D5A1A" w:rsidRPr="009D5A1A" w:rsidRDefault="001B3684" w:rsidP="00047D49">
            <w:pPr>
              <w:spacing w:after="0" w:line="240" w:lineRule="auto"/>
              <w:jc w:val="both"/>
              <w:rPr>
                <w:rFonts w:ascii="Garamond" w:eastAsia="Times New Roman" w:hAnsi="Garamond" w:cs="Times New Roman"/>
                <w:lang w:eastAsia="es-CO"/>
              </w:rPr>
            </w:pPr>
            <w:r w:rsidRPr="00047D49">
              <w:rPr>
                <w:rFonts w:ascii="Garamond" w:eastAsia="Times New Roman" w:hAnsi="Garamond" w:cs="Times New Roman"/>
                <w:lang w:eastAsia="es-CO"/>
              </w:rPr>
              <w:t>Aunque la mediana del sector (1,5) refleja una buena capacidad de pago, el Pliego Tipo fija valores mínimos razonables que no excluyen oferentes con liquidez suficiente, pero menor, garantizando mayor pluralidad y competencia. Aplicar los del Pliego Tipo evita sobreexigir solidez financiera y facilita la participación de MIPYMES sin comprometer la solvencia.</w:t>
            </w:r>
          </w:p>
        </w:tc>
      </w:tr>
      <w:tr w:rsidR="001B3684" w:rsidRPr="009D5A1A" w14:paraId="125470F1" w14:textId="77777777" w:rsidTr="0080095C">
        <w:trPr>
          <w:tblCellSpacing w:w="15" w:type="dxa"/>
        </w:trPr>
        <w:tc>
          <w:tcPr>
            <w:tcW w:w="1911" w:type="dxa"/>
            <w:vAlign w:val="center"/>
            <w:hideMark/>
          </w:tcPr>
          <w:p w14:paraId="5BF9F72F" w14:textId="77777777" w:rsidR="009D5A1A" w:rsidRPr="009D5A1A" w:rsidRDefault="009D5A1A" w:rsidP="009D5A1A">
            <w:pPr>
              <w:spacing w:after="0" w:line="240" w:lineRule="auto"/>
              <w:rPr>
                <w:rFonts w:ascii="Garamond" w:eastAsia="Times New Roman" w:hAnsi="Garamond" w:cs="Times New Roman"/>
                <w:lang w:eastAsia="es-CO"/>
              </w:rPr>
            </w:pPr>
            <w:r w:rsidRPr="00047D49">
              <w:rPr>
                <w:rFonts w:ascii="Garamond" w:eastAsia="Times New Roman" w:hAnsi="Garamond" w:cs="Times New Roman"/>
                <w:b/>
                <w:bCs/>
                <w:lang w:eastAsia="es-CO"/>
              </w:rPr>
              <w:t>Nivel de endeudamiento</w:t>
            </w:r>
          </w:p>
        </w:tc>
        <w:tc>
          <w:tcPr>
            <w:tcW w:w="1741" w:type="dxa"/>
            <w:vAlign w:val="center"/>
            <w:hideMark/>
          </w:tcPr>
          <w:p w14:paraId="1F8CA203"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0,6</w:t>
            </w:r>
          </w:p>
        </w:tc>
        <w:tc>
          <w:tcPr>
            <w:tcW w:w="1758" w:type="dxa"/>
            <w:vAlign w:val="center"/>
            <w:hideMark/>
          </w:tcPr>
          <w:p w14:paraId="7130220E"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0,70</w:t>
            </w:r>
          </w:p>
        </w:tc>
        <w:tc>
          <w:tcPr>
            <w:tcW w:w="1968" w:type="dxa"/>
            <w:vAlign w:val="center"/>
            <w:hideMark/>
          </w:tcPr>
          <w:p w14:paraId="5E97728A"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0,70</w:t>
            </w:r>
          </w:p>
        </w:tc>
        <w:tc>
          <w:tcPr>
            <w:tcW w:w="3357" w:type="dxa"/>
            <w:vAlign w:val="center"/>
            <w:hideMark/>
          </w:tcPr>
          <w:p w14:paraId="7311F0EC" w14:textId="2CCD433E" w:rsidR="009D5A1A" w:rsidRPr="009D5A1A" w:rsidRDefault="00047D49" w:rsidP="00047D49">
            <w:pPr>
              <w:spacing w:after="0" w:line="240" w:lineRule="auto"/>
              <w:jc w:val="both"/>
              <w:rPr>
                <w:rFonts w:ascii="Garamond" w:eastAsia="Times New Roman" w:hAnsi="Garamond" w:cs="Times New Roman"/>
                <w:lang w:eastAsia="es-CO"/>
              </w:rPr>
            </w:pPr>
            <w:r w:rsidRPr="00047D49">
              <w:rPr>
                <w:rFonts w:ascii="Garamond" w:eastAsia="Times New Roman" w:hAnsi="Garamond" w:cs="Times New Roman"/>
                <w:lang w:eastAsia="es-CO"/>
              </w:rPr>
              <w:t>Ambos valores son adecuados, pero el Pliego Tipo mantiene un umbral máximo uniforme (0,70) que permite la participación de empresas con estructuras financieras diversas. Esto evita que el mercado se limite solo a contratistas con bajo apalancamiento, fomentando la equidad y amplitud de competencia.</w:t>
            </w:r>
          </w:p>
        </w:tc>
      </w:tr>
      <w:tr w:rsidR="001B3684" w:rsidRPr="009D5A1A" w14:paraId="16B97460" w14:textId="77777777" w:rsidTr="0080095C">
        <w:trPr>
          <w:tblCellSpacing w:w="15" w:type="dxa"/>
        </w:trPr>
        <w:tc>
          <w:tcPr>
            <w:tcW w:w="1911" w:type="dxa"/>
            <w:vAlign w:val="center"/>
            <w:hideMark/>
          </w:tcPr>
          <w:p w14:paraId="4C7D93E8" w14:textId="77777777" w:rsidR="009D5A1A" w:rsidRPr="009D5A1A" w:rsidRDefault="009D5A1A" w:rsidP="009D5A1A">
            <w:pPr>
              <w:spacing w:after="0" w:line="240" w:lineRule="auto"/>
              <w:rPr>
                <w:rFonts w:ascii="Garamond" w:eastAsia="Times New Roman" w:hAnsi="Garamond" w:cs="Times New Roman"/>
                <w:lang w:eastAsia="es-CO"/>
              </w:rPr>
            </w:pPr>
            <w:r w:rsidRPr="00047D49">
              <w:rPr>
                <w:rFonts w:ascii="Garamond" w:eastAsia="Times New Roman" w:hAnsi="Garamond" w:cs="Times New Roman"/>
                <w:b/>
                <w:bCs/>
                <w:lang w:eastAsia="es-CO"/>
              </w:rPr>
              <w:t>Rentabilidad del patrimonio</w:t>
            </w:r>
          </w:p>
        </w:tc>
        <w:tc>
          <w:tcPr>
            <w:tcW w:w="1741" w:type="dxa"/>
            <w:vAlign w:val="center"/>
            <w:hideMark/>
          </w:tcPr>
          <w:p w14:paraId="08A01AA1"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0,05</w:t>
            </w:r>
          </w:p>
        </w:tc>
        <w:tc>
          <w:tcPr>
            <w:tcW w:w="1758" w:type="dxa"/>
            <w:vAlign w:val="center"/>
            <w:hideMark/>
          </w:tcPr>
          <w:p w14:paraId="012A42D2"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0,02</w:t>
            </w:r>
          </w:p>
        </w:tc>
        <w:tc>
          <w:tcPr>
            <w:tcW w:w="1968" w:type="dxa"/>
            <w:vAlign w:val="center"/>
            <w:hideMark/>
          </w:tcPr>
          <w:p w14:paraId="4D522BD5"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0,04</w:t>
            </w:r>
          </w:p>
        </w:tc>
        <w:tc>
          <w:tcPr>
            <w:tcW w:w="3357" w:type="dxa"/>
            <w:vAlign w:val="center"/>
            <w:hideMark/>
          </w:tcPr>
          <w:p w14:paraId="64687766" w14:textId="4DD8FA0F" w:rsidR="009D5A1A" w:rsidRPr="009D5A1A" w:rsidRDefault="00047D49" w:rsidP="00047D49">
            <w:pPr>
              <w:spacing w:after="0" w:line="240" w:lineRule="auto"/>
              <w:jc w:val="both"/>
              <w:rPr>
                <w:rFonts w:ascii="Garamond" w:eastAsia="Times New Roman" w:hAnsi="Garamond" w:cs="Times New Roman"/>
                <w:lang w:eastAsia="es-CO"/>
              </w:rPr>
            </w:pPr>
            <w:r w:rsidRPr="00047D49">
              <w:rPr>
                <w:rFonts w:ascii="Garamond" w:eastAsia="Times New Roman" w:hAnsi="Garamond" w:cs="Times New Roman"/>
                <w:lang w:eastAsia="es-CO"/>
              </w:rPr>
              <w:t>Si bien la mediana muestra una rentabilidad superior, el Pliego Tipo define márgenes mínimos alineados con la rentabilidad promedio del sector construcción, asegurando que no se excluyan empresas viables con márgenes más ajustados, pero estables. Se promueve así la inclusión de empresas en crecimiento y sostenibles, sin exigir rentabilidades atípicas.</w:t>
            </w:r>
          </w:p>
        </w:tc>
      </w:tr>
      <w:tr w:rsidR="001B3684" w:rsidRPr="009D5A1A" w14:paraId="008171F3" w14:textId="77777777" w:rsidTr="00047D49">
        <w:trPr>
          <w:tblCellSpacing w:w="15" w:type="dxa"/>
        </w:trPr>
        <w:tc>
          <w:tcPr>
            <w:tcW w:w="1911" w:type="dxa"/>
            <w:vAlign w:val="center"/>
            <w:hideMark/>
          </w:tcPr>
          <w:p w14:paraId="63B24510" w14:textId="77777777" w:rsidR="009D5A1A" w:rsidRPr="009D5A1A" w:rsidRDefault="009D5A1A" w:rsidP="009D5A1A">
            <w:pPr>
              <w:spacing w:after="0" w:line="240" w:lineRule="auto"/>
              <w:rPr>
                <w:rFonts w:ascii="Garamond" w:eastAsia="Times New Roman" w:hAnsi="Garamond" w:cs="Times New Roman"/>
                <w:lang w:eastAsia="es-CO"/>
              </w:rPr>
            </w:pPr>
            <w:r w:rsidRPr="00047D49">
              <w:rPr>
                <w:rFonts w:ascii="Garamond" w:eastAsia="Times New Roman" w:hAnsi="Garamond" w:cs="Times New Roman"/>
                <w:b/>
                <w:bCs/>
                <w:lang w:eastAsia="es-CO"/>
              </w:rPr>
              <w:t>Rentabilidad del activo</w:t>
            </w:r>
          </w:p>
        </w:tc>
        <w:tc>
          <w:tcPr>
            <w:tcW w:w="1741" w:type="dxa"/>
            <w:vAlign w:val="center"/>
            <w:hideMark/>
          </w:tcPr>
          <w:p w14:paraId="49106DE0"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0,02</w:t>
            </w:r>
          </w:p>
        </w:tc>
        <w:tc>
          <w:tcPr>
            <w:tcW w:w="1758" w:type="dxa"/>
            <w:vAlign w:val="center"/>
            <w:hideMark/>
          </w:tcPr>
          <w:p w14:paraId="1653F5E8"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0,01</w:t>
            </w:r>
          </w:p>
        </w:tc>
        <w:tc>
          <w:tcPr>
            <w:tcW w:w="1968" w:type="dxa"/>
            <w:vAlign w:val="center"/>
            <w:hideMark/>
          </w:tcPr>
          <w:p w14:paraId="2E0D7C5B"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0,02</w:t>
            </w:r>
          </w:p>
        </w:tc>
        <w:tc>
          <w:tcPr>
            <w:tcW w:w="3357" w:type="dxa"/>
            <w:vAlign w:val="center"/>
          </w:tcPr>
          <w:p w14:paraId="566875F1" w14:textId="441F22F3" w:rsidR="009D5A1A" w:rsidRPr="009D5A1A" w:rsidRDefault="00047D49" w:rsidP="00047D49">
            <w:pPr>
              <w:spacing w:after="0" w:line="240" w:lineRule="auto"/>
              <w:jc w:val="both"/>
              <w:rPr>
                <w:rFonts w:ascii="Garamond" w:eastAsia="Times New Roman" w:hAnsi="Garamond" w:cs="Times New Roman"/>
                <w:lang w:eastAsia="es-CO"/>
              </w:rPr>
            </w:pPr>
            <w:r w:rsidRPr="00047D49">
              <w:rPr>
                <w:rFonts w:ascii="Garamond" w:eastAsia="Times New Roman" w:hAnsi="Garamond" w:cs="Times New Roman"/>
                <w:lang w:eastAsia="es-CO"/>
              </w:rPr>
              <w:t>El valor del Pliego Tipo coincide con la mediana observada, lo que confirma su pertinencia. Su aplicación garantiza coherencia con la realidad financiera nacional y evita establecer parámetros más altos que podrían distorsionar la evaluación de capacidad económica.</w:t>
            </w:r>
          </w:p>
        </w:tc>
      </w:tr>
      <w:tr w:rsidR="001B3684" w:rsidRPr="009D5A1A" w14:paraId="56DE08AC" w14:textId="77777777" w:rsidTr="00047D49">
        <w:trPr>
          <w:tblCellSpacing w:w="15" w:type="dxa"/>
        </w:trPr>
        <w:tc>
          <w:tcPr>
            <w:tcW w:w="1911" w:type="dxa"/>
            <w:vAlign w:val="center"/>
            <w:hideMark/>
          </w:tcPr>
          <w:p w14:paraId="00FD3120" w14:textId="77777777" w:rsidR="009D5A1A" w:rsidRPr="009D5A1A" w:rsidRDefault="009D5A1A" w:rsidP="009D5A1A">
            <w:pPr>
              <w:spacing w:after="0" w:line="240" w:lineRule="auto"/>
              <w:rPr>
                <w:rFonts w:ascii="Garamond" w:eastAsia="Times New Roman" w:hAnsi="Garamond" w:cs="Times New Roman"/>
                <w:lang w:eastAsia="es-CO"/>
              </w:rPr>
            </w:pPr>
            <w:r w:rsidRPr="00047D49">
              <w:rPr>
                <w:rFonts w:ascii="Garamond" w:eastAsia="Times New Roman" w:hAnsi="Garamond" w:cs="Times New Roman"/>
                <w:b/>
                <w:bCs/>
                <w:lang w:eastAsia="es-CO"/>
              </w:rPr>
              <w:lastRenderedPageBreak/>
              <w:t>Razón de cobertura de intereses</w:t>
            </w:r>
          </w:p>
        </w:tc>
        <w:tc>
          <w:tcPr>
            <w:tcW w:w="1741" w:type="dxa"/>
            <w:vAlign w:val="center"/>
            <w:hideMark/>
          </w:tcPr>
          <w:p w14:paraId="0C5254CC"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1</w:t>
            </w:r>
          </w:p>
        </w:tc>
        <w:tc>
          <w:tcPr>
            <w:tcW w:w="1758" w:type="dxa"/>
            <w:vAlign w:val="center"/>
            <w:hideMark/>
          </w:tcPr>
          <w:p w14:paraId="4D8BCF9D"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1</w:t>
            </w:r>
          </w:p>
        </w:tc>
        <w:tc>
          <w:tcPr>
            <w:tcW w:w="1968" w:type="dxa"/>
            <w:vAlign w:val="center"/>
            <w:hideMark/>
          </w:tcPr>
          <w:p w14:paraId="07A89FC3"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 1</w:t>
            </w:r>
          </w:p>
        </w:tc>
        <w:tc>
          <w:tcPr>
            <w:tcW w:w="3357" w:type="dxa"/>
            <w:vAlign w:val="center"/>
          </w:tcPr>
          <w:p w14:paraId="6B05C185" w14:textId="6F1E8D9D" w:rsidR="009D5A1A" w:rsidRPr="009D5A1A" w:rsidRDefault="00047D49" w:rsidP="00047D49">
            <w:pPr>
              <w:spacing w:after="0" w:line="240" w:lineRule="auto"/>
              <w:jc w:val="both"/>
              <w:rPr>
                <w:rFonts w:ascii="Garamond" w:eastAsia="Times New Roman" w:hAnsi="Garamond" w:cs="Times New Roman"/>
                <w:lang w:eastAsia="es-CO"/>
              </w:rPr>
            </w:pPr>
            <w:r w:rsidRPr="00047D49">
              <w:rPr>
                <w:rFonts w:ascii="Garamond" w:eastAsia="Times New Roman" w:hAnsi="Garamond" w:cs="Times New Roman"/>
                <w:lang w:eastAsia="es-CO"/>
              </w:rPr>
              <w:t>Los valores coinciden, lo que demuestra que el Pliego Tipo mantiene un estándar prudente y viable para asegurar la capacidad de cumplir obligaciones financieras, sin sobredimensionar el indicador.</w:t>
            </w:r>
          </w:p>
        </w:tc>
      </w:tr>
      <w:tr w:rsidR="001B3684" w:rsidRPr="009D5A1A" w14:paraId="0C48F546" w14:textId="77777777" w:rsidTr="00047D49">
        <w:trPr>
          <w:tblCellSpacing w:w="15" w:type="dxa"/>
        </w:trPr>
        <w:tc>
          <w:tcPr>
            <w:tcW w:w="1911" w:type="dxa"/>
            <w:vAlign w:val="center"/>
            <w:hideMark/>
          </w:tcPr>
          <w:p w14:paraId="1EFF83FB" w14:textId="77777777" w:rsidR="009D5A1A" w:rsidRPr="009D5A1A" w:rsidRDefault="009D5A1A" w:rsidP="009D5A1A">
            <w:pPr>
              <w:spacing w:after="0" w:line="240" w:lineRule="auto"/>
              <w:rPr>
                <w:rFonts w:ascii="Garamond" w:eastAsia="Times New Roman" w:hAnsi="Garamond" w:cs="Times New Roman"/>
                <w:lang w:eastAsia="es-CO"/>
              </w:rPr>
            </w:pPr>
            <w:r w:rsidRPr="00047D49">
              <w:rPr>
                <w:rFonts w:ascii="Garamond" w:eastAsia="Times New Roman" w:hAnsi="Garamond" w:cs="Times New Roman"/>
                <w:b/>
                <w:bCs/>
                <w:lang w:eastAsia="es-CO"/>
              </w:rPr>
              <w:t>Capital de trabajo</w:t>
            </w:r>
          </w:p>
        </w:tc>
        <w:tc>
          <w:tcPr>
            <w:tcW w:w="1741" w:type="dxa"/>
            <w:vAlign w:val="center"/>
            <w:hideMark/>
          </w:tcPr>
          <w:p w14:paraId="4B76F153"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30%</w:t>
            </w:r>
          </w:p>
        </w:tc>
        <w:tc>
          <w:tcPr>
            <w:tcW w:w="1758" w:type="dxa"/>
            <w:vAlign w:val="center"/>
            <w:hideMark/>
          </w:tcPr>
          <w:p w14:paraId="2D14DF63"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Definido según Pliego Tipo</w:t>
            </w:r>
          </w:p>
        </w:tc>
        <w:tc>
          <w:tcPr>
            <w:tcW w:w="1968" w:type="dxa"/>
            <w:vAlign w:val="center"/>
            <w:hideMark/>
          </w:tcPr>
          <w:p w14:paraId="14CA9177" w14:textId="77777777" w:rsidR="009D5A1A" w:rsidRPr="009D5A1A" w:rsidRDefault="009D5A1A" w:rsidP="009D5A1A">
            <w:pPr>
              <w:spacing w:after="0" w:line="240" w:lineRule="auto"/>
              <w:rPr>
                <w:rFonts w:ascii="Garamond" w:eastAsia="Times New Roman" w:hAnsi="Garamond" w:cs="Times New Roman"/>
                <w:lang w:eastAsia="es-CO"/>
              </w:rPr>
            </w:pPr>
            <w:r w:rsidRPr="009D5A1A">
              <w:rPr>
                <w:rFonts w:ascii="Garamond" w:eastAsia="Times New Roman" w:hAnsi="Garamond" w:cs="Times New Roman"/>
                <w:lang w:eastAsia="es-CO"/>
              </w:rPr>
              <w:t>Definido según Pliego Tipo</w:t>
            </w:r>
          </w:p>
        </w:tc>
        <w:tc>
          <w:tcPr>
            <w:tcW w:w="3357" w:type="dxa"/>
            <w:vAlign w:val="center"/>
          </w:tcPr>
          <w:p w14:paraId="3A3B340F" w14:textId="2F91A43B" w:rsidR="009D5A1A" w:rsidRPr="009D5A1A" w:rsidRDefault="00047D49" w:rsidP="00047D49">
            <w:pPr>
              <w:spacing w:after="0" w:line="240" w:lineRule="auto"/>
              <w:jc w:val="both"/>
              <w:rPr>
                <w:rFonts w:ascii="Garamond" w:eastAsia="Times New Roman" w:hAnsi="Garamond" w:cs="Times New Roman"/>
                <w:lang w:eastAsia="es-CO"/>
              </w:rPr>
            </w:pPr>
            <w:r w:rsidRPr="00047D49">
              <w:rPr>
                <w:rFonts w:ascii="Garamond" w:eastAsia="Times New Roman" w:hAnsi="Garamond" w:cs="Times New Roman"/>
                <w:lang w:eastAsia="es-CO"/>
              </w:rPr>
              <w:t>El Pliego Tipo permite definir el capital de trabajo en función del objeto contractual, lo cual otorga flexibilidad y proporcionalidad, evitando exigir niveles fijos que puedan resultar desmedidos según la magnitud del proyecto.</w:t>
            </w:r>
          </w:p>
        </w:tc>
      </w:tr>
    </w:tbl>
    <w:p w14:paraId="04664765" w14:textId="77777777" w:rsidR="00343DA3" w:rsidRPr="00343DA3" w:rsidRDefault="00343DA3" w:rsidP="00343DA3">
      <w:pPr>
        <w:tabs>
          <w:tab w:val="left" w:pos="3390"/>
        </w:tabs>
        <w:spacing w:after="0" w:line="240" w:lineRule="auto"/>
        <w:ind w:left="207"/>
        <w:jc w:val="both"/>
        <w:rPr>
          <w:rFonts w:ascii="Garamond" w:hAnsi="Garamond" w:cs="Arial"/>
          <w:sz w:val="24"/>
          <w:szCs w:val="24"/>
        </w:rPr>
      </w:pPr>
    </w:p>
    <w:p w14:paraId="47B24561" w14:textId="77777777" w:rsidR="00047D49" w:rsidRPr="00047D49" w:rsidRDefault="00047D49" w:rsidP="00047D49">
      <w:pPr>
        <w:tabs>
          <w:tab w:val="left" w:pos="3390"/>
        </w:tabs>
        <w:spacing w:after="0" w:line="240" w:lineRule="auto"/>
        <w:ind w:left="284"/>
        <w:jc w:val="both"/>
        <w:rPr>
          <w:rFonts w:ascii="Garamond" w:hAnsi="Garamond" w:cs="Arial"/>
          <w:sz w:val="24"/>
          <w:szCs w:val="24"/>
        </w:rPr>
      </w:pPr>
      <w:r w:rsidRPr="00047D49">
        <w:rPr>
          <w:rFonts w:ascii="Garamond" w:hAnsi="Garamond" w:cs="Arial"/>
          <w:sz w:val="24"/>
          <w:szCs w:val="24"/>
        </w:rPr>
        <w:t>Aun cuando los indicadores financieros del sector reflejan valores ligeramente superiores, la adopción de los índices establecidos en el Pliego Tipo resulta más adecuada y beneficiosa, por las siguientes razones:</w:t>
      </w:r>
    </w:p>
    <w:p w14:paraId="1D1C87DC" w14:textId="77777777" w:rsidR="00047D49" w:rsidRPr="00047D49" w:rsidRDefault="00047D49" w:rsidP="00047D49">
      <w:pPr>
        <w:tabs>
          <w:tab w:val="left" w:pos="3390"/>
        </w:tabs>
        <w:spacing w:after="0" w:line="240" w:lineRule="auto"/>
        <w:ind w:left="284"/>
        <w:jc w:val="both"/>
        <w:rPr>
          <w:rFonts w:ascii="Garamond" w:hAnsi="Garamond" w:cs="Arial"/>
          <w:sz w:val="24"/>
          <w:szCs w:val="24"/>
        </w:rPr>
      </w:pPr>
    </w:p>
    <w:p w14:paraId="6A94D2CB" w14:textId="13E774C0" w:rsidR="00047D49" w:rsidRPr="00047D49" w:rsidRDefault="00047D49" w:rsidP="003A1825">
      <w:pPr>
        <w:pStyle w:val="Prrafodelista"/>
        <w:numPr>
          <w:ilvl w:val="0"/>
          <w:numId w:val="3"/>
        </w:numPr>
        <w:tabs>
          <w:tab w:val="left" w:pos="3390"/>
        </w:tabs>
        <w:spacing w:after="0" w:line="240" w:lineRule="auto"/>
        <w:jc w:val="both"/>
        <w:rPr>
          <w:rFonts w:ascii="Garamond" w:hAnsi="Garamond" w:cs="Arial"/>
          <w:sz w:val="24"/>
          <w:szCs w:val="24"/>
        </w:rPr>
      </w:pPr>
      <w:r w:rsidRPr="00047D49">
        <w:rPr>
          <w:rFonts w:ascii="Garamond" w:hAnsi="Garamond" w:cs="Arial"/>
          <w:sz w:val="24"/>
          <w:szCs w:val="24"/>
        </w:rPr>
        <w:t>Equilibrio entre solvencia y participación: Los valores del Pliego Tipo garantizan una condición financiera saludable sin restringir la participación de MIPYMES o empresas con menor capital disponible.</w:t>
      </w:r>
    </w:p>
    <w:p w14:paraId="6A67A7B6" w14:textId="77777777" w:rsidR="00047D49" w:rsidRPr="00047D49" w:rsidRDefault="00047D49" w:rsidP="00047D49">
      <w:pPr>
        <w:tabs>
          <w:tab w:val="left" w:pos="3390"/>
        </w:tabs>
        <w:spacing w:after="0" w:line="240" w:lineRule="auto"/>
        <w:ind w:left="284"/>
        <w:jc w:val="both"/>
        <w:rPr>
          <w:rFonts w:ascii="Garamond" w:hAnsi="Garamond" w:cs="Arial"/>
          <w:sz w:val="24"/>
          <w:szCs w:val="24"/>
        </w:rPr>
      </w:pPr>
    </w:p>
    <w:p w14:paraId="2599D586" w14:textId="2EE1CB03" w:rsidR="00047D49" w:rsidRPr="00047D49" w:rsidRDefault="00047D49" w:rsidP="003A1825">
      <w:pPr>
        <w:pStyle w:val="Prrafodelista"/>
        <w:numPr>
          <w:ilvl w:val="0"/>
          <w:numId w:val="3"/>
        </w:numPr>
        <w:tabs>
          <w:tab w:val="left" w:pos="3390"/>
        </w:tabs>
        <w:spacing w:after="0" w:line="240" w:lineRule="auto"/>
        <w:jc w:val="both"/>
        <w:rPr>
          <w:rFonts w:ascii="Garamond" w:hAnsi="Garamond" w:cs="Arial"/>
          <w:sz w:val="24"/>
          <w:szCs w:val="24"/>
        </w:rPr>
      </w:pPr>
      <w:r w:rsidRPr="00047D49">
        <w:rPr>
          <w:rFonts w:ascii="Garamond" w:hAnsi="Garamond" w:cs="Arial"/>
          <w:sz w:val="24"/>
          <w:szCs w:val="24"/>
        </w:rPr>
        <w:t>Uniformidad nacional: Permiten la comparación objetiva y homogénea entre oferentes en cualquier entidad del país, fortaleciendo la transparencia y la igualdad de condiciones.</w:t>
      </w:r>
    </w:p>
    <w:p w14:paraId="19A13872" w14:textId="77777777" w:rsidR="00047D49" w:rsidRPr="00047D49" w:rsidRDefault="00047D49" w:rsidP="00047D49">
      <w:pPr>
        <w:tabs>
          <w:tab w:val="left" w:pos="3390"/>
        </w:tabs>
        <w:spacing w:after="0" w:line="240" w:lineRule="auto"/>
        <w:ind w:left="284"/>
        <w:jc w:val="both"/>
        <w:rPr>
          <w:rFonts w:ascii="Garamond" w:hAnsi="Garamond" w:cs="Arial"/>
          <w:sz w:val="24"/>
          <w:szCs w:val="24"/>
        </w:rPr>
      </w:pPr>
    </w:p>
    <w:p w14:paraId="58FF1AD2" w14:textId="5A56E28C" w:rsidR="00047D49" w:rsidRPr="00047D49" w:rsidRDefault="00047D49" w:rsidP="003A1825">
      <w:pPr>
        <w:pStyle w:val="Prrafodelista"/>
        <w:numPr>
          <w:ilvl w:val="0"/>
          <w:numId w:val="3"/>
        </w:numPr>
        <w:tabs>
          <w:tab w:val="left" w:pos="3390"/>
        </w:tabs>
        <w:spacing w:after="0" w:line="240" w:lineRule="auto"/>
        <w:jc w:val="both"/>
        <w:rPr>
          <w:rFonts w:ascii="Garamond" w:hAnsi="Garamond" w:cs="Arial"/>
          <w:sz w:val="24"/>
          <w:szCs w:val="24"/>
        </w:rPr>
      </w:pPr>
      <w:r w:rsidRPr="00047D49">
        <w:rPr>
          <w:rFonts w:ascii="Garamond" w:hAnsi="Garamond" w:cs="Arial"/>
          <w:sz w:val="24"/>
          <w:szCs w:val="24"/>
        </w:rPr>
        <w:t>Sustento normativo: Su aplicación es obligatoria y se encuentra respaldada por la Agencia Nacional de Contratación Pública – Colombia Compra Eficiente, conforme al artículo 2.2.1.2.1.2.6.2 del Decreto 1082 de 2015, modificado por el Decreto 342 de 2019.</w:t>
      </w:r>
    </w:p>
    <w:p w14:paraId="4DB4C6FA" w14:textId="77777777" w:rsidR="00047D49" w:rsidRPr="00047D49" w:rsidRDefault="00047D49" w:rsidP="00047D49">
      <w:pPr>
        <w:tabs>
          <w:tab w:val="left" w:pos="3390"/>
        </w:tabs>
        <w:spacing w:after="0" w:line="240" w:lineRule="auto"/>
        <w:ind w:left="284"/>
        <w:jc w:val="both"/>
        <w:rPr>
          <w:rFonts w:ascii="Garamond" w:hAnsi="Garamond" w:cs="Arial"/>
          <w:sz w:val="24"/>
          <w:szCs w:val="24"/>
        </w:rPr>
      </w:pPr>
    </w:p>
    <w:p w14:paraId="2B4232BF" w14:textId="273D92C8" w:rsidR="00047D49" w:rsidRPr="00047D49" w:rsidRDefault="00047D49" w:rsidP="003A1825">
      <w:pPr>
        <w:pStyle w:val="Prrafodelista"/>
        <w:numPr>
          <w:ilvl w:val="0"/>
          <w:numId w:val="3"/>
        </w:numPr>
        <w:tabs>
          <w:tab w:val="left" w:pos="3390"/>
        </w:tabs>
        <w:spacing w:after="0" w:line="240" w:lineRule="auto"/>
        <w:jc w:val="both"/>
        <w:rPr>
          <w:rFonts w:ascii="Garamond" w:hAnsi="Garamond" w:cs="Arial"/>
          <w:sz w:val="24"/>
          <w:szCs w:val="24"/>
        </w:rPr>
      </w:pPr>
      <w:r w:rsidRPr="00047D49">
        <w:rPr>
          <w:rFonts w:ascii="Garamond" w:hAnsi="Garamond" w:cs="Arial"/>
          <w:sz w:val="24"/>
          <w:szCs w:val="24"/>
        </w:rPr>
        <w:t>Adecuación al mercado real: Los valores del Pliego Tipo recogen estudios estadísticos nacionales, lo que los hace más representativos y menos vulnerables a variaciones extremas observadas en ciertos sectores.</w:t>
      </w:r>
    </w:p>
    <w:p w14:paraId="25A19FA2" w14:textId="77777777" w:rsidR="00047D49" w:rsidRPr="00047D49" w:rsidRDefault="00047D49" w:rsidP="00047D49">
      <w:pPr>
        <w:tabs>
          <w:tab w:val="left" w:pos="3390"/>
        </w:tabs>
        <w:spacing w:after="0" w:line="240" w:lineRule="auto"/>
        <w:ind w:left="284"/>
        <w:jc w:val="both"/>
        <w:rPr>
          <w:rFonts w:ascii="Garamond" w:hAnsi="Garamond" w:cs="Arial"/>
          <w:sz w:val="24"/>
          <w:szCs w:val="24"/>
        </w:rPr>
      </w:pPr>
    </w:p>
    <w:p w14:paraId="129A7FB4" w14:textId="14213437" w:rsidR="001B3684" w:rsidRDefault="00047D49" w:rsidP="003A1825">
      <w:pPr>
        <w:pStyle w:val="Prrafodelista"/>
        <w:numPr>
          <w:ilvl w:val="0"/>
          <w:numId w:val="3"/>
        </w:numPr>
        <w:tabs>
          <w:tab w:val="left" w:pos="3390"/>
        </w:tabs>
        <w:spacing w:after="0" w:line="240" w:lineRule="auto"/>
        <w:jc w:val="both"/>
        <w:rPr>
          <w:rFonts w:ascii="Garamond" w:hAnsi="Garamond" w:cs="Arial"/>
          <w:sz w:val="24"/>
          <w:szCs w:val="24"/>
        </w:rPr>
      </w:pPr>
      <w:r w:rsidRPr="00047D49">
        <w:rPr>
          <w:rFonts w:ascii="Garamond" w:hAnsi="Garamond" w:cs="Arial"/>
          <w:sz w:val="24"/>
          <w:szCs w:val="24"/>
        </w:rPr>
        <w:t>Facilita la planeación y evaluación: Su estandarización simplifica la revisión documental y reduce el riesgo de discrecionalidad en la verificación financiera.</w:t>
      </w:r>
    </w:p>
    <w:p w14:paraId="2B90F432" w14:textId="77777777" w:rsidR="00047D49" w:rsidRPr="00047D49" w:rsidRDefault="00047D49" w:rsidP="00047D49">
      <w:pPr>
        <w:pStyle w:val="Prrafodelista"/>
        <w:rPr>
          <w:rFonts w:ascii="Garamond" w:hAnsi="Garamond" w:cs="Arial"/>
          <w:sz w:val="24"/>
          <w:szCs w:val="24"/>
        </w:rPr>
      </w:pPr>
    </w:p>
    <w:p w14:paraId="3D3B47C4" w14:textId="77777777" w:rsidR="00047D49" w:rsidRPr="00047D49" w:rsidRDefault="00047D49" w:rsidP="00047D49">
      <w:pPr>
        <w:tabs>
          <w:tab w:val="left" w:pos="3390"/>
        </w:tabs>
        <w:spacing w:after="0" w:line="240" w:lineRule="auto"/>
        <w:jc w:val="both"/>
        <w:rPr>
          <w:rFonts w:ascii="Garamond" w:hAnsi="Garamond" w:cs="Arial"/>
          <w:sz w:val="24"/>
          <w:szCs w:val="24"/>
        </w:rPr>
      </w:pPr>
      <w:r w:rsidRPr="00047D49">
        <w:rPr>
          <w:rFonts w:ascii="Garamond" w:hAnsi="Garamond" w:cs="Arial"/>
          <w:sz w:val="24"/>
          <w:szCs w:val="24"/>
        </w:rPr>
        <w:lastRenderedPageBreak/>
        <w:t>Teniendo en cuenta que el valor estimado del contrato se encuentra dentro de los rangos establecidos para la modalidad de Menor Cuantía, y que las actividades a ejecutar presentan baja complejidad técnica, operativa y administrativa, se determina que esta modalidad es la más adecuada y eficiente para adelantar el proceso de contratación.</w:t>
      </w:r>
    </w:p>
    <w:p w14:paraId="263D0565" w14:textId="77777777" w:rsidR="00047D49" w:rsidRPr="00047D49" w:rsidRDefault="00047D49" w:rsidP="00047D49">
      <w:pPr>
        <w:tabs>
          <w:tab w:val="left" w:pos="3390"/>
        </w:tabs>
        <w:spacing w:after="0" w:line="240" w:lineRule="auto"/>
        <w:jc w:val="both"/>
        <w:rPr>
          <w:rFonts w:ascii="Garamond" w:hAnsi="Garamond" w:cs="Arial"/>
          <w:sz w:val="24"/>
          <w:szCs w:val="24"/>
        </w:rPr>
      </w:pPr>
    </w:p>
    <w:p w14:paraId="0E04A958" w14:textId="77777777" w:rsidR="00047D49" w:rsidRPr="00047D49" w:rsidRDefault="00047D49" w:rsidP="00047D49">
      <w:pPr>
        <w:tabs>
          <w:tab w:val="left" w:pos="3390"/>
        </w:tabs>
        <w:spacing w:after="0" w:line="240" w:lineRule="auto"/>
        <w:jc w:val="both"/>
        <w:rPr>
          <w:rFonts w:ascii="Garamond" w:hAnsi="Garamond" w:cs="Arial"/>
          <w:sz w:val="24"/>
          <w:szCs w:val="24"/>
        </w:rPr>
      </w:pPr>
      <w:r w:rsidRPr="00047D49">
        <w:rPr>
          <w:rFonts w:ascii="Garamond" w:hAnsi="Garamond" w:cs="Arial"/>
          <w:sz w:val="24"/>
          <w:szCs w:val="24"/>
        </w:rPr>
        <w:t>La naturaleza del objeto contractual no requiere procedimientos especializados ni estructuras de ejecución complejas, y el mercado cuenta con suficiente oferta de proveedores MIPYMES, lo que garantiza la libre concurrencia, transparencia y pluralidad de oferentes.</w:t>
      </w:r>
    </w:p>
    <w:p w14:paraId="63E14A8A" w14:textId="77777777" w:rsidR="00047D49" w:rsidRPr="00047D49" w:rsidRDefault="00047D49" w:rsidP="00047D49">
      <w:pPr>
        <w:tabs>
          <w:tab w:val="left" w:pos="3390"/>
        </w:tabs>
        <w:spacing w:after="0" w:line="240" w:lineRule="auto"/>
        <w:jc w:val="both"/>
        <w:rPr>
          <w:rFonts w:ascii="Garamond" w:hAnsi="Garamond" w:cs="Arial"/>
          <w:sz w:val="24"/>
          <w:szCs w:val="24"/>
        </w:rPr>
      </w:pPr>
    </w:p>
    <w:p w14:paraId="54F58B77" w14:textId="77777777" w:rsidR="00047D49" w:rsidRPr="00047D49" w:rsidRDefault="00047D49" w:rsidP="00047D49">
      <w:pPr>
        <w:tabs>
          <w:tab w:val="left" w:pos="3390"/>
        </w:tabs>
        <w:spacing w:after="0" w:line="240" w:lineRule="auto"/>
        <w:jc w:val="both"/>
        <w:rPr>
          <w:rFonts w:ascii="Garamond" w:hAnsi="Garamond" w:cs="Arial"/>
          <w:sz w:val="24"/>
          <w:szCs w:val="24"/>
        </w:rPr>
      </w:pPr>
      <w:r w:rsidRPr="00047D49">
        <w:rPr>
          <w:rFonts w:ascii="Garamond" w:hAnsi="Garamond" w:cs="Arial"/>
          <w:sz w:val="24"/>
          <w:szCs w:val="24"/>
        </w:rPr>
        <w:t>Así mismo, la aplicación de los indicadores financieros del Pliego Tipo asegura la participación de empresas con capacidad económica y operativa suficiente, sin generar barreras de acceso innecesarias.</w:t>
      </w:r>
    </w:p>
    <w:p w14:paraId="6AF42D51" w14:textId="77777777" w:rsidR="00047D49" w:rsidRPr="00047D49" w:rsidRDefault="00047D49" w:rsidP="00047D49">
      <w:pPr>
        <w:tabs>
          <w:tab w:val="left" w:pos="3390"/>
        </w:tabs>
        <w:spacing w:after="0" w:line="240" w:lineRule="auto"/>
        <w:jc w:val="both"/>
        <w:rPr>
          <w:rFonts w:ascii="Garamond" w:hAnsi="Garamond" w:cs="Arial"/>
          <w:sz w:val="24"/>
          <w:szCs w:val="24"/>
        </w:rPr>
      </w:pPr>
    </w:p>
    <w:p w14:paraId="58DCD980" w14:textId="4F305032" w:rsidR="00047D49" w:rsidRDefault="00047D49" w:rsidP="00047D49">
      <w:pPr>
        <w:tabs>
          <w:tab w:val="left" w:pos="3390"/>
        </w:tabs>
        <w:spacing w:after="0" w:line="240" w:lineRule="auto"/>
        <w:jc w:val="both"/>
        <w:rPr>
          <w:rFonts w:ascii="Garamond" w:hAnsi="Garamond" w:cs="Arial"/>
          <w:sz w:val="24"/>
          <w:szCs w:val="24"/>
        </w:rPr>
      </w:pPr>
      <w:r>
        <w:rPr>
          <w:rFonts w:ascii="Garamond" w:hAnsi="Garamond" w:cs="Arial"/>
          <w:sz w:val="24"/>
          <w:szCs w:val="24"/>
        </w:rPr>
        <w:t>Por lo anterior,</w:t>
      </w:r>
      <w:r w:rsidRPr="00047D49">
        <w:rPr>
          <w:rFonts w:ascii="Garamond" w:hAnsi="Garamond" w:cs="Arial"/>
          <w:sz w:val="24"/>
          <w:szCs w:val="24"/>
        </w:rPr>
        <w:t xml:space="preserve"> la modalidad de Menor Cuantía representa la opción más proporcional, ágil y coherente con el valor, el alcance y la complejidad del objeto contractual, permitiendo optimizar los recursos públicos y garantizar la adecuada ejecución del proyecto.</w:t>
      </w:r>
    </w:p>
    <w:p w14:paraId="0B816EC0" w14:textId="7F827464" w:rsidR="00ED31F4" w:rsidRDefault="00ED31F4" w:rsidP="00047D49">
      <w:pPr>
        <w:tabs>
          <w:tab w:val="left" w:pos="3390"/>
        </w:tabs>
        <w:spacing w:after="0" w:line="240" w:lineRule="auto"/>
        <w:jc w:val="both"/>
        <w:rPr>
          <w:rFonts w:ascii="Garamond" w:hAnsi="Garamond" w:cs="Arial"/>
          <w:sz w:val="24"/>
          <w:szCs w:val="24"/>
        </w:rPr>
      </w:pPr>
    </w:p>
    <w:p w14:paraId="2CC33CC6" w14:textId="06143BCB" w:rsidR="00ED31F4" w:rsidRPr="004624AE" w:rsidRDefault="00ED31F4" w:rsidP="003A1825">
      <w:pPr>
        <w:pStyle w:val="Capitulo3"/>
        <w:numPr>
          <w:ilvl w:val="1"/>
          <w:numId w:val="8"/>
        </w:numPr>
        <w:spacing w:line="240" w:lineRule="auto"/>
        <w:jc w:val="both"/>
        <w:rPr>
          <w:rFonts w:ascii="Garamond" w:hAnsi="Garamond"/>
          <w:b w:val="0"/>
          <w:color w:val="000000" w:themeColor="text1"/>
          <w:sz w:val="24"/>
          <w:szCs w:val="24"/>
        </w:rPr>
      </w:pPr>
      <w:bookmarkStart w:id="5" w:name="_Toc518641674"/>
      <w:bookmarkStart w:id="6" w:name="_Toc32147356"/>
      <w:bookmarkStart w:id="7" w:name="_Toc206147382"/>
      <w:r w:rsidRPr="004624AE">
        <w:rPr>
          <w:rFonts w:ascii="Garamond" w:hAnsi="Garamond"/>
          <w:color w:val="000000" w:themeColor="text1"/>
          <w:sz w:val="24"/>
          <w:szCs w:val="24"/>
        </w:rPr>
        <w:t>CAPITAL DE TRABAJO</w:t>
      </w:r>
      <w:bookmarkEnd w:id="5"/>
      <w:bookmarkEnd w:id="6"/>
      <w:bookmarkEnd w:id="7"/>
      <w:r w:rsidRPr="004624AE">
        <w:rPr>
          <w:rFonts w:ascii="Garamond" w:hAnsi="Garamond"/>
          <w:color w:val="000000" w:themeColor="text1"/>
          <w:sz w:val="24"/>
          <w:szCs w:val="24"/>
        </w:rPr>
        <w:t xml:space="preserve"> </w:t>
      </w:r>
    </w:p>
    <w:p w14:paraId="58FF4C2F"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 xml:space="preserve">Para el presente Proceso de Selección los proponentes acreditarán: </w:t>
      </w:r>
    </w:p>
    <w:p w14:paraId="551A9DDF" w14:textId="77777777" w:rsidR="00ED31F4" w:rsidRPr="00ED31F4" w:rsidRDefault="00ED31F4" w:rsidP="00ED31F4">
      <w:pPr>
        <w:spacing w:after="0"/>
        <w:jc w:val="both"/>
        <w:rPr>
          <w:rFonts w:ascii="Garamond" w:hAnsi="Garamond" w:cs="Arial"/>
          <w:color w:val="000000" w:themeColor="text1"/>
          <w:sz w:val="24"/>
          <w:szCs w:val="24"/>
          <w:lang w:val="en-US"/>
        </w:rPr>
      </w:pPr>
      <w:r w:rsidRPr="00ED31F4">
        <w:rPr>
          <w:rFonts w:ascii="Garamond" w:hAnsi="Garamond" w:cs="Arial"/>
          <w:color w:val="000000" w:themeColor="text1"/>
          <w:sz w:val="24"/>
          <w:szCs w:val="24"/>
          <w:lang w:val="en-US"/>
        </w:rPr>
        <w:t>CT = AC - PC ≥ CTd</w:t>
      </w:r>
    </w:p>
    <w:p w14:paraId="792760A8" w14:textId="77777777" w:rsidR="00ED31F4" w:rsidRPr="00ED31F4" w:rsidRDefault="00ED31F4" w:rsidP="00ED31F4">
      <w:pPr>
        <w:spacing w:after="0"/>
        <w:jc w:val="both"/>
        <w:rPr>
          <w:rFonts w:ascii="Garamond" w:hAnsi="Garamond" w:cs="Arial"/>
          <w:color w:val="000000" w:themeColor="text1"/>
          <w:sz w:val="24"/>
          <w:szCs w:val="24"/>
          <w:lang w:val="en-US"/>
        </w:rPr>
      </w:pPr>
    </w:p>
    <w:p w14:paraId="76B3F567" w14:textId="77777777" w:rsidR="00ED31F4" w:rsidRPr="00ED31F4" w:rsidRDefault="00ED31F4" w:rsidP="00ED31F4">
      <w:pPr>
        <w:spacing w:after="0"/>
        <w:jc w:val="both"/>
        <w:rPr>
          <w:rFonts w:ascii="Garamond" w:hAnsi="Garamond" w:cs="Arial"/>
          <w:color w:val="000000" w:themeColor="text1"/>
          <w:sz w:val="24"/>
          <w:szCs w:val="24"/>
          <w:lang w:val="en-US"/>
        </w:rPr>
      </w:pPr>
      <w:r w:rsidRPr="00ED31F4">
        <w:rPr>
          <w:rFonts w:ascii="Garamond" w:hAnsi="Garamond" w:cs="Arial"/>
          <w:color w:val="000000" w:themeColor="text1"/>
          <w:sz w:val="24"/>
          <w:szCs w:val="24"/>
          <w:lang w:val="en-US"/>
        </w:rPr>
        <w:t>Donde:</w:t>
      </w:r>
    </w:p>
    <w:p w14:paraId="70DA71AB" w14:textId="77777777" w:rsidR="00ED31F4" w:rsidRPr="00ED31F4" w:rsidRDefault="00ED31F4" w:rsidP="00ED31F4">
      <w:pPr>
        <w:spacing w:after="0"/>
        <w:jc w:val="both"/>
        <w:rPr>
          <w:rFonts w:ascii="Garamond" w:hAnsi="Garamond" w:cs="Arial"/>
          <w:color w:val="000000" w:themeColor="text1"/>
          <w:sz w:val="24"/>
          <w:szCs w:val="24"/>
          <w:lang w:val="en-US"/>
        </w:rPr>
      </w:pPr>
    </w:p>
    <w:p w14:paraId="074793B4"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CT = Capital de trabajo</w:t>
      </w:r>
    </w:p>
    <w:p w14:paraId="5FFA0720"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AC = Activo corriente</w:t>
      </w:r>
    </w:p>
    <w:p w14:paraId="15F0534F"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PC = Pasivo corriente</w:t>
      </w:r>
    </w:p>
    <w:p w14:paraId="3FB8BAC4"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CTd = Capital de Trabajo demandado para el Proceso que presenta propuesta</w:t>
      </w:r>
    </w:p>
    <w:p w14:paraId="2CE1CC78" w14:textId="77777777" w:rsidR="00ED31F4" w:rsidRPr="00ED31F4" w:rsidRDefault="00ED31F4" w:rsidP="00ED31F4">
      <w:pPr>
        <w:spacing w:after="0"/>
        <w:jc w:val="both"/>
        <w:rPr>
          <w:rFonts w:ascii="Garamond" w:hAnsi="Garamond" w:cs="Arial"/>
          <w:color w:val="000000" w:themeColor="text1"/>
          <w:sz w:val="24"/>
          <w:szCs w:val="24"/>
        </w:rPr>
      </w:pPr>
    </w:p>
    <w:p w14:paraId="6D6DD435"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 xml:space="preserve">El capital de trabajo (CT) del oferente deberá ser mayor o igual al capital de trabajo demandado (CTd): </w:t>
      </w:r>
    </w:p>
    <w:p w14:paraId="2972F36F"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CT ≥ CTd</w:t>
      </w:r>
    </w:p>
    <w:p w14:paraId="39F1BEAB" w14:textId="77777777" w:rsidR="00ED31F4" w:rsidRPr="00ED31F4" w:rsidRDefault="00ED31F4" w:rsidP="00ED31F4">
      <w:pPr>
        <w:spacing w:after="0"/>
        <w:jc w:val="both"/>
        <w:rPr>
          <w:rFonts w:ascii="Garamond" w:hAnsi="Garamond" w:cs="Arial"/>
          <w:color w:val="000000" w:themeColor="text1"/>
          <w:sz w:val="24"/>
          <w:szCs w:val="24"/>
        </w:rPr>
      </w:pPr>
    </w:p>
    <w:p w14:paraId="0A2C7BB1" w14:textId="77777777" w:rsidR="00ED31F4" w:rsidRPr="00ED31F4" w:rsidRDefault="00ED31F4" w:rsidP="00ED31F4">
      <w:pPr>
        <w:pStyle w:val="NormalWeb"/>
        <w:shd w:val="clear" w:color="auto" w:fill="FFFFFF" w:themeFill="background1"/>
        <w:spacing w:after="0" w:afterAutospacing="0"/>
        <w:jc w:val="both"/>
        <w:rPr>
          <w:rFonts w:ascii="Garamond" w:hAnsi="Garamond" w:cs="Arial"/>
        </w:rPr>
      </w:pPr>
      <w:r w:rsidRPr="00ED31F4">
        <w:rPr>
          <w:rFonts w:ascii="Garamond" w:hAnsi="Garamond"/>
          <w:b/>
          <w:i/>
          <w:u w:val="single"/>
        </w:rPr>
        <w:t>Capital de trabajo demandado (requerido):</w:t>
      </w:r>
    </w:p>
    <w:p w14:paraId="6791F969" w14:textId="77777777" w:rsidR="00ED31F4" w:rsidRPr="00ED31F4" w:rsidRDefault="00ED31F4" w:rsidP="00ED31F4">
      <w:pPr>
        <w:spacing w:after="0"/>
        <w:jc w:val="both"/>
        <w:rPr>
          <w:rFonts w:ascii="Garamond" w:eastAsia="Calibri" w:hAnsi="Garamond" w:cs="Arial"/>
          <w:sz w:val="24"/>
          <w:szCs w:val="24"/>
        </w:rPr>
      </w:pPr>
    </w:p>
    <w:p w14:paraId="661A0F41" w14:textId="7CFC6CE5" w:rsidR="00ED31F4" w:rsidRDefault="00ED31F4" w:rsidP="00ED31F4">
      <w:pPr>
        <w:pStyle w:val="NormalWeb"/>
        <w:shd w:val="clear" w:color="auto" w:fill="FFFFFF"/>
        <w:spacing w:after="0" w:afterAutospacing="0"/>
        <w:jc w:val="both"/>
        <w:rPr>
          <w:rFonts w:ascii="Garamond" w:hAnsi="Garamond"/>
        </w:rPr>
      </w:pPr>
      <w:r w:rsidRPr="00ED31F4">
        <w:rPr>
          <w:rFonts w:ascii="Garamond" w:hAnsi="Garamond"/>
        </w:rPr>
        <w:t xml:space="preserve">En ningún caso el capital de trabajo requerido excederá el valor del Presupuesto Oficial. </w:t>
      </w:r>
    </w:p>
    <w:p w14:paraId="7AEA9A94" w14:textId="77777777" w:rsidR="00ED31F4" w:rsidRPr="00ED31F4" w:rsidRDefault="00ED31F4" w:rsidP="00ED31F4">
      <w:pPr>
        <w:pStyle w:val="NormalWeb"/>
        <w:shd w:val="clear" w:color="auto" w:fill="FFFFFF"/>
        <w:spacing w:after="0" w:afterAutospacing="0"/>
        <w:jc w:val="both"/>
        <w:rPr>
          <w:rFonts w:ascii="Garamond" w:hAnsi="Garamond"/>
        </w:rPr>
      </w:pPr>
    </w:p>
    <w:p w14:paraId="6614CC80" w14:textId="77777777" w:rsidR="00ED31F4" w:rsidRPr="00ED31F4" w:rsidRDefault="00ED31F4" w:rsidP="00ED31F4">
      <w:pPr>
        <w:spacing w:after="0"/>
        <w:jc w:val="both"/>
        <w:rPr>
          <w:rFonts w:ascii="Garamond" w:hAnsi="Garamond"/>
          <w:sz w:val="24"/>
          <w:szCs w:val="24"/>
          <w:lang w:val="es-MX"/>
        </w:rPr>
      </w:pPr>
      <w:r w:rsidRPr="00ED31F4">
        <w:rPr>
          <w:rFonts w:ascii="Garamond" w:hAnsi="Garamond"/>
          <w:sz w:val="24"/>
          <w:szCs w:val="24"/>
          <w:lang w:val="es-MX"/>
        </w:rPr>
        <w:t>Si el Proponente es plural el indicador debe calcularse así:</w:t>
      </w:r>
    </w:p>
    <w:p w14:paraId="46F62E14" w14:textId="77777777" w:rsidR="00ED31F4" w:rsidRPr="00ED31F4" w:rsidRDefault="00ED31F4" w:rsidP="00ED31F4">
      <w:pPr>
        <w:spacing w:after="0"/>
        <w:jc w:val="both"/>
        <w:rPr>
          <w:rFonts w:ascii="Garamond" w:hAnsi="Garamond"/>
          <w:sz w:val="24"/>
          <w:szCs w:val="24"/>
          <w:lang w:val="es-MX"/>
        </w:rPr>
      </w:pPr>
    </w:p>
    <w:p w14:paraId="6D529E76" w14:textId="77777777" w:rsidR="00ED31F4" w:rsidRPr="00ED31F4" w:rsidRDefault="00ED31F4" w:rsidP="00ED31F4">
      <w:pPr>
        <w:spacing w:after="0"/>
        <w:jc w:val="both"/>
        <w:rPr>
          <w:rFonts w:ascii="Garamond" w:hAnsi="Garamond" w:cs="Arial"/>
          <w:sz w:val="24"/>
          <w:szCs w:val="24"/>
        </w:rPr>
      </w:pPr>
      <m:oMathPara>
        <m:oMath>
          <m:r>
            <m:rPr>
              <m:sty m:val="p"/>
            </m:rPr>
            <w:rPr>
              <w:rFonts w:ascii="Cambria Math" w:hAnsi="Cambria Math" w:cs="Arial"/>
              <w:sz w:val="24"/>
              <w:szCs w:val="24"/>
            </w:rPr>
            <w:lastRenderedPageBreak/>
            <m:t>CTProponente plural=</m:t>
          </m:r>
          <m:nary>
            <m:naryPr>
              <m:chr m:val="∑"/>
              <m:limLoc m:val="undOvr"/>
              <m:ctrlPr>
                <w:rPr>
                  <w:rFonts w:ascii="Cambria Math" w:hAnsi="Cambria Math" w:cs="Arial"/>
                  <w:sz w:val="24"/>
                  <w:szCs w:val="24"/>
                </w:rPr>
              </m:ctrlPr>
            </m:naryPr>
            <m:sub>
              <m:r>
                <m:rPr>
                  <m:sty m:val="p"/>
                </m:rPr>
                <w:rPr>
                  <w:rFonts w:ascii="Cambria Math" w:hAnsi="Cambria Math" w:cs="Arial"/>
                  <w:sz w:val="24"/>
                  <w:szCs w:val="24"/>
                </w:rPr>
                <m:t>i=1</m:t>
              </m:r>
            </m:sub>
            <m:sup>
              <m:r>
                <m:rPr>
                  <m:sty m:val="p"/>
                </m:rPr>
                <w:rPr>
                  <w:rFonts w:ascii="Cambria Math" w:hAnsi="Cambria Math" w:cs="Arial"/>
                  <w:sz w:val="24"/>
                  <w:szCs w:val="24"/>
                </w:rPr>
                <m:t>n</m:t>
              </m:r>
            </m:sup>
            <m:e>
              <m:sSub>
                <m:sSubPr>
                  <m:ctrlPr>
                    <w:rPr>
                      <w:rFonts w:ascii="Cambria Math" w:hAnsi="Cambria Math" w:cs="Arial"/>
                      <w:sz w:val="24"/>
                      <w:szCs w:val="24"/>
                    </w:rPr>
                  </m:ctrlPr>
                </m:sSubPr>
                <m:e>
                  <m:r>
                    <m:rPr>
                      <m:sty m:val="p"/>
                    </m:rPr>
                    <w:rPr>
                      <w:rFonts w:ascii="Cambria Math" w:hAnsi="Cambria Math" w:cs="Arial"/>
                      <w:sz w:val="24"/>
                      <w:szCs w:val="24"/>
                    </w:rPr>
                    <m:t>CT</m:t>
                  </m:r>
                </m:e>
                <m:sub>
                  <m:r>
                    <m:rPr>
                      <m:sty m:val="p"/>
                    </m:rPr>
                    <w:rPr>
                      <w:rFonts w:ascii="Cambria Math" w:hAnsi="Cambria Math" w:cs="Arial"/>
                      <w:sz w:val="24"/>
                      <w:szCs w:val="24"/>
                    </w:rPr>
                    <m:t>i</m:t>
                  </m:r>
                </m:sub>
              </m:sSub>
            </m:e>
          </m:nary>
        </m:oMath>
      </m:oMathPara>
    </w:p>
    <w:p w14:paraId="159615F9" w14:textId="77777777" w:rsidR="00ED31F4" w:rsidRPr="00ED31F4" w:rsidRDefault="00ED31F4" w:rsidP="00ED31F4">
      <w:pPr>
        <w:spacing w:after="0"/>
        <w:jc w:val="both"/>
        <w:rPr>
          <w:rFonts w:ascii="Garamond" w:hAnsi="Garamond"/>
          <w:sz w:val="24"/>
          <w:szCs w:val="24"/>
          <w:lang w:val="es-MX"/>
        </w:rPr>
      </w:pPr>
      <w:r w:rsidRPr="00ED31F4">
        <w:rPr>
          <w:rFonts w:ascii="Garamond" w:hAnsi="Garamond"/>
          <w:sz w:val="24"/>
          <w:szCs w:val="24"/>
          <w:lang w:val="es-MX"/>
        </w:rPr>
        <w:t xml:space="preserve">Donde </w:t>
      </w:r>
      <w:r w:rsidRPr="00ED31F4">
        <w:rPr>
          <w:rFonts w:ascii="Garamond" w:hAnsi="Garamond" w:cs="Times New Roman"/>
          <w:i/>
          <w:iCs/>
          <w:sz w:val="24"/>
          <w:szCs w:val="24"/>
          <w:lang w:val="es-MX"/>
        </w:rPr>
        <w:t>n</w:t>
      </w:r>
      <w:r w:rsidRPr="00ED31F4">
        <w:rPr>
          <w:rFonts w:ascii="Garamond" w:hAnsi="Garamond"/>
          <w:sz w:val="24"/>
          <w:szCs w:val="24"/>
          <w:lang w:val="es-MX"/>
        </w:rPr>
        <w:t xml:space="preserve"> es el número de integrantes del proponente plural (unión temporal o consorcio).</w:t>
      </w:r>
    </w:p>
    <w:p w14:paraId="39D5A3BC" w14:textId="77777777" w:rsidR="00ED31F4" w:rsidRPr="00ED31F4" w:rsidRDefault="00ED31F4" w:rsidP="00ED31F4">
      <w:pPr>
        <w:spacing w:after="0"/>
        <w:jc w:val="both"/>
        <w:rPr>
          <w:rFonts w:ascii="Garamond" w:hAnsi="Garamond" w:cs="Arial"/>
          <w:color w:val="000000" w:themeColor="text1"/>
          <w:sz w:val="24"/>
          <w:szCs w:val="24"/>
        </w:rPr>
      </w:pPr>
    </w:p>
    <w:p w14:paraId="53F73890" w14:textId="153916AE" w:rsidR="00ED31F4" w:rsidRDefault="00ED31F4" w:rsidP="003A1825">
      <w:pPr>
        <w:pStyle w:val="Capitulo3"/>
        <w:numPr>
          <w:ilvl w:val="3"/>
          <w:numId w:val="8"/>
        </w:numPr>
        <w:spacing w:after="0" w:line="240" w:lineRule="auto"/>
        <w:jc w:val="both"/>
        <w:rPr>
          <w:rFonts w:ascii="Garamond" w:hAnsi="Garamond"/>
          <w:color w:val="000000" w:themeColor="text1"/>
          <w:sz w:val="24"/>
          <w:szCs w:val="24"/>
        </w:rPr>
      </w:pPr>
      <w:bookmarkStart w:id="8" w:name="_Toc511029826"/>
      <w:bookmarkStart w:id="9" w:name="_Toc511375666"/>
      <w:bookmarkStart w:id="10" w:name="_Toc511375844"/>
      <w:bookmarkStart w:id="11" w:name="_Toc511029832"/>
      <w:bookmarkStart w:id="12" w:name="_Toc511375672"/>
      <w:bookmarkStart w:id="13" w:name="_Toc511375850"/>
      <w:bookmarkStart w:id="14" w:name="_Toc511029833"/>
      <w:bookmarkStart w:id="15" w:name="_Toc511375673"/>
      <w:bookmarkStart w:id="16" w:name="_Toc511375851"/>
      <w:bookmarkStart w:id="17" w:name="_Toc511029835"/>
      <w:bookmarkStart w:id="18" w:name="_Toc511375675"/>
      <w:bookmarkStart w:id="19" w:name="_Toc511375853"/>
      <w:bookmarkStart w:id="20" w:name="_Toc511029837"/>
      <w:bookmarkStart w:id="21" w:name="_Toc511375677"/>
      <w:bookmarkStart w:id="22" w:name="_Toc511375855"/>
      <w:bookmarkStart w:id="23" w:name="_Toc32147357"/>
      <w:bookmarkStart w:id="24" w:name="_Toc206147383"/>
      <w:bookmarkStart w:id="25" w:name="_Toc511924796"/>
      <w:bookmarkStart w:id="26" w:name="_Toc518641675"/>
      <w:bookmarkStart w:id="27" w:name="_Toc508648273"/>
      <w:bookmarkStart w:id="28" w:name="_Toc508984057"/>
      <w:bookmarkStart w:id="29" w:name="_Toc509843888"/>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Pr="00ED31F4">
        <w:rPr>
          <w:rFonts w:ascii="Garamond" w:hAnsi="Garamond"/>
          <w:color w:val="000000" w:themeColor="text1"/>
          <w:sz w:val="24"/>
          <w:szCs w:val="24"/>
        </w:rPr>
        <w:t>CAPACIDAD ORGANIZACIONAL</w:t>
      </w:r>
      <w:bookmarkEnd w:id="23"/>
      <w:bookmarkEnd w:id="24"/>
      <w:r w:rsidRPr="00ED31F4">
        <w:rPr>
          <w:rFonts w:ascii="Garamond" w:hAnsi="Garamond"/>
          <w:color w:val="000000" w:themeColor="text1"/>
          <w:sz w:val="24"/>
          <w:szCs w:val="24"/>
        </w:rPr>
        <w:t xml:space="preserve"> </w:t>
      </w:r>
      <w:bookmarkEnd w:id="25"/>
      <w:bookmarkEnd w:id="26"/>
      <w:bookmarkEnd w:id="27"/>
      <w:bookmarkEnd w:id="28"/>
      <w:bookmarkEnd w:id="29"/>
    </w:p>
    <w:p w14:paraId="4A27CEE0" w14:textId="77777777" w:rsidR="00ED31F4" w:rsidRPr="00ED31F4" w:rsidRDefault="00ED31F4" w:rsidP="00ED31F4">
      <w:pPr>
        <w:pStyle w:val="Capitulo3"/>
        <w:numPr>
          <w:ilvl w:val="0"/>
          <w:numId w:val="0"/>
        </w:numPr>
        <w:spacing w:after="0" w:line="240" w:lineRule="auto"/>
        <w:ind w:left="1080"/>
        <w:jc w:val="both"/>
        <w:rPr>
          <w:rFonts w:ascii="Garamond" w:hAnsi="Garamond"/>
          <w:color w:val="000000" w:themeColor="text1"/>
          <w:sz w:val="24"/>
          <w:szCs w:val="24"/>
        </w:rPr>
      </w:pPr>
    </w:p>
    <w:p w14:paraId="4E41E146" w14:textId="77777777" w:rsidR="00ED31F4" w:rsidRPr="00ED31F4" w:rsidRDefault="00ED31F4" w:rsidP="00ED31F4">
      <w:pPr>
        <w:spacing w:after="0"/>
        <w:jc w:val="both"/>
        <w:rPr>
          <w:rFonts w:ascii="Garamond" w:hAnsi="Garamond" w:cs="Arial"/>
          <w:iCs/>
          <w:color w:val="000000" w:themeColor="text1"/>
          <w:sz w:val="24"/>
          <w:szCs w:val="24"/>
          <w:lang w:val="es-MX"/>
        </w:rPr>
      </w:pPr>
      <w:r w:rsidRPr="00ED31F4">
        <w:rPr>
          <w:rFonts w:ascii="Garamond" w:hAnsi="Garamond" w:cs="Arial"/>
          <w:iCs/>
          <w:color w:val="000000" w:themeColor="text1"/>
          <w:sz w:val="24"/>
          <w:szCs w:val="24"/>
          <w:lang w:val="es-MX"/>
        </w:rPr>
        <w:t>Los Proponentes deben acreditar los siguientes indicadores en los términos señalados en la Matriz 2- Indicadores financieros y organizacionales:</w:t>
      </w:r>
    </w:p>
    <w:p w14:paraId="506C2906" w14:textId="77777777" w:rsidR="00ED31F4" w:rsidRPr="00ED31F4" w:rsidRDefault="00ED31F4" w:rsidP="00ED31F4">
      <w:pPr>
        <w:spacing w:after="0"/>
        <w:jc w:val="both"/>
        <w:rPr>
          <w:rFonts w:ascii="Garamond" w:hAnsi="Garamond" w:cs="Arial"/>
          <w:iCs/>
          <w:color w:val="000000" w:themeColor="text1"/>
          <w:sz w:val="24"/>
          <w:szCs w:val="24"/>
          <w:lang w:val="es-MX"/>
        </w:rPr>
      </w:pPr>
    </w:p>
    <w:tbl>
      <w:tblPr>
        <w:tblStyle w:val="Tablaconcuadrcula10"/>
        <w:tblW w:w="0" w:type="auto"/>
        <w:jc w:val="center"/>
        <w:tblLayout w:type="fixed"/>
        <w:tblLook w:val="04A0" w:firstRow="1" w:lastRow="0" w:firstColumn="1" w:lastColumn="0" w:noHBand="0" w:noVBand="1"/>
      </w:tblPr>
      <w:tblGrid>
        <w:gridCol w:w="3519"/>
        <w:gridCol w:w="2294"/>
      </w:tblGrid>
      <w:tr w:rsidR="00ED31F4" w:rsidRPr="00ED31F4" w14:paraId="5A91511D" w14:textId="77777777" w:rsidTr="00B0171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6EA8EA" w14:textId="77777777" w:rsidR="00ED31F4" w:rsidRPr="00ED31F4" w:rsidRDefault="00ED31F4" w:rsidP="00ED31F4">
            <w:pPr>
              <w:jc w:val="both"/>
              <w:rPr>
                <w:rFonts w:ascii="Garamond" w:hAnsi="Garamond" w:cs="Arial"/>
                <w:b/>
                <w:color w:val="AEAAAA" w:themeColor="background2" w:themeShade="BF"/>
                <w:sz w:val="24"/>
                <w:szCs w:val="24"/>
              </w:rPr>
            </w:pPr>
            <w:r w:rsidRPr="00ED31F4">
              <w:rPr>
                <w:rFonts w:ascii="Garamond" w:hAnsi="Garamond" w:cs="Arial"/>
                <w:b/>
                <w:color w:val="AEAAAA" w:themeColor="background2" w:themeShade="BF"/>
                <w:sz w:val="24"/>
                <w:szCs w:val="24"/>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052FBC4" w14:textId="77777777" w:rsidR="00ED31F4" w:rsidRPr="00ED31F4" w:rsidRDefault="00ED31F4" w:rsidP="00ED31F4">
            <w:pPr>
              <w:jc w:val="both"/>
              <w:rPr>
                <w:rFonts w:ascii="Garamond" w:hAnsi="Garamond" w:cs="Arial"/>
                <w:b/>
                <w:color w:val="AEAAAA" w:themeColor="background2" w:themeShade="BF"/>
                <w:sz w:val="24"/>
                <w:szCs w:val="24"/>
              </w:rPr>
            </w:pPr>
            <w:r w:rsidRPr="00ED31F4">
              <w:rPr>
                <w:rFonts w:ascii="Garamond" w:hAnsi="Garamond" w:cs="Arial"/>
                <w:b/>
                <w:color w:val="AEAAAA" w:themeColor="background2" w:themeShade="BF"/>
                <w:sz w:val="24"/>
                <w:szCs w:val="24"/>
              </w:rPr>
              <w:t>Fórmula</w:t>
            </w:r>
          </w:p>
        </w:tc>
      </w:tr>
      <w:tr w:rsidR="00ED31F4" w:rsidRPr="00ED31F4" w14:paraId="0825FDC6" w14:textId="77777777" w:rsidTr="00B0171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13E1A73F" w14:textId="77777777" w:rsidR="00ED31F4" w:rsidRPr="00ED31F4" w:rsidRDefault="00ED31F4" w:rsidP="00ED31F4">
            <w:pPr>
              <w:tabs>
                <w:tab w:val="left" w:pos="1039"/>
              </w:tabs>
              <w:ind w:left="567" w:right="624"/>
              <w:jc w:val="both"/>
              <w:rPr>
                <w:rFonts w:ascii="Garamond" w:hAnsi="Garamond" w:cs="Arial"/>
                <w:sz w:val="24"/>
                <w:szCs w:val="24"/>
              </w:rPr>
            </w:pPr>
            <w:r w:rsidRPr="00ED31F4">
              <w:rPr>
                <w:rFonts w:ascii="Garamond" w:hAnsi="Garamond" w:cs="Arial"/>
                <w:sz w:val="24"/>
                <w:szCs w:val="24"/>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52D9C9F8" w14:textId="77777777" w:rsidR="00ED31F4" w:rsidRPr="00ED31F4" w:rsidRDefault="0068116C" w:rsidP="00ED31F4">
            <w:pPr>
              <w:ind w:left="567" w:right="624"/>
              <w:jc w:val="both"/>
              <w:rPr>
                <w:rFonts w:ascii="Garamond" w:hAnsi="Garamond" w:cs="Arial"/>
                <w:sz w:val="24"/>
                <w:szCs w:val="24"/>
              </w:rPr>
            </w:pPr>
            <m:oMathPara>
              <m:oMath>
                <m:f>
                  <m:fPr>
                    <m:ctrlPr>
                      <w:rPr>
                        <w:rFonts w:ascii="Cambria Math" w:hAnsi="Cambria Math" w:cs="Arial"/>
                        <w:bCs/>
                        <w:sz w:val="24"/>
                        <w:szCs w:val="24"/>
                      </w:rPr>
                    </m:ctrlPr>
                  </m:fPr>
                  <m:num>
                    <m:r>
                      <m:rPr>
                        <m:sty m:val="p"/>
                      </m:rPr>
                      <w:rPr>
                        <w:rFonts w:ascii="Cambria Math" w:hAnsi="Cambria Math" w:cs="Arial"/>
                        <w:sz w:val="24"/>
                        <w:szCs w:val="24"/>
                      </w:rPr>
                      <m:t>Utilidad Operacional</m:t>
                    </m:r>
                  </m:num>
                  <m:den>
                    <m:r>
                      <m:rPr>
                        <m:sty m:val="p"/>
                      </m:rPr>
                      <w:rPr>
                        <w:rFonts w:ascii="Cambria Math" w:hAnsi="Cambria Math" w:cs="Arial"/>
                        <w:sz w:val="24"/>
                        <w:szCs w:val="24"/>
                      </w:rPr>
                      <m:t>Patrimonio</m:t>
                    </m:r>
                  </m:den>
                </m:f>
              </m:oMath>
            </m:oMathPara>
          </w:p>
        </w:tc>
      </w:tr>
      <w:tr w:rsidR="00ED31F4" w:rsidRPr="00ED31F4" w14:paraId="5B78720E" w14:textId="77777777" w:rsidTr="00B0171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34853DC4" w14:textId="77777777" w:rsidR="00ED31F4" w:rsidRPr="00ED31F4" w:rsidRDefault="00ED31F4" w:rsidP="00ED31F4">
            <w:pPr>
              <w:ind w:left="567" w:right="624"/>
              <w:jc w:val="both"/>
              <w:rPr>
                <w:rFonts w:ascii="Garamond" w:hAnsi="Garamond" w:cs="Arial"/>
                <w:sz w:val="24"/>
                <w:szCs w:val="24"/>
              </w:rPr>
            </w:pPr>
            <w:r w:rsidRPr="00ED31F4">
              <w:rPr>
                <w:rFonts w:ascii="Garamond" w:hAnsi="Garamond" w:cs="Arial"/>
                <w:sz w:val="24"/>
                <w:szCs w:val="24"/>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9F61D0" w14:textId="77777777" w:rsidR="00ED31F4" w:rsidRPr="00ED31F4" w:rsidRDefault="0068116C" w:rsidP="00ED31F4">
            <w:pPr>
              <w:ind w:left="567" w:right="624"/>
              <w:jc w:val="both"/>
              <w:rPr>
                <w:rFonts w:ascii="Garamond" w:hAnsi="Garamond" w:cs="Arial"/>
                <w:sz w:val="24"/>
                <w:szCs w:val="24"/>
              </w:rPr>
            </w:pPr>
            <m:oMathPara>
              <m:oMath>
                <m:f>
                  <m:fPr>
                    <m:ctrlPr>
                      <w:rPr>
                        <w:rFonts w:ascii="Cambria Math" w:hAnsi="Cambria Math" w:cs="Arial"/>
                        <w:bCs/>
                        <w:sz w:val="24"/>
                        <w:szCs w:val="24"/>
                      </w:rPr>
                    </m:ctrlPr>
                  </m:fPr>
                  <m:num>
                    <m:r>
                      <m:rPr>
                        <m:sty m:val="p"/>
                      </m:rPr>
                      <w:rPr>
                        <w:rFonts w:ascii="Cambria Math" w:hAnsi="Cambria Math" w:cs="Arial"/>
                        <w:sz w:val="24"/>
                        <w:szCs w:val="24"/>
                      </w:rPr>
                      <m:t>Unidad Operacional</m:t>
                    </m:r>
                  </m:num>
                  <m:den>
                    <m:r>
                      <m:rPr>
                        <m:sty m:val="p"/>
                      </m:rPr>
                      <w:rPr>
                        <w:rFonts w:ascii="Cambria Math" w:hAnsi="Cambria Math" w:cs="Arial"/>
                        <w:sz w:val="24"/>
                        <w:szCs w:val="24"/>
                      </w:rPr>
                      <m:t>Activo Total</m:t>
                    </m:r>
                  </m:den>
                </m:f>
              </m:oMath>
            </m:oMathPara>
          </w:p>
        </w:tc>
      </w:tr>
    </w:tbl>
    <w:p w14:paraId="36BC68EA" w14:textId="77777777" w:rsidR="00ED31F4" w:rsidRPr="00ED31F4" w:rsidRDefault="00ED31F4" w:rsidP="00ED31F4">
      <w:pPr>
        <w:spacing w:after="0"/>
        <w:jc w:val="both"/>
        <w:rPr>
          <w:rFonts w:ascii="Garamond" w:hAnsi="Garamond" w:cs="Arial"/>
          <w:iCs/>
          <w:color w:val="000000" w:themeColor="text1"/>
          <w:sz w:val="24"/>
          <w:szCs w:val="24"/>
          <w:lang w:val="es-MX"/>
        </w:rPr>
      </w:pPr>
    </w:p>
    <w:p w14:paraId="7511AD13" w14:textId="0F46A2A5" w:rsidR="00ED31F4" w:rsidRDefault="00ED31F4" w:rsidP="00ED31F4">
      <w:pPr>
        <w:spacing w:after="0"/>
        <w:jc w:val="both"/>
        <w:rPr>
          <w:rFonts w:ascii="Garamond" w:hAnsi="Garamond" w:cs="Arial"/>
          <w:iCs/>
          <w:color w:val="000000" w:themeColor="text1"/>
          <w:sz w:val="24"/>
          <w:szCs w:val="24"/>
          <w:lang w:val="es-MX"/>
        </w:rPr>
      </w:pPr>
      <w:r w:rsidRPr="00ED31F4">
        <w:rPr>
          <w:rFonts w:ascii="Garamond" w:hAnsi="Garamond" w:cs="Arial"/>
          <w:iCs/>
          <w:color w:val="000000" w:themeColor="text1"/>
          <w:sz w:val="24"/>
          <w:szCs w:val="24"/>
          <w:lang w:val="es-MX"/>
        </w:rPr>
        <w:t>Si el Proponente es plural cada indicador debe calcularse así:</w:t>
      </w:r>
    </w:p>
    <w:p w14:paraId="23DA54E8" w14:textId="77777777" w:rsidR="00ED31F4" w:rsidRPr="00ED31F4" w:rsidRDefault="00ED31F4" w:rsidP="00ED31F4">
      <w:pPr>
        <w:spacing w:after="0"/>
        <w:jc w:val="both"/>
        <w:rPr>
          <w:rFonts w:ascii="Garamond" w:hAnsi="Garamond" w:cs="Arial"/>
          <w:iCs/>
          <w:color w:val="000000" w:themeColor="text1"/>
          <w:sz w:val="24"/>
          <w:szCs w:val="24"/>
          <w:lang w:val="es-MX"/>
        </w:rPr>
      </w:pPr>
    </w:p>
    <w:p w14:paraId="4229AA76" w14:textId="1E63FC71" w:rsidR="00ED31F4" w:rsidRPr="00ED31F4" w:rsidRDefault="00ED31F4" w:rsidP="00ED31F4">
      <w:pPr>
        <w:spacing w:after="0"/>
        <w:jc w:val="both"/>
        <w:rPr>
          <w:rFonts w:ascii="Garamond" w:eastAsiaTheme="minorEastAsia" w:hAnsi="Garamond" w:cs="Arial"/>
          <w:iCs/>
          <w:sz w:val="24"/>
          <w:szCs w:val="24"/>
        </w:rPr>
      </w:pPr>
      <m:oMathPara>
        <m:oMath>
          <m:r>
            <m:rPr>
              <m:sty m:val="p"/>
            </m:rPr>
            <w:rPr>
              <w:rFonts w:ascii="Cambria Math" w:hAnsi="Cambria Math" w:cs="Arial"/>
              <w:sz w:val="24"/>
              <w:szCs w:val="24"/>
            </w:rPr>
            <m:t>Indicador =</m:t>
          </m:r>
          <m:f>
            <m:fPr>
              <m:ctrlPr>
                <w:rPr>
                  <w:rFonts w:ascii="Cambria Math" w:hAnsi="Cambria Math" w:cs="Arial"/>
                  <w:iCs/>
                  <w:sz w:val="24"/>
                  <w:szCs w:val="24"/>
                </w:rPr>
              </m:ctrlPr>
            </m:fPr>
            <m:num>
              <m:r>
                <m:rPr>
                  <m:sty m:val="p"/>
                </m:rPr>
                <w:rPr>
                  <w:rFonts w:ascii="Cambria Math" w:hAnsi="Cambria Math" w:cs="Arial"/>
                  <w:sz w:val="24"/>
                  <w:szCs w:val="24"/>
                </w:rPr>
                <m:t>(</m:t>
              </m:r>
              <m:nary>
                <m:naryPr>
                  <m:chr m:val="∑"/>
                  <m:limLoc m:val="undOvr"/>
                  <m:ctrlPr>
                    <w:rPr>
                      <w:rFonts w:ascii="Cambria Math" w:hAnsi="Cambria Math" w:cs="Arial"/>
                      <w:iCs/>
                      <w:sz w:val="24"/>
                      <w:szCs w:val="24"/>
                    </w:rPr>
                  </m:ctrlPr>
                </m:naryPr>
                <m:sub>
                  <m:r>
                    <m:rPr>
                      <m:sty m:val="p"/>
                    </m:rPr>
                    <w:rPr>
                      <w:rFonts w:ascii="Cambria Math" w:hAnsi="Cambria Math" w:cs="Arial"/>
                      <w:sz w:val="24"/>
                      <w:szCs w:val="24"/>
                    </w:rPr>
                    <m:t>i=1</m:t>
                  </m:r>
                </m:sub>
                <m:sup>
                  <m:r>
                    <m:rPr>
                      <m:sty m:val="p"/>
                    </m:rPr>
                    <w:rPr>
                      <w:rFonts w:ascii="Cambria Math" w:hAnsi="Cambria Math" w:cs="Arial"/>
                      <w:sz w:val="24"/>
                      <w:szCs w:val="24"/>
                    </w:rPr>
                    <m:t>n</m:t>
                  </m:r>
                </m:sup>
                <m:e>
                  <m:sSub>
                    <m:sSubPr>
                      <m:ctrlPr>
                        <w:rPr>
                          <w:rFonts w:ascii="Cambria Math" w:hAnsi="Cambria Math" w:cs="Arial"/>
                          <w:iCs/>
                          <w:sz w:val="24"/>
                          <w:szCs w:val="24"/>
                        </w:rPr>
                      </m:ctrlPr>
                    </m:sSubPr>
                    <m:e>
                      <m:r>
                        <m:rPr>
                          <m:sty m:val="p"/>
                        </m:rPr>
                        <w:rPr>
                          <w:rFonts w:ascii="Cambria Math" w:hAnsi="Cambria Math" w:cs="Arial"/>
                          <w:sz w:val="24"/>
                          <w:szCs w:val="24"/>
                        </w:rPr>
                        <m:t>Componente 1 del indicador</m:t>
                      </m:r>
                    </m:e>
                    <m:sub>
                      <m:r>
                        <m:rPr>
                          <m:sty m:val="p"/>
                        </m:rPr>
                        <w:rPr>
                          <w:rFonts w:ascii="Cambria Math" w:hAnsi="Cambria Math" w:cs="Arial"/>
                          <w:sz w:val="24"/>
                          <w:szCs w:val="24"/>
                        </w:rPr>
                        <m:t>i</m:t>
                      </m:r>
                    </m:sub>
                  </m:sSub>
                  <m:r>
                    <m:rPr>
                      <m:sty m:val="p"/>
                    </m:rPr>
                    <w:rPr>
                      <w:rFonts w:ascii="Cambria Math" w:hAnsi="Cambria Math" w:cs="Arial"/>
                      <w:sz w:val="24"/>
                      <w:szCs w:val="24"/>
                    </w:rPr>
                    <m:t xml:space="preserve">) </m:t>
                  </m:r>
                </m:e>
              </m:nary>
            </m:num>
            <m:den>
              <m:r>
                <m:rPr>
                  <m:sty m:val="p"/>
                </m:rPr>
                <w:rPr>
                  <w:rFonts w:ascii="Cambria Math" w:hAnsi="Cambria Math" w:cs="Arial"/>
                  <w:sz w:val="24"/>
                  <w:szCs w:val="24"/>
                </w:rPr>
                <m:t>(</m:t>
              </m:r>
              <m:nary>
                <m:naryPr>
                  <m:chr m:val="∑"/>
                  <m:limLoc m:val="undOvr"/>
                  <m:ctrlPr>
                    <w:rPr>
                      <w:rFonts w:ascii="Cambria Math" w:hAnsi="Cambria Math" w:cs="Arial"/>
                      <w:iCs/>
                      <w:sz w:val="24"/>
                      <w:szCs w:val="24"/>
                    </w:rPr>
                  </m:ctrlPr>
                </m:naryPr>
                <m:sub>
                  <m:r>
                    <m:rPr>
                      <m:sty m:val="p"/>
                    </m:rPr>
                    <w:rPr>
                      <w:rFonts w:ascii="Cambria Math" w:hAnsi="Cambria Math" w:cs="Arial"/>
                      <w:sz w:val="24"/>
                      <w:szCs w:val="24"/>
                    </w:rPr>
                    <m:t>i=1</m:t>
                  </m:r>
                </m:sub>
                <m:sup>
                  <m:r>
                    <m:rPr>
                      <m:sty m:val="p"/>
                    </m:rPr>
                    <w:rPr>
                      <w:rFonts w:ascii="Cambria Math" w:hAnsi="Cambria Math" w:cs="Arial"/>
                      <w:sz w:val="24"/>
                      <w:szCs w:val="24"/>
                    </w:rPr>
                    <m:t>n</m:t>
                  </m:r>
                </m:sup>
                <m:e>
                  <m:sSub>
                    <m:sSubPr>
                      <m:ctrlPr>
                        <w:rPr>
                          <w:rFonts w:ascii="Cambria Math" w:hAnsi="Cambria Math" w:cs="Arial"/>
                          <w:iCs/>
                          <w:sz w:val="24"/>
                          <w:szCs w:val="24"/>
                        </w:rPr>
                      </m:ctrlPr>
                    </m:sSubPr>
                    <m:e>
                      <m:r>
                        <m:rPr>
                          <m:sty m:val="p"/>
                        </m:rPr>
                        <w:rPr>
                          <w:rFonts w:ascii="Cambria Math" w:hAnsi="Cambria Math" w:cs="Arial"/>
                          <w:sz w:val="24"/>
                          <w:szCs w:val="24"/>
                        </w:rPr>
                        <m:t>Componente 2 del indicador</m:t>
                      </m:r>
                    </m:e>
                    <m:sub>
                      <m:r>
                        <m:rPr>
                          <m:sty m:val="p"/>
                        </m:rPr>
                        <w:rPr>
                          <w:rFonts w:ascii="Cambria Math" w:hAnsi="Cambria Math" w:cs="Arial"/>
                          <w:sz w:val="24"/>
                          <w:szCs w:val="24"/>
                        </w:rPr>
                        <m:t>i</m:t>
                      </m:r>
                    </m:sub>
                  </m:sSub>
                  <m:r>
                    <m:rPr>
                      <m:sty m:val="p"/>
                    </m:rPr>
                    <w:rPr>
                      <w:rFonts w:ascii="Cambria Math" w:hAnsi="Cambria Math" w:cs="Arial"/>
                      <w:sz w:val="24"/>
                      <w:szCs w:val="24"/>
                    </w:rPr>
                    <m:t xml:space="preserve">) </m:t>
                  </m:r>
                </m:e>
              </m:nary>
            </m:den>
          </m:f>
        </m:oMath>
      </m:oMathPara>
    </w:p>
    <w:p w14:paraId="7CD8411B" w14:textId="77777777" w:rsidR="00ED31F4" w:rsidRPr="00ED31F4" w:rsidRDefault="00ED31F4" w:rsidP="00ED31F4">
      <w:pPr>
        <w:spacing w:after="0"/>
        <w:jc w:val="both"/>
        <w:rPr>
          <w:rFonts w:ascii="Garamond" w:hAnsi="Garamond" w:cs="Arial"/>
          <w:iCs/>
          <w:sz w:val="24"/>
          <w:szCs w:val="24"/>
        </w:rPr>
      </w:pPr>
    </w:p>
    <w:p w14:paraId="537D54BF" w14:textId="77777777" w:rsidR="00ED31F4" w:rsidRPr="00ED31F4" w:rsidRDefault="00ED31F4" w:rsidP="00ED31F4">
      <w:pPr>
        <w:spacing w:after="0"/>
        <w:jc w:val="both"/>
        <w:rPr>
          <w:rFonts w:ascii="Garamond" w:hAnsi="Garamond" w:cs="Arial"/>
          <w:iCs/>
          <w:color w:val="000000" w:themeColor="text1"/>
          <w:sz w:val="24"/>
          <w:szCs w:val="24"/>
          <w:lang w:val="es-MX"/>
        </w:rPr>
      </w:pPr>
      <w:r w:rsidRPr="00ED31F4">
        <w:rPr>
          <w:rFonts w:ascii="Garamond" w:hAnsi="Garamond" w:cs="Arial"/>
          <w:iCs/>
          <w:color w:val="000000" w:themeColor="text1"/>
          <w:sz w:val="24"/>
          <w:szCs w:val="24"/>
          <w:lang w:val="es-MX"/>
        </w:rPr>
        <w:t>Donde n es el número de integrantes del Proponente Plural (Unión Temporal o Consorcio).</w:t>
      </w:r>
    </w:p>
    <w:p w14:paraId="41E4A09A" w14:textId="65E361E6" w:rsidR="00ED31F4" w:rsidRDefault="00ED31F4" w:rsidP="00ED31F4">
      <w:pPr>
        <w:spacing w:before="120" w:after="0"/>
        <w:jc w:val="both"/>
        <w:rPr>
          <w:rFonts w:ascii="Garamond" w:hAnsi="Garamond" w:cs="Arial"/>
          <w:iCs/>
          <w:color w:val="000000"/>
          <w:sz w:val="24"/>
          <w:szCs w:val="24"/>
          <w:shd w:val="clear" w:color="auto" w:fill="FFFFFF"/>
        </w:rPr>
      </w:pPr>
      <w:r w:rsidRPr="00ED31F4">
        <w:rPr>
          <w:rFonts w:ascii="Garamond" w:hAnsi="Garamond" w:cs="Arial"/>
          <w:iCs/>
          <w:color w:val="000000"/>
          <w:sz w:val="24"/>
          <w:szCs w:val="24"/>
          <w:shd w:val="clear" w:color="auto" w:fill="FFFFFF"/>
          <w:lang w:val="es-419"/>
        </w:rPr>
        <w:t xml:space="preserve">El Proponente que </w:t>
      </w:r>
      <w:r w:rsidRPr="00ED31F4">
        <w:rPr>
          <w:rFonts w:ascii="Garamond" w:hAnsi="Garamond" w:cs="Arial"/>
          <w:iCs/>
          <w:color w:val="000000" w:themeColor="text1"/>
          <w:sz w:val="24"/>
          <w:szCs w:val="24"/>
          <w:shd w:val="clear" w:color="auto" w:fill="FFFFFF"/>
          <w:lang w:val="es-419"/>
        </w:rPr>
        <w:t>demuestre</w:t>
      </w:r>
      <w:r w:rsidRPr="00ED31F4">
        <w:rPr>
          <w:rFonts w:ascii="Garamond" w:hAnsi="Garamond" w:cs="Arial"/>
          <w:iCs/>
          <w:color w:val="0078D4"/>
          <w:sz w:val="24"/>
          <w:szCs w:val="24"/>
          <w:shd w:val="clear" w:color="auto" w:fill="FFFFFF"/>
          <w:lang w:val="es-419"/>
        </w:rPr>
        <w:t xml:space="preserve"> </w:t>
      </w:r>
      <w:r w:rsidRPr="00ED31F4">
        <w:rPr>
          <w:rFonts w:ascii="Garamond" w:hAnsi="Garamond" w:cs="Arial"/>
          <w:iCs/>
          <w:color w:val="000000"/>
          <w:sz w:val="24"/>
          <w:szCs w:val="24"/>
          <w:shd w:val="clear" w:color="auto" w:fill="FFFFFF"/>
          <w:lang w:val="es-419"/>
        </w:rPr>
        <w:t xml:space="preserve">la condición de Mipyme domiciliada en Colombia acreditará la capacidad organizacional de acuerdo con los indicadores señalados en la </w:t>
      </w:r>
      <w:r w:rsidRPr="00ED31F4">
        <w:rPr>
          <w:rFonts w:ascii="Garamond" w:hAnsi="Garamond" w:cs="Arial"/>
          <w:iCs/>
          <w:color w:val="000000" w:themeColor="text1"/>
          <w:sz w:val="24"/>
          <w:szCs w:val="24"/>
          <w:lang w:val="es-MX"/>
        </w:rPr>
        <w:t>Matriz 2 – Indicadores financieros y organizacionales.</w:t>
      </w:r>
      <w:r w:rsidRPr="00ED31F4">
        <w:rPr>
          <w:rFonts w:ascii="Garamond" w:hAnsi="Garamond" w:cs="Arial"/>
          <w:iCs/>
          <w:color w:val="000000"/>
          <w:sz w:val="24"/>
          <w:szCs w:val="24"/>
          <w:shd w:val="clear" w:color="auto" w:fill="FFFFFF"/>
        </w:rPr>
        <w:t xml:space="preserve"> El Proponente probará</w:t>
      </w:r>
      <w:r w:rsidRPr="00ED31F4">
        <w:rPr>
          <w:rFonts w:ascii="Garamond" w:hAnsi="Garamond" w:cs="Arial"/>
          <w:iCs/>
          <w:color w:val="000000"/>
          <w:sz w:val="24"/>
          <w:szCs w:val="24"/>
          <w:shd w:val="clear" w:color="auto" w:fill="FFFFFF"/>
          <w:lang w:val="es-ES"/>
        </w:rPr>
        <w:t xml:space="preserve"> la condición </w:t>
      </w:r>
      <w:r w:rsidRPr="00ED31F4">
        <w:rPr>
          <w:rFonts w:ascii="Garamond" w:hAnsi="Garamond" w:cs="Arial"/>
          <w:iCs/>
          <w:color w:val="000000"/>
          <w:sz w:val="24"/>
          <w:szCs w:val="24"/>
          <w:shd w:val="clear" w:color="auto" w:fill="FFFFFF"/>
        </w:rPr>
        <w:t xml:space="preserve">de Mipyme con la copia del certificado del Registro Único de Proponentes, el cual deberá encontrarse vigente y en firme al momento de su presentación. </w:t>
      </w:r>
    </w:p>
    <w:p w14:paraId="5F2F94E9" w14:textId="77777777" w:rsidR="00ED31F4" w:rsidRPr="00ED31F4" w:rsidRDefault="00ED31F4" w:rsidP="00ED31F4">
      <w:pPr>
        <w:spacing w:before="120" w:after="0"/>
        <w:jc w:val="both"/>
        <w:rPr>
          <w:rFonts w:ascii="Garamond" w:hAnsi="Garamond" w:cs="Arial"/>
          <w:iCs/>
          <w:color w:val="000000"/>
          <w:sz w:val="24"/>
          <w:szCs w:val="24"/>
          <w:shd w:val="clear" w:color="auto" w:fill="FFFFFF"/>
        </w:rPr>
      </w:pPr>
    </w:p>
    <w:p w14:paraId="62424356" w14:textId="5BE7BC1B" w:rsidR="00ED31F4" w:rsidRDefault="00ED31F4" w:rsidP="003A1825">
      <w:pPr>
        <w:pStyle w:val="Capitulo3"/>
        <w:numPr>
          <w:ilvl w:val="3"/>
          <w:numId w:val="8"/>
        </w:numPr>
        <w:spacing w:after="0" w:line="240" w:lineRule="auto"/>
        <w:jc w:val="both"/>
        <w:rPr>
          <w:rFonts w:ascii="Garamond" w:hAnsi="Garamond"/>
          <w:color w:val="000000" w:themeColor="text1"/>
          <w:sz w:val="24"/>
          <w:szCs w:val="24"/>
        </w:rPr>
      </w:pPr>
      <w:bookmarkStart w:id="30" w:name="_Toc32147358"/>
      <w:bookmarkStart w:id="31" w:name="_Toc206147384"/>
      <w:bookmarkStart w:id="32" w:name="_Toc508648274"/>
      <w:bookmarkStart w:id="33" w:name="_Toc508984058"/>
      <w:bookmarkStart w:id="34" w:name="_Toc509843889"/>
      <w:bookmarkStart w:id="35" w:name="_Toc511924797"/>
      <w:bookmarkStart w:id="36" w:name="_Toc518641676"/>
      <w:r w:rsidRPr="00ED31F4">
        <w:rPr>
          <w:rFonts w:ascii="Garamond" w:hAnsi="Garamond"/>
          <w:color w:val="000000" w:themeColor="text1"/>
          <w:sz w:val="24"/>
          <w:szCs w:val="24"/>
        </w:rPr>
        <w:t>ACREDITACIÓN DE LA CAPACIDAD FINANCIERA Y ORGANIZACIONAL</w:t>
      </w:r>
      <w:bookmarkEnd w:id="30"/>
      <w:bookmarkEnd w:id="31"/>
      <w:r w:rsidRPr="00ED31F4">
        <w:rPr>
          <w:rFonts w:ascii="Garamond" w:hAnsi="Garamond"/>
          <w:color w:val="000000" w:themeColor="text1"/>
          <w:sz w:val="24"/>
          <w:szCs w:val="24"/>
        </w:rPr>
        <w:t xml:space="preserve"> </w:t>
      </w:r>
      <w:bookmarkEnd w:id="32"/>
      <w:bookmarkEnd w:id="33"/>
      <w:bookmarkEnd w:id="34"/>
      <w:bookmarkEnd w:id="35"/>
      <w:bookmarkEnd w:id="36"/>
    </w:p>
    <w:p w14:paraId="6428340B" w14:textId="77777777" w:rsidR="00ED31F4" w:rsidRPr="00ED31F4" w:rsidRDefault="00ED31F4" w:rsidP="00ED31F4">
      <w:pPr>
        <w:pStyle w:val="Capitulo3"/>
        <w:numPr>
          <w:ilvl w:val="0"/>
          <w:numId w:val="0"/>
        </w:numPr>
        <w:spacing w:after="0" w:line="240" w:lineRule="auto"/>
        <w:ind w:left="1080"/>
        <w:jc w:val="both"/>
        <w:rPr>
          <w:rFonts w:ascii="Garamond" w:hAnsi="Garamond"/>
          <w:color w:val="000000" w:themeColor="text1"/>
          <w:sz w:val="24"/>
          <w:szCs w:val="24"/>
        </w:rPr>
      </w:pPr>
    </w:p>
    <w:p w14:paraId="231E144F" w14:textId="6534CF26" w:rsidR="00ED31F4" w:rsidRDefault="00ED31F4" w:rsidP="003A1825">
      <w:pPr>
        <w:pStyle w:val="InviasNormal"/>
        <w:numPr>
          <w:ilvl w:val="4"/>
          <w:numId w:val="8"/>
        </w:numPr>
        <w:spacing w:after="0"/>
        <w:outlineLvl w:val="2"/>
        <w:rPr>
          <w:rFonts w:ascii="Garamond" w:eastAsia="Arial" w:hAnsi="Garamond" w:cs="Arial"/>
          <w:b/>
          <w:color w:val="000000" w:themeColor="text1"/>
          <w:lang w:val="es-CO"/>
        </w:rPr>
      </w:pPr>
      <w:bookmarkStart w:id="37" w:name="_Toc32147359"/>
      <w:bookmarkStart w:id="38" w:name="_Toc206147385"/>
      <w:r w:rsidRPr="00ED31F4">
        <w:rPr>
          <w:rFonts w:ascii="Garamond" w:eastAsia="Arial" w:hAnsi="Garamond" w:cs="Arial"/>
          <w:b/>
          <w:color w:val="000000" w:themeColor="text1"/>
          <w:lang w:val="es-CO"/>
        </w:rPr>
        <w:t>PERSONAS NATURALES O JURÍDICAS NACIONALES Y EXTRANJERAS CON DOMICILIO O SUCURSAL EN COLOMBIA</w:t>
      </w:r>
      <w:bookmarkEnd w:id="37"/>
      <w:bookmarkEnd w:id="38"/>
    </w:p>
    <w:p w14:paraId="35FBC0D1" w14:textId="77777777" w:rsidR="00ED31F4" w:rsidRPr="00ED31F4" w:rsidRDefault="00ED31F4" w:rsidP="00ED31F4">
      <w:pPr>
        <w:pStyle w:val="InviasNormal"/>
        <w:spacing w:after="0"/>
        <w:ind w:left="1080"/>
        <w:outlineLvl w:val="2"/>
        <w:rPr>
          <w:rFonts w:ascii="Garamond" w:eastAsia="Arial" w:hAnsi="Garamond" w:cs="Arial"/>
          <w:b/>
          <w:color w:val="000000" w:themeColor="text1"/>
          <w:lang w:val="es-CO"/>
        </w:rPr>
      </w:pPr>
    </w:p>
    <w:p w14:paraId="53FDDAE9"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evaluación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financiera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organizacional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propuestas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efectuará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partir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información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contenida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RUP</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vigente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firme</w:t>
      </w:r>
      <w:r w:rsidRPr="00ED31F4">
        <w:rPr>
          <w:rFonts w:ascii="Garamond" w:eastAsia="Arial" w:hAnsi="Garamond" w:cs="Arial"/>
          <w:color w:val="000000" w:themeColor="text1"/>
          <w:sz w:val="24"/>
          <w:szCs w:val="24"/>
        </w:rPr>
        <w:t xml:space="preserve">. En tal sentido, la evaluación de la capacidad financiera y organizacional se realizará de acuerdo con la información reportada en el Registro, de acuerdo con las disposiciones establecidas en la Subsección 5, de la Sección 1, del Capítulo 1, del Título </w:t>
      </w:r>
      <w:r w:rsidRPr="00ED31F4">
        <w:rPr>
          <w:rFonts w:ascii="Garamond" w:eastAsia="Arial" w:hAnsi="Garamond" w:cs="Arial"/>
          <w:color w:val="000000" w:themeColor="text1"/>
          <w:sz w:val="24"/>
          <w:szCs w:val="24"/>
        </w:rPr>
        <w:lastRenderedPageBreak/>
        <w:t>1, de la Parte 2 del Decreto 1082 de 2015, o las normas que las modifiquen, adicionen o sustituyan</w:t>
      </w:r>
      <w:r w:rsidRPr="00ED31F4">
        <w:rPr>
          <w:rFonts w:ascii="Garamond" w:hAnsi="Garamond" w:cs="Arial"/>
          <w:color w:val="000000" w:themeColor="text1"/>
          <w:sz w:val="24"/>
          <w:szCs w:val="24"/>
        </w:rPr>
        <w:t xml:space="preserve">. </w:t>
      </w:r>
    </w:p>
    <w:p w14:paraId="4CC41009" w14:textId="77777777" w:rsidR="00ED31F4" w:rsidRPr="00ED31F4" w:rsidRDefault="00ED31F4" w:rsidP="00ED31F4">
      <w:pPr>
        <w:spacing w:after="0"/>
        <w:jc w:val="both"/>
        <w:rPr>
          <w:rFonts w:ascii="Garamond" w:eastAsia="Arial" w:hAnsi="Garamond" w:cs="Arial"/>
          <w:color w:val="000000" w:themeColor="text1"/>
          <w:sz w:val="24"/>
          <w:szCs w:val="24"/>
        </w:rPr>
      </w:pPr>
    </w:p>
    <w:p w14:paraId="18A7F89F"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Los Proponentes extranjeros sin domicilio o sucursal en Colombia no están obligados a tener RUP y por tanto la verificación de esta información procederá en los términos definidos en el siguiente numeral.</w:t>
      </w:r>
    </w:p>
    <w:p w14:paraId="7EF9ACF2" w14:textId="09F80E45" w:rsidR="00ED31F4" w:rsidRDefault="00ED31F4" w:rsidP="003A1825">
      <w:pPr>
        <w:pStyle w:val="InviasNormal"/>
        <w:numPr>
          <w:ilvl w:val="4"/>
          <w:numId w:val="8"/>
        </w:numPr>
        <w:spacing w:after="0"/>
        <w:outlineLvl w:val="2"/>
        <w:rPr>
          <w:rFonts w:ascii="Garamond" w:eastAsia="Arial" w:hAnsi="Garamond" w:cs="Arial"/>
          <w:b/>
          <w:color w:val="000000" w:themeColor="text1"/>
          <w:lang w:val="es-CO"/>
        </w:rPr>
      </w:pPr>
      <w:bookmarkStart w:id="39" w:name="_Toc32147360"/>
      <w:bookmarkStart w:id="40" w:name="_Toc206147386"/>
      <w:r w:rsidRPr="00ED31F4">
        <w:rPr>
          <w:rFonts w:ascii="Garamond" w:eastAsia="Arial" w:hAnsi="Garamond" w:cs="Arial"/>
          <w:b/>
          <w:color w:val="000000" w:themeColor="text1"/>
          <w:lang w:val="es-CO"/>
        </w:rPr>
        <w:t>PERSONAS NATURALES O JURÍDICAS EXTRANJERAS SIN DOMICILIO O SUCURSAL EN COLOMBIA</w:t>
      </w:r>
      <w:bookmarkEnd w:id="39"/>
      <w:bookmarkEnd w:id="40"/>
    </w:p>
    <w:p w14:paraId="0C481335" w14:textId="77777777" w:rsidR="00ED31F4" w:rsidRPr="00ED31F4" w:rsidRDefault="00ED31F4" w:rsidP="00ED31F4">
      <w:pPr>
        <w:pStyle w:val="InviasNormal"/>
        <w:spacing w:after="0"/>
        <w:ind w:left="1080"/>
        <w:outlineLvl w:val="2"/>
        <w:rPr>
          <w:rFonts w:ascii="Garamond" w:eastAsia="Arial" w:hAnsi="Garamond" w:cs="Arial"/>
          <w:b/>
          <w:color w:val="000000" w:themeColor="text1"/>
          <w:lang w:val="es-CO"/>
        </w:rPr>
      </w:pPr>
    </w:p>
    <w:p w14:paraId="4B6CC12A"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extranjeros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deberán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información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financiera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conformidad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legislación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país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origen.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valores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presentarse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pesos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convertirse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tasa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cambio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fecha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corte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mismos, 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(iii)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avalados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firma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quien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encuentre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obligación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hacerlo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acuerdo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normativa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país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origen.</w:t>
      </w:r>
      <w:r w:rsidRPr="00ED31F4">
        <w:rPr>
          <w:rFonts w:ascii="Garamond" w:eastAsia="Arial" w:hAnsi="Garamond" w:cs="Arial"/>
          <w:color w:val="000000" w:themeColor="text1"/>
          <w:sz w:val="24"/>
          <w:szCs w:val="24"/>
        </w:rPr>
        <w:t xml:space="preserve"> </w:t>
      </w:r>
    </w:p>
    <w:p w14:paraId="263B4ED6" w14:textId="77777777" w:rsidR="00ED31F4" w:rsidRPr="00ED31F4" w:rsidRDefault="00ED31F4" w:rsidP="00ED31F4">
      <w:pPr>
        <w:spacing w:after="0"/>
        <w:jc w:val="both"/>
        <w:rPr>
          <w:rFonts w:ascii="Garamond" w:eastAsia="Arial" w:hAnsi="Garamond" w:cs="Arial"/>
          <w:color w:val="000000" w:themeColor="text1"/>
          <w:sz w:val="24"/>
          <w:szCs w:val="24"/>
        </w:rPr>
      </w:pPr>
    </w:p>
    <w:p w14:paraId="4C4C34C5" w14:textId="77777777" w:rsidR="00ED31F4" w:rsidRPr="00ED31F4" w:rsidRDefault="00ED31F4" w:rsidP="003A1825">
      <w:pPr>
        <w:pStyle w:val="Prrafodelista"/>
        <w:widowControl w:val="0"/>
        <w:numPr>
          <w:ilvl w:val="0"/>
          <w:numId w:val="27"/>
        </w:numPr>
        <w:spacing w:after="0" w:line="240" w:lineRule="auto"/>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229138EB" w14:textId="77777777" w:rsidR="00ED31F4" w:rsidRPr="004624AE" w:rsidRDefault="00ED31F4" w:rsidP="00ED31F4">
      <w:pPr>
        <w:pStyle w:val="Prrafodelista"/>
        <w:spacing w:after="0"/>
        <w:rPr>
          <w:rFonts w:ascii="Garamond" w:hAnsi="Garamond" w:cs="Arial"/>
          <w:bCs/>
          <w:color w:val="000000" w:themeColor="text1"/>
          <w:sz w:val="24"/>
          <w:szCs w:val="24"/>
        </w:rPr>
      </w:pPr>
    </w:p>
    <w:p w14:paraId="3841508F" w14:textId="77777777" w:rsidR="00ED31F4" w:rsidRPr="004624AE" w:rsidRDefault="00ED31F4" w:rsidP="003A1825">
      <w:pPr>
        <w:pStyle w:val="Prrafodelista"/>
        <w:numPr>
          <w:ilvl w:val="0"/>
          <w:numId w:val="27"/>
        </w:numPr>
        <w:spacing w:after="0" w:line="240" w:lineRule="auto"/>
        <w:jc w:val="both"/>
        <w:rPr>
          <w:rFonts w:ascii="Garamond" w:eastAsia="Arial" w:hAnsi="Garamond" w:cs="Arial"/>
          <w:color w:val="000000" w:themeColor="text1"/>
          <w:sz w:val="24"/>
          <w:szCs w:val="24"/>
        </w:rPr>
      </w:pPr>
      <w:r w:rsidRPr="004624AE">
        <w:rPr>
          <w:rFonts w:ascii="Garamond" w:eastAsia="Arial" w:hAnsi="Garamond" w:cs="Arial"/>
          <w:color w:val="000000" w:themeColor="text1"/>
          <w:sz w:val="24"/>
          <w:szCs w:val="24"/>
        </w:rPr>
        <w:t xml:space="preserve">Copia de la tarjeta profesional del Contador Público o Revisor Fiscal y certificado de antecedentes disciplinarios vigente expedido por la Junta Central de Contadores de quien realiza la conversión. </w:t>
      </w:r>
    </w:p>
    <w:p w14:paraId="3CBC58D6" w14:textId="77777777" w:rsidR="00ED31F4" w:rsidRPr="004624AE" w:rsidRDefault="00ED31F4" w:rsidP="00ED31F4">
      <w:pPr>
        <w:pStyle w:val="Prrafodelista"/>
        <w:widowControl w:val="0"/>
        <w:spacing w:after="0"/>
        <w:rPr>
          <w:rFonts w:ascii="Garamond" w:hAnsi="Garamond" w:cs="Arial"/>
          <w:bCs/>
          <w:color w:val="000000" w:themeColor="text1"/>
          <w:sz w:val="24"/>
          <w:szCs w:val="24"/>
        </w:rPr>
      </w:pPr>
    </w:p>
    <w:p w14:paraId="20A8F03F" w14:textId="3C810E07" w:rsidR="00ED31F4" w:rsidRPr="00ED31F4" w:rsidRDefault="00ED31F4" w:rsidP="003A1825">
      <w:pPr>
        <w:pStyle w:val="Prrafodelista"/>
        <w:widowControl w:val="0"/>
        <w:numPr>
          <w:ilvl w:val="0"/>
          <w:numId w:val="27"/>
        </w:numPr>
        <w:spacing w:after="0" w:line="240" w:lineRule="auto"/>
        <w:jc w:val="both"/>
        <w:rPr>
          <w:rFonts w:ascii="Garamond" w:eastAsia="Arial" w:hAnsi="Garamond" w:cs="Arial"/>
          <w:color w:val="000000" w:themeColor="text1"/>
          <w:sz w:val="24"/>
          <w:szCs w:val="24"/>
        </w:rPr>
      </w:pPr>
      <w:r w:rsidRPr="004624AE">
        <w:rPr>
          <w:rFonts w:ascii="Garamond" w:eastAsia="Arial" w:hAnsi="Garamond" w:cs="Arial"/>
          <w:color w:val="000000" w:themeColor="text1"/>
          <w:sz w:val="24"/>
          <w:szCs w:val="24"/>
        </w:rPr>
        <w:t>El</w:t>
      </w:r>
      <w:r w:rsidR="006F0C06" w:rsidRPr="006F0C06">
        <w:t xml:space="preserve"> </w:t>
      </w:r>
      <w:r w:rsidR="006F0C06" w:rsidRPr="006F0C06">
        <w:rPr>
          <w:rFonts w:ascii="Garamond" w:eastAsia="Arial" w:hAnsi="Garamond" w:cs="Arial"/>
          <w:color w:val="000000" w:themeColor="text1"/>
          <w:sz w:val="24"/>
          <w:szCs w:val="24"/>
        </w:rPr>
        <w:t xml:space="preserve">Formato 4 – Capacidad financiera y organizacional </w:t>
      </w:r>
      <w:r w:rsidRPr="004624AE">
        <w:rPr>
          <w:rFonts w:ascii="Garamond" w:eastAsia="Arial" w:hAnsi="Garamond" w:cs="Arial"/>
          <w:color w:val="000000" w:themeColor="text1"/>
          <w:sz w:val="24"/>
          <w:szCs w:val="24"/>
        </w:rPr>
        <w:t xml:space="preserve">diligenciado. En caso de </w:t>
      </w:r>
      <w:r w:rsidRPr="00ED31F4">
        <w:rPr>
          <w:rFonts w:ascii="Garamond" w:eastAsia="Arial" w:hAnsi="Garamond" w:cs="Arial"/>
          <w:color w:val="000000" w:themeColor="text1"/>
          <w:sz w:val="24"/>
          <w:szCs w:val="24"/>
        </w:rPr>
        <w:t xml:space="preserve">presentarse discrepancias entre la información consignada en el </w:t>
      </w:r>
      <w:r w:rsidR="006F0C06" w:rsidRPr="006F0C06">
        <w:rPr>
          <w:rFonts w:ascii="Garamond" w:eastAsia="Arial" w:hAnsi="Garamond" w:cs="Arial"/>
          <w:color w:val="000000" w:themeColor="text1"/>
          <w:sz w:val="24"/>
          <w:szCs w:val="24"/>
        </w:rPr>
        <w:t>Formato 4 – Capacidad financiera y organizacional</w:t>
      </w:r>
      <w:r w:rsidRPr="00ED31F4">
        <w:rPr>
          <w:rFonts w:ascii="Garamond" w:eastAsia="Arial" w:hAnsi="Garamond" w:cs="Arial"/>
          <w:color w:val="000000" w:themeColor="text1"/>
          <w:sz w:val="24"/>
          <w:szCs w:val="24"/>
        </w:rPr>
        <w:t xml:space="preserve"> y los documentos señalados en el Literal A, prevalecerá la información consignada en los estados financieros incluidos en la oferta. </w:t>
      </w:r>
    </w:p>
    <w:p w14:paraId="4667A46B" w14:textId="21B6E2FE" w:rsidR="00ED31F4" w:rsidRPr="00ED31F4" w:rsidRDefault="00ED31F4" w:rsidP="00ED31F4">
      <w:pPr>
        <w:widowControl w:val="0"/>
        <w:spacing w:after="0" w:line="240" w:lineRule="auto"/>
        <w:jc w:val="both"/>
        <w:rPr>
          <w:rFonts w:ascii="Garamond" w:eastAsia="Arial" w:hAnsi="Garamond" w:cs="Arial"/>
          <w:color w:val="000000" w:themeColor="text1"/>
          <w:sz w:val="24"/>
          <w:szCs w:val="24"/>
        </w:rPr>
      </w:pPr>
    </w:p>
    <w:p w14:paraId="0C1566F3"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Las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fechas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corte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documentos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señalados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literal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 corresponderá al 31 de diciembre de 2024, acompañado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Informe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Auditoría,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salvo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acredite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debida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forma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legislación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país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origen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establece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fecha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corte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diferente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prevista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Pliego.</w:t>
      </w:r>
    </w:p>
    <w:p w14:paraId="2C1B2563" w14:textId="77777777" w:rsidR="00ED31F4" w:rsidRPr="00ED31F4" w:rsidRDefault="00ED31F4" w:rsidP="00ED31F4">
      <w:pPr>
        <w:spacing w:after="0"/>
        <w:jc w:val="both"/>
        <w:rPr>
          <w:rFonts w:ascii="Garamond" w:eastAsia="Arial" w:hAnsi="Garamond" w:cs="Arial"/>
          <w:color w:val="000000" w:themeColor="text1"/>
          <w:sz w:val="24"/>
          <w:szCs w:val="24"/>
        </w:rPr>
      </w:pPr>
    </w:p>
    <w:p w14:paraId="287607C8" w14:textId="286AC778"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alguno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requerimientos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aplica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país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domicilio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Extranjero,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Representante Legal o 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apoderado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deberán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hacerlo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bajo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gravedad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juramento en el</w:t>
      </w:r>
      <w:r w:rsidR="009C66AF" w:rsidRPr="009C66AF">
        <w:t xml:space="preserve"> </w:t>
      </w:r>
      <w:r w:rsidR="009C66AF" w:rsidRPr="009C66AF">
        <w:rPr>
          <w:rFonts w:ascii="Garamond" w:hAnsi="Garamond" w:cs="Arial"/>
          <w:color w:val="000000" w:themeColor="text1"/>
          <w:sz w:val="24"/>
          <w:szCs w:val="24"/>
        </w:rPr>
        <w:t xml:space="preserve">Formato 4 – Capacidad Financiera y Organizacional. </w:t>
      </w:r>
      <w:r w:rsidRPr="00ED31F4">
        <w:rPr>
          <w:rFonts w:ascii="Garamond" w:hAnsi="Garamond" w:cs="Arial"/>
          <w:color w:val="000000" w:themeColor="text1"/>
          <w:sz w:val="24"/>
          <w:szCs w:val="24"/>
        </w:rPr>
        <w:t>El Proponente podrá acreditar este requisito con un documento que así lo certifique emitido por una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firma 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auditoría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externa.</w:t>
      </w:r>
    </w:p>
    <w:p w14:paraId="53153BB4" w14:textId="77777777" w:rsidR="00ED31F4" w:rsidRPr="00ED31F4" w:rsidRDefault="00ED31F4" w:rsidP="00ED31F4">
      <w:pPr>
        <w:spacing w:after="0"/>
        <w:jc w:val="both"/>
        <w:rPr>
          <w:rFonts w:ascii="Garamond" w:hAnsi="Garamond" w:cs="Arial"/>
          <w:color w:val="000000" w:themeColor="text1"/>
          <w:sz w:val="24"/>
          <w:szCs w:val="24"/>
        </w:rPr>
      </w:pPr>
    </w:p>
    <w:p w14:paraId="70A03D22" w14:textId="77777777" w:rsidR="00ED31F4" w:rsidRPr="00ED31F4" w:rsidRDefault="00ED31F4" w:rsidP="00ED31F4">
      <w:pPr>
        <w:spacing w:after="0"/>
        <w:jc w:val="both"/>
        <w:rPr>
          <w:rFonts w:ascii="Garamond" w:eastAsia="Arial" w:hAnsi="Garamond" w:cs="Arial"/>
          <w:sz w:val="24"/>
          <w:szCs w:val="24"/>
        </w:rPr>
      </w:pPr>
      <w:r w:rsidRPr="00ED31F4">
        <w:rPr>
          <w:rFonts w:ascii="Garamond" w:eastAsia="Arial" w:hAnsi="Garamond" w:cs="Arial"/>
          <w:color w:val="000000" w:themeColor="text1"/>
          <w:sz w:val="24"/>
          <w:szCs w:val="24"/>
        </w:rPr>
        <w:t>Si los valores de los estados financieros están expresados originalmente en una moneda diferente a Dólares de los Estados Unidos de América, estos deberán convertirse a pesos en los términos definidos en la sección 1.13</w:t>
      </w:r>
      <w:r w:rsidRPr="00ED31F4">
        <w:rPr>
          <w:rFonts w:ascii="Garamond" w:eastAsia="Arial" w:hAnsi="Garamond" w:cs="Arial"/>
          <w:sz w:val="24"/>
          <w:szCs w:val="24"/>
        </w:rPr>
        <w:t>.</w:t>
      </w:r>
    </w:p>
    <w:p w14:paraId="4E562BE6" w14:textId="77777777" w:rsidR="00ED31F4" w:rsidRPr="00ED31F4" w:rsidRDefault="00ED31F4" w:rsidP="00ED31F4">
      <w:pPr>
        <w:spacing w:after="0"/>
        <w:jc w:val="both"/>
        <w:rPr>
          <w:rFonts w:ascii="Garamond" w:hAnsi="Garamond" w:cs="Arial"/>
          <w:color w:val="000000" w:themeColor="text1"/>
          <w:sz w:val="24"/>
          <w:szCs w:val="24"/>
        </w:rPr>
      </w:pPr>
    </w:p>
    <w:p w14:paraId="5ADEFBC8" w14:textId="002EE300" w:rsidR="00ED31F4" w:rsidRPr="00ED31F4" w:rsidRDefault="00ED31F4" w:rsidP="003A1825">
      <w:pPr>
        <w:pStyle w:val="Capitulo3"/>
        <w:numPr>
          <w:ilvl w:val="3"/>
          <w:numId w:val="8"/>
        </w:numPr>
        <w:spacing w:after="0" w:line="240" w:lineRule="auto"/>
        <w:jc w:val="both"/>
        <w:rPr>
          <w:rFonts w:ascii="Garamond" w:hAnsi="Garamond"/>
          <w:color w:val="000000" w:themeColor="text1"/>
          <w:sz w:val="24"/>
          <w:szCs w:val="24"/>
        </w:rPr>
      </w:pPr>
      <w:bookmarkStart w:id="41" w:name="_Toc32147361"/>
      <w:bookmarkStart w:id="42" w:name="_Toc206147387"/>
      <w:bookmarkStart w:id="43" w:name="_Toc508648275"/>
      <w:bookmarkStart w:id="44" w:name="_Toc508984059"/>
      <w:bookmarkStart w:id="45" w:name="_Toc509843890"/>
      <w:bookmarkStart w:id="46" w:name="_Toc511924798"/>
      <w:bookmarkStart w:id="47" w:name="_Toc520226887"/>
      <w:bookmarkStart w:id="48" w:name="_Toc520297857"/>
      <w:bookmarkStart w:id="49" w:name="_Toc520317122"/>
      <w:bookmarkStart w:id="50" w:name="_Toc533083725"/>
      <w:bookmarkStart w:id="51" w:name="_Toc5006156"/>
      <w:r w:rsidRPr="00ED31F4">
        <w:rPr>
          <w:rFonts w:ascii="Garamond" w:hAnsi="Garamond"/>
          <w:color w:val="000000" w:themeColor="text1"/>
          <w:sz w:val="24"/>
          <w:szCs w:val="24"/>
        </w:rPr>
        <w:t>CAPACIDAD RESIDUAL</w:t>
      </w:r>
      <w:bookmarkEnd w:id="41"/>
      <w:bookmarkEnd w:id="42"/>
      <w:r w:rsidRPr="00ED31F4">
        <w:rPr>
          <w:rFonts w:ascii="Garamond" w:hAnsi="Garamond"/>
          <w:color w:val="000000" w:themeColor="text1"/>
          <w:sz w:val="24"/>
          <w:szCs w:val="24"/>
        </w:rPr>
        <w:t xml:space="preserve"> </w:t>
      </w:r>
      <w:bookmarkEnd w:id="43"/>
      <w:bookmarkEnd w:id="44"/>
      <w:bookmarkEnd w:id="45"/>
      <w:bookmarkEnd w:id="46"/>
      <w:bookmarkEnd w:id="47"/>
      <w:bookmarkEnd w:id="48"/>
      <w:bookmarkEnd w:id="49"/>
      <w:bookmarkEnd w:id="50"/>
      <w:bookmarkEnd w:id="51"/>
    </w:p>
    <w:p w14:paraId="21C7175F" w14:textId="77777777" w:rsidR="00ED31F4" w:rsidRPr="00ED31F4" w:rsidRDefault="00ED31F4" w:rsidP="00ED31F4">
      <w:pPr>
        <w:pStyle w:val="Capitulo3"/>
        <w:numPr>
          <w:ilvl w:val="0"/>
          <w:numId w:val="0"/>
        </w:numPr>
        <w:spacing w:after="0" w:line="240" w:lineRule="auto"/>
        <w:ind w:left="1080"/>
        <w:jc w:val="both"/>
        <w:rPr>
          <w:rFonts w:ascii="Garamond" w:hAnsi="Garamond"/>
          <w:color w:val="000000" w:themeColor="text1"/>
          <w:sz w:val="24"/>
          <w:szCs w:val="24"/>
        </w:rPr>
      </w:pPr>
    </w:p>
    <w:p w14:paraId="376E10B5"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será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hábil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w:t>
      </w:r>
      <w:r w:rsidRPr="00ED31F4">
        <w:rPr>
          <w:rFonts w:ascii="Garamond" w:eastAsia="Arial" w:hAnsi="Garamond" w:cs="Arial"/>
          <w:color w:val="000000" w:themeColor="text1"/>
          <w:sz w:val="24"/>
          <w:szCs w:val="24"/>
        </w:rPr>
        <w:t xml:space="preserve"> su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mayor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igual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Proceso de Contratación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(CRPC).</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Así:</w:t>
      </w:r>
      <w:r w:rsidRPr="00ED31F4">
        <w:rPr>
          <w:rFonts w:ascii="Garamond" w:eastAsia="Arial" w:hAnsi="Garamond" w:cs="Arial"/>
          <w:color w:val="000000" w:themeColor="text1"/>
          <w:sz w:val="24"/>
          <w:szCs w:val="24"/>
        </w:rPr>
        <w:t xml:space="preserve"> </w:t>
      </w:r>
    </w:p>
    <w:p w14:paraId="1483BC8F" w14:textId="77777777" w:rsidR="00ED31F4" w:rsidRPr="00ED31F4" w:rsidRDefault="00ED31F4" w:rsidP="00ED31F4">
      <w:pPr>
        <w:spacing w:after="0"/>
        <w:jc w:val="both"/>
        <w:rPr>
          <w:rFonts w:ascii="Garamond" w:hAnsi="Garamond" w:cs="Arial"/>
          <w:color w:val="000000" w:themeColor="text1"/>
          <w:sz w:val="24"/>
          <w:szCs w:val="24"/>
        </w:rPr>
      </w:pPr>
      <m:oMathPara>
        <m:oMath>
          <m:r>
            <w:rPr>
              <w:rFonts w:ascii="Cambria Math" w:hAnsi="Cambria Math" w:cs="Arial"/>
              <w:color w:val="000000" w:themeColor="text1"/>
              <w:sz w:val="24"/>
              <w:szCs w:val="24"/>
            </w:rPr>
            <m:t>CRP ≥CRPC</m:t>
          </m:r>
        </m:oMath>
      </m:oMathPara>
    </w:p>
    <w:p w14:paraId="1CE57465" w14:textId="77777777" w:rsidR="00ED31F4" w:rsidRPr="00ED31F4" w:rsidRDefault="00ED31F4" w:rsidP="00ED31F4">
      <w:pPr>
        <w:spacing w:after="0"/>
        <w:jc w:val="both"/>
        <w:rPr>
          <w:rFonts w:ascii="Garamond" w:hAnsi="Garamond" w:cs="Arial"/>
          <w:color w:val="000000" w:themeColor="text1"/>
          <w:sz w:val="24"/>
          <w:szCs w:val="24"/>
        </w:rPr>
      </w:pPr>
    </w:p>
    <w:p w14:paraId="29AF143E"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sz w:val="24"/>
          <w:szCs w:val="24"/>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Pr="00ED31F4">
        <w:rPr>
          <w:rFonts w:ascii="Garamond" w:hAnsi="Garamond" w:cs="Arial"/>
          <w:color w:val="000000" w:themeColor="text1"/>
          <w:sz w:val="24"/>
          <w:szCs w:val="24"/>
        </w:rPr>
        <w:t xml:space="preserve"> </w:t>
      </w:r>
    </w:p>
    <w:p w14:paraId="3CA8684A" w14:textId="77777777" w:rsidR="00ED31F4" w:rsidRPr="00ED31F4" w:rsidRDefault="00ED31F4" w:rsidP="00ED31F4">
      <w:pPr>
        <w:spacing w:after="0"/>
        <w:jc w:val="both"/>
        <w:rPr>
          <w:rFonts w:ascii="Garamond" w:eastAsia="Arial" w:hAnsi="Garamond" w:cs="Arial"/>
          <w:color w:val="000000" w:themeColor="text1"/>
          <w:sz w:val="24"/>
          <w:szCs w:val="24"/>
        </w:rPr>
      </w:pPr>
    </w:p>
    <w:p w14:paraId="23B5A997"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Lo anterior, sin perjuicio de las acciones administrativas y/o judiciales a que haya lugar, en contra de la (s) persona (s) que haya (n) suscrito las certificaciones exigidas para el cálculo de la capacidad residual.</w:t>
      </w:r>
    </w:p>
    <w:p w14:paraId="0B37BD02" w14:textId="77777777" w:rsidR="00ED31F4" w:rsidRPr="00ED31F4" w:rsidRDefault="00ED31F4" w:rsidP="00ED31F4">
      <w:pPr>
        <w:pStyle w:val="InviasNormal"/>
        <w:spacing w:after="0"/>
        <w:outlineLvl w:val="2"/>
        <w:rPr>
          <w:rFonts w:ascii="Garamond" w:eastAsia="Arial" w:hAnsi="Garamond" w:cs="Arial"/>
          <w:b/>
          <w:color w:val="000000" w:themeColor="text1"/>
          <w:lang w:val="es-CO"/>
        </w:rPr>
      </w:pPr>
      <w:bookmarkStart w:id="52" w:name="_Toc32147362"/>
      <w:bookmarkStart w:id="53" w:name="_Toc206147388"/>
    </w:p>
    <w:p w14:paraId="745A9D36" w14:textId="77777777" w:rsidR="00ED31F4" w:rsidRPr="00ED31F4" w:rsidRDefault="00ED31F4" w:rsidP="003A1825">
      <w:pPr>
        <w:pStyle w:val="InviasNormal"/>
        <w:numPr>
          <w:ilvl w:val="3"/>
          <w:numId w:val="8"/>
        </w:numPr>
        <w:spacing w:after="0"/>
        <w:outlineLvl w:val="2"/>
        <w:rPr>
          <w:rFonts w:ascii="Garamond" w:eastAsia="Arial" w:hAnsi="Garamond" w:cs="Arial"/>
          <w:b/>
          <w:color w:val="000000" w:themeColor="text1"/>
          <w:lang w:val="es-CO"/>
        </w:rPr>
      </w:pPr>
      <w:r w:rsidRPr="00ED31F4">
        <w:rPr>
          <w:rFonts w:ascii="Garamond" w:eastAsia="Arial" w:hAnsi="Garamond" w:cs="Arial"/>
          <w:b/>
          <w:color w:val="000000" w:themeColor="text1"/>
          <w:lang w:val="es-CO"/>
        </w:rPr>
        <w:t>CÁLCULO DE LA CAPACIDAD RESIDUAL DEL PROCESO DE CONTRATACIÒN (CRPC)</w:t>
      </w:r>
      <w:bookmarkEnd w:id="52"/>
      <w:bookmarkEnd w:id="53"/>
    </w:p>
    <w:p w14:paraId="534E1641"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plazo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estimado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menor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igual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12</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meses,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cálculo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CRPC</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deberá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tener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cuenta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proceso:</w:t>
      </w:r>
      <w:r w:rsidRPr="00ED31F4">
        <w:rPr>
          <w:rFonts w:ascii="Garamond" w:eastAsia="Arial" w:hAnsi="Garamond" w:cs="Arial"/>
          <w:color w:val="000000" w:themeColor="text1"/>
          <w:sz w:val="24"/>
          <w:szCs w:val="24"/>
        </w:rPr>
        <w:t xml:space="preserve"> </w:t>
      </w:r>
    </w:p>
    <w:p w14:paraId="75B89C58" w14:textId="77777777" w:rsidR="00ED31F4" w:rsidRPr="00ED31F4" w:rsidRDefault="00ED31F4" w:rsidP="00ED31F4">
      <w:pPr>
        <w:spacing w:after="0"/>
        <w:jc w:val="both"/>
        <w:rPr>
          <w:rFonts w:ascii="Garamond" w:eastAsia="Arial" w:hAnsi="Garamond" w:cs="Arial"/>
          <w:color w:val="000000" w:themeColor="text1"/>
          <w:sz w:val="24"/>
          <w:szCs w:val="24"/>
        </w:rPr>
      </w:pPr>
    </w:p>
    <w:p w14:paraId="4652C8EA" w14:textId="77777777" w:rsidR="00ED31F4" w:rsidRPr="00ED31F4" w:rsidRDefault="00ED31F4" w:rsidP="00ED31F4">
      <w:pPr>
        <w:spacing w:after="0"/>
        <w:jc w:val="center"/>
        <w:rPr>
          <w:rFonts w:ascii="Garamond" w:eastAsia="Arial" w:hAnsi="Garamond" w:cs="Arial"/>
          <w:color w:val="000000" w:themeColor="text1"/>
          <w:sz w:val="24"/>
          <w:szCs w:val="24"/>
        </w:rPr>
      </w:pPr>
      <m:oMathPara>
        <m:oMath>
          <m:r>
            <w:rPr>
              <w:rFonts w:ascii="Cambria Math" w:eastAsia="Arial" w:hAnsi="Cambria Math" w:cs="Arial"/>
              <w:color w:val="000000" w:themeColor="text1"/>
              <w:sz w:val="24"/>
              <w:szCs w:val="24"/>
            </w:rPr>
            <m:t>CRPC</m:t>
          </m:r>
          <m:r>
            <m:rPr>
              <m:sty m:val="p"/>
            </m:rPr>
            <w:rPr>
              <w:rFonts w:ascii="Cambria Math" w:eastAsia="Arial" w:hAnsi="Cambria Math" w:cs="Arial"/>
              <w:color w:val="000000" w:themeColor="text1"/>
              <w:sz w:val="24"/>
              <w:szCs w:val="24"/>
            </w:rPr>
            <m:t>=</m:t>
          </m:r>
          <m:r>
            <w:rPr>
              <w:rFonts w:ascii="Cambria Math" w:eastAsia="Arial" w:hAnsi="Cambria Math" w:cs="Arial"/>
              <w:color w:val="000000" w:themeColor="text1"/>
              <w:sz w:val="24"/>
              <w:szCs w:val="24"/>
            </w:rPr>
            <m:t>POE</m:t>
          </m:r>
          <m:r>
            <m:rPr>
              <m:sty m:val="p"/>
            </m:rPr>
            <w:rPr>
              <w:rFonts w:ascii="Cambria Math" w:eastAsia="Arial" w:hAnsi="Cambria Math" w:cs="Arial"/>
              <w:color w:val="000000" w:themeColor="text1"/>
              <w:sz w:val="24"/>
              <w:szCs w:val="24"/>
            </w:rPr>
            <m:t>-</m:t>
          </m:r>
          <m:r>
            <w:rPr>
              <w:rFonts w:ascii="Cambria Math" w:eastAsia="Arial" w:hAnsi="Cambria Math" w:cs="Arial"/>
              <w:color w:val="000000" w:themeColor="text1"/>
              <w:sz w:val="24"/>
              <w:szCs w:val="24"/>
            </w:rPr>
            <m:t>Anticipo</m:t>
          </m:r>
          <m:r>
            <m:rPr>
              <m:sty m:val="p"/>
            </m:rPr>
            <w:rPr>
              <w:rFonts w:ascii="Cambria Math" w:eastAsia="Arial" w:hAnsi="Cambria Math" w:cs="Arial"/>
              <w:color w:val="000000" w:themeColor="text1"/>
              <w:sz w:val="24"/>
              <w:szCs w:val="24"/>
            </w:rPr>
            <m:t xml:space="preserve"> </m:t>
          </m:r>
          <m:r>
            <w:rPr>
              <w:rFonts w:ascii="Cambria Math" w:eastAsia="Arial" w:hAnsi="Cambria Math" w:cs="Arial"/>
              <w:color w:val="000000" w:themeColor="text1"/>
              <w:sz w:val="24"/>
              <w:szCs w:val="24"/>
            </w:rPr>
            <m:t>o</m:t>
          </m:r>
          <m:r>
            <m:rPr>
              <m:sty m:val="p"/>
            </m:rPr>
            <w:rPr>
              <w:rFonts w:ascii="Cambria Math" w:eastAsia="Arial" w:hAnsi="Cambria Math" w:cs="Arial"/>
              <w:color w:val="000000" w:themeColor="text1"/>
              <w:sz w:val="24"/>
              <w:szCs w:val="24"/>
            </w:rPr>
            <m:t xml:space="preserve"> </m:t>
          </m:r>
          <m:r>
            <w:rPr>
              <w:rFonts w:ascii="Cambria Math" w:eastAsia="Arial" w:hAnsi="Cambria Math" w:cs="Arial"/>
              <w:color w:val="000000" w:themeColor="text1"/>
              <w:sz w:val="24"/>
              <w:szCs w:val="24"/>
            </w:rPr>
            <m:t>pago</m:t>
          </m:r>
          <m:r>
            <m:rPr>
              <m:sty m:val="p"/>
            </m:rPr>
            <w:rPr>
              <w:rFonts w:ascii="Cambria Math" w:eastAsia="Arial" w:hAnsi="Cambria Math" w:cs="Arial"/>
              <w:color w:val="000000" w:themeColor="text1"/>
              <w:sz w:val="24"/>
              <w:szCs w:val="24"/>
            </w:rPr>
            <m:t xml:space="preserve"> </m:t>
          </m:r>
          <m:r>
            <w:rPr>
              <w:rFonts w:ascii="Cambria Math" w:eastAsia="Arial" w:hAnsi="Cambria Math" w:cs="Arial"/>
              <w:color w:val="000000" w:themeColor="text1"/>
              <w:sz w:val="24"/>
              <w:szCs w:val="24"/>
            </w:rPr>
            <m:t>anticipado</m:t>
          </m:r>
        </m:oMath>
      </m:oMathPara>
    </w:p>
    <w:p w14:paraId="70F2970A" w14:textId="77777777" w:rsidR="00ED31F4" w:rsidRPr="00ED31F4" w:rsidRDefault="00ED31F4" w:rsidP="00ED31F4">
      <w:pPr>
        <w:spacing w:after="0"/>
        <w:jc w:val="both"/>
        <w:rPr>
          <w:rFonts w:ascii="Garamond" w:hAnsi="Garamond" w:cs="Arial"/>
          <w:color w:val="000000" w:themeColor="text1"/>
          <w:sz w:val="24"/>
          <w:szCs w:val="24"/>
        </w:rPr>
      </w:pPr>
    </w:p>
    <w:p w14:paraId="25995943"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Donde:</w:t>
      </w:r>
      <w:r w:rsidRPr="00ED31F4">
        <w:rPr>
          <w:rFonts w:ascii="Garamond" w:eastAsia="Arial" w:hAnsi="Garamond" w:cs="Arial"/>
          <w:color w:val="000000" w:themeColor="text1"/>
          <w:sz w:val="24"/>
          <w:szCs w:val="24"/>
        </w:rPr>
        <w:t xml:space="preserve"> </w:t>
      </w:r>
    </w:p>
    <w:p w14:paraId="07023849" w14:textId="77777777" w:rsidR="00ED31F4" w:rsidRPr="00ED31F4" w:rsidRDefault="00ED31F4" w:rsidP="00ED31F4">
      <w:pPr>
        <w:spacing w:after="0"/>
        <w:ind w:left="708"/>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CRPC</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roceso de Contratación</w:t>
      </w:r>
      <w:r w:rsidRPr="00ED31F4">
        <w:rPr>
          <w:rFonts w:ascii="Garamond" w:eastAsia="Arial" w:hAnsi="Garamond" w:cs="Arial"/>
          <w:color w:val="000000" w:themeColor="text1"/>
          <w:sz w:val="24"/>
          <w:szCs w:val="24"/>
        </w:rPr>
        <w:t xml:space="preserve"> </w:t>
      </w:r>
    </w:p>
    <w:p w14:paraId="7B35ECEE" w14:textId="77777777" w:rsidR="00ED31F4" w:rsidRPr="00ED31F4" w:rsidRDefault="00ED31F4" w:rsidP="00ED31F4">
      <w:pPr>
        <w:spacing w:after="0"/>
        <w:ind w:left="708"/>
        <w:jc w:val="both"/>
        <w:rPr>
          <w:rFonts w:ascii="Garamond" w:hAnsi="Garamond" w:cs="Arial"/>
          <w:color w:val="000000" w:themeColor="text1"/>
          <w:sz w:val="24"/>
          <w:szCs w:val="24"/>
        </w:rPr>
      </w:pPr>
      <w:r w:rsidRPr="00ED31F4">
        <w:rPr>
          <w:rFonts w:ascii="Garamond" w:hAnsi="Garamond" w:cs="Arial"/>
          <w:color w:val="000000" w:themeColor="text1"/>
          <w:sz w:val="24"/>
          <w:szCs w:val="24"/>
        </w:rPr>
        <w:t>POE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Presupuesto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oficial estimado</w:t>
      </w:r>
    </w:p>
    <w:p w14:paraId="5ECF714D" w14:textId="77777777" w:rsidR="00ED31F4" w:rsidRPr="00ED31F4" w:rsidRDefault="00ED31F4" w:rsidP="00ED31F4">
      <w:pPr>
        <w:spacing w:after="0"/>
        <w:ind w:left="708"/>
        <w:jc w:val="both"/>
        <w:rPr>
          <w:rFonts w:ascii="Garamond" w:eastAsia="Arial" w:hAnsi="Garamond" w:cs="Arial"/>
          <w:color w:val="000000" w:themeColor="text1"/>
          <w:sz w:val="24"/>
          <w:szCs w:val="24"/>
        </w:rPr>
      </w:pPr>
    </w:p>
    <w:p w14:paraId="573A8724" w14:textId="77777777" w:rsidR="00ED31F4" w:rsidRPr="00ED31F4" w:rsidRDefault="00ED31F4" w:rsidP="003A1825">
      <w:pPr>
        <w:pStyle w:val="InviasNormal"/>
        <w:numPr>
          <w:ilvl w:val="3"/>
          <w:numId w:val="8"/>
        </w:numPr>
        <w:spacing w:after="0"/>
        <w:outlineLvl w:val="2"/>
        <w:rPr>
          <w:rFonts w:ascii="Garamond" w:eastAsia="Arial" w:hAnsi="Garamond" w:cs="Arial"/>
          <w:b/>
          <w:color w:val="000000" w:themeColor="text1"/>
          <w:lang w:val="es-CO"/>
        </w:rPr>
      </w:pPr>
      <w:bookmarkStart w:id="54" w:name="_Toc32147363"/>
      <w:bookmarkStart w:id="55" w:name="_Toc206147389"/>
      <w:r w:rsidRPr="00ED31F4">
        <w:rPr>
          <w:rFonts w:ascii="Garamond" w:eastAsia="Arial" w:hAnsi="Garamond" w:cs="Arial"/>
          <w:b/>
          <w:color w:val="000000" w:themeColor="text1"/>
          <w:lang w:val="es-CO"/>
        </w:rPr>
        <w:t>CÁLCULO DE LA CAPACIDAD RESIDUAL DEL PROPONENTE (CRP)</w:t>
      </w:r>
      <w:bookmarkEnd w:id="54"/>
      <w:bookmarkEnd w:id="55"/>
    </w:p>
    <w:p w14:paraId="7B5F46B1"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calculará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manera:</w:t>
      </w:r>
    </w:p>
    <w:p w14:paraId="1127F39B" w14:textId="77777777" w:rsidR="00ED31F4" w:rsidRPr="00ED31F4" w:rsidRDefault="00ED31F4" w:rsidP="00ED31F4">
      <w:pPr>
        <w:spacing w:after="0"/>
        <w:jc w:val="both"/>
        <w:rPr>
          <w:rFonts w:ascii="Garamond" w:eastAsia="Arial" w:hAnsi="Garamond" w:cs="Arial"/>
          <w:color w:val="000000" w:themeColor="text1"/>
          <w:sz w:val="24"/>
          <w:szCs w:val="24"/>
        </w:rPr>
      </w:pPr>
    </w:p>
    <w:p w14:paraId="44B94C29" w14:textId="77777777" w:rsidR="00ED31F4" w:rsidRPr="00ED31F4" w:rsidRDefault="00ED31F4" w:rsidP="00ED31F4">
      <w:pPr>
        <w:spacing w:after="0"/>
        <w:jc w:val="both"/>
        <w:rPr>
          <w:rFonts w:ascii="Garamond" w:eastAsiaTheme="minorEastAsia" w:hAnsi="Garamond" w:cs="Arial"/>
          <w:i/>
          <w:color w:val="000000" w:themeColor="text1"/>
          <w:sz w:val="24"/>
          <w:szCs w:val="24"/>
        </w:rPr>
      </w:pPr>
      <m:oMathPara>
        <m:oMath>
          <m:r>
            <w:rPr>
              <w:rFonts w:ascii="Cambria Math" w:eastAsiaTheme="minorEastAsia" w:hAnsi="Cambria Math" w:cs="Arial"/>
              <w:color w:val="000000" w:themeColor="text1"/>
              <w:sz w:val="24"/>
              <w:szCs w:val="24"/>
            </w:rPr>
            <m:t>CRP=</m:t>
          </m:r>
          <m:r>
            <w:rPr>
              <w:rFonts w:ascii="Cambria Math" w:hAnsi="Cambria Math" w:cs="Arial"/>
              <w:color w:val="000000" w:themeColor="text1"/>
              <w:sz w:val="24"/>
              <w:szCs w:val="24"/>
            </w:rPr>
            <m:t>CO*</m:t>
          </m:r>
          <m:d>
            <m:dPr>
              <m:begChr m:val="["/>
              <m:endChr m:val="]"/>
              <m:ctrlPr>
                <w:rPr>
                  <w:rFonts w:ascii="Cambria Math" w:hAnsi="Cambria Math" w:cs="Arial"/>
                  <w:bCs/>
                  <w:i/>
                  <w:color w:val="000000" w:themeColor="text1"/>
                  <w:sz w:val="24"/>
                  <w:szCs w:val="24"/>
                </w:rPr>
              </m:ctrlPr>
            </m:dPr>
            <m:e>
              <m:f>
                <m:fPr>
                  <m:ctrlPr>
                    <w:rPr>
                      <w:rFonts w:ascii="Cambria Math" w:hAnsi="Cambria Math" w:cs="Arial"/>
                      <w:bCs/>
                      <w:i/>
                      <w:color w:val="000000" w:themeColor="text1"/>
                      <w:sz w:val="24"/>
                      <w:szCs w:val="24"/>
                    </w:rPr>
                  </m:ctrlPr>
                </m:fPr>
                <m:num>
                  <m:r>
                    <w:rPr>
                      <w:rFonts w:ascii="Cambria Math" w:hAnsi="Cambria Math" w:cs="Arial"/>
                      <w:color w:val="000000" w:themeColor="text1"/>
                      <w:sz w:val="24"/>
                      <w:szCs w:val="24"/>
                    </w:rPr>
                    <m:t>(E+CT+CF)</m:t>
                  </m:r>
                </m:num>
                <m:den>
                  <m:r>
                    <w:rPr>
                      <w:rFonts w:ascii="Cambria Math" w:hAnsi="Cambria Math" w:cs="Arial"/>
                      <w:color w:val="000000" w:themeColor="text1"/>
                      <w:sz w:val="24"/>
                      <w:szCs w:val="24"/>
                    </w:rPr>
                    <m:t>100</m:t>
                  </m:r>
                </m:den>
              </m:f>
            </m:e>
          </m:d>
          <m:r>
            <w:rPr>
              <w:rFonts w:ascii="Cambria Math" w:hAnsi="Cambria Math" w:cs="Arial"/>
              <w:color w:val="000000" w:themeColor="text1"/>
              <w:sz w:val="24"/>
              <w:szCs w:val="24"/>
            </w:rPr>
            <m:t>-SCE</m:t>
          </m:r>
        </m:oMath>
      </m:oMathPara>
    </w:p>
    <w:p w14:paraId="13ABAC58" w14:textId="77777777" w:rsidR="00ED31F4" w:rsidRPr="00ED31F4" w:rsidRDefault="00ED31F4" w:rsidP="00ED31F4">
      <w:pPr>
        <w:pStyle w:val="Sinespaciado"/>
        <w:spacing w:before="120"/>
        <w:jc w:val="both"/>
        <w:rPr>
          <w:rFonts w:ascii="Garamond" w:eastAsia="Arial,Calibri" w:hAnsi="Garamond" w:cs="Arial"/>
          <w:color w:val="000000" w:themeColor="text1"/>
          <w:sz w:val="24"/>
          <w:szCs w:val="24"/>
          <w:lang w:val="es-CO" w:eastAsia="en-US"/>
        </w:rPr>
      </w:pPr>
      <w:r w:rsidRPr="00ED31F4">
        <w:rPr>
          <w:rFonts w:ascii="Garamond" w:eastAsia="Arial" w:hAnsi="Garamond" w:cs="Arial"/>
          <w:color w:val="000000" w:themeColor="text1"/>
          <w:sz w:val="24"/>
          <w:szCs w:val="24"/>
          <w:lang w:val="es-CO" w:eastAsia="en-US"/>
        </w:rPr>
        <w:t>En</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donde:</w:t>
      </w:r>
      <w:r w:rsidRPr="00ED31F4">
        <w:rPr>
          <w:rFonts w:ascii="Garamond" w:eastAsia="Arial,Calibri" w:hAnsi="Garamond" w:cs="Arial"/>
          <w:color w:val="000000" w:themeColor="text1"/>
          <w:sz w:val="24"/>
          <w:szCs w:val="24"/>
          <w:lang w:val="es-CO" w:eastAsia="en-US"/>
        </w:rPr>
        <w:t xml:space="preserve"> </w:t>
      </w:r>
    </w:p>
    <w:p w14:paraId="3BFF7194" w14:textId="77777777" w:rsidR="00ED31F4" w:rsidRPr="00ED31F4" w:rsidRDefault="00ED31F4" w:rsidP="00ED31F4">
      <w:pPr>
        <w:pStyle w:val="Sinespaciado"/>
        <w:spacing w:before="120"/>
        <w:jc w:val="both"/>
        <w:rPr>
          <w:rFonts w:ascii="Garamond" w:eastAsia="Arial,Calibri" w:hAnsi="Garamond" w:cs="Arial"/>
          <w:color w:val="000000" w:themeColor="text1"/>
          <w:sz w:val="24"/>
          <w:szCs w:val="24"/>
          <w:lang w:val="es-CO" w:eastAsia="en-US"/>
        </w:rPr>
      </w:pPr>
      <w:r w:rsidRPr="00ED31F4">
        <w:rPr>
          <w:rFonts w:ascii="Garamond" w:eastAsia="Arial" w:hAnsi="Garamond" w:cs="Arial"/>
          <w:color w:val="000000" w:themeColor="text1"/>
          <w:sz w:val="24"/>
          <w:szCs w:val="24"/>
          <w:lang w:val="es-CO" w:eastAsia="en-US"/>
        </w:rPr>
        <w:t>CRP</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Capacidad</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residual</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del</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Proponente</w:t>
      </w:r>
      <w:r w:rsidRPr="00ED31F4">
        <w:rPr>
          <w:rFonts w:ascii="Garamond" w:eastAsia="Arial,Calibri" w:hAnsi="Garamond" w:cs="Arial"/>
          <w:color w:val="000000" w:themeColor="text1"/>
          <w:sz w:val="24"/>
          <w:szCs w:val="24"/>
          <w:lang w:val="es-CO" w:eastAsia="en-US"/>
        </w:rPr>
        <w:t xml:space="preserve"> </w:t>
      </w:r>
    </w:p>
    <w:p w14:paraId="51B50ACA" w14:textId="77777777" w:rsidR="00ED31F4" w:rsidRPr="00ED31F4" w:rsidRDefault="00ED31F4" w:rsidP="00ED31F4">
      <w:pPr>
        <w:pStyle w:val="Sinespaciado"/>
        <w:spacing w:before="120"/>
        <w:jc w:val="both"/>
        <w:rPr>
          <w:rFonts w:ascii="Garamond" w:eastAsia="Arial,Calibri" w:hAnsi="Garamond" w:cs="Arial"/>
          <w:color w:val="000000" w:themeColor="text1"/>
          <w:sz w:val="24"/>
          <w:szCs w:val="24"/>
          <w:lang w:val="es-CO" w:eastAsia="en-US"/>
        </w:rPr>
      </w:pPr>
      <w:r w:rsidRPr="00ED31F4">
        <w:rPr>
          <w:rFonts w:ascii="Garamond" w:eastAsia="Arial" w:hAnsi="Garamond" w:cs="Arial"/>
          <w:color w:val="000000" w:themeColor="text1"/>
          <w:sz w:val="24"/>
          <w:szCs w:val="24"/>
          <w:lang w:val="es-CO" w:eastAsia="en-US"/>
        </w:rPr>
        <w:t>CO</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Capacidad</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de</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Organización</w:t>
      </w:r>
      <w:r w:rsidRPr="00ED31F4">
        <w:rPr>
          <w:rFonts w:ascii="Garamond" w:eastAsia="Arial,Calibri" w:hAnsi="Garamond" w:cs="Arial"/>
          <w:color w:val="000000" w:themeColor="text1"/>
          <w:sz w:val="24"/>
          <w:szCs w:val="24"/>
          <w:lang w:val="es-CO" w:eastAsia="en-US"/>
        </w:rPr>
        <w:t xml:space="preserve"> </w:t>
      </w:r>
    </w:p>
    <w:p w14:paraId="296BC0EC" w14:textId="77777777" w:rsidR="00ED31F4" w:rsidRPr="00ED31F4" w:rsidRDefault="00ED31F4" w:rsidP="00ED31F4">
      <w:pPr>
        <w:pStyle w:val="Sinespaciado"/>
        <w:spacing w:before="120"/>
        <w:jc w:val="both"/>
        <w:rPr>
          <w:rFonts w:ascii="Garamond" w:eastAsia="Arial,Calibri" w:hAnsi="Garamond" w:cs="Arial"/>
          <w:color w:val="000000" w:themeColor="text1"/>
          <w:sz w:val="24"/>
          <w:szCs w:val="24"/>
          <w:lang w:val="es-CO" w:eastAsia="en-US"/>
        </w:rPr>
      </w:pPr>
      <w:r w:rsidRPr="00ED31F4">
        <w:rPr>
          <w:rFonts w:ascii="Garamond" w:eastAsia="Arial" w:hAnsi="Garamond" w:cs="Arial"/>
          <w:color w:val="000000" w:themeColor="text1"/>
          <w:sz w:val="24"/>
          <w:szCs w:val="24"/>
          <w:lang w:val="es-CO" w:eastAsia="en-US"/>
        </w:rPr>
        <w:t>E</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Experiencia</w:t>
      </w:r>
    </w:p>
    <w:p w14:paraId="25D4F9E6" w14:textId="77777777" w:rsidR="00ED31F4" w:rsidRPr="00ED31F4" w:rsidRDefault="00ED31F4" w:rsidP="00ED31F4">
      <w:pPr>
        <w:pStyle w:val="Sinespaciado"/>
        <w:spacing w:before="120"/>
        <w:jc w:val="both"/>
        <w:rPr>
          <w:rFonts w:ascii="Garamond" w:eastAsia="Arial,Calibri" w:hAnsi="Garamond" w:cs="Arial"/>
          <w:color w:val="000000" w:themeColor="text1"/>
          <w:sz w:val="24"/>
          <w:szCs w:val="24"/>
          <w:lang w:val="es-CO" w:eastAsia="en-US"/>
        </w:rPr>
      </w:pPr>
      <w:r w:rsidRPr="00ED31F4">
        <w:rPr>
          <w:rFonts w:ascii="Garamond" w:eastAsia="Arial" w:hAnsi="Garamond" w:cs="Arial"/>
          <w:color w:val="000000" w:themeColor="text1"/>
          <w:sz w:val="24"/>
          <w:szCs w:val="24"/>
          <w:lang w:val="es-CO" w:eastAsia="en-US"/>
        </w:rPr>
        <w:t>CT</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Capacidad</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Técnica</w:t>
      </w:r>
    </w:p>
    <w:p w14:paraId="7683B010" w14:textId="77777777" w:rsidR="00ED31F4" w:rsidRPr="00ED31F4" w:rsidRDefault="00ED31F4" w:rsidP="00ED31F4">
      <w:pPr>
        <w:pStyle w:val="Sinespaciado"/>
        <w:spacing w:before="120"/>
        <w:jc w:val="both"/>
        <w:rPr>
          <w:rFonts w:ascii="Garamond" w:eastAsia="Arial,Calibri" w:hAnsi="Garamond" w:cs="Arial"/>
          <w:color w:val="000000" w:themeColor="text1"/>
          <w:sz w:val="24"/>
          <w:szCs w:val="24"/>
          <w:lang w:val="es-CO" w:eastAsia="en-US"/>
        </w:rPr>
      </w:pPr>
      <w:r w:rsidRPr="00ED31F4">
        <w:rPr>
          <w:rFonts w:ascii="Garamond" w:eastAsia="Arial" w:hAnsi="Garamond" w:cs="Arial"/>
          <w:color w:val="000000" w:themeColor="text1"/>
          <w:sz w:val="24"/>
          <w:szCs w:val="24"/>
          <w:lang w:val="es-CO" w:eastAsia="en-US"/>
        </w:rPr>
        <w:t>CF</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Capacidad</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Financiera</w:t>
      </w:r>
    </w:p>
    <w:p w14:paraId="350648E7" w14:textId="77777777" w:rsidR="00ED31F4" w:rsidRPr="00ED31F4" w:rsidRDefault="00ED31F4" w:rsidP="00ED31F4">
      <w:pPr>
        <w:pStyle w:val="Sinespaciado"/>
        <w:spacing w:before="120"/>
        <w:jc w:val="both"/>
        <w:rPr>
          <w:rFonts w:ascii="Garamond" w:eastAsia="Arial,Calibri" w:hAnsi="Garamond" w:cs="Arial"/>
          <w:color w:val="000000" w:themeColor="text1"/>
          <w:sz w:val="24"/>
          <w:szCs w:val="24"/>
          <w:lang w:val="es-CO" w:eastAsia="en-US"/>
        </w:rPr>
      </w:pPr>
      <w:r w:rsidRPr="00ED31F4">
        <w:rPr>
          <w:rFonts w:ascii="Garamond" w:eastAsia="Arial" w:hAnsi="Garamond" w:cs="Arial"/>
          <w:color w:val="000000" w:themeColor="text1"/>
          <w:sz w:val="24"/>
          <w:szCs w:val="24"/>
          <w:lang w:val="es-CO" w:eastAsia="en-US"/>
        </w:rPr>
        <w:lastRenderedPageBreak/>
        <w:t>SCE</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w:t>
      </w:r>
      <w:r w:rsidRPr="00ED31F4">
        <w:rPr>
          <w:rFonts w:ascii="Garamond" w:eastAsia="Arial,Calibri" w:hAnsi="Garamond" w:cs="Arial"/>
          <w:color w:val="000000" w:themeColor="text1"/>
          <w:sz w:val="24"/>
          <w:szCs w:val="24"/>
          <w:lang w:val="es-CO" w:eastAsia="en-US"/>
        </w:rPr>
        <w:t xml:space="preserve"> </w:t>
      </w:r>
      <w:r w:rsidRPr="00ED31F4">
        <w:rPr>
          <w:rFonts w:ascii="Garamond" w:eastAsiaTheme="minorHAnsi" w:hAnsi="Garamond" w:cs="Arial"/>
          <w:color w:val="000000" w:themeColor="text1"/>
          <w:sz w:val="24"/>
          <w:szCs w:val="24"/>
          <w:lang w:val="es-CO" w:eastAsia="en-US"/>
        </w:rPr>
        <w:tab/>
      </w:r>
      <w:r w:rsidRPr="00ED31F4">
        <w:rPr>
          <w:rFonts w:ascii="Garamond" w:eastAsia="Arial" w:hAnsi="Garamond" w:cs="Arial"/>
          <w:color w:val="000000" w:themeColor="text1"/>
          <w:sz w:val="24"/>
          <w:szCs w:val="24"/>
          <w:lang w:val="es-CO" w:eastAsia="en-US"/>
        </w:rPr>
        <w:t>Saldos</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de</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Contratos</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en</w:t>
      </w:r>
      <w:r w:rsidRPr="00ED31F4">
        <w:rPr>
          <w:rFonts w:ascii="Garamond" w:eastAsia="Arial,Calibri" w:hAnsi="Garamond" w:cs="Arial"/>
          <w:color w:val="000000" w:themeColor="text1"/>
          <w:sz w:val="24"/>
          <w:szCs w:val="24"/>
          <w:lang w:val="es-CO" w:eastAsia="en-US"/>
        </w:rPr>
        <w:t xml:space="preserve"> </w:t>
      </w:r>
      <w:r w:rsidRPr="00ED31F4">
        <w:rPr>
          <w:rFonts w:ascii="Garamond" w:eastAsia="Arial" w:hAnsi="Garamond" w:cs="Arial"/>
          <w:color w:val="000000" w:themeColor="text1"/>
          <w:sz w:val="24"/>
          <w:szCs w:val="24"/>
          <w:lang w:val="es-CO" w:eastAsia="en-US"/>
        </w:rPr>
        <w:t>Ejecución</w:t>
      </w:r>
    </w:p>
    <w:p w14:paraId="4D279FC2"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CRP</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lural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suma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0428A727" w14:textId="77777777" w:rsidR="00ED31F4" w:rsidRPr="00ED31F4" w:rsidRDefault="00ED31F4" w:rsidP="00ED31F4">
      <w:pPr>
        <w:spacing w:after="0"/>
        <w:jc w:val="both"/>
        <w:rPr>
          <w:rFonts w:ascii="Garamond" w:eastAsia="Arial," w:hAnsi="Garamond" w:cs="Arial"/>
          <w:color w:val="000000" w:themeColor="text1"/>
          <w:sz w:val="24"/>
          <w:szCs w:val="24"/>
        </w:rPr>
      </w:pPr>
    </w:p>
    <w:p w14:paraId="26A13632"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asigna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máximo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puntaje:</w:t>
      </w:r>
    </w:p>
    <w:p w14:paraId="11A8EA64" w14:textId="77777777" w:rsidR="00ED31F4" w:rsidRPr="00ED31F4" w:rsidRDefault="00ED31F4" w:rsidP="00ED31F4">
      <w:pPr>
        <w:spacing w:after="0"/>
        <w:jc w:val="both"/>
        <w:rPr>
          <w:rFonts w:ascii="Garamond" w:eastAsia="Arial," w:hAnsi="Garamond" w:cs="Arial"/>
          <w:color w:val="000000" w:themeColor="text1"/>
          <w:sz w:val="24"/>
          <w:szCs w:val="24"/>
        </w:rPr>
      </w:pPr>
    </w:p>
    <w:tbl>
      <w:tblPr>
        <w:tblW w:w="0" w:type="auto"/>
        <w:jc w:val="center"/>
        <w:tblLook w:val="04A0" w:firstRow="1" w:lastRow="0" w:firstColumn="1" w:lastColumn="0" w:noHBand="0" w:noVBand="1"/>
      </w:tblPr>
      <w:tblGrid>
        <w:gridCol w:w="2739"/>
        <w:gridCol w:w="1843"/>
      </w:tblGrid>
      <w:tr w:rsidR="00ED31F4" w:rsidRPr="00ED31F4" w14:paraId="7E494230" w14:textId="77777777" w:rsidTr="00B01719">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1834CA15"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3C39539B"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Puntaje</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máximo</w:t>
            </w:r>
          </w:p>
        </w:tc>
      </w:tr>
      <w:tr w:rsidR="00ED31F4" w:rsidRPr="00ED31F4" w14:paraId="42288667" w14:textId="77777777" w:rsidTr="00B01719">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B7D2652"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Experiencia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B33ED6E"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120</w:t>
            </w:r>
          </w:p>
        </w:tc>
      </w:tr>
      <w:tr w:rsidR="00ED31F4" w:rsidRPr="00ED31F4" w14:paraId="11F21143" w14:textId="77777777" w:rsidTr="00B01719">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B8F78F"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financiera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(CF)</w:t>
            </w:r>
            <w:r w:rsidRPr="00ED31F4">
              <w:rPr>
                <w:rFonts w:ascii="Garamond" w:eastAsia="Arial" w:hAnsi="Garamond" w:cs="Arial"/>
                <w:color w:val="000000" w:themeColor="text1"/>
                <w:sz w:val="24"/>
                <w:szCs w:val="24"/>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DFDF021"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40</w:t>
            </w:r>
          </w:p>
        </w:tc>
      </w:tr>
      <w:tr w:rsidR="00ED31F4" w:rsidRPr="00ED31F4" w14:paraId="59E8CA9F" w14:textId="77777777" w:rsidTr="00B01719">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E8CE0C7"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técnica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(CT)</w:t>
            </w:r>
            <w:r w:rsidRPr="00ED31F4">
              <w:rPr>
                <w:rFonts w:ascii="Garamond" w:eastAsia="Arial" w:hAnsi="Garamond" w:cs="Arial"/>
                <w:color w:val="000000" w:themeColor="text1"/>
                <w:sz w:val="24"/>
                <w:szCs w:val="24"/>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D97F6ED"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40</w:t>
            </w:r>
          </w:p>
        </w:tc>
      </w:tr>
      <w:tr w:rsidR="00ED31F4" w:rsidRPr="00ED31F4" w14:paraId="17C9CF08" w14:textId="77777777" w:rsidTr="00B01719">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2B21E83" w14:textId="77777777" w:rsidR="00ED31F4" w:rsidRPr="00ED31F4" w:rsidRDefault="00ED31F4" w:rsidP="00ED31F4">
            <w:pPr>
              <w:autoSpaceDE w:val="0"/>
              <w:adjustRightInd w:val="0"/>
              <w:spacing w:after="0"/>
              <w:jc w:val="both"/>
              <w:rPr>
                <w:rFonts w:ascii="Garamond" w:eastAsia="Arial" w:hAnsi="Garamond" w:cs="Arial"/>
                <w:b/>
                <w:color w:val="000000" w:themeColor="text1"/>
                <w:sz w:val="24"/>
                <w:szCs w:val="24"/>
              </w:rPr>
            </w:pPr>
            <w:r w:rsidRPr="00ED31F4">
              <w:rPr>
                <w:rFonts w:ascii="Garamond" w:hAnsi="Garamond" w:cs="Arial"/>
                <w:b/>
                <w:color w:val="000000" w:themeColor="text1"/>
                <w:sz w:val="24"/>
                <w:szCs w:val="24"/>
              </w:rPr>
              <w:t>Total</w:t>
            </w:r>
            <w:r w:rsidRPr="00ED31F4">
              <w:rPr>
                <w:rFonts w:ascii="Garamond" w:eastAsia="Arial" w:hAnsi="Garamond" w:cs="Arial"/>
                <w:b/>
                <w:color w:val="000000" w:themeColor="text1"/>
                <w:sz w:val="24"/>
                <w:szCs w:val="24"/>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16495EE2" w14:textId="77777777" w:rsidR="00ED31F4" w:rsidRPr="00ED31F4" w:rsidRDefault="00ED31F4" w:rsidP="00ED31F4">
            <w:pPr>
              <w:autoSpaceDE w:val="0"/>
              <w:adjustRightInd w:val="0"/>
              <w:spacing w:after="0"/>
              <w:jc w:val="both"/>
              <w:rPr>
                <w:rFonts w:ascii="Garamond" w:eastAsia="Arial" w:hAnsi="Garamond" w:cs="Arial"/>
                <w:b/>
                <w:color w:val="000000" w:themeColor="text1"/>
                <w:sz w:val="24"/>
                <w:szCs w:val="24"/>
              </w:rPr>
            </w:pPr>
            <w:r w:rsidRPr="00ED31F4">
              <w:rPr>
                <w:rFonts w:ascii="Garamond" w:hAnsi="Garamond" w:cs="Arial"/>
                <w:b/>
                <w:color w:val="000000" w:themeColor="text1"/>
                <w:sz w:val="24"/>
                <w:szCs w:val="24"/>
              </w:rPr>
              <w:t>200</w:t>
            </w:r>
          </w:p>
        </w:tc>
      </w:tr>
    </w:tbl>
    <w:p w14:paraId="341831F6" w14:textId="77777777" w:rsidR="00ED31F4" w:rsidRPr="00ED31F4" w:rsidRDefault="00ED31F4" w:rsidP="00ED31F4">
      <w:pPr>
        <w:spacing w:after="0"/>
        <w:jc w:val="both"/>
        <w:rPr>
          <w:rFonts w:ascii="Garamond" w:eastAsiaTheme="minorEastAsia" w:hAnsi="Garamond" w:cs="Arial"/>
          <w:sz w:val="24"/>
          <w:szCs w:val="24"/>
        </w:rPr>
      </w:pPr>
    </w:p>
    <w:p w14:paraId="1F416BDB"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Organización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tiene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asignación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puntaje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fórmula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medida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pesos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constituye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multiplicador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demás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factores.</w:t>
      </w:r>
    </w:p>
    <w:p w14:paraId="2BD380F5" w14:textId="77777777" w:rsidR="00ED31F4" w:rsidRPr="00ED31F4" w:rsidRDefault="00ED31F4" w:rsidP="00ED31F4">
      <w:pPr>
        <w:spacing w:after="0"/>
        <w:jc w:val="both"/>
        <w:rPr>
          <w:rFonts w:ascii="Garamond" w:eastAsia="Arial," w:hAnsi="Garamond" w:cs="Arial"/>
          <w:color w:val="000000" w:themeColor="text1"/>
          <w:sz w:val="24"/>
          <w:szCs w:val="24"/>
        </w:rPr>
      </w:pPr>
    </w:p>
    <w:p w14:paraId="6C070D05"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cálculo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procede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como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sigue:</w:t>
      </w:r>
      <w:r w:rsidRPr="00ED31F4">
        <w:rPr>
          <w:rFonts w:ascii="Garamond" w:eastAsia="Arial," w:hAnsi="Garamond" w:cs="Arial"/>
          <w:color w:val="000000" w:themeColor="text1"/>
          <w:sz w:val="24"/>
          <w:szCs w:val="24"/>
        </w:rPr>
        <w:t xml:space="preserve"> </w:t>
      </w:r>
    </w:p>
    <w:p w14:paraId="658B66BC" w14:textId="77777777" w:rsidR="00ED31F4" w:rsidRPr="00ED31F4" w:rsidRDefault="00ED31F4" w:rsidP="00ED31F4">
      <w:pPr>
        <w:spacing w:after="0"/>
        <w:jc w:val="both"/>
        <w:rPr>
          <w:rFonts w:ascii="Garamond" w:eastAsia="Arial," w:hAnsi="Garamond" w:cs="Arial"/>
          <w:color w:val="000000" w:themeColor="text1"/>
          <w:sz w:val="24"/>
          <w:szCs w:val="24"/>
        </w:rPr>
      </w:pPr>
    </w:p>
    <w:p w14:paraId="2FF1261F" w14:textId="79BA0E19" w:rsidR="00ED31F4" w:rsidRPr="00ED31F4" w:rsidRDefault="00ED31F4" w:rsidP="003A1825">
      <w:pPr>
        <w:pStyle w:val="Prrafodelista"/>
        <w:numPr>
          <w:ilvl w:val="0"/>
          <w:numId w:val="35"/>
        </w:numPr>
        <w:spacing w:after="0" w:line="240" w:lineRule="auto"/>
        <w:jc w:val="both"/>
        <w:rPr>
          <w:rFonts w:ascii="Garamond" w:eastAsia="Arial," w:hAnsi="Garamond" w:cs="Arial"/>
          <w:b/>
          <w:color w:val="000000" w:themeColor="text1"/>
          <w:sz w:val="24"/>
          <w:szCs w:val="24"/>
        </w:rPr>
      </w:pPr>
      <w:r w:rsidRPr="00ED31F4">
        <w:rPr>
          <w:rFonts w:ascii="Garamond" w:eastAsia="Arial" w:hAnsi="Garamond" w:cs="Arial"/>
          <w:b/>
          <w:color w:val="000000" w:themeColor="text1"/>
          <w:sz w:val="24"/>
          <w:szCs w:val="24"/>
        </w:rPr>
        <w:t>Capacidad</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de</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organización</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(CO):</w:t>
      </w:r>
    </w:p>
    <w:p w14:paraId="71BBCCBD" w14:textId="77777777" w:rsidR="00ED31F4" w:rsidRPr="00ED31F4" w:rsidRDefault="00ED31F4" w:rsidP="00ED31F4">
      <w:pPr>
        <w:pStyle w:val="Prrafodelista"/>
        <w:spacing w:after="0" w:line="240" w:lineRule="auto"/>
        <w:jc w:val="both"/>
        <w:rPr>
          <w:rFonts w:ascii="Garamond" w:eastAsia="Arial," w:hAnsi="Garamond" w:cs="Arial"/>
          <w:b/>
          <w:color w:val="000000" w:themeColor="text1"/>
          <w:sz w:val="24"/>
          <w:szCs w:val="24"/>
        </w:rPr>
      </w:pPr>
    </w:p>
    <w:p w14:paraId="51503559"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corresponde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Ingresos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Operacionales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teniendo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cuenta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p>
    <w:p w14:paraId="0D1B791E" w14:textId="77777777" w:rsidR="00ED31F4" w:rsidRPr="00ED31F4" w:rsidRDefault="00ED31F4" w:rsidP="00ED31F4">
      <w:pPr>
        <w:spacing w:after="0"/>
        <w:jc w:val="both"/>
        <w:rPr>
          <w:rFonts w:ascii="Garamond" w:eastAsia="Arial," w:hAnsi="Garamond" w:cs="Arial"/>
          <w:color w:val="000000" w:themeColor="text1"/>
          <w:sz w:val="24"/>
          <w:szCs w:val="24"/>
        </w:rPr>
      </w:pPr>
    </w:p>
    <w:tbl>
      <w:tblPr>
        <w:tblW w:w="0" w:type="auto"/>
        <w:jc w:val="center"/>
        <w:tblLayout w:type="fixed"/>
        <w:tblLook w:val="04A0" w:firstRow="1" w:lastRow="0" w:firstColumn="1" w:lastColumn="0" w:noHBand="0" w:noVBand="1"/>
      </w:tblPr>
      <w:tblGrid>
        <w:gridCol w:w="2630"/>
        <w:gridCol w:w="5305"/>
      </w:tblGrid>
      <w:tr w:rsidR="00ED31F4" w:rsidRPr="00ED31F4" w14:paraId="3CFE0707" w14:textId="77777777" w:rsidTr="00B01719">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20228F2"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Años</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de</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información</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financiera</w:t>
            </w:r>
            <w:r w:rsidRPr="00ED31F4">
              <w:rPr>
                <w:rFonts w:ascii="Garamond" w:eastAsia="Arial" w:hAnsi="Garamond" w:cs="Arial"/>
                <w:b/>
                <w:color w:val="FFFFFF" w:themeColor="background1"/>
                <w:sz w:val="24"/>
                <w:szCs w:val="24"/>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7E9BCD4"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Capacidad</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de</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organización</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(CO)</w:t>
            </w:r>
            <w:r w:rsidRPr="00ED31F4">
              <w:rPr>
                <w:rFonts w:ascii="Garamond" w:eastAsia="Arial" w:hAnsi="Garamond" w:cs="Arial"/>
                <w:b/>
                <w:color w:val="FFFFFF" w:themeColor="background1"/>
                <w:sz w:val="24"/>
                <w:szCs w:val="24"/>
              </w:rPr>
              <w:t xml:space="preserve"> </w:t>
            </w:r>
          </w:p>
        </w:tc>
      </w:tr>
      <w:tr w:rsidR="00ED31F4" w:rsidRPr="00ED31F4" w14:paraId="1534B632" w14:textId="77777777" w:rsidTr="00B01719">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860749A"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Cinco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(5)</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276628B7"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Mayor</w:t>
            </w:r>
            <w:r w:rsidRPr="00ED31F4">
              <w:rPr>
                <w:rFonts w:ascii="Garamond" w:eastAsia="Arial" w:hAnsi="Garamond" w:cs="Arial"/>
                <w:color w:val="000000" w:themeColor="text1"/>
                <w:sz w:val="24"/>
                <w:szCs w:val="24"/>
              </w:rPr>
              <w:t xml:space="preserve"> i</w:t>
            </w:r>
            <w:r w:rsidRPr="00ED31F4">
              <w:rPr>
                <w:rFonts w:ascii="Garamond" w:hAnsi="Garamond" w:cs="Arial"/>
                <w:color w:val="000000" w:themeColor="text1"/>
                <w:sz w:val="24"/>
                <w:szCs w:val="24"/>
              </w:rPr>
              <w:t>ngreso</w:t>
            </w:r>
            <w:r w:rsidRPr="00ED31F4">
              <w:rPr>
                <w:rFonts w:ascii="Garamond" w:eastAsia="Arial" w:hAnsi="Garamond" w:cs="Arial"/>
                <w:color w:val="000000" w:themeColor="text1"/>
                <w:sz w:val="24"/>
                <w:szCs w:val="24"/>
              </w:rPr>
              <w:t xml:space="preserve"> o</w:t>
            </w:r>
            <w:r w:rsidRPr="00ED31F4">
              <w:rPr>
                <w:rFonts w:ascii="Garamond" w:hAnsi="Garamond" w:cs="Arial"/>
                <w:color w:val="000000" w:themeColor="text1"/>
                <w:sz w:val="24"/>
                <w:szCs w:val="24"/>
              </w:rPr>
              <w:t>peracional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últimos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5</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años</w:t>
            </w:r>
          </w:p>
        </w:tc>
      </w:tr>
      <w:tr w:rsidR="00ED31F4" w:rsidRPr="00ED31F4" w14:paraId="40FE71E9" w14:textId="77777777" w:rsidTr="00B01719">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223E5B1B"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Entre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(1)</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cinco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(5)</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D39E476"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Mayor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ingreso</w:t>
            </w:r>
            <w:r w:rsidRPr="00ED31F4">
              <w:rPr>
                <w:rFonts w:ascii="Garamond" w:eastAsia="Arial" w:hAnsi="Garamond" w:cs="Arial"/>
                <w:color w:val="000000" w:themeColor="text1"/>
                <w:sz w:val="24"/>
                <w:szCs w:val="24"/>
              </w:rPr>
              <w:t xml:space="preserve"> o</w:t>
            </w:r>
            <w:r w:rsidRPr="00ED31F4">
              <w:rPr>
                <w:rFonts w:ascii="Garamond" w:hAnsi="Garamond" w:cs="Arial"/>
                <w:color w:val="000000" w:themeColor="text1"/>
                <w:sz w:val="24"/>
                <w:szCs w:val="24"/>
              </w:rPr>
              <w:t>peracional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 xml:space="preserve">los años de existencia del Proponente. </w:t>
            </w:r>
          </w:p>
        </w:tc>
      </w:tr>
      <w:tr w:rsidR="00ED31F4" w:rsidRPr="00ED31F4" w14:paraId="5E1E1C84" w14:textId="77777777" w:rsidTr="00B01719">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7C64D8D3"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Menos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(1)</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w:t>
            </w:r>
            <w:r w:rsidRPr="00ED31F4">
              <w:rPr>
                <w:rFonts w:ascii="Garamond" w:eastAsia="Arial" w:hAnsi="Garamond" w:cs="Arial"/>
                <w:color w:val="000000" w:themeColor="text1"/>
                <w:sz w:val="24"/>
                <w:szCs w:val="24"/>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3DF070B"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USD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125.000</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Liquidados a la tasa de cambio determinada por el Ministerio de Comercio, Industria y Turismo cada 2 años para efectos del umbral del beneficio de las Mipyme.</w:t>
            </w:r>
            <w:r w:rsidRPr="00ED31F4">
              <w:rPr>
                <w:rFonts w:ascii="Garamond" w:eastAsia="Arial" w:hAnsi="Garamond" w:cs="Arial"/>
                <w:color w:val="000000" w:themeColor="text1"/>
                <w:sz w:val="24"/>
                <w:szCs w:val="24"/>
              </w:rPr>
              <w:t>)</w:t>
            </w:r>
          </w:p>
        </w:tc>
      </w:tr>
    </w:tbl>
    <w:p w14:paraId="4438E6E5" w14:textId="77777777" w:rsidR="00ED31F4" w:rsidRPr="00ED31F4" w:rsidRDefault="00ED31F4" w:rsidP="00ED31F4">
      <w:pPr>
        <w:spacing w:after="0"/>
        <w:jc w:val="both"/>
        <w:rPr>
          <w:rFonts w:ascii="Garamond" w:eastAsiaTheme="minorEastAsia" w:hAnsi="Garamond" w:cs="Arial"/>
          <w:sz w:val="24"/>
          <w:szCs w:val="24"/>
        </w:rPr>
      </w:pPr>
    </w:p>
    <w:p w14:paraId="55FEAB18"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i</w:t>
      </w:r>
      <w:r w:rsidRPr="00ED31F4">
        <w:rPr>
          <w:rFonts w:ascii="Garamond" w:hAnsi="Garamond" w:cs="Arial"/>
          <w:color w:val="000000" w:themeColor="text1"/>
          <w:sz w:val="24"/>
          <w:szCs w:val="24"/>
        </w:rPr>
        <w:t>ngresos</w:t>
      </w:r>
      <w:r w:rsidRPr="00ED31F4">
        <w:rPr>
          <w:rFonts w:ascii="Garamond" w:eastAsia="Arial," w:hAnsi="Garamond" w:cs="Arial"/>
          <w:color w:val="000000" w:themeColor="text1"/>
          <w:sz w:val="24"/>
          <w:szCs w:val="24"/>
        </w:rPr>
        <w:t xml:space="preserve"> o</w:t>
      </w:r>
      <w:r w:rsidRPr="00ED31F4">
        <w:rPr>
          <w:rFonts w:ascii="Garamond" w:hAnsi="Garamond" w:cs="Arial"/>
          <w:color w:val="000000" w:themeColor="text1"/>
          <w:sz w:val="24"/>
          <w:szCs w:val="24"/>
        </w:rPr>
        <w:t>peracionales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(1)</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más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información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financiera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menor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USD125.000,</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 factor (CO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igual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USD125.000.</w:t>
      </w:r>
    </w:p>
    <w:p w14:paraId="25F691A2" w14:textId="77777777" w:rsidR="00ED31F4" w:rsidRPr="00ED31F4" w:rsidRDefault="00ED31F4" w:rsidP="00ED31F4">
      <w:pPr>
        <w:spacing w:after="0"/>
        <w:jc w:val="both"/>
        <w:rPr>
          <w:rFonts w:ascii="Garamond" w:eastAsia="Arial," w:hAnsi="Garamond" w:cs="Arial"/>
          <w:color w:val="000000" w:themeColor="text1"/>
          <w:sz w:val="24"/>
          <w:szCs w:val="24"/>
        </w:rPr>
      </w:pPr>
    </w:p>
    <w:p w14:paraId="7F3DCC7D"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lastRenderedPageBreak/>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acreditar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obligado a tener RUP </w:t>
      </w:r>
      <w:r w:rsidRPr="00ED31F4">
        <w:rPr>
          <w:rFonts w:ascii="Garamond"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documentos:</w:t>
      </w:r>
      <w:r w:rsidRPr="00ED31F4">
        <w:rPr>
          <w:rFonts w:ascii="Garamond" w:eastAsia="Arial," w:hAnsi="Garamond" w:cs="Arial"/>
          <w:color w:val="000000" w:themeColor="text1"/>
          <w:sz w:val="24"/>
          <w:szCs w:val="24"/>
        </w:rPr>
        <w:t xml:space="preserve"> </w:t>
      </w:r>
    </w:p>
    <w:p w14:paraId="00DAD30C" w14:textId="77777777" w:rsidR="00ED31F4" w:rsidRPr="00ED31F4" w:rsidRDefault="00ED31F4" w:rsidP="00ED31F4">
      <w:pPr>
        <w:spacing w:after="0"/>
        <w:jc w:val="both"/>
        <w:rPr>
          <w:rFonts w:ascii="Garamond" w:eastAsia="Arial," w:hAnsi="Garamond" w:cs="Arial"/>
          <w:color w:val="000000" w:themeColor="text1"/>
          <w:sz w:val="24"/>
          <w:szCs w:val="24"/>
        </w:rPr>
      </w:pPr>
    </w:p>
    <w:p w14:paraId="65DF1BBE" w14:textId="77777777" w:rsidR="00ED31F4" w:rsidRPr="00ED31F4" w:rsidRDefault="00ED31F4" w:rsidP="003A1825">
      <w:pPr>
        <w:pStyle w:val="Prrafodelista"/>
        <w:numPr>
          <w:ilvl w:val="0"/>
          <w:numId w:val="36"/>
        </w:numPr>
        <w:spacing w:after="0" w:line="240" w:lineRule="auto"/>
        <w:ind w:left="714" w:hanging="357"/>
        <w:contextualSpacing w:val="0"/>
        <w:jc w:val="both"/>
        <w:rPr>
          <w:rFonts w:ascii="Garamond" w:eastAsia="Arial," w:hAnsi="Garamond" w:cs="Arial"/>
          <w:color w:val="000000" w:themeColor="text1"/>
          <w:sz w:val="24"/>
          <w:szCs w:val="24"/>
        </w:rPr>
      </w:pPr>
      <w:r w:rsidRPr="00ED31F4">
        <w:rPr>
          <w:rFonts w:ascii="Garamond" w:eastAsia="Arial," w:hAnsi="Garamond" w:cs="Arial"/>
          <w:sz w:val="24"/>
          <w:szCs w:val="24"/>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3B38448E" w14:textId="77777777" w:rsidR="00ED31F4" w:rsidRPr="00ED31F4" w:rsidRDefault="00ED31F4" w:rsidP="003A1825">
      <w:pPr>
        <w:pStyle w:val="Prrafodelista"/>
        <w:numPr>
          <w:ilvl w:val="0"/>
          <w:numId w:val="36"/>
        </w:numPr>
        <w:spacing w:after="0" w:line="240" w:lineRule="auto"/>
        <w:ind w:left="714" w:hanging="357"/>
        <w:contextualSpacing w:val="0"/>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Copia de la tarjeta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profesional y certificado de antecedentes disciplinarios vigentes de los Contadores Públicos, Revisores Fiscales, Contadores independientes (externos), quienes suscribieron los documentos señalados en el presente literal.</w:t>
      </w:r>
    </w:p>
    <w:p w14:paraId="78AADC8A" w14:textId="77777777" w:rsidR="00ED31F4" w:rsidRPr="00ED31F4" w:rsidRDefault="00ED31F4" w:rsidP="00ED31F4">
      <w:pPr>
        <w:spacing w:after="0"/>
        <w:ind w:left="357"/>
        <w:rPr>
          <w:rFonts w:ascii="Garamond" w:eastAsia="Arial," w:hAnsi="Garamond" w:cs="Arial"/>
          <w:color w:val="000000" w:themeColor="text1"/>
          <w:sz w:val="24"/>
          <w:szCs w:val="24"/>
        </w:rPr>
      </w:pPr>
    </w:p>
    <w:p w14:paraId="4DDB9BFC"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roponentes</w:t>
      </w:r>
      <w:r w:rsidRPr="00ED31F4">
        <w:rPr>
          <w:rFonts w:ascii="Garamond" w:eastAsia="Arial," w:hAnsi="Garamond" w:cs="Arial"/>
          <w:color w:val="000000" w:themeColor="text1"/>
          <w:sz w:val="24"/>
          <w:szCs w:val="24"/>
        </w:rPr>
        <w:t xml:space="preserve"> personas naturales o jurídicas extranjeras sin domicilio o </w:t>
      </w:r>
      <w:r w:rsidRPr="00ED31F4">
        <w:rPr>
          <w:rFonts w:ascii="Garamond" w:hAnsi="Garamond" w:cs="Arial"/>
          <w:color w:val="000000" w:themeColor="text1"/>
          <w:sz w:val="24"/>
          <w:szCs w:val="24"/>
        </w:rPr>
        <w:t>sucursal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resultados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integral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consolidado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resultados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pérdida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ganancias)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hayan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obtenido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mayor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ingreso operacional 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últimos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cinco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(5)</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auditado,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firma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quien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encuentre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obligación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hacerlo,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acuerdo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normativa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vigente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país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origen,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moneda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legal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país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emitido,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conformidad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legislación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país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origen.</w:t>
      </w:r>
    </w:p>
    <w:p w14:paraId="7CFBE424" w14:textId="77777777" w:rsidR="00ED31F4" w:rsidRPr="00ED31F4" w:rsidRDefault="00ED31F4" w:rsidP="00ED31F4">
      <w:pPr>
        <w:spacing w:after="0"/>
        <w:jc w:val="both"/>
        <w:rPr>
          <w:rFonts w:ascii="Garamond" w:eastAsia="Arial," w:hAnsi="Garamond" w:cs="Arial"/>
          <w:color w:val="000000" w:themeColor="text1"/>
          <w:sz w:val="24"/>
          <w:szCs w:val="24"/>
        </w:rPr>
      </w:pPr>
    </w:p>
    <w:p w14:paraId="666C31DC" w14:textId="7477678E"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Adicional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anterior,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allegar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traducción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idioma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castellano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información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financiera, observando lo 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valores</w:t>
      </w:r>
      <w:r w:rsidRPr="00ED31F4">
        <w:rPr>
          <w:rFonts w:ascii="Garamond" w:eastAsia="Arial," w:hAnsi="Garamond" w:cs="Arial"/>
          <w:color w:val="000000" w:themeColor="text1"/>
          <w:sz w:val="24"/>
          <w:szCs w:val="24"/>
        </w:rPr>
        <w:t xml:space="preserve"> deben ser </w:t>
      </w:r>
      <w:r w:rsidRPr="00ED31F4">
        <w:rPr>
          <w:rFonts w:ascii="Garamond" w:hAnsi="Garamond" w:cs="Arial"/>
          <w:color w:val="000000" w:themeColor="text1"/>
          <w:sz w:val="24"/>
          <w:szCs w:val="24"/>
        </w:rPr>
        <w:t>expresados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pesos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convertidos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tasa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representativa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mercado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(TRM)</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fecha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corte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mismos,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términos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descritos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sección</w:t>
      </w:r>
      <w:r w:rsidRPr="00ED31F4">
        <w:rPr>
          <w:rFonts w:ascii="Garamond" w:eastAsia="Arial," w:hAnsi="Garamond" w:cs="Arial"/>
          <w:color w:val="000000" w:themeColor="text1"/>
          <w:sz w:val="24"/>
          <w:szCs w:val="24"/>
        </w:rPr>
        <w:t xml:space="preserve"> </w:t>
      </w:r>
      <w:r w:rsidR="009C66AF">
        <w:rPr>
          <w:rFonts w:ascii="Garamond" w:hAnsi="Garamond" w:cs="Arial"/>
          <w:color w:val="000000" w:themeColor="text1"/>
          <w:sz w:val="24"/>
          <w:szCs w:val="24"/>
        </w:rPr>
        <w:t xml:space="preserve">1.13. </w:t>
      </w:r>
      <w:r w:rsidRPr="00ED31F4">
        <w:rPr>
          <w:rFonts w:ascii="Garamond" w:hAnsi="Garamond" w:cs="Arial"/>
          <w:color w:val="000000" w:themeColor="text1"/>
          <w:sz w:val="24"/>
          <w:szCs w:val="24"/>
        </w:rPr>
        <w:t>presente</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liego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C</w:t>
      </w:r>
      <w:r w:rsidRPr="00ED31F4">
        <w:rPr>
          <w:rFonts w:ascii="Garamond" w:hAnsi="Garamond" w:cs="Arial"/>
          <w:color w:val="000000" w:themeColor="text1"/>
          <w:sz w:val="24"/>
          <w:szCs w:val="24"/>
        </w:rPr>
        <w:t>ondiciones;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acuerdo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las normas NIIF</w:t>
      </w:r>
      <w:r w:rsidRPr="00ED31F4">
        <w:rPr>
          <w:rFonts w:ascii="Garamond" w:hAnsi="Garamond" w:cs="Arial"/>
          <w:color w:val="000000" w:themeColor="text1"/>
          <w:sz w:val="24"/>
          <w:szCs w:val="24"/>
        </w:rPr>
        <w:t>;</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iii)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debidamente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firmados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Contador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Público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hubiere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convertido.</w:t>
      </w:r>
    </w:p>
    <w:p w14:paraId="5FC1BDA1" w14:textId="77777777" w:rsidR="00ED31F4" w:rsidRPr="00ED31F4" w:rsidRDefault="00ED31F4" w:rsidP="00ED31F4">
      <w:pPr>
        <w:spacing w:after="0"/>
        <w:jc w:val="both"/>
        <w:rPr>
          <w:rFonts w:ascii="Garamond" w:eastAsia="Arial," w:hAnsi="Garamond" w:cs="Arial"/>
          <w:color w:val="000000" w:themeColor="text1"/>
          <w:sz w:val="24"/>
          <w:szCs w:val="24"/>
        </w:rPr>
      </w:pPr>
    </w:p>
    <w:p w14:paraId="2694BB3B"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32DF95EF" w14:textId="77777777" w:rsidR="00ED31F4" w:rsidRPr="00ED31F4" w:rsidRDefault="00ED31F4" w:rsidP="00ED31F4">
      <w:pPr>
        <w:spacing w:after="0"/>
        <w:jc w:val="both"/>
        <w:rPr>
          <w:rFonts w:ascii="Garamond" w:eastAsia="Arial," w:hAnsi="Garamond" w:cs="Arial"/>
          <w:color w:val="000000" w:themeColor="text1"/>
          <w:sz w:val="24"/>
          <w:szCs w:val="24"/>
        </w:rPr>
      </w:pPr>
    </w:p>
    <w:p w14:paraId="4687C0F3" w14:textId="6CE3B5F4" w:rsidR="00ED31F4" w:rsidRPr="00ED31F4" w:rsidRDefault="00ED31F4" w:rsidP="003A1825">
      <w:pPr>
        <w:pStyle w:val="Prrafodelista"/>
        <w:numPr>
          <w:ilvl w:val="0"/>
          <w:numId w:val="35"/>
        </w:numPr>
        <w:spacing w:after="0" w:line="240" w:lineRule="auto"/>
        <w:jc w:val="both"/>
        <w:rPr>
          <w:rFonts w:ascii="Garamond" w:eastAsia="Arial," w:hAnsi="Garamond" w:cs="Arial"/>
          <w:b/>
          <w:color w:val="000000" w:themeColor="text1"/>
          <w:sz w:val="24"/>
          <w:szCs w:val="24"/>
        </w:rPr>
      </w:pPr>
      <w:bookmarkStart w:id="56" w:name="_Hlk511047457"/>
      <w:r w:rsidRPr="00ED31F4">
        <w:rPr>
          <w:rFonts w:ascii="Garamond" w:eastAsia="Arial" w:hAnsi="Garamond" w:cs="Arial"/>
          <w:b/>
          <w:color w:val="000000" w:themeColor="text1"/>
          <w:sz w:val="24"/>
          <w:szCs w:val="24"/>
        </w:rPr>
        <w:t>Experiencia</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(E):</w:t>
      </w:r>
    </w:p>
    <w:p w14:paraId="76C83584" w14:textId="77777777" w:rsidR="00ED31F4" w:rsidRPr="00ED31F4" w:rsidRDefault="00ED31F4" w:rsidP="00ED31F4">
      <w:pPr>
        <w:pStyle w:val="Prrafodelista"/>
        <w:spacing w:after="0" w:line="240" w:lineRule="auto"/>
        <w:jc w:val="both"/>
        <w:rPr>
          <w:rFonts w:ascii="Garamond" w:eastAsia="Arial," w:hAnsi="Garamond" w:cs="Arial"/>
          <w:b/>
          <w:color w:val="000000" w:themeColor="text1"/>
          <w:sz w:val="24"/>
          <w:szCs w:val="24"/>
        </w:rPr>
      </w:pPr>
    </w:p>
    <w:p w14:paraId="6101FCEC" w14:textId="0AD3BE02"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propósitos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acreditado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medio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relación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entre: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valor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total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pesos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contratos relacionados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actividad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construcción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inscritos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RUP,</w:t>
      </w:r>
      <w:r w:rsidRPr="00ED31F4">
        <w:rPr>
          <w:rFonts w:ascii="Garamond" w:eastAsia="Arial," w:hAnsi="Garamond" w:cs="Arial"/>
          <w:color w:val="000000" w:themeColor="text1"/>
          <w:sz w:val="24"/>
          <w:szCs w:val="24"/>
        </w:rPr>
        <w:t xml:space="preserve"> </w:t>
      </w:r>
      <w:r w:rsidR="009C66AF">
        <w:rPr>
          <w:rFonts w:ascii="Garamond" w:eastAsia="Arial," w:hAnsi="Garamond" w:cs="Arial"/>
          <w:color w:val="000000" w:themeColor="text1"/>
          <w:sz w:val="24"/>
          <w:szCs w:val="24"/>
        </w:rPr>
        <w:t xml:space="preserve">o </w:t>
      </w:r>
      <w:r w:rsidR="009C66AF" w:rsidRPr="009C66AF">
        <w:rPr>
          <w:rFonts w:ascii="Garamond" w:hAnsi="Garamond" w:cs="Arial"/>
          <w:color w:val="000000" w:themeColor="text1"/>
          <w:sz w:val="24"/>
          <w:szCs w:val="24"/>
        </w:rPr>
        <w:t>Formato 5- Capacidad 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segmento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72</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“Servicios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Edificación,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Construcción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Instalaciones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Mantenimiento”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Clasificador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Bienes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Servicios;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presupuesto</w:t>
      </w:r>
      <w:r w:rsidRPr="00ED31F4">
        <w:rPr>
          <w:rFonts w:ascii="Garamond" w:eastAsia="Arial," w:hAnsi="Garamond" w:cs="Arial"/>
          <w:color w:val="000000" w:themeColor="text1"/>
          <w:sz w:val="24"/>
          <w:szCs w:val="24"/>
        </w:rPr>
        <w:t xml:space="preserve"> o</w:t>
      </w:r>
      <w:r w:rsidRPr="00ED31F4">
        <w:rPr>
          <w:rFonts w:ascii="Garamond" w:hAnsi="Garamond" w:cs="Arial"/>
          <w:color w:val="000000" w:themeColor="text1"/>
          <w:sz w:val="24"/>
          <w:szCs w:val="24"/>
        </w:rPr>
        <w:t>ficial</w:t>
      </w:r>
      <w:r w:rsidRPr="00ED31F4">
        <w:rPr>
          <w:rFonts w:ascii="Garamond" w:eastAsia="Arial," w:hAnsi="Garamond" w:cs="Arial"/>
          <w:color w:val="000000" w:themeColor="text1"/>
          <w:sz w:val="24"/>
          <w:szCs w:val="24"/>
        </w:rPr>
        <w:t xml:space="preserve"> e</w:t>
      </w:r>
      <w:r w:rsidRPr="00ED31F4">
        <w:rPr>
          <w:rFonts w:ascii="Garamond" w:hAnsi="Garamond" w:cs="Arial"/>
          <w:color w:val="000000" w:themeColor="text1"/>
          <w:sz w:val="24"/>
          <w:szCs w:val="24"/>
        </w:rPr>
        <w:t>stimado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roceso de Contratación.</w:t>
      </w:r>
    </w:p>
    <w:p w14:paraId="2450D0FD" w14:textId="77777777" w:rsidR="00ED31F4" w:rsidRPr="00ED31F4" w:rsidRDefault="00ED31F4" w:rsidP="00ED31F4">
      <w:pPr>
        <w:spacing w:after="0"/>
        <w:jc w:val="both"/>
        <w:rPr>
          <w:rFonts w:ascii="Garamond" w:eastAsia="Arial," w:hAnsi="Garamond" w:cs="Arial"/>
          <w:color w:val="000000" w:themeColor="text1"/>
          <w:sz w:val="24"/>
          <w:szCs w:val="24"/>
        </w:rPr>
      </w:pPr>
    </w:p>
    <w:p w14:paraId="4B6E38ED"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relación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indica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número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veces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ejecutado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equivalentes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cuantía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roceso de Contratación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objeto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acreditación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 Proponentes individuales se expresa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así:</w:t>
      </w:r>
    </w:p>
    <w:p w14:paraId="5E8AACB8" w14:textId="77777777" w:rsidR="00ED31F4" w:rsidRPr="00ED31F4" w:rsidRDefault="00ED31F4" w:rsidP="00ED31F4">
      <w:pPr>
        <w:spacing w:after="0"/>
        <w:jc w:val="both"/>
        <w:rPr>
          <w:rFonts w:ascii="Garamond" w:eastAsia="Arial," w:hAnsi="Garamond" w:cs="Arial"/>
          <w:color w:val="000000" w:themeColor="text1"/>
          <w:sz w:val="24"/>
          <w:szCs w:val="24"/>
        </w:rPr>
      </w:pPr>
    </w:p>
    <w:p w14:paraId="0910F9C5" w14:textId="77777777" w:rsidR="00ED31F4" w:rsidRPr="00ED31F4" w:rsidRDefault="00ED31F4" w:rsidP="00ED31F4">
      <w:pPr>
        <w:spacing w:after="0"/>
        <w:jc w:val="both"/>
        <w:rPr>
          <w:rFonts w:ascii="Garamond" w:eastAsiaTheme="minorEastAsia" w:hAnsi="Garamond" w:cs="Arial"/>
          <w:color w:val="000000" w:themeColor="text1"/>
          <w:sz w:val="24"/>
          <w:szCs w:val="24"/>
        </w:rPr>
      </w:pPr>
      <m:oMathPara>
        <m:oMath>
          <m:r>
            <m:rPr>
              <m:sty m:val="p"/>
            </m:rPr>
            <w:rPr>
              <w:rFonts w:ascii="Cambria Math" w:eastAsiaTheme="minorEastAsia" w:hAnsi="Cambria Math" w:cs="Arial"/>
              <w:color w:val="000000" w:themeColor="text1"/>
              <w:sz w:val="24"/>
              <w:szCs w:val="24"/>
            </w:rPr>
            <m:t>E=</m:t>
          </m:r>
          <m:f>
            <m:fPr>
              <m:ctrlPr>
                <w:rPr>
                  <w:rFonts w:ascii="Cambria Math" w:hAnsi="Cambria Math" w:cs="Arial"/>
                  <w:color w:val="000000" w:themeColor="text1"/>
                  <w:sz w:val="24"/>
                  <w:szCs w:val="24"/>
                </w:rPr>
              </m:ctrlPr>
            </m:fPr>
            <m:num>
              <m:r>
                <m:rPr>
                  <m:sty m:val="p"/>
                </m:rPr>
                <w:rPr>
                  <w:rFonts w:ascii="Cambria Math" w:hAnsi="Cambria Math" w:cs="Arial"/>
                  <w:color w:val="000000" w:themeColor="text1"/>
                  <w:sz w:val="24"/>
                  <w:szCs w:val="24"/>
                </w:rPr>
                <m:t xml:space="preserve">Valor total de los contratos </m:t>
              </m:r>
              <m:d>
                <m:dPr>
                  <m:ctrlPr>
                    <w:rPr>
                      <w:rFonts w:ascii="Cambria Math" w:hAnsi="Cambria Math" w:cs="Arial"/>
                      <w:color w:val="000000" w:themeColor="text1"/>
                      <w:sz w:val="24"/>
                      <w:szCs w:val="24"/>
                    </w:rPr>
                  </m:ctrlPr>
                </m:dPr>
                <m:e>
                  <m:r>
                    <m:rPr>
                      <m:sty m:val="p"/>
                    </m:rPr>
                    <w:rPr>
                      <w:rFonts w:ascii="Cambria Math" w:hAnsi="Cambria Math" w:cs="Arial"/>
                      <w:color w:val="000000" w:themeColor="text1"/>
                      <w:sz w:val="24"/>
                      <w:szCs w:val="24"/>
                    </w:rPr>
                    <m:t>COP</m:t>
                  </m:r>
                </m:e>
              </m:d>
            </m:num>
            <m:den>
              <m:r>
                <m:rPr>
                  <m:sty m:val="p"/>
                </m:rPr>
                <w:rPr>
                  <w:rFonts w:ascii="Cambria Math" w:hAnsi="Cambria Math" w:cs="Arial"/>
                  <w:color w:val="000000" w:themeColor="text1"/>
                  <w:sz w:val="24"/>
                  <w:szCs w:val="24"/>
                </w:rPr>
                <m:t xml:space="preserve">Presupuesto total estimado </m:t>
              </m:r>
              <m:d>
                <m:dPr>
                  <m:ctrlPr>
                    <w:rPr>
                      <w:rFonts w:ascii="Cambria Math" w:hAnsi="Cambria Math" w:cs="Arial"/>
                      <w:color w:val="000000" w:themeColor="text1"/>
                      <w:sz w:val="24"/>
                      <w:szCs w:val="24"/>
                    </w:rPr>
                  </m:ctrlPr>
                </m:dPr>
                <m:e>
                  <m:r>
                    <m:rPr>
                      <m:sty m:val="p"/>
                    </m:rPr>
                    <w:rPr>
                      <w:rFonts w:ascii="Cambria Math" w:hAnsi="Cambria Math" w:cs="Arial"/>
                      <w:color w:val="000000" w:themeColor="text1"/>
                      <w:sz w:val="24"/>
                      <w:szCs w:val="24"/>
                    </w:rPr>
                    <m:t>COP</m:t>
                  </m:r>
                </m:e>
              </m:d>
            </m:den>
          </m:f>
        </m:oMath>
      </m:oMathPara>
    </w:p>
    <w:p w14:paraId="6B4AB5C2" w14:textId="77777777" w:rsidR="00ED31F4" w:rsidRPr="00ED31F4" w:rsidRDefault="00ED31F4" w:rsidP="00ED31F4">
      <w:pPr>
        <w:spacing w:after="0"/>
        <w:jc w:val="both"/>
        <w:rPr>
          <w:rFonts w:ascii="Garamond" w:hAnsi="Garamond" w:cs="Arial"/>
          <w:color w:val="000000" w:themeColor="text1"/>
          <w:sz w:val="24"/>
          <w:szCs w:val="24"/>
        </w:rPr>
      </w:pPr>
    </w:p>
    <w:p w14:paraId="2C2BC059"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Para el caso de Proponentes Plurales</w:t>
      </w:r>
      <w:r w:rsidRPr="00ED31F4">
        <w:rPr>
          <w:rFonts w:ascii="Garamond" w:eastAsia="Arial," w:hAnsi="Garamond" w:cs="Arial"/>
          <w:color w:val="000000" w:themeColor="text1"/>
          <w:sz w:val="24"/>
          <w:szCs w:val="24"/>
        </w:rPr>
        <w:t>,</w:t>
      </w:r>
      <w:r w:rsidRPr="00ED31F4">
        <w:rPr>
          <w:rFonts w:ascii="Garamond" w:hAnsi="Garamond" w:cs="Arial"/>
          <w:color w:val="000000" w:themeColor="text1"/>
          <w:sz w:val="24"/>
          <w:szCs w:val="24"/>
        </w:rPr>
        <w:t xml:space="preserve"> el factor (E) de un miembro se calcula así: </w:t>
      </w:r>
    </w:p>
    <w:p w14:paraId="257EED53" w14:textId="77777777" w:rsidR="00ED31F4" w:rsidRPr="00ED31F4" w:rsidRDefault="00ED31F4" w:rsidP="00ED31F4">
      <w:pPr>
        <w:spacing w:after="0"/>
        <w:jc w:val="both"/>
        <w:rPr>
          <w:rFonts w:ascii="Garamond" w:eastAsia="Arial," w:hAnsi="Garamond" w:cs="Arial"/>
          <w:color w:val="000000" w:themeColor="text1"/>
          <w:sz w:val="24"/>
          <w:szCs w:val="24"/>
        </w:rPr>
      </w:pPr>
    </w:p>
    <w:p w14:paraId="11635E93" w14:textId="77777777" w:rsidR="00ED31F4" w:rsidRPr="00ED31F4" w:rsidRDefault="00ED31F4" w:rsidP="00ED31F4">
      <w:pPr>
        <w:spacing w:after="0"/>
        <w:jc w:val="both"/>
        <w:rPr>
          <w:rFonts w:ascii="Garamond" w:eastAsiaTheme="minorEastAsia" w:hAnsi="Garamond" w:cs="Arial"/>
          <w:color w:val="000000" w:themeColor="text1"/>
          <w:sz w:val="24"/>
          <w:szCs w:val="24"/>
        </w:rPr>
      </w:pPr>
      <m:oMathPara>
        <m:oMath>
          <m:r>
            <m:rPr>
              <m:sty m:val="p"/>
            </m:rPr>
            <w:rPr>
              <w:rFonts w:ascii="Cambria Math" w:eastAsiaTheme="minorEastAsia" w:hAnsi="Cambria Math" w:cs="Arial"/>
              <w:color w:val="000000" w:themeColor="text1"/>
              <w:sz w:val="24"/>
              <w:szCs w:val="24"/>
            </w:rPr>
            <m:t>E=</m:t>
          </m:r>
          <m:f>
            <m:fPr>
              <m:ctrlPr>
                <w:rPr>
                  <w:rFonts w:ascii="Cambria Math" w:hAnsi="Cambria Math" w:cs="Arial"/>
                  <w:color w:val="000000" w:themeColor="text1"/>
                  <w:sz w:val="24"/>
                  <w:szCs w:val="24"/>
                </w:rPr>
              </m:ctrlPr>
            </m:fPr>
            <m:num>
              <m:r>
                <m:rPr>
                  <m:sty m:val="p"/>
                </m:rPr>
                <w:rPr>
                  <w:rFonts w:ascii="Cambria Math" w:hAnsi="Cambria Math" w:cs="Arial"/>
                  <w:color w:val="000000" w:themeColor="text1"/>
                  <w:sz w:val="24"/>
                  <w:szCs w:val="24"/>
                </w:rPr>
                <m:t>Valor total de los contratos (COP)</m:t>
              </m:r>
            </m:num>
            <m:den>
              <m:r>
                <m:rPr>
                  <m:sty m:val="p"/>
                </m:rPr>
                <w:rPr>
                  <w:rFonts w:ascii="Cambria Math" w:hAnsi="Cambria Math" w:cs="Arial"/>
                  <w:color w:val="000000" w:themeColor="text1"/>
                  <w:sz w:val="24"/>
                  <w:szCs w:val="24"/>
                </w:rPr>
                <m:t>(Presupuesto total estimado *% de participación)</m:t>
              </m:r>
            </m:den>
          </m:f>
        </m:oMath>
      </m:oMathPara>
    </w:p>
    <w:p w14:paraId="2C2FE394" w14:textId="77777777" w:rsidR="00ED31F4" w:rsidRPr="00ED31F4" w:rsidRDefault="00ED31F4" w:rsidP="00ED31F4">
      <w:pPr>
        <w:tabs>
          <w:tab w:val="left" w:pos="2697"/>
        </w:tabs>
        <w:spacing w:after="0"/>
        <w:jc w:val="both"/>
        <w:rPr>
          <w:rFonts w:ascii="Garamond" w:hAnsi="Garamond" w:cs="Arial"/>
          <w:color w:val="000000" w:themeColor="text1"/>
          <w:sz w:val="24"/>
          <w:szCs w:val="24"/>
        </w:rPr>
      </w:pPr>
    </w:p>
    <w:p w14:paraId="443A64C1" w14:textId="77777777" w:rsidR="00ED31F4" w:rsidRPr="00ED31F4" w:rsidRDefault="00ED31F4" w:rsidP="00ED31F4">
      <w:pPr>
        <w:tabs>
          <w:tab w:val="left" w:pos="2697"/>
        </w:tabs>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cálculo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efectos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miembro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lural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tener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cuenta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participación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Proceso de Contratación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objeto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cálculo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plural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hay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lugar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porcentaje.</w:t>
      </w:r>
    </w:p>
    <w:p w14:paraId="0F381E9A" w14:textId="77777777" w:rsidR="00ED31F4" w:rsidRPr="00ED31F4" w:rsidRDefault="00ED31F4" w:rsidP="00ED31F4">
      <w:pPr>
        <w:tabs>
          <w:tab w:val="left" w:pos="2697"/>
        </w:tabs>
        <w:spacing w:after="0"/>
        <w:jc w:val="both"/>
        <w:rPr>
          <w:rFonts w:ascii="Garamond" w:eastAsia="Arial," w:hAnsi="Garamond" w:cs="Arial"/>
          <w:color w:val="000000" w:themeColor="text1"/>
          <w:sz w:val="24"/>
          <w:szCs w:val="24"/>
        </w:rPr>
      </w:pPr>
    </w:p>
    <w:p w14:paraId="76FAAF4B"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puntaje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asignado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será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asignado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base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tabla:</w:t>
      </w:r>
    </w:p>
    <w:p w14:paraId="0A23B6AD" w14:textId="77777777" w:rsidR="00ED31F4" w:rsidRPr="00ED31F4" w:rsidRDefault="00ED31F4" w:rsidP="00ED31F4">
      <w:pPr>
        <w:spacing w:after="0"/>
        <w:jc w:val="both"/>
        <w:rPr>
          <w:rFonts w:ascii="Garamond" w:eastAsia="Arial," w:hAnsi="Garamond" w:cs="Arial"/>
          <w:color w:val="000000" w:themeColor="text1"/>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046"/>
        <w:gridCol w:w="1816"/>
        <w:gridCol w:w="994"/>
      </w:tblGrid>
      <w:tr w:rsidR="00ED31F4" w:rsidRPr="00ED31F4" w14:paraId="7B7AAAD9" w14:textId="77777777" w:rsidTr="00B01719">
        <w:trPr>
          <w:trHeight w:val="340"/>
          <w:tblHeader/>
          <w:jc w:val="center"/>
        </w:trPr>
        <w:tc>
          <w:tcPr>
            <w:tcW w:w="0" w:type="auto"/>
            <w:shd w:val="clear" w:color="auto" w:fill="404040" w:themeFill="text1" w:themeFillTint="BF"/>
            <w:vAlign w:val="center"/>
            <w:hideMark/>
          </w:tcPr>
          <w:p w14:paraId="1723CA04"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Mayor</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a</w:t>
            </w:r>
          </w:p>
        </w:tc>
        <w:tc>
          <w:tcPr>
            <w:tcW w:w="0" w:type="auto"/>
            <w:shd w:val="clear" w:color="auto" w:fill="404040" w:themeFill="text1" w:themeFillTint="BF"/>
            <w:vAlign w:val="center"/>
            <w:hideMark/>
          </w:tcPr>
          <w:p w14:paraId="5309B3A6"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Menor</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o</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igual</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a</w:t>
            </w:r>
          </w:p>
        </w:tc>
        <w:tc>
          <w:tcPr>
            <w:tcW w:w="0" w:type="auto"/>
            <w:shd w:val="clear" w:color="auto" w:fill="404040" w:themeFill="text1" w:themeFillTint="BF"/>
            <w:vAlign w:val="center"/>
            <w:hideMark/>
          </w:tcPr>
          <w:p w14:paraId="363DC9FC"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Puntaje</w:t>
            </w:r>
          </w:p>
        </w:tc>
      </w:tr>
      <w:tr w:rsidR="00ED31F4" w:rsidRPr="00ED31F4" w14:paraId="67EE311B" w14:textId="77777777" w:rsidTr="00B01719">
        <w:trPr>
          <w:trHeight w:val="391"/>
          <w:jc w:val="center"/>
        </w:trPr>
        <w:tc>
          <w:tcPr>
            <w:tcW w:w="0" w:type="auto"/>
            <w:vAlign w:val="center"/>
            <w:hideMark/>
          </w:tcPr>
          <w:p w14:paraId="2BF95306"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0</w:t>
            </w:r>
          </w:p>
        </w:tc>
        <w:tc>
          <w:tcPr>
            <w:tcW w:w="0" w:type="auto"/>
            <w:vAlign w:val="center"/>
            <w:hideMark/>
          </w:tcPr>
          <w:p w14:paraId="16F2E154"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3</w:t>
            </w:r>
          </w:p>
        </w:tc>
        <w:tc>
          <w:tcPr>
            <w:tcW w:w="0" w:type="auto"/>
            <w:vAlign w:val="center"/>
            <w:hideMark/>
          </w:tcPr>
          <w:p w14:paraId="7EBB0650"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60</w:t>
            </w:r>
          </w:p>
        </w:tc>
      </w:tr>
      <w:tr w:rsidR="00ED31F4" w:rsidRPr="00ED31F4" w14:paraId="3FFBEC46" w14:textId="77777777" w:rsidTr="00B01719">
        <w:trPr>
          <w:trHeight w:val="241"/>
          <w:jc w:val="center"/>
        </w:trPr>
        <w:tc>
          <w:tcPr>
            <w:tcW w:w="0" w:type="auto"/>
            <w:vAlign w:val="center"/>
            <w:hideMark/>
          </w:tcPr>
          <w:p w14:paraId="37DED75D"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3</w:t>
            </w:r>
          </w:p>
        </w:tc>
        <w:tc>
          <w:tcPr>
            <w:tcW w:w="0" w:type="auto"/>
            <w:vAlign w:val="center"/>
            <w:hideMark/>
          </w:tcPr>
          <w:p w14:paraId="7AF8DC9B"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6</w:t>
            </w:r>
          </w:p>
        </w:tc>
        <w:tc>
          <w:tcPr>
            <w:tcW w:w="0" w:type="auto"/>
            <w:vAlign w:val="center"/>
            <w:hideMark/>
          </w:tcPr>
          <w:p w14:paraId="38340DA3"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80</w:t>
            </w:r>
          </w:p>
        </w:tc>
      </w:tr>
      <w:tr w:rsidR="00ED31F4" w:rsidRPr="00ED31F4" w14:paraId="43F7E2B6" w14:textId="77777777" w:rsidTr="00B01719">
        <w:trPr>
          <w:trHeight w:val="245"/>
          <w:jc w:val="center"/>
        </w:trPr>
        <w:tc>
          <w:tcPr>
            <w:tcW w:w="0" w:type="auto"/>
            <w:vAlign w:val="center"/>
            <w:hideMark/>
          </w:tcPr>
          <w:p w14:paraId="3EA40CE6"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6</w:t>
            </w:r>
          </w:p>
        </w:tc>
        <w:tc>
          <w:tcPr>
            <w:tcW w:w="0" w:type="auto"/>
            <w:vAlign w:val="center"/>
            <w:hideMark/>
          </w:tcPr>
          <w:p w14:paraId="368FBABB"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10</w:t>
            </w:r>
          </w:p>
        </w:tc>
        <w:tc>
          <w:tcPr>
            <w:tcW w:w="0" w:type="auto"/>
            <w:vAlign w:val="center"/>
            <w:hideMark/>
          </w:tcPr>
          <w:p w14:paraId="42FB7658"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100</w:t>
            </w:r>
          </w:p>
        </w:tc>
      </w:tr>
      <w:tr w:rsidR="00ED31F4" w:rsidRPr="00ED31F4" w14:paraId="62A3A29A" w14:textId="77777777" w:rsidTr="00B01719">
        <w:trPr>
          <w:trHeight w:val="245"/>
          <w:jc w:val="center"/>
        </w:trPr>
        <w:tc>
          <w:tcPr>
            <w:tcW w:w="0" w:type="auto"/>
            <w:vAlign w:val="center"/>
            <w:hideMark/>
          </w:tcPr>
          <w:p w14:paraId="17C14AAB"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10</w:t>
            </w:r>
          </w:p>
        </w:tc>
        <w:tc>
          <w:tcPr>
            <w:tcW w:w="0" w:type="auto"/>
            <w:vAlign w:val="center"/>
            <w:hideMark/>
          </w:tcPr>
          <w:p w14:paraId="6D5A40D5"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Mayores</w:t>
            </w:r>
          </w:p>
        </w:tc>
        <w:tc>
          <w:tcPr>
            <w:tcW w:w="0" w:type="auto"/>
            <w:vAlign w:val="center"/>
            <w:hideMark/>
          </w:tcPr>
          <w:p w14:paraId="3A762CDB"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120</w:t>
            </w:r>
          </w:p>
        </w:tc>
      </w:tr>
    </w:tbl>
    <w:p w14:paraId="3AA1CE01" w14:textId="77777777" w:rsidR="00ED31F4" w:rsidRPr="00ED31F4" w:rsidRDefault="00ED31F4" w:rsidP="00ED31F4">
      <w:pPr>
        <w:spacing w:after="0"/>
        <w:jc w:val="both"/>
        <w:rPr>
          <w:rFonts w:ascii="Garamond" w:eastAsiaTheme="minorEastAsia" w:hAnsi="Garamond" w:cs="Arial"/>
          <w:sz w:val="24"/>
          <w:szCs w:val="24"/>
        </w:rPr>
      </w:pPr>
    </w:p>
    <w:p w14:paraId="6C68D0F4" w14:textId="5DB44E36"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acreditar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diligenciar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006F0C06" w:rsidRPr="006F0C06">
        <w:rPr>
          <w:rFonts w:ascii="Garamond" w:hAnsi="Garamond" w:cs="Arial"/>
          <w:color w:val="000000" w:themeColor="text1"/>
          <w:sz w:val="24"/>
          <w:szCs w:val="24"/>
        </w:rPr>
        <w:t xml:space="preserve">Formato 5 – Capacidad residual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contiene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inscritos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segmento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72</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valor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total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pesos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liquidados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SMMLV.</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Así</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mismo,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resupuesto</w:t>
      </w:r>
      <w:r w:rsidRPr="00ED31F4">
        <w:rPr>
          <w:rFonts w:ascii="Garamond" w:eastAsia="Arial," w:hAnsi="Garamond" w:cs="Arial"/>
          <w:color w:val="000000" w:themeColor="text1"/>
          <w:sz w:val="24"/>
          <w:szCs w:val="24"/>
        </w:rPr>
        <w:t xml:space="preserve"> o</w:t>
      </w:r>
      <w:r w:rsidRPr="00ED31F4">
        <w:rPr>
          <w:rFonts w:ascii="Garamond" w:hAnsi="Garamond" w:cs="Arial"/>
          <w:color w:val="000000" w:themeColor="text1"/>
          <w:sz w:val="24"/>
          <w:szCs w:val="24"/>
        </w:rPr>
        <w:t>ficial</w:t>
      </w:r>
      <w:r w:rsidRPr="00ED31F4">
        <w:rPr>
          <w:rFonts w:ascii="Garamond" w:eastAsia="Arial," w:hAnsi="Garamond" w:cs="Arial"/>
          <w:color w:val="000000" w:themeColor="text1"/>
          <w:sz w:val="24"/>
          <w:szCs w:val="24"/>
        </w:rPr>
        <w:t xml:space="preserve"> e</w:t>
      </w:r>
      <w:r w:rsidRPr="00ED31F4">
        <w:rPr>
          <w:rFonts w:ascii="Garamond" w:hAnsi="Garamond" w:cs="Arial"/>
          <w:color w:val="000000" w:themeColor="text1"/>
          <w:sz w:val="24"/>
          <w:szCs w:val="24"/>
        </w:rPr>
        <w:t>stimado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liquidado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SMMLV</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publicación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liego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 Condiciones definitivo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roceso de Contratación.</w:t>
      </w:r>
    </w:p>
    <w:p w14:paraId="0C25239E" w14:textId="77777777" w:rsidR="00ED31F4" w:rsidRPr="00ED31F4" w:rsidRDefault="00ED31F4" w:rsidP="00ED31F4">
      <w:pPr>
        <w:spacing w:after="0"/>
        <w:jc w:val="both"/>
        <w:rPr>
          <w:rFonts w:ascii="Garamond" w:eastAsia="Arial," w:hAnsi="Garamond" w:cs="Arial"/>
          <w:color w:val="000000" w:themeColor="text1"/>
          <w:sz w:val="24"/>
          <w:szCs w:val="24"/>
        </w:rPr>
      </w:pPr>
    </w:p>
    <w:p w14:paraId="07D42B5C" w14:textId="1F89CFC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integrantes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extranjeros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domicilio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sucursal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adicionalmente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aportar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copia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ejecutados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certificaciones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terceros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hubieran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recibido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servicios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construcción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obras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civiles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terceros,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bien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sean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públicos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privados.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información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soportados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certificaciones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terceros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hubieren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recibido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servicios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construcción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obras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civiles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 contener como mínimo los Contratos relacionados por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006F0C06">
        <w:rPr>
          <w:rFonts w:ascii="Garamond" w:hAnsi="Garamond" w:cs="Arial"/>
          <w:color w:val="000000" w:themeColor="text1"/>
          <w:sz w:val="24"/>
          <w:szCs w:val="24"/>
        </w:rPr>
        <w:t xml:space="preserve"> el</w:t>
      </w:r>
      <w:r w:rsidRPr="00ED31F4">
        <w:rPr>
          <w:rFonts w:ascii="Garamond" w:eastAsia="Arial," w:hAnsi="Garamond" w:cs="Arial"/>
          <w:color w:val="000000" w:themeColor="text1"/>
          <w:sz w:val="24"/>
          <w:szCs w:val="24"/>
        </w:rPr>
        <w:t xml:space="preserve"> </w:t>
      </w:r>
      <w:r w:rsidR="006F0C06" w:rsidRPr="006F0C06">
        <w:rPr>
          <w:rFonts w:ascii="Garamond" w:hAnsi="Garamond" w:cs="Arial"/>
          <w:color w:val="000000" w:themeColor="text1"/>
          <w:sz w:val="24"/>
          <w:szCs w:val="24"/>
        </w:rPr>
        <w:t>Formato 5 – Capacidad residual</w:t>
      </w:r>
      <w:r w:rsidRPr="00ED31F4">
        <w:rPr>
          <w:rFonts w:ascii="Garamond" w:eastAsia="Arial," w:hAnsi="Garamond" w:cs="Arial"/>
          <w:color w:val="000000" w:themeColor="text1"/>
          <w:sz w:val="24"/>
          <w:szCs w:val="24"/>
        </w:rPr>
        <w:t>.</w:t>
      </w:r>
      <w:r w:rsidRPr="00ED31F4">
        <w:rPr>
          <w:rFonts w:ascii="Garamond" w:hAnsi="Garamond" w:cs="Arial"/>
          <w:color w:val="000000" w:themeColor="text1"/>
          <w:sz w:val="24"/>
          <w:szCs w:val="24"/>
        </w:rPr>
        <w:t xml:space="preserve"> La información del </w:t>
      </w:r>
      <w:r w:rsidR="006F0C06" w:rsidRPr="006F0C06">
        <w:rPr>
          <w:rFonts w:ascii="Garamond" w:hAnsi="Garamond" w:cs="Arial"/>
          <w:color w:val="000000" w:themeColor="text1"/>
          <w:sz w:val="24"/>
          <w:szCs w:val="24"/>
        </w:rPr>
        <w:t xml:space="preserve">Formato 5 – Capacidad residual </w:t>
      </w:r>
      <w:r w:rsidRPr="00ED31F4">
        <w:rPr>
          <w:rFonts w:ascii="Garamond" w:hAnsi="Garamond" w:cs="Arial"/>
          <w:color w:val="000000" w:themeColor="text1"/>
          <w:sz w:val="24"/>
          <w:szCs w:val="24"/>
        </w:rPr>
        <w:t>deberá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presentada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pesos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salvo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donde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registre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valor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moneda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país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origen. Cuando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valor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esté</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expresado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monedas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extranjeras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deberá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convertirse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pesos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términos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 xml:space="preserve">indicados en el numeral 1.13 </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presente</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liego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c</w:t>
      </w:r>
      <w:r w:rsidRPr="00ED31F4">
        <w:rPr>
          <w:rFonts w:ascii="Garamond" w:hAnsi="Garamond" w:cs="Arial"/>
          <w:color w:val="000000" w:themeColor="text1"/>
          <w:sz w:val="24"/>
          <w:szCs w:val="24"/>
        </w:rPr>
        <w:t>ondiciones.</w:t>
      </w:r>
      <w:r w:rsidRPr="00ED31F4">
        <w:rPr>
          <w:rFonts w:ascii="Garamond" w:eastAsia="Arial," w:hAnsi="Garamond" w:cs="Arial"/>
          <w:color w:val="000000" w:themeColor="text1"/>
          <w:sz w:val="24"/>
          <w:szCs w:val="24"/>
        </w:rPr>
        <w:t xml:space="preserve"> </w:t>
      </w:r>
    </w:p>
    <w:p w14:paraId="71901C6B" w14:textId="77777777" w:rsidR="00ED31F4" w:rsidRPr="00ED31F4" w:rsidRDefault="00ED31F4" w:rsidP="00ED31F4">
      <w:pPr>
        <w:spacing w:after="0"/>
        <w:jc w:val="both"/>
        <w:rPr>
          <w:rFonts w:ascii="Garamond" w:eastAsia="Arial," w:hAnsi="Garamond" w:cs="Arial"/>
          <w:color w:val="000000" w:themeColor="text1"/>
          <w:sz w:val="24"/>
          <w:szCs w:val="24"/>
        </w:rPr>
      </w:pPr>
    </w:p>
    <w:bookmarkEnd w:id="56"/>
    <w:p w14:paraId="409F3752" w14:textId="77777777" w:rsidR="00ED31F4" w:rsidRPr="00ED31F4" w:rsidRDefault="00ED31F4" w:rsidP="003A1825">
      <w:pPr>
        <w:pStyle w:val="Prrafodelista"/>
        <w:numPr>
          <w:ilvl w:val="0"/>
          <w:numId w:val="35"/>
        </w:numPr>
        <w:spacing w:after="0" w:line="240" w:lineRule="auto"/>
        <w:jc w:val="both"/>
        <w:rPr>
          <w:rFonts w:ascii="Garamond" w:eastAsia="Arial," w:hAnsi="Garamond" w:cs="Arial"/>
          <w:b/>
          <w:color w:val="000000" w:themeColor="text1"/>
          <w:sz w:val="24"/>
          <w:szCs w:val="24"/>
        </w:rPr>
      </w:pPr>
      <w:r w:rsidRPr="00ED31F4">
        <w:rPr>
          <w:rFonts w:ascii="Garamond" w:eastAsia="Arial" w:hAnsi="Garamond" w:cs="Arial"/>
          <w:b/>
          <w:color w:val="000000" w:themeColor="text1"/>
          <w:sz w:val="24"/>
          <w:szCs w:val="24"/>
        </w:rPr>
        <w:t>Capacidad</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financiera</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(CF):</w:t>
      </w:r>
      <w:r w:rsidRPr="00ED31F4">
        <w:rPr>
          <w:rFonts w:ascii="Garamond" w:eastAsia="Arial," w:hAnsi="Garamond" w:cs="Arial"/>
          <w:b/>
          <w:color w:val="000000" w:themeColor="text1"/>
          <w:sz w:val="24"/>
          <w:szCs w:val="24"/>
        </w:rPr>
        <w:t xml:space="preserve"> </w:t>
      </w:r>
    </w:p>
    <w:p w14:paraId="371A27C5"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(CF)</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propósitos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obtiene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teniendo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cuenta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índice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liquidez</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base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fórmula:</w:t>
      </w:r>
    </w:p>
    <w:p w14:paraId="01748863" w14:textId="77777777" w:rsidR="00ED31F4" w:rsidRPr="00ED31F4" w:rsidRDefault="00ED31F4" w:rsidP="00ED31F4">
      <w:pPr>
        <w:spacing w:after="0"/>
        <w:jc w:val="both"/>
        <w:rPr>
          <w:rFonts w:ascii="Garamond" w:eastAsia="Arial" w:hAnsi="Garamond" w:cs="Arial"/>
          <w:color w:val="000000" w:themeColor="text1"/>
          <w:sz w:val="24"/>
          <w:szCs w:val="24"/>
        </w:rPr>
      </w:pPr>
    </w:p>
    <w:p w14:paraId="6EA0ECF1" w14:textId="77777777" w:rsidR="00ED31F4" w:rsidRPr="00ED31F4" w:rsidRDefault="00ED31F4" w:rsidP="00ED31F4">
      <w:pPr>
        <w:spacing w:after="0"/>
        <w:jc w:val="both"/>
        <w:rPr>
          <w:rFonts w:ascii="Garamond" w:eastAsia="Arial," w:hAnsi="Garamond" w:cs="Arial"/>
          <w:bCs/>
          <w:color w:val="000000" w:themeColor="text1"/>
          <w:sz w:val="24"/>
          <w:szCs w:val="24"/>
        </w:rPr>
      </w:pPr>
      <w:r w:rsidRPr="00ED31F4">
        <w:rPr>
          <w:rFonts w:ascii="Garamond" w:hAnsi="Garamond" w:cs="Arial"/>
          <w:color w:val="000000" w:themeColor="text1"/>
          <w:sz w:val="24"/>
          <w:szCs w:val="24"/>
        </w:rPr>
        <w:t>Índice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liquidez</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w:t>
      </w:r>
      <w:r w:rsidRPr="00ED31F4">
        <w:rPr>
          <w:rFonts w:ascii="Garamond" w:eastAsia="Arial," w:hAnsi="Garamond" w:cs="Arial"/>
          <w:color w:val="000000" w:themeColor="text1"/>
          <w:sz w:val="24"/>
          <w:szCs w:val="24"/>
        </w:rPr>
        <w:t xml:space="preserve"> </w:t>
      </w:r>
      <m:oMath>
        <m:f>
          <m:fPr>
            <m:ctrlPr>
              <w:rPr>
                <w:rFonts w:ascii="Cambria Math" w:eastAsiaTheme="minorEastAsia" w:hAnsi="Cambria Math" w:cs="Arial"/>
                <w:bCs/>
                <w:color w:val="000000" w:themeColor="text1"/>
                <w:sz w:val="24"/>
                <w:szCs w:val="24"/>
              </w:rPr>
            </m:ctrlPr>
          </m:fPr>
          <m:num>
            <m:r>
              <m:rPr>
                <m:sty m:val="p"/>
              </m:rPr>
              <w:rPr>
                <w:rFonts w:ascii="Cambria Math" w:eastAsiaTheme="minorEastAsia" w:hAnsi="Cambria Math" w:cs="Arial"/>
                <w:color w:val="000000" w:themeColor="text1"/>
                <w:sz w:val="24"/>
                <w:szCs w:val="24"/>
              </w:rPr>
              <m:t>Activo Corriente</m:t>
            </m:r>
          </m:num>
          <m:den>
            <m:r>
              <m:rPr>
                <m:sty m:val="p"/>
              </m:rPr>
              <w:rPr>
                <w:rFonts w:ascii="Cambria Math" w:eastAsiaTheme="minorEastAsia" w:hAnsi="Cambria Math" w:cs="Arial"/>
                <w:color w:val="000000" w:themeColor="text1"/>
                <w:sz w:val="24"/>
                <w:szCs w:val="24"/>
              </w:rPr>
              <m:t>Pasivo Corriente</m:t>
            </m:r>
          </m:den>
        </m:f>
      </m:oMath>
    </w:p>
    <w:p w14:paraId="2EAED57C" w14:textId="77777777" w:rsidR="00ED31F4" w:rsidRPr="00ED31F4" w:rsidRDefault="00ED31F4" w:rsidP="00ED31F4">
      <w:pPr>
        <w:spacing w:after="0"/>
        <w:jc w:val="both"/>
        <w:rPr>
          <w:rFonts w:ascii="Garamond" w:eastAsia="Arial," w:hAnsi="Garamond" w:cs="Arial"/>
          <w:color w:val="000000" w:themeColor="text1"/>
          <w:sz w:val="24"/>
          <w:szCs w:val="24"/>
        </w:rPr>
      </w:pPr>
    </w:p>
    <w:p w14:paraId="0440C5B3"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puntaje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liquidez</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asignar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base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tabla:</w:t>
      </w:r>
    </w:p>
    <w:p w14:paraId="43ED1ABA" w14:textId="77777777" w:rsidR="00ED31F4" w:rsidRPr="00ED31F4" w:rsidRDefault="00ED31F4" w:rsidP="00ED31F4">
      <w:pPr>
        <w:spacing w:after="0"/>
        <w:jc w:val="both"/>
        <w:rPr>
          <w:rFonts w:ascii="Garamond" w:hAnsi="Garamond" w:cs="Arial"/>
          <w:color w:val="000000" w:themeColor="text1"/>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ED31F4" w:rsidRPr="00ED31F4" w14:paraId="5EFD92E1" w14:textId="77777777" w:rsidTr="00B01719">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A271BF9"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Mayor</w:t>
            </w:r>
            <w:r w:rsidRPr="00ED31F4">
              <w:rPr>
                <w:rFonts w:ascii="Garamond" w:eastAsia="Arial" w:hAnsi="Garamond" w:cs="Arial"/>
                <w:b/>
                <w:color w:val="FFFFFF" w:themeColor="background1"/>
                <w:sz w:val="24"/>
                <w:szCs w:val="24"/>
              </w:rPr>
              <w:t xml:space="preserve"> o igual </w:t>
            </w:r>
            <w:r w:rsidRPr="00ED31F4">
              <w:rPr>
                <w:rFonts w:ascii="Garamond" w:hAnsi="Garamond" w:cs="Arial"/>
                <w:b/>
                <w:color w:val="FFFFFF" w:themeColor="background1"/>
                <w:sz w:val="24"/>
                <w:szCs w:val="24"/>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9690775"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Menor</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o</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igual</w:t>
            </w:r>
            <w:r w:rsidRPr="00ED31F4">
              <w:rPr>
                <w:rFonts w:ascii="Garamond" w:eastAsia="Arial" w:hAnsi="Garamond" w:cs="Arial"/>
                <w:b/>
                <w:color w:val="FFFFFF" w:themeColor="background1"/>
                <w:sz w:val="24"/>
                <w:szCs w:val="24"/>
              </w:rPr>
              <w:t xml:space="preserve"> </w:t>
            </w:r>
            <w:r w:rsidRPr="00ED31F4">
              <w:rPr>
                <w:rFonts w:ascii="Garamond" w:hAnsi="Garamond" w:cs="Arial"/>
                <w:b/>
                <w:color w:val="FFFFFF" w:themeColor="background1"/>
                <w:sz w:val="24"/>
                <w:szCs w:val="24"/>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D4FF1D6" w14:textId="77777777" w:rsidR="00ED31F4" w:rsidRPr="00ED31F4" w:rsidRDefault="00ED31F4" w:rsidP="00ED31F4">
            <w:pPr>
              <w:autoSpaceDE w:val="0"/>
              <w:adjustRightInd w:val="0"/>
              <w:spacing w:after="0"/>
              <w:jc w:val="both"/>
              <w:rPr>
                <w:rFonts w:ascii="Garamond" w:eastAsia="Arial" w:hAnsi="Garamond" w:cs="Arial"/>
                <w:b/>
                <w:color w:val="FFFFFF" w:themeColor="background1"/>
                <w:sz w:val="24"/>
                <w:szCs w:val="24"/>
              </w:rPr>
            </w:pPr>
            <w:r w:rsidRPr="00ED31F4">
              <w:rPr>
                <w:rFonts w:ascii="Garamond" w:hAnsi="Garamond" w:cs="Arial"/>
                <w:b/>
                <w:color w:val="FFFFFF" w:themeColor="background1"/>
                <w:sz w:val="24"/>
                <w:szCs w:val="24"/>
              </w:rPr>
              <w:t>Puntaje</w:t>
            </w:r>
          </w:p>
        </w:tc>
      </w:tr>
      <w:tr w:rsidR="00ED31F4" w:rsidRPr="00ED31F4" w14:paraId="146EFDDD" w14:textId="77777777" w:rsidTr="00B017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0F8B068"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946A7D"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C5F5AF"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20</w:t>
            </w:r>
          </w:p>
        </w:tc>
      </w:tr>
      <w:tr w:rsidR="00ED31F4" w:rsidRPr="00ED31F4" w14:paraId="675D70AB" w14:textId="77777777" w:rsidTr="00B017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10DBF1C"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695504"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EF24A3"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25</w:t>
            </w:r>
          </w:p>
        </w:tc>
      </w:tr>
      <w:tr w:rsidR="00ED31F4" w:rsidRPr="00ED31F4" w14:paraId="05D72530" w14:textId="77777777" w:rsidTr="00B017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6B8447D"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282641"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D508A52"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30</w:t>
            </w:r>
          </w:p>
        </w:tc>
      </w:tr>
      <w:tr w:rsidR="00ED31F4" w:rsidRPr="00ED31F4" w14:paraId="68ABA770" w14:textId="77777777" w:rsidTr="00B017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9BA5B29"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47FAA0"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D66B7F2"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35</w:t>
            </w:r>
          </w:p>
        </w:tc>
      </w:tr>
      <w:tr w:rsidR="00ED31F4" w:rsidRPr="00ED31F4" w14:paraId="45F2DFCA" w14:textId="77777777" w:rsidTr="00B017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C435C84"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40EBD9"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8A4D100" w14:textId="77777777" w:rsidR="00ED31F4" w:rsidRPr="00ED31F4" w:rsidRDefault="00ED31F4" w:rsidP="00ED31F4">
            <w:pPr>
              <w:autoSpaceDE w:val="0"/>
              <w:adjustRightInd w:val="0"/>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40</w:t>
            </w:r>
          </w:p>
        </w:tc>
      </w:tr>
      <w:tr w:rsidR="00ED31F4" w:rsidRPr="00ED31F4" w14:paraId="20BC6953" w14:textId="77777777" w:rsidTr="00B01719">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1802CB7" w14:textId="77777777" w:rsidR="00ED31F4" w:rsidRPr="00ED31F4" w:rsidRDefault="00ED31F4" w:rsidP="00ED31F4">
            <w:pPr>
              <w:autoSpaceDE w:val="0"/>
              <w:adjustRightInd w:val="0"/>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D402445" w14:textId="77777777" w:rsidR="00ED31F4" w:rsidRPr="00ED31F4" w:rsidRDefault="00ED31F4" w:rsidP="00ED31F4">
            <w:pPr>
              <w:autoSpaceDE w:val="0"/>
              <w:adjustRightInd w:val="0"/>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40</w:t>
            </w:r>
          </w:p>
        </w:tc>
      </w:tr>
    </w:tbl>
    <w:p w14:paraId="77214B2C" w14:textId="77777777" w:rsidR="00ED31F4" w:rsidRPr="00ED31F4" w:rsidRDefault="00ED31F4" w:rsidP="00ED31F4">
      <w:pPr>
        <w:spacing w:after="0"/>
        <w:jc w:val="both"/>
        <w:rPr>
          <w:rFonts w:ascii="Garamond" w:eastAsiaTheme="minorEastAsia" w:hAnsi="Garamond" w:cs="Arial"/>
          <w:sz w:val="24"/>
          <w:szCs w:val="24"/>
        </w:rPr>
      </w:pPr>
    </w:p>
    <w:p w14:paraId="534DD5C3"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índice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liquidez</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verifica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RUP</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tiene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antigüedad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suficiente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tener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estados</w:t>
      </w:r>
      <w:r w:rsidRPr="00ED31F4">
        <w:rPr>
          <w:rFonts w:ascii="Garamond" w:eastAsia="Arial," w:hAnsi="Garamond" w:cs="Arial"/>
          <w:color w:val="000000" w:themeColor="text1"/>
          <w:sz w:val="24"/>
          <w:szCs w:val="24"/>
        </w:rPr>
        <w:t xml:space="preserve"> f</w:t>
      </w:r>
      <w:r w:rsidRPr="00ED31F4">
        <w:rPr>
          <w:rFonts w:ascii="Garamond" w:hAnsi="Garamond" w:cs="Arial"/>
          <w:color w:val="000000" w:themeColor="text1"/>
          <w:sz w:val="24"/>
          <w:szCs w:val="24"/>
        </w:rPr>
        <w:t>inancieros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auditados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31</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diciembre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inmediatamente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anterior,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tenerse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cuenta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e</w:t>
      </w:r>
      <w:r w:rsidRPr="00ED31F4">
        <w:rPr>
          <w:rFonts w:ascii="Garamond" w:hAnsi="Garamond" w:cs="Arial"/>
          <w:color w:val="000000" w:themeColor="text1"/>
          <w:sz w:val="24"/>
          <w:szCs w:val="24"/>
        </w:rPr>
        <w:t>stados financieros 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corte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trimestral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apertura,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suscritos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r</w:t>
      </w:r>
      <w:r w:rsidRPr="00ED31F4">
        <w:rPr>
          <w:rFonts w:ascii="Garamond" w:hAnsi="Garamond" w:cs="Arial"/>
          <w:color w:val="000000" w:themeColor="text1"/>
          <w:sz w:val="24"/>
          <w:szCs w:val="24"/>
        </w:rPr>
        <w:t>epresentante legal 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a</w:t>
      </w:r>
      <w:r w:rsidRPr="00ED31F4">
        <w:rPr>
          <w:rFonts w:ascii="Garamond" w:hAnsi="Garamond" w:cs="Arial"/>
          <w:color w:val="000000" w:themeColor="text1"/>
          <w:sz w:val="24"/>
          <w:szCs w:val="24"/>
        </w:rPr>
        <w:t>uditor</w:t>
      </w:r>
      <w:r w:rsidRPr="00ED31F4">
        <w:rPr>
          <w:rFonts w:ascii="Garamond" w:eastAsia="Arial," w:hAnsi="Garamond" w:cs="Arial"/>
          <w:color w:val="000000" w:themeColor="text1"/>
          <w:sz w:val="24"/>
          <w:szCs w:val="24"/>
        </w:rPr>
        <w:t>.</w:t>
      </w:r>
    </w:p>
    <w:p w14:paraId="6C0E8090" w14:textId="77777777" w:rsidR="00ED31F4" w:rsidRPr="00ED31F4" w:rsidRDefault="00ED31F4" w:rsidP="00ED31F4">
      <w:pPr>
        <w:spacing w:after="0"/>
        <w:jc w:val="both"/>
        <w:rPr>
          <w:rFonts w:ascii="Garamond" w:eastAsia="Arial," w:hAnsi="Garamond" w:cs="Arial"/>
          <w:color w:val="000000" w:themeColor="text1"/>
          <w:sz w:val="24"/>
          <w:szCs w:val="24"/>
        </w:rPr>
      </w:pPr>
    </w:p>
    <w:p w14:paraId="036715A5"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Pr</w:t>
      </w:r>
      <w:r w:rsidRPr="00ED31F4">
        <w:rPr>
          <w:rFonts w:ascii="Garamond" w:hAnsi="Garamond" w:cs="Arial"/>
          <w:color w:val="000000" w:themeColor="text1"/>
          <w:sz w:val="24"/>
          <w:szCs w:val="24"/>
        </w:rPr>
        <w:t>oponentes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integrantes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extranjeros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domicilio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 sucursal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información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requerida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(CF)</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exigido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cálculo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contemplada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numeral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requisitos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financiera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Pliego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C</w:t>
      </w:r>
      <w:r w:rsidRPr="00ED31F4">
        <w:rPr>
          <w:rFonts w:ascii="Garamond" w:hAnsi="Garamond" w:cs="Arial"/>
          <w:color w:val="000000" w:themeColor="text1"/>
          <w:sz w:val="24"/>
          <w:szCs w:val="24"/>
        </w:rPr>
        <w:t>ondiciones.</w:t>
      </w:r>
    </w:p>
    <w:p w14:paraId="24B5FBD6" w14:textId="77777777" w:rsidR="00ED31F4" w:rsidRPr="00ED31F4" w:rsidRDefault="00ED31F4" w:rsidP="00ED31F4">
      <w:pPr>
        <w:spacing w:after="0"/>
        <w:jc w:val="both"/>
        <w:rPr>
          <w:rFonts w:ascii="Garamond" w:hAnsi="Garamond" w:cs="Arial"/>
          <w:color w:val="000000" w:themeColor="text1"/>
          <w:sz w:val="24"/>
          <w:szCs w:val="24"/>
        </w:rPr>
      </w:pPr>
    </w:p>
    <w:p w14:paraId="748B109D"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 xml:space="preserve">Cuando el Proponente tiene un pasivo corriente igual a cero (0) y por consiguiente su índice de liquidez sea indeterminado, la Entidad debe otorgar el mayor puntaje en el componente de capacidad financiera (CF). </w:t>
      </w:r>
    </w:p>
    <w:p w14:paraId="16094901" w14:textId="77777777" w:rsidR="00ED31F4" w:rsidRPr="00ED31F4" w:rsidRDefault="00ED31F4" w:rsidP="00ED31F4">
      <w:pPr>
        <w:pStyle w:val="Standard"/>
        <w:jc w:val="both"/>
        <w:rPr>
          <w:rFonts w:ascii="Garamond" w:hAnsi="Garamond" w:cs="Arial"/>
          <w:b/>
          <w:bCs/>
          <w:sz w:val="24"/>
          <w:szCs w:val="24"/>
        </w:rPr>
      </w:pPr>
    </w:p>
    <w:p w14:paraId="7D42697A" w14:textId="6EC7A25A" w:rsidR="00ED31F4" w:rsidRDefault="00ED31F4" w:rsidP="003A1825">
      <w:pPr>
        <w:pStyle w:val="Prrafodelista"/>
        <w:numPr>
          <w:ilvl w:val="0"/>
          <w:numId w:val="35"/>
        </w:numPr>
        <w:spacing w:after="0" w:line="240" w:lineRule="auto"/>
        <w:jc w:val="both"/>
        <w:rPr>
          <w:rFonts w:ascii="Garamond" w:eastAsia="Arial," w:hAnsi="Garamond" w:cs="Arial"/>
          <w:b/>
          <w:color w:val="000000" w:themeColor="text1"/>
          <w:sz w:val="24"/>
          <w:szCs w:val="24"/>
        </w:rPr>
      </w:pPr>
      <w:r w:rsidRPr="00ED31F4">
        <w:rPr>
          <w:rFonts w:ascii="Garamond" w:eastAsia="Arial" w:hAnsi="Garamond" w:cs="Arial"/>
          <w:b/>
          <w:color w:val="000000" w:themeColor="text1"/>
          <w:sz w:val="24"/>
          <w:szCs w:val="24"/>
        </w:rPr>
        <w:t>Capacidad</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Técnica</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(CT):</w:t>
      </w:r>
      <w:r w:rsidRPr="00ED31F4">
        <w:rPr>
          <w:rFonts w:ascii="Garamond" w:eastAsia="Arial," w:hAnsi="Garamond" w:cs="Arial"/>
          <w:b/>
          <w:color w:val="000000" w:themeColor="text1"/>
          <w:sz w:val="24"/>
          <w:szCs w:val="24"/>
        </w:rPr>
        <w:t xml:space="preserve"> </w:t>
      </w:r>
    </w:p>
    <w:p w14:paraId="7BAC515A" w14:textId="77777777" w:rsidR="00ED31F4" w:rsidRPr="00ED31F4" w:rsidRDefault="00ED31F4" w:rsidP="00ED31F4">
      <w:pPr>
        <w:pStyle w:val="Prrafodelista"/>
        <w:spacing w:after="0" w:line="240" w:lineRule="auto"/>
        <w:jc w:val="both"/>
        <w:rPr>
          <w:rFonts w:ascii="Garamond" w:eastAsia="Arial," w:hAnsi="Garamond" w:cs="Arial"/>
          <w:b/>
          <w:color w:val="000000" w:themeColor="text1"/>
          <w:sz w:val="24"/>
          <w:szCs w:val="24"/>
        </w:rPr>
      </w:pPr>
    </w:p>
    <w:p w14:paraId="77D55D69"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(CT)</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propósitos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capacidad</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residual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asigna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teniendo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cuenta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número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socios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profesionales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Arquitectura, Ingeniería 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Geología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vinculados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mediante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relación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laboral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contractual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vigente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conforme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desarrollen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actividades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vinculadas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directamente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construcción.</w:t>
      </w:r>
    </w:p>
    <w:p w14:paraId="4F6D7B28" w14:textId="77777777" w:rsidR="00ED31F4" w:rsidRPr="00ED31F4" w:rsidRDefault="00ED31F4" w:rsidP="00ED31F4">
      <w:pPr>
        <w:spacing w:after="0"/>
        <w:jc w:val="both"/>
        <w:rPr>
          <w:rFonts w:ascii="Garamond" w:eastAsia="Arial," w:hAnsi="Garamond" w:cs="Arial"/>
          <w:color w:val="000000" w:themeColor="text1"/>
          <w:sz w:val="24"/>
          <w:szCs w:val="24"/>
        </w:rPr>
      </w:pPr>
    </w:p>
    <w:p w14:paraId="3346937F" w14:textId="03141A09" w:rsid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acreditar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(CT)</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integrante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nacional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extranjero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sucursal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Colombia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diligenciar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006F0C06" w:rsidRPr="006F0C06">
        <w:rPr>
          <w:rFonts w:ascii="Garamond" w:hAnsi="Garamond" w:cs="Arial"/>
          <w:color w:val="000000" w:themeColor="text1"/>
          <w:sz w:val="24"/>
          <w:szCs w:val="24"/>
        </w:rPr>
        <w:t>Formato 5- Capacidad Residual.</w:t>
      </w:r>
    </w:p>
    <w:p w14:paraId="3537880A" w14:textId="77777777" w:rsidR="006F0C06" w:rsidRPr="00ED31F4" w:rsidRDefault="006F0C06" w:rsidP="00ED31F4">
      <w:pPr>
        <w:spacing w:after="0"/>
        <w:jc w:val="both"/>
        <w:rPr>
          <w:rFonts w:ascii="Garamond" w:eastAsia="Arial," w:hAnsi="Garamond" w:cs="Arial"/>
          <w:color w:val="000000" w:themeColor="text1"/>
          <w:sz w:val="24"/>
          <w:szCs w:val="24"/>
        </w:rPr>
      </w:pPr>
    </w:p>
    <w:p w14:paraId="35952CA7" w14:textId="77777777"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puntaje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(CT)</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asigna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base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tabla:</w:t>
      </w:r>
    </w:p>
    <w:p w14:paraId="36DEE161" w14:textId="77777777" w:rsidR="00ED31F4" w:rsidRPr="00ED31F4" w:rsidRDefault="00ED31F4" w:rsidP="00ED31F4">
      <w:pPr>
        <w:spacing w:after="0"/>
        <w:jc w:val="both"/>
        <w:rPr>
          <w:rFonts w:ascii="Garamond" w:hAnsi="Garamond" w:cs="Arial"/>
          <w:color w:val="000000" w:themeColor="text1"/>
          <w:sz w:val="24"/>
          <w:szCs w:val="24"/>
        </w:rPr>
      </w:pPr>
    </w:p>
    <w:tbl>
      <w:tblPr>
        <w:tblStyle w:val="Tablaconcuadrcula"/>
        <w:tblW w:w="0" w:type="auto"/>
        <w:jc w:val="center"/>
        <w:tblLook w:val="04A0" w:firstRow="1" w:lastRow="0" w:firstColumn="1" w:lastColumn="0" w:noHBand="0" w:noVBand="1"/>
      </w:tblPr>
      <w:tblGrid>
        <w:gridCol w:w="1624"/>
        <w:gridCol w:w="1641"/>
        <w:gridCol w:w="1226"/>
      </w:tblGrid>
      <w:tr w:rsidR="00ED31F4" w:rsidRPr="00ED31F4" w14:paraId="471551D1" w14:textId="77777777" w:rsidTr="00B01719">
        <w:trPr>
          <w:tblHeader/>
          <w:jc w:val="center"/>
        </w:trPr>
        <w:tc>
          <w:tcPr>
            <w:tcW w:w="0" w:type="auto"/>
            <w:shd w:val="clear" w:color="auto" w:fill="282828"/>
          </w:tcPr>
          <w:p w14:paraId="1F79107F" w14:textId="77777777" w:rsidR="00ED31F4" w:rsidRPr="00ED31F4" w:rsidRDefault="00ED31F4" w:rsidP="00ED31F4">
            <w:pPr>
              <w:jc w:val="both"/>
              <w:rPr>
                <w:rFonts w:ascii="Garamond" w:eastAsia="Arial," w:hAnsi="Garamond" w:cs="Arial"/>
                <w:b/>
                <w:bCs/>
                <w:color w:val="AEAAAA" w:themeColor="background2" w:themeShade="BF"/>
                <w:sz w:val="24"/>
                <w:szCs w:val="24"/>
              </w:rPr>
            </w:pPr>
            <w:r w:rsidRPr="00ED31F4">
              <w:rPr>
                <w:rFonts w:ascii="Garamond" w:eastAsia="Arial," w:hAnsi="Garamond" w:cs="Arial"/>
                <w:b/>
                <w:bCs/>
                <w:color w:val="AEAAAA" w:themeColor="background2" w:themeShade="BF"/>
                <w:sz w:val="24"/>
                <w:szCs w:val="24"/>
              </w:rPr>
              <w:t>Mayor o igual</w:t>
            </w:r>
          </w:p>
        </w:tc>
        <w:tc>
          <w:tcPr>
            <w:tcW w:w="0" w:type="auto"/>
            <w:shd w:val="clear" w:color="auto" w:fill="282828"/>
          </w:tcPr>
          <w:p w14:paraId="027A8BD7" w14:textId="77777777" w:rsidR="00ED31F4" w:rsidRPr="00ED31F4" w:rsidRDefault="00ED31F4" w:rsidP="00ED31F4">
            <w:pPr>
              <w:jc w:val="both"/>
              <w:rPr>
                <w:rFonts w:ascii="Garamond" w:eastAsia="Arial," w:hAnsi="Garamond" w:cs="Arial"/>
                <w:b/>
                <w:bCs/>
                <w:color w:val="AEAAAA" w:themeColor="background2" w:themeShade="BF"/>
                <w:sz w:val="24"/>
                <w:szCs w:val="24"/>
              </w:rPr>
            </w:pPr>
            <w:r w:rsidRPr="00ED31F4">
              <w:rPr>
                <w:rFonts w:ascii="Garamond" w:eastAsia="Arial," w:hAnsi="Garamond" w:cs="Arial"/>
                <w:b/>
                <w:bCs/>
                <w:color w:val="AEAAAA" w:themeColor="background2" w:themeShade="BF"/>
                <w:sz w:val="24"/>
                <w:szCs w:val="24"/>
              </w:rPr>
              <w:t>Menor o igual</w:t>
            </w:r>
          </w:p>
        </w:tc>
        <w:tc>
          <w:tcPr>
            <w:tcW w:w="1226" w:type="dxa"/>
            <w:shd w:val="clear" w:color="auto" w:fill="282828"/>
          </w:tcPr>
          <w:p w14:paraId="32537752" w14:textId="77777777" w:rsidR="00ED31F4" w:rsidRPr="00ED31F4" w:rsidRDefault="00ED31F4" w:rsidP="00ED31F4">
            <w:pPr>
              <w:jc w:val="both"/>
              <w:rPr>
                <w:rFonts w:ascii="Garamond" w:eastAsia="Arial," w:hAnsi="Garamond" w:cs="Arial"/>
                <w:b/>
                <w:bCs/>
                <w:color w:val="AEAAAA" w:themeColor="background2" w:themeShade="BF"/>
                <w:sz w:val="24"/>
                <w:szCs w:val="24"/>
              </w:rPr>
            </w:pPr>
            <w:r w:rsidRPr="00ED31F4">
              <w:rPr>
                <w:rFonts w:ascii="Garamond" w:eastAsia="Arial," w:hAnsi="Garamond" w:cs="Arial"/>
                <w:b/>
                <w:bCs/>
                <w:color w:val="AEAAAA" w:themeColor="background2" w:themeShade="BF"/>
                <w:sz w:val="24"/>
                <w:szCs w:val="24"/>
              </w:rPr>
              <w:t>Puntaje</w:t>
            </w:r>
          </w:p>
        </w:tc>
      </w:tr>
      <w:tr w:rsidR="00ED31F4" w:rsidRPr="00ED31F4" w14:paraId="058DA94B" w14:textId="77777777" w:rsidTr="00B01719">
        <w:trPr>
          <w:jc w:val="center"/>
        </w:trPr>
        <w:tc>
          <w:tcPr>
            <w:tcW w:w="0" w:type="auto"/>
          </w:tcPr>
          <w:p w14:paraId="17F0A548"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w:t>
            </w:r>
          </w:p>
        </w:tc>
        <w:tc>
          <w:tcPr>
            <w:tcW w:w="0" w:type="auto"/>
          </w:tcPr>
          <w:p w14:paraId="06017348"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0</w:t>
            </w:r>
          </w:p>
        </w:tc>
        <w:tc>
          <w:tcPr>
            <w:tcW w:w="1226" w:type="dxa"/>
          </w:tcPr>
          <w:p w14:paraId="00B04682"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0</w:t>
            </w:r>
          </w:p>
        </w:tc>
      </w:tr>
      <w:tr w:rsidR="00ED31F4" w:rsidRPr="00ED31F4" w14:paraId="655E8D43" w14:textId="77777777" w:rsidTr="00B01719">
        <w:trPr>
          <w:jc w:val="center"/>
        </w:trPr>
        <w:tc>
          <w:tcPr>
            <w:tcW w:w="0" w:type="auto"/>
          </w:tcPr>
          <w:p w14:paraId="26A46157"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lastRenderedPageBreak/>
              <w:t>1</w:t>
            </w:r>
          </w:p>
        </w:tc>
        <w:tc>
          <w:tcPr>
            <w:tcW w:w="0" w:type="auto"/>
          </w:tcPr>
          <w:p w14:paraId="0B370355"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5</w:t>
            </w:r>
          </w:p>
        </w:tc>
        <w:tc>
          <w:tcPr>
            <w:tcW w:w="1226" w:type="dxa"/>
          </w:tcPr>
          <w:p w14:paraId="58879B52"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20</w:t>
            </w:r>
          </w:p>
        </w:tc>
      </w:tr>
      <w:tr w:rsidR="00ED31F4" w:rsidRPr="00ED31F4" w14:paraId="1532C6DE" w14:textId="77777777" w:rsidTr="00B01719">
        <w:trPr>
          <w:jc w:val="center"/>
        </w:trPr>
        <w:tc>
          <w:tcPr>
            <w:tcW w:w="0" w:type="auto"/>
          </w:tcPr>
          <w:p w14:paraId="775E3E38"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6</w:t>
            </w:r>
          </w:p>
        </w:tc>
        <w:tc>
          <w:tcPr>
            <w:tcW w:w="0" w:type="auto"/>
          </w:tcPr>
          <w:p w14:paraId="7585E659"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10</w:t>
            </w:r>
          </w:p>
        </w:tc>
        <w:tc>
          <w:tcPr>
            <w:tcW w:w="1226" w:type="dxa"/>
          </w:tcPr>
          <w:p w14:paraId="2CE2D5DA"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30</w:t>
            </w:r>
          </w:p>
        </w:tc>
      </w:tr>
      <w:tr w:rsidR="00ED31F4" w:rsidRPr="00ED31F4" w14:paraId="41B1C18B" w14:textId="77777777" w:rsidTr="00B01719">
        <w:trPr>
          <w:jc w:val="center"/>
        </w:trPr>
        <w:tc>
          <w:tcPr>
            <w:tcW w:w="0" w:type="auto"/>
          </w:tcPr>
          <w:p w14:paraId="5803EEBD"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11</w:t>
            </w:r>
          </w:p>
        </w:tc>
        <w:tc>
          <w:tcPr>
            <w:tcW w:w="0" w:type="auto"/>
          </w:tcPr>
          <w:p w14:paraId="29EABC6D"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Mayores</w:t>
            </w:r>
          </w:p>
        </w:tc>
        <w:tc>
          <w:tcPr>
            <w:tcW w:w="1226" w:type="dxa"/>
          </w:tcPr>
          <w:p w14:paraId="2D4B6D6D" w14:textId="77777777" w:rsidR="00ED31F4" w:rsidRPr="00ED31F4" w:rsidRDefault="00ED31F4" w:rsidP="00ED31F4">
            <w:pPr>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40</w:t>
            </w:r>
          </w:p>
        </w:tc>
      </w:tr>
    </w:tbl>
    <w:p w14:paraId="5B5ACE42" w14:textId="77777777" w:rsidR="00ED31F4" w:rsidRPr="00ED31F4" w:rsidRDefault="00ED31F4" w:rsidP="00ED31F4">
      <w:pPr>
        <w:spacing w:after="0"/>
        <w:jc w:val="both"/>
        <w:rPr>
          <w:rFonts w:ascii="Garamond" w:eastAsia="Arial," w:hAnsi="Garamond" w:cs="Arial"/>
          <w:color w:val="000000" w:themeColor="text1"/>
          <w:sz w:val="24"/>
          <w:szCs w:val="24"/>
        </w:rPr>
      </w:pPr>
    </w:p>
    <w:p w14:paraId="45A78EDF" w14:textId="1CB9D0E0" w:rsidR="00ED31F4" w:rsidRDefault="00ED31F4" w:rsidP="003A1825">
      <w:pPr>
        <w:pStyle w:val="Prrafodelista"/>
        <w:numPr>
          <w:ilvl w:val="0"/>
          <w:numId w:val="35"/>
        </w:numPr>
        <w:spacing w:after="0" w:line="240" w:lineRule="auto"/>
        <w:jc w:val="both"/>
        <w:rPr>
          <w:rFonts w:ascii="Garamond" w:eastAsia="Arial," w:hAnsi="Garamond" w:cs="Arial"/>
          <w:b/>
          <w:color w:val="000000" w:themeColor="text1"/>
          <w:sz w:val="24"/>
          <w:szCs w:val="24"/>
        </w:rPr>
      </w:pPr>
      <w:r w:rsidRPr="00ED31F4">
        <w:rPr>
          <w:rFonts w:ascii="Garamond" w:eastAsia="Arial" w:hAnsi="Garamond" w:cs="Arial"/>
          <w:b/>
          <w:color w:val="000000" w:themeColor="text1"/>
          <w:sz w:val="24"/>
          <w:szCs w:val="24"/>
        </w:rPr>
        <w:t>Saldos</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contratos</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en</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ejecución</w:t>
      </w:r>
      <w:r w:rsidRPr="00ED31F4">
        <w:rPr>
          <w:rFonts w:ascii="Garamond" w:eastAsia="Arial," w:hAnsi="Garamond" w:cs="Arial"/>
          <w:b/>
          <w:color w:val="000000" w:themeColor="text1"/>
          <w:sz w:val="24"/>
          <w:szCs w:val="24"/>
        </w:rPr>
        <w:t xml:space="preserve"> </w:t>
      </w:r>
      <w:r w:rsidRPr="00ED31F4">
        <w:rPr>
          <w:rFonts w:ascii="Garamond" w:eastAsia="Arial" w:hAnsi="Garamond" w:cs="Arial"/>
          <w:b/>
          <w:color w:val="000000" w:themeColor="text1"/>
          <w:sz w:val="24"/>
          <w:szCs w:val="24"/>
        </w:rPr>
        <w:t>(SCE):</w:t>
      </w:r>
      <w:r w:rsidRPr="00ED31F4">
        <w:rPr>
          <w:rFonts w:ascii="Garamond" w:eastAsia="Arial," w:hAnsi="Garamond" w:cs="Arial"/>
          <w:b/>
          <w:color w:val="000000" w:themeColor="text1"/>
          <w:sz w:val="24"/>
          <w:szCs w:val="24"/>
        </w:rPr>
        <w:t xml:space="preserve"> </w:t>
      </w:r>
    </w:p>
    <w:p w14:paraId="1F8ED980" w14:textId="77777777" w:rsidR="00ED31F4" w:rsidRPr="00ED31F4" w:rsidRDefault="00ED31F4" w:rsidP="00ED31F4">
      <w:pPr>
        <w:pStyle w:val="Prrafodelista"/>
        <w:spacing w:after="0" w:line="240" w:lineRule="auto"/>
        <w:jc w:val="both"/>
        <w:rPr>
          <w:rFonts w:ascii="Garamond" w:eastAsia="Arial," w:hAnsi="Garamond" w:cs="Arial"/>
          <w:b/>
          <w:color w:val="000000" w:themeColor="text1"/>
          <w:sz w:val="24"/>
          <w:szCs w:val="24"/>
        </w:rPr>
      </w:pPr>
    </w:p>
    <w:p w14:paraId="4820D322" w14:textId="0C02260D" w:rsidR="00ED31F4" w:rsidRPr="00ED31F4" w:rsidRDefault="00ED31F4" w:rsidP="00ED31F4">
      <w:pPr>
        <w:spacing w:after="0"/>
        <w:jc w:val="both"/>
        <w:rPr>
          <w:rFonts w:ascii="Garamond" w:hAnsi="Garamond" w:cs="Arial"/>
          <w:color w:val="000000" w:themeColor="text1"/>
          <w:sz w:val="24"/>
          <w:szCs w:val="24"/>
        </w:rPr>
      </w:pP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 xml:space="preserve">el </w:t>
      </w:r>
      <w:r w:rsidR="006F0C06" w:rsidRPr="006F0C06">
        <w:rPr>
          <w:rFonts w:ascii="Garamond" w:hAnsi="Garamond" w:cs="Arial"/>
          <w:color w:val="000000" w:themeColor="text1"/>
          <w:sz w:val="24"/>
          <w:szCs w:val="24"/>
        </w:rPr>
        <w:t xml:space="preserve">Formato 5 – Capacidad Residual </w:t>
      </w:r>
      <w:r w:rsidRPr="00ED31F4">
        <w:rPr>
          <w:rFonts w:ascii="Garamond" w:hAnsi="Garamond" w:cs="Arial"/>
          <w:color w:val="000000" w:themeColor="text1"/>
          <w:sz w:val="24"/>
          <w:szCs w:val="24"/>
        </w:rPr>
        <w:t>suscrito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representante legal y</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w:t>
      </w:r>
      <w:r w:rsidRPr="00ED31F4">
        <w:rPr>
          <w:rFonts w:ascii="Garamond" w:eastAsia="Arial," w:hAnsi="Garamond" w:cs="Arial"/>
          <w:color w:val="000000" w:themeColor="text1"/>
          <w:sz w:val="24"/>
          <w:szCs w:val="24"/>
        </w:rPr>
        <w:t xml:space="preserve"> r</w:t>
      </w:r>
      <w:r w:rsidRPr="00ED31F4">
        <w:rPr>
          <w:rFonts w:ascii="Garamond" w:hAnsi="Garamond" w:cs="Arial"/>
          <w:color w:val="000000" w:themeColor="text1"/>
          <w:sz w:val="24"/>
          <w:szCs w:val="24"/>
        </w:rPr>
        <w:t>evisor fiscal 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P</w:t>
      </w:r>
      <w:r w:rsidRPr="00ED31F4">
        <w:rPr>
          <w:rFonts w:ascii="Garamond" w:hAnsi="Garamond" w:cs="Arial"/>
          <w:color w:val="000000" w:themeColor="text1"/>
          <w:sz w:val="24"/>
          <w:szCs w:val="24"/>
        </w:rPr>
        <w:t>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está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obligado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tenerlo,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contador 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w:t>
      </w:r>
      <w:r w:rsidRPr="00ED31F4">
        <w:rPr>
          <w:rFonts w:ascii="Garamond" w:eastAsia="Arial," w:hAnsi="Garamond" w:cs="Arial"/>
          <w:color w:val="000000" w:themeColor="text1"/>
          <w:sz w:val="24"/>
          <w:szCs w:val="24"/>
        </w:rPr>
        <w:t xml:space="preserve"> a</w:t>
      </w:r>
      <w:r w:rsidRPr="00ED31F4">
        <w:rPr>
          <w:rFonts w:ascii="Garamond" w:hAnsi="Garamond" w:cs="Arial"/>
          <w:color w:val="000000" w:themeColor="text1"/>
          <w:sz w:val="24"/>
          <w:szCs w:val="24"/>
        </w:rPr>
        <w:t>uditor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independiente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contenga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lista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ejecución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tanto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nivel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nacional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como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internacional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indicando: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valor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plazo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meses;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iii)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fecha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inicio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obras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día,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mes,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año;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iv)</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obra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ejecuta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un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consorcio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o</w:t>
      </w:r>
      <w:r w:rsidRPr="00ED31F4">
        <w:rPr>
          <w:rFonts w:ascii="Garamond" w:eastAsia="Arial," w:hAnsi="Garamond" w:cs="Arial"/>
          <w:color w:val="000000" w:themeColor="text1"/>
          <w:sz w:val="24"/>
          <w:szCs w:val="24"/>
        </w:rPr>
        <w:t xml:space="preserve"> u</w:t>
      </w:r>
      <w:r w:rsidRPr="00ED31F4">
        <w:rPr>
          <w:rFonts w:ascii="Garamond" w:hAnsi="Garamond" w:cs="Arial"/>
          <w:color w:val="000000" w:themeColor="text1"/>
          <w:sz w:val="24"/>
          <w:szCs w:val="24"/>
        </w:rPr>
        <w:t>nión temporal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junto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porcentaje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participación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integrante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presenta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certificado, y v)</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encuentra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suspendido, de ser así,</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fecha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suspensión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 el certificado debe constar expresamente si</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no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tiene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 xml:space="preserve">ejecución. </w:t>
      </w:r>
    </w:p>
    <w:p w14:paraId="2E509C30" w14:textId="77777777" w:rsidR="00ED31F4" w:rsidRPr="00ED31F4" w:rsidRDefault="00ED31F4" w:rsidP="00ED31F4">
      <w:pPr>
        <w:spacing w:after="0"/>
        <w:jc w:val="both"/>
        <w:rPr>
          <w:rFonts w:ascii="Garamond" w:eastAsia="Arial," w:hAnsi="Garamond" w:cs="Arial"/>
          <w:color w:val="000000" w:themeColor="text1"/>
          <w:sz w:val="24"/>
          <w:szCs w:val="24"/>
        </w:rPr>
      </w:pPr>
    </w:p>
    <w:p w14:paraId="6584B94C" w14:textId="77777777" w:rsidR="00ED31F4" w:rsidRPr="00ED31F4" w:rsidRDefault="00ED31F4" w:rsidP="00ED31F4">
      <w:pPr>
        <w:spacing w:after="0"/>
        <w:jc w:val="both"/>
        <w:rPr>
          <w:rFonts w:ascii="Garamond" w:eastAsia="Arial," w:hAnsi="Garamond" w:cs="Arial"/>
          <w:color w:val="000000" w:themeColor="text1"/>
          <w:sz w:val="24"/>
          <w:szCs w:val="24"/>
        </w:rPr>
      </w:pPr>
      <w:r w:rsidRPr="00ED31F4">
        <w:rPr>
          <w:rFonts w:ascii="Garamond"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acreditar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(SCE)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tendrá</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cuenta</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lo</w:t>
      </w:r>
      <w:r w:rsidRPr="00ED31F4">
        <w:rPr>
          <w:rFonts w:ascii="Garamond" w:eastAsia="Arial," w:hAnsi="Garamond" w:cs="Arial"/>
          <w:color w:val="000000" w:themeColor="text1"/>
          <w:sz w:val="24"/>
          <w:szCs w:val="24"/>
        </w:rPr>
        <w:t xml:space="preserve"> </w:t>
      </w:r>
      <w:r w:rsidRPr="00ED31F4">
        <w:rPr>
          <w:rFonts w:ascii="Garamond" w:hAnsi="Garamond" w:cs="Arial"/>
          <w:color w:val="000000" w:themeColor="text1"/>
          <w:sz w:val="24"/>
          <w:szCs w:val="24"/>
        </w:rPr>
        <w:t>siguiente:</w:t>
      </w:r>
      <w:r w:rsidRPr="00ED31F4">
        <w:rPr>
          <w:rFonts w:ascii="Garamond" w:eastAsia="Arial," w:hAnsi="Garamond" w:cs="Arial"/>
          <w:color w:val="000000" w:themeColor="text1"/>
          <w:sz w:val="24"/>
          <w:szCs w:val="24"/>
        </w:rPr>
        <w:t xml:space="preserve"> </w:t>
      </w:r>
    </w:p>
    <w:p w14:paraId="2FC58CF9" w14:textId="77777777" w:rsidR="00ED31F4" w:rsidRPr="00ED31F4" w:rsidRDefault="00ED31F4" w:rsidP="00ED31F4">
      <w:pPr>
        <w:spacing w:after="0"/>
        <w:jc w:val="both"/>
        <w:rPr>
          <w:rFonts w:ascii="Garamond" w:eastAsia="Arial," w:hAnsi="Garamond" w:cs="Arial"/>
          <w:color w:val="000000" w:themeColor="text1"/>
          <w:sz w:val="24"/>
          <w:szCs w:val="24"/>
        </w:rPr>
      </w:pPr>
    </w:p>
    <w:p w14:paraId="48BE09AB" w14:textId="77777777" w:rsidR="00ED31F4" w:rsidRPr="00ED31F4" w:rsidRDefault="00ED31F4" w:rsidP="003A1825">
      <w:pPr>
        <w:pStyle w:val="Prrafodelista"/>
        <w:numPr>
          <w:ilvl w:val="0"/>
          <w:numId w:val="37"/>
        </w:numPr>
        <w:spacing w:after="0" w:line="240" w:lineRule="auto"/>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SCE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suma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montos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ejecutar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vigentes durante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12</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meses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siguientes.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Si el número de días por ejecutar en un Contrato es superior a 12 meses, es decir 360 días, el factor (SCE) solo tendrá en cuenta la proporción lineal de 12 meses.</w:t>
      </w:r>
    </w:p>
    <w:p w14:paraId="3D85BD76" w14:textId="77777777" w:rsidR="00ED31F4" w:rsidRPr="00ED31F4" w:rsidRDefault="00ED31F4" w:rsidP="003A1825">
      <w:pPr>
        <w:pStyle w:val="Prrafodelista"/>
        <w:numPr>
          <w:ilvl w:val="0"/>
          <w:numId w:val="37"/>
        </w:numPr>
        <w:spacing w:after="0" w:line="240" w:lineRule="auto"/>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 obras civiles 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ejecución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son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aquellos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fecha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presentación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oferta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obligan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al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w:t>
      </w:r>
      <w:r w:rsidRPr="00ED31F4">
        <w:rPr>
          <w:rFonts w:ascii="Garamond" w:eastAsia="Arial," w:hAnsi="Garamond" w:cs="Arial"/>
          <w:color w:val="000000" w:themeColor="text1"/>
          <w:sz w:val="24"/>
          <w:szCs w:val="24"/>
        </w:rPr>
        <w:t xml:space="preserve"> e</w:t>
      </w:r>
      <w:r w:rsidRPr="00ED31F4">
        <w:rPr>
          <w:rFonts w:ascii="Garamond" w:eastAsia="Arial" w:hAnsi="Garamond" w:cs="Arial"/>
          <w:color w:val="000000" w:themeColor="text1"/>
          <w:sz w:val="24"/>
          <w:szCs w:val="24"/>
        </w:rPr>
        <w:t>ntidades</w:t>
      </w:r>
      <w:r w:rsidRPr="00ED31F4">
        <w:rPr>
          <w:rFonts w:ascii="Garamond" w:eastAsia="Arial," w:hAnsi="Garamond" w:cs="Arial"/>
          <w:color w:val="000000" w:themeColor="text1"/>
          <w:sz w:val="24"/>
          <w:szCs w:val="24"/>
        </w:rPr>
        <w:t xml:space="preserve"> e</w:t>
      </w:r>
      <w:r w:rsidRPr="00ED31F4">
        <w:rPr>
          <w:rFonts w:ascii="Garamond" w:eastAsia="Arial" w:hAnsi="Garamond" w:cs="Arial"/>
          <w:color w:val="000000" w:themeColor="text1"/>
          <w:sz w:val="24"/>
          <w:szCs w:val="24"/>
        </w:rPr>
        <w:t>statales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w:t>
      </w:r>
      <w:r w:rsidRPr="00ED31F4">
        <w:rPr>
          <w:rFonts w:ascii="Garamond" w:eastAsia="Arial," w:hAnsi="Garamond" w:cs="Arial"/>
          <w:color w:val="000000" w:themeColor="text1"/>
          <w:sz w:val="24"/>
          <w:szCs w:val="24"/>
        </w:rPr>
        <w:t xml:space="preserve"> e</w:t>
      </w:r>
      <w:r w:rsidRPr="00ED31F4">
        <w:rPr>
          <w:rFonts w:ascii="Garamond" w:eastAsia="Arial" w:hAnsi="Garamond" w:cs="Arial"/>
          <w:color w:val="000000" w:themeColor="text1"/>
          <w:sz w:val="24"/>
          <w:szCs w:val="24"/>
        </w:rPr>
        <w:t>ntidades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privadas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ejecutar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obras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civiles. Estas incluyen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las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obras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civiles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 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concesión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obra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suscritos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concesionarios,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así como, 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suspendidos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aquellos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no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tengan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acta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inicio.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No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entenderán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como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ejecución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encuentren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liquidación.</w:t>
      </w:r>
    </w:p>
    <w:p w14:paraId="4EC237A0" w14:textId="77777777" w:rsidR="00ED31F4" w:rsidRPr="00ED31F4" w:rsidRDefault="00ED31F4" w:rsidP="003A1825">
      <w:pPr>
        <w:pStyle w:val="Prrafodelista"/>
        <w:numPr>
          <w:ilvl w:val="0"/>
          <w:numId w:val="37"/>
        </w:numPr>
        <w:spacing w:after="0" w:line="240" w:lineRule="auto"/>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tendrán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cuenta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obras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civiles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ejecución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suscritos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P</w:t>
      </w:r>
      <w:r w:rsidRPr="00ED31F4">
        <w:rPr>
          <w:rFonts w:ascii="Garamond" w:eastAsia="Arial" w:hAnsi="Garamond" w:cs="Arial"/>
          <w:color w:val="000000" w:themeColor="text1"/>
          <w:sz w:val="24"/>
          <w:szCs w:val="24"/>
        </w:rPr>
        <w:t>roponente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sociedades,</w:t>
      </w:r>
      <w:r w:rsidRPr="00ED31F4">
        <w:rPr>
          <w:rFonts w:ascii="Garamond" w:eastAsia="Arial," w:hAnsi="Garamond" w:cs="Arial"/>
          <w:color w:val="000000" w:themeColor="text1"/>
          <w:sz w:val="24"/>
          <w:szCs w:val="24"/>
        </w:rPr>
        <w:t xml:space="preserve"> c</w:t>
      </w:r>
      <w:r w:rsidRPr="00ED31F4">
        <w:rPr>
          <w:rFonts w:ascii="Garamond" w:eastAsia="Arial" w:hAnsi="Garamond" w:cs="Arial"/>
          <w:color w:val="000000" w:themeColor="text1"/>
          <w:sz w:val="24"/>
          <w:szCs w:val="24"/>
        </w:rPr>
        <w:t>onsorcios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w:t>
      </w:r>
      <w:r w:rsidRPr="00ED31F4">
        <w:rPr>
          <w:rFonts w:ascii="Garamond" w:eastAsia="Arial," w:hAnsi="Garamond" w:cs="Arial"/>
          <w:color w:val="000000" w:themeColor="text1"/>
          <w:sz w:val="24"/>
          <w:szCs w:val="24"/>
        </w:rPr>
        <w:t xml:space="preserve"> u</w:t>
      </w:r>
      <w:r w:rsidRPr="00ED31F4">
        <w:rPr>
          <w:rFonts w:ascii="Garamond" w:eastAsia="Arial" w:hAnsi="Garamond" w:cs="Arial"/>
          <w:color w:val="000000" w:themeColor="text1"/>
          <w:sz w:val="24"/>
          <w:szCs w:val="24"/>
        </w:rPr>
        <w:t>niones temporales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los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cuales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tenga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participación.</w:t>
      </w:r>
      <w:r w:rsidRPr="00ED31F4">
        <w:rPr>
          <w:rFonts w:ascii="Garamond" w:eastAsia="Arial," w:hAnsi="Garamond" w:cs="Arial"/>
          <w:color w:val="000000" w:themeColor="text1"/>
          <w:sz w:val="24"/>
          <w:szCs w:val="24"/>
        </w:rPr>
        <w:t xml:space="preserve"> </w:t>
      </w:r>
    </w:p>
    <w:p w14:paraId="0BDCD436" w14:textId="77777777" w:rsidR="00ED31F4" w:rsidRPr="00ED31F4" w:rsidRDefault="00ED31F4" w:rsidP="003A1825">
      <w:pPr>
        <w:pStyle w:val="Prrafodelista"/>
        <w:numPr>
          <w:ilvl w:val="0"/>
          <w:numId w:val="37"/>
        </w:numPr>
        <w:spacing w:after="0" w:line="240" w:lineRule="auto"/>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un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encuentra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suspendido,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cálculo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(SCE)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dicho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efectuarse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asumiendo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que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falta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ejecutar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iniciara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fecha 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presentación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oferta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Proceso de Contratación.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está</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suspendido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informar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saldo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pendiente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ejecutar.</w:t>
      </w:r>
    </w:p>
    <w:p w14:paraId="31C5E25A" w14:textId="77777777" w:rsidR="00ED31F4" w:rsidRPr="00ED31F4" w:rsidRDefault="00ED31F4" w:rsidP="003A1825">
      <w:pPr>
        <w:pStyle w:val="Prrafodelista"/>
        <w:numPr>
          <w:ilvl w:val="0"/>
          <w:numId w:val="37"/>
        </w:numPr>
        <w:spacing w:before="240" w:after="0" w:line="240" w:lineRule="auto"/>
        <w:jc w:val="both"/>
        <w:rPr>
          <w:rFonts w:ascii="Garamond" w:eastAsia="Arial" w:hAnsi="Garamond" w:cs="Arial"/>
          <w:color w:val="000000" w:themeColor="text1"/>
          <w:sz w:val="24"/>
          <w:szCs w:val="24"/>
        </w:rPr>
      </w:pP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cálculo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factor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(SCE)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debe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hacerse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linealmente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calculando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una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ejecución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diaria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equivalente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al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valor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dividido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plazo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expresado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días.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Este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resultado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multiplica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número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días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pendientes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para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cumplir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plazo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y</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si</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Contrato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es</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ejecutado</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una estructura plural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por</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la</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participación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del</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Proponente</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en</w:t>
      </w:r>
      <w:r w:rsidRPr="00ED31F4">
        <w:rPr>
          <w:rFonts w:ascii="Garamond" w:eastAsia="Arial," w:hAnsi="Garamond" w:cs="Arial"/>
          <w:color w:val="000000" w:themeColor="text1"/>
          <w:sz w:val="24"/>
          <w:szCs w:val="24"/>
        </w:rPr>
        <w:t xml:space="preserve"> </w:t>
      </w:r>
      <w:r w:rsidRPr="00ED31F4">
        <w:rPr>
          <w:rFonts w:ascii="Garamond" w:eastAsia="Arial" w:hAnsi="Garamond" w:cs="Arial"/>
          <w:color w:val="000000" w:themeColor="text1"/>
          <w:sz w:val="24"/>
          <w:szCs w:val="24"/>
        </w:rPr>
        <w:t xml:space="preserve">la respectiva estructura. </w:t>
      </w:r>
    </w:p>
    <w:p w14:paraId="4AB82CD1" w14:textId="7C09BD9E" w:rsidR="00ED31F4" w:rsidRPr="00ED31F4" w:rsidRDefault="00ED31F4" w:rsidP="003A1825">
      <w:pPr>
        <w:pStyle w:val="Prrafodelista"/>
        <w:numPr>
          <w:ilvl w:val="0"/>
          <w:numId w:val="37"/>
        </w:numPr>
        <w:tabs>
          <w:tab w:val="left" w:pos="3390"/>
        </w:tabs>
        <w:spacing w:before="240" w:after="0" w:line="240" w:lineRule="auto"/>
        <w:jc w:val="both"/>
        <w:rPr>
          <w:rFonts w:ascii="Garamond" w:hAnsi="Garamond" w:cs="Arial"/>
          <w:sz w:val="24"/>
          <w:szCs w:val="24"/>
        </w:rPr>
      </w:pPr>
      <w:r w:rsidRPr="00ED31F4">
        <w:rPr>
          <w:rFonts w:ascii="Garamond" w:eastAsia="Arial" w:hAnsi="Garamond" w:cs="Arial"/>
          <w:color w:val="000000" w:themeColor="text1"/>
          <w:sz w:val="24"/>
          <w:szCs w:val="24"/>
        </w:rPr>
        <w:t xml:space="preserve">Para los Proponentes o integrantes extranjeros sin domicilio o sin sucursal en Colombia deben diligenciar el </w:t>
      </w:r>
      <w:r w:rsidR="006F0C06" w:rsidRPr="006F0C06">
        <w:rPr>
          <w:rFonts w:ascii="Garamond" w:eastAsia="Arial" w:hAnsi="Garamond" w:cs="Arial"/>
          <w:color w:val="000000" w:themeColor="text1"/>
          <w:sz w:val="24"/>
          <w:szCs w:val="24"/>
        </w:rPr>
        <w:t xml:space="preserve">Formato 5- Capacidad Residual </w:t>
      </w:r>
      <w:r w:rsidRPr="00ED31F4">
        <w:rPr>
          <w:rFonts w:ascii="Garamond" w:eastAsia="Arial" w:hAnsi="Garamond" w:cs="Arial"/>
          <w:color w:val="000000" w:themeColor="text1"/>
          <w:sz w:val="24"/>
          <w:szCs w:val="24"/>
        </w:rPr>
        <w:t xml:space="preserve">firmado por la persona natural o el representante legal de la persona jurídica y el contador público colombiano que los </w:t>
      </w:r>
      <w:r w:rsidRPr="00ED31F4">
        <w:rPr>
          <w:rFonts w:ascii="Garamond" w:eastAsia="Arial" w:hAnsi="Garamond" w:cs="Arial"/>
          <w:color w:val="000000" w:themeColor="text1"/>
          <w:sz w:val="24"/>
          <w:szCs w:val="24"/>
        </w:rPr>
        <w:lastRenderedPageBreak/>
        <w:t xml:space="preserve">hubiere convertido a pesos colombianos usando para ello la </w:t>
      </w:r>
      <w:r w:rsidR="006F0C06">
        <w:rPr>
          <w:rFonts w:ascii="Garamond" w:eastAsia="Arial" w:hAnsi="Garamond" w:cs="Arial"/>
          <w:color w:val="000000" w:themeColor="text1"/>
          <w:sz w:val="24"/>
          <w:szCs w:val="24"/>
        </w:rPr>
        <w:t xml:space="preserve">sección 1.13. del </w:t>
      </w:r>
      <w:r w:rsidRPr="00ED31F4">
        <w:rPr>
          <w:rFonts w:ascii="Garamond" w:eastAsia="Arial" w:hAnsi="Garamond" w:cs="Arial"/>
          <w:color w:val="000000" w:themeColor="text1"/>
          <w:sz w:val="24"/>
          <w:szCs w:val="24"/>
        </w:rPr>
        <w:t>Pliego de Condiciones.</w:t>
      </w:r>
    </w:p>
    <w:p w14:paraId="55D76362" w14:textId="430C8862" w:rsidR="00ED31F4" w:rsidRDefault="00ED31F4" w:rsidP="00047D49">
      <w:pPr>
        <w:tabs>
          <w:tab w:val="left" w:pos="3390"/>
        </w:tabs>
        <w:spacing w:after="0" w:line="240" w:lineRule="auto"/>
        <w:jc w:val="both"/>
        <w:rPr>
          <w:rFonts w:ascii="Garamond" w:hAnsi="Garamond" w:cs="Arial"/>
          <w:sz w:val="24"/>
          <w:szCs w:val="24"/>
        </w:rPr>
      </w:pPr>
    </w:p>
    <w:p w14:paraId="70803B4C" w14:textId="042C16E0" w:rsidR="00ED31F4" w:rsidRPr="006F0C06" w:rsidRDefault="00ED31F4" w:rsidP="00A2065D">
      <w:pPr>
        <w:pStyle w:val="Textoindependiente"/>
        <w:numPr>
          <w:ilvl w:val="0"/>
          <w:numId w:val="8"/>
        </w:numPr>
        <w:spacing w:before="153"/>
        <w:rPr>
          <w:rFonts w:ascii="Garamond" w:hAnsi="Garamond"/>
          <w:sz w:val="24"/>
          <w:szCs w:val="24"/>
        </w:rPr>
      </w:pPr>
      <w:r w:rsidRPr="006F0C06">
        <w:rPr>
          <w:rFonts w:ascii="Garamond" w:hAnsi="Garamond"/>
          <w:b/>
          <w:sz w:val="24"/>
          <w:szCs w:val="24"/>
        </w:rPr>
        <w:t>REFERENCIAS</w:t>
      </w:r>
    </w:p>
    <w:p w14:paraId="026FCF12" w14:textId="77777777" w:rsidR="00ED31F4" w:rsidRPr="006428A6" w:rsidRDefault="00ED31F4" w:rsidP="003A1825">
      <w:pPr>
        <w:pStyle w:val="Textoindependiente"/>
        <w:numPr>
          <w:ilvl w:val="0"/>
          <w:numId w:val="2"/>
        </w:numPr>
        <w:spacing w:before="153"/>
        <w:rPr>
          <w:rFonts w:ascii="Garamond" w:hAnsi="Garamond"/>
          <w:sz w:val="24"/>
          <w:szCs w:val="24"/>
        </w:rPr>
      </w:pPr>
      <w:r w:rsidRPr="006428A6">
        <w:rPr>
          <w:rFonts w:ascii="Garamond" w:hAnsi="Garamond"/>
          <w:sz w:val="24"/>
          <w:szCs w:val="24"/>
        </w:rPr>
        <w:t>Agencia Nacional de Contratación Pública Colombia Compra Eficiente. (2025). Herramienta de análisis de</w:t>
      </w:r>
      <w:r w:rsidRPr="006428A6">
        <w:rPr>
          <w:rFonts w:ascii="Garamond" w:hAnsi="Garamond"/>
          <w:sz w:val="24"/>
          <w:szCs w:val="24"/>
        </w:rPr>
        <w:tab/>
        <w:t>demanda.</w:t>
      </w:r>
      <w:r w:rsidRPr="006428A6">
        <w:rPr>
          <w:rFonts w:ascii="Garamond" w:hAnsi="Garamond"/>
          <w:sz w:val="24"/>
          <w:szCs w:val="24"/>
        </w:rPr>
        <w:tab/>
        <w:t>Obtenido</w:t>
      </w:r>
      <w:r w:rsidRPr="006428A6">
        <w:rPr>
          <w:rFonts w:ascii="Garamond" w:hAnsi="Garamond"/>
          <w:sz w:val="24"/>
          <w:szCs w:val="24"/>
        </w:rPr>
        <w:tab/>
        <w:t>de</w:t>
      </w:r>
      <w:r w:rsidRPr="006428A6">
        <w:rPr>
          <w:rFonts w:ascii="Garamond" w:hAnsi="Garamond"/>
          <w:sz w:val="24"/>
          <w:szCs w:val="24"/>
        </w:rPr>
        <w:tab/>
        <w:t>Colombia</w:t>
      </w:r>
      <w:r w:rsidRPr="006428A6">
        <w:rPr>
          <w:rFonts w:ascii="Garamond" w:hAnsi="Garamond"/>
          <w:sz w:val="24"/>
          <w:szCs w:val="24"/>
        </w:rPr>
        <w:tab/>
        <w:t>compra: https://app.powerbi.com/view?r=https://www.colombiacompra.gov.co/analisis-de-datos- de-compra-publica/modelo-de-abastecimiento-estrategico</w:t>
      </w:r>
    </w:p>
    <w:p w14:paraId="16678DC7" w14:textId="77777777" w:rsidR="00ED31F4" w:rsidRPr="006428A6" w:rsidRDefault="00ED31F4" w:rsidP="003A1825">
      <w:pPr>
        <w:pStyle w:val="Textoindependiente"/>
        <w:numPr>
          <w:ilvl w:val="0"/>
          <w:numId w:val="2"/>
        </w:numPr>
        <w:spacing w:before="153"/>
        <w:rPr>
          <w:rFonts w:ascii="Garamond" w:hAnsi="Garamond"/>
          <w:sz w:val="24"/>
          <w:szCs w:val="24"/>
        </w:rPr>
      </w:pPr>
      <w:r w:rsidRPr="006428A6">
        <w:rPr>
          <w:rFonts w:ascii="Garamond" w:hAnsi="Garamond"/>
          <w:sz w:val="24"/>
          <w:szCs w:val="24"/>
        </w:rPr>
        <w:t>Asociación Nacional de Industriales - ANDI. (2025). Balace 2024 Perspectivas 2025. Bogotá. DANE. (2024). Financiación de vivienda (FIVI) IV Trimestre de 2024. Bogotá.</w:t>
      </w:r>
    </w:p>
    <w:p w14:paraId="1DB6D387" w14:textId="77777777" w:rsidR="00ED31F4" w:rsidRPr="006428A6" w:rsidRDefault="00ED31F4" w:rsidP="003A1825">
      <w:pPr>
        <w:pStyle w:val="Textoindependiente"/>
        <w:numPr>
          <w:ilvl w:val="0"/>
          <w:numId w:val="2"/>
        </w:numPr>
        <w:spacing w:before="153"/>
        <w:rPr>
          <w:rFonts w:ascii="Garamond" w:hAnsi="Garamond"/>
          <w:sz w:val="24"/>
          <w:szCs w:val="24"/>
        </w:rPr>
      </w:pPr>
      <w:r w:rsidRPr="006428A6">
        <w:rPr>
          <w:rFonts w:ascii="Garamond" w:hAnsi="Garamond"/>
          <w:sz w:val="24"/>
          <w:szCs w:val="24"/>
        </w:rPr>
        <w:t>DANE. (2024). Indicador de Mezcla Asfáltica (IMA) Julio 2024. Bogotá.</w:t>
      </w:r>
    </w:p>
    <w:p w14:paraId="09DDB06C" w14:textId="77777777" w:rsidR="00ED31F4" w:rsidRPr="006428A6" w:rsidRDefault="00ED31F4" w:rsidP="003A1825">
      <w:pPr>
        <w:pStyle w:val="Textoindependiente"/>
        <w:numPr>
          <w:ilvl w:val="0"/>
          <w:numId w:val="2"/>
        </w:numPr>
        <w:spacing w:before="153"/>
        <w:rPr>
          <w:rFonts w:ascii="Garamond" w:hAnsi="Garamond"/>
          <w:sz w:val="24"/>
          <w:szCs w:val="24"/>
        </w:rPr>
      </w:pPr>
      <w:r w:rsidRPr="006428A6">
        <w:rPr>
          <w:rFonts w:ascii="Garamond" w:hAnsi="Garamond"/>
          <w:sz w:val="24"/>
          <w:szCs w:val="24"/>
        </w:rPr>
        <w:t>DANE. (2024). Indicador de Producción de Obras Civiles (IPOC) IV trimestre de 2024. Bogotá. DANE. (2024). Producto Interno Bruto (PIB) IV trimestre 2024 preliminar. Bogotá.</w:t>
      </w:r>
    </w:p>
    <w:p w14:paraId="18C5D290" w14:textId="77777777" w:rsidR="00ED31F4" w:rsidRPr="006428A6" w:rsidRDefault="00ED31F4" w:rsidP="003A1825">
      <w:pPr>
        <w:pStyle w:val="Textoindependiente"/>
        <w:numPr>
          <w:ilvl w:val="0"/>
          <w:numId w:val="2"/>
        </w:numPr>
        <w:spacing w:before="153"/>
        <w:rPr>
          <w:rFonts w:ascii="Garamond" w:hAnsi="Garamond"/>
          <w:sz w:val="24"/>
          <w:szCs w:val="24"/>
        </w:rPr>
      </w:pPr>
      <w:r w:rsidRPr="006428A6">
        <w:rPr>
          <w:rFonts w:ascii="Garamond" w:hAnsi="Garamond"/>
          <w:sz w:val="24"/>
          <w:szCs w:val="24"/>
        </w:rPr>
        <w:t>DANE. (2025). Estadísticas de Cemento Gris (ECG) Febrero 2025. Bogotá. DANE. (2025). Estadísticas de Concreto Premezclado (EC) Enero 2025. Bogotá. DANE. (2025). Gran Encuesta Integrada de Hogares febrero 2025. Bogotá.</w:t>
      </w:r>
    </w:p>
    <w:p w14:paraId="782BA20B" w14:textId="77777777" w:rsidR="00ED31F4" w:rsidRPr="006428A6" w:rsidRDefault="00ED31F4" w:rsidP="003A1825">
      <w:pPr>
        <w:pStyle w:val="Textoindependiente"/>
        <w:numPr>
          <w:ilvl w:val="0"/>
          <w:numId w:val="2"/>
        </w:numPr>
        <w:spacing w:before="153"/>
        <w:rPr>
          <w:rFonts w:ascii="Garamond" w:hAnsi="Garamond"/>
          <w:sz w:val="24"/>
          <w:szCs w:val="24"/>
        </w:rPr>
      </w:pPr>
      <w:r w:rsidRPr="006428A6">
        <w:rPr>
          <w:rFonts w:ascii="Garamond" w:hAnsi="Garamond"/>
          <w:sz w:val="24"/>
          <w:szCs w:val="24"/>
        </w:rPr>
        <w:t>DANE. (2025). Índice de Costos de la Construcción de Edificaciones (ICOCED) Febrero 2025. Bogotá. DANE. (2025). Indice de Costos de la Construcción de Obras Civiles (ICOCIV) Febrero 2025. Bogotá. DANE. (2025). Índice de Precios al Consumidor (IPC) Marzo 2025. Bogotá.</w:t>
      </w:r>
    </w:p>
    <w:p w14:paraId="3CF487FE" w14:textId="77777777" w:rsidR="00ED31F4" w:rsidRDefault="00ED31F4" w:rsidP="003A1825">
      <w:pPr>
        <w:pStyle w:val="Textoindependiente"/>
        <w:numPr>
          <w:ilvl w:val="0"/>
          <w:numId w:val="2"/>
        </w:numPr>
        <w:spacing w:before="153"/>
        <w:rPr>
          <w:rFonts w:ascii="Garamond" w:hAnsi="Garamond"/>
          <w:sz w:val="24"/>
          <w:szCs w:val="24"/>
        </w:rPr>
      </w:pPr>
      <w:r w:rsidRPr="006428A6">
        <w:rPr>
          <w:rFonts w:ascii="Garamond" w:hAnsi="Garamond"/>
          <w:sz w:val="24"/>
          <w:szCs w:val="24"/>
        </w:rPr>
        <w:t>DANE. (2025). Índice de Precios del Productor (IPP) Marzo 2025. Bogotá.</w:t>
      </w:r>
    </w:p>
    <w:p w14:paraId="52D8F303" w14:textId="77777777" w:rsidR="00ED31F4" w:rsidRDefault="00ED31F4" w:rsidP="00047D49">
      <w:pPr>
        <w:tabs>
          <w:tab w:val="left" w:pos="3390"/>
        </w:tabs>
        <w:spacing w:after="0" w:line="240" w:lineRule="auto"/>
        <w:jc w:val="both"/>
        <w:rPr>
          <w:rFonts w:ascii="Garamond" w:hAnsi="Garamond" w:cs="Arial"/>
          <w:sz w:val="24"/>
          <w:szCs w:val="24"/>
        </w:rPr>
      </w:pPr>
    </w:p>
    <w:p w14:paraId="7A34B776" w14:textId="77777777" w:rsidR="00047D49" w:rsidRPr="00047D49" w:rsidRDefault="00047D49" w:rsidP="00047D49">
      <w:pPr>
        <w:tabs>
          <w:tab w:val="left" w:pos="3390"/>
        </w:tabs>
        <w:spacing w:after="0" w:line="240" w:lineRule="auto"/>
        <w:jc w:val="both"/>
        <w:rPr>
          <w:rFonts w:ascii="Garamond" w:hAnsi="Garamond" w:cs="Arial"/>
          <w:sz w:val="24"/>
          <w:szCs w:val="24"/>
        </w:rPr>
      </w:pPr>
    </w:p>
    <w:tbl>
      <w:tblPr>
        <w:tblStyle w:val="Tablaconcuadrcula"/>
        <w:tblW w:w="0" w:type="auto"/>
        <w:tblInd w:w="360" w:type="dxa"/>
        <w:tblLook w:val="04A0" w:firstRow="1" w:lastRow="0" w:firstColumn="1" w:lastColumn="0" w:noHBand="0" w:noVBand="1"/>
      </w:tblPr>
      <w:tblGrid>
        <w:gridCol w:w="4250"/>
        <w:gridCol w:w="4218"/>
      </w:tblGrid>
      <w:tr w:rsidR="00516AC6" w14:paraId="75A22295" w14:textId="77777777" w:rsidTr="00516AC6">
        <w:tc>
          <w:tcPr>
            <w:tcW w:w="4414" w:type="dxa"/>
            <w:shd w:val="clear" w:color="auto" w:fill="BFBFBF" w:themeFill="background1" w:themeFillShade="BF"/>
          </w:tcPr>
          <w:p w14:paraId="4F561131" w14:textId="77777777" w:rsidR="00516AC6" w:rsidRPr="00516AC6" w:rsidRDefault="00516AC6" w:rsidP="002A4BF2">
            <w:pPr>
              <w:tabs>
                <w:tab w:val="left" w:pos="3390"/>
              </w:tabs>
              <w:jc w:val="both"/>
              <w:rPr>
                <w:rFonts w:ascii="Garamond" w:hAnsi="Garamond" w:cs="Arial"/>
                <w:b/>
                <w:sz w:val="24"/>
                <w:szCs w:val="24"/>
              </w:rPr>
            </w:pPr>
            <w:r w:rsidRPr="00516AC6">
              <w:rPr>
                <w:rFonts w:ascii="Garamond" w:hAnsi="Garamond" w:cs="Arial"/>
                <w:b/>
                <w:sz w:val="24"/>
                <w:szCs w:val="24"/>
              </w:rPr>
              <w:t>ELABORÓ</w:t>
            </w:r>
          </w:p>
        </w:tc>
        <w:tc>
          <w:tcPr>
            <w:tcW w:w="4414" w:type="dxa"/>
            <w:shd w:val="clear" w:color="auto" w:fill="BFBFBF" w:themeFill="background1" w:themeFillShade="BF"/>
          </w:tcPr>
          <w:p w14:paraId="33DE63A9" w14:textId="77777777" w:rsidR="00516AC6" w:rsidRPr="00516AC6" w:rsidRDefault="00516AC6" w:rsidP="002A4BF2">
            <w:pPr>
              <w:tabs>
                <w:tab w:val="left" w:pos="3390"/>
              </w:tabs>
              <w:jc w:val="both"/>
              <w:rPr>
                <w:rFonts w:ascii="Garamond" w:hAnsi="Garamond" w:cs="Arial"/>
                <w:b/>
                <w:sz w:val="24"/>
                <w:szCs w:val="24"/>
              </w:rPr>
            </w:pPr>
            <w:r w:rsidRPr="00516AC6">
              <w:rPr>
                <w:rFonts w:ascii="Garamond" w:hAnsi="Garamond" w:cs="Arial"/>
                <w:b/>
                <w:sz w:val="24"/>
                <w:szCs w:val="24"/>
              </w:rPr>
              <w:t>FIRMA</w:t>
            </w:r>
          </w:p>
        </w:tc>
      </w:tr>
      <w:tr w:rsidR="00516AC6" w14:paraId="338BEC50" w14:textId="77777777" w:rsidTr="00516AC6">
        <w:tc>
          <w:tcPr>
            <w:tcW w:w="4414" w:type="dxa"/>
          </w:tcPr>
          <w:p w14:paraId="6815A650" w14:textId="77777777" w:rsidR="00516AC6" w:rsidRDefault="00516AC6" w:rsidP="002A4BF2">
            <w:pPr>
              <w:tabs>
                <w:tab w:val="left" w:pos="3390"/>
              </w:tabs>
              <w:jc w:val="both"/>
              <w:rPr>
                <w:rFonts w:ascii="Garamond" w:hAnsi="Garamond" w:cs="Arial"/>
                <w:sz w:val="24"/>
                <w:szCs w:val="24"/>
              </w:rPr>
            </w:pPr>
            <w:r>
              <w:rPr>
                <w:rFonts w:ascii="Garamond" w:hAnsi="Garamond" w:cs="Arial"/>
                <w:sz w:val="24"/>
                <w:szCs w:val="24"/>
              </w:rPr>
              <w:t>Juan Camilo Gallego – Contratista oficina de obras e infraestructura FDLAN</w:t>
            </w:r>
          </w:p>
        </w:tc>
        <w:tc>
          <w:tcPr>
            <w:tcW w:w="4414" w:type="dxa"/>
          </w:tcPr>
          <w:p w14:paraId="219A3264" w14:textId="77777777" w:rsidR="00516AC6" w:rsidRDefault="00516AC6" w:rsidP="002A4BF2">
            <w:pPr>
              <w:tabs>
                <w:tab w:val="left" w:pos="3390"/>
              </w:tabs>
              <w:jc w:val="both"/>
              <w:rPr>
                <w:rFonts w:ascii="Garamond" w:hAnsi="Garamond" w:cs="Arial"/>
                <w:sz w:val="24"/>
                <w:szCs w:val="24"/>
              </w:rPr>
            </w:pPr>
          </w:p>
        </w:tc>
      </w:tr>
    </w:tbl>
    <w:p w14:paraId="19F58591" w14:textId="77777777" w:rsidR="00516AC6" w:rsidRPr="00F970C5" w:rsidRDefault="00516AC6" w:rsidP="002A4BF2">
      <w:pPr>
        <w:tabs>
          <w:tab w:val="left" w:pos="3390"/>
        </w:tabs>
        <w:spacing w:line="240" w:lineRule="auto"/>
        <w:ind w:left="360"/>
        <w:jc w:val="both"/>
        <w:rPr>
          <w:rFonts w:ascii="Garamond" w:hAnsi="Garamond" w:cs="Arial"/>
          <w:sz w:val="24"/>
          <w:szCs w:val="24"/>
        </w:rPr>
      </w:pPr>
    </w:p>
    <w:p w14:paraId="7B11D09B" w14:textId="6BBE72C7" w:rsidR="00F970C5" w:rsidRPr="00F970C5" w:rsidRDefault="00F970C5" w:rsidP="002A4BF2">
      <w:pPr>
        <w:tabs>
          <w:tab w:val="left" w:pos="3390"/>
        </w:tabs>
        <w:spacing w:line="240" w:lineRule="auto"/>
        <w:ind w:left="360"/>
        <w:rPr>
          <w:rFonts w:ascii="Garamond" w:hAnsi="Garamond" w:cs="Arial"/>
          <w:b/>
          <w:sz w:val="24"/>
          <w:szCs w:val="24"/>
        </w:rPr>
      </w:pPr>
    </w:p>
    <w:sectPr w:rsidR="00F970C5" w:rsidRPr="00F970C5">
      <w:headerReference w:type="default" r:id="rId19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BEE95" w14:textId="77777777" w:rsidR="0068116C" w:rsidRDefault="0068116C" w:rsidP="003637FA">
      <w:pPr>
        <w:spacing w:after="0" w:line="240" w:lineRule="auto"/>
      </w:pPr>
      <w:r>
        <w:separator/>
      </w:r>
    </w:p>
  </w:endnote>
  <w:endnote w:type="continuationSeparator" w:id="0">
    <w:p w14:paraId="5A58FAC8" w14:textId="77777777" w:rsidR="0068116C" w:rsidRDefault="0068116C" w:rsidP="00363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iberation Sans">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OpenSymbol">
    <w:altName w:val="Calibr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E6075" w14:textId="77777777" w:rsidR="0077032A" w:rsidRDefault="0077032A">
    <w:pPr>
      <w:pStyle w:val="Piedepgina"/>
    </w:pPr>
  </w:p>
  <w:p w14:paraId="20176496" w14:textId="77777777" w:rsidR="0077032A" w:rsidRDefault="0077032A">
    <w:pPr>
      <w:pStyle w:val="Piedepgina"/>
    </w:pPr>
  </w:p>
  <w:p w14:paraId="3C7AA08A" w14:textId="77777777" w:rsidR="0077032A" w:rsidRDefault="0077032A">
    <w:pPr>
      <w:pStyle w:val="Piedepgina"/>
    </w:pPr>
  </w:p>
  <w:p w14:paraId="476DA400" w14:textId="77777777" w:rsidR="0077032A" w:rsidRDefault="007703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06844" w14:textId="77777777" w:rsidR="0068116C" w:rsidRDefault="0068116C" w:rsidP="003637FA">
      <w:pPr>
        <w:spacing w:after="0" w:line="240" w:lineRule="auto"/>
      </w:pPr>
      <w:r>
        <w:separator/>
      </w:r>
    </w:p>
  </w:footnote>
  <w:footnote w:type="continuationSeparator" w:id="0">
    <w:p w14:paraId="4E1C6E81" w14:textId="77777777" w:rsidR="0068116C" w:rsidRDefault="0068116C" w:rsidP="003637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204B" w14:textId="77777777" w:rsidR="0077032A" w:rsidRDefault="0077032A">
    <w:pPr>
      <w:pStyle w:val="Textoindependiente"/>
      <w:spacing w:line="14" w:lineRule="auto"/>
      <w:rPr>
        <w:sz w:val="20"/>
      </w:rPr>
    </w:pPr>
    <w:r w:rsidRPr="00305F55">
      <w:rPr>
        <w:rFonts w:ascii="Times New Roman" w:hAnsi="Times New Roman" w:cs="Times New Roman"/>
        <w:noProof/>
        <w:lang w:val="es-CO" w:eastAsia="es-CO"/>
      </w:rPr>
      <w:drawing>
        <wp:anchor distT="0" distB="0" distL="114300" distR="114300" simplePos="0" relativeHeight="251659264" behindDoc="1" locked="0" layoutInCell="1" allowOverlap="1" wp14:anchorId="106DE026" wp14:editId="623CDC6E">
          <wp:simplePos x="0" y="0"/>
          <wp:positionH relativeFrom="margin">
            <wp:posOffset>3198410</wp:posOffset>
          </wp:positionH>
          <wp:positionV relativeFrom="paragraph">
            <wp:posOffset>-134743</wp:posOffset>
          </wp:positionV>
          <wp:extent cx="720928" cy="726090"/>
          <wp:effectExtent l="0" t="0" r="3175" b="0"/>
          <wp:wrapTight wrapText="bothSides">
            <wp:wrapPolygon edited="0">
              <wp:start x="3996" y="0"/>
              <wp:lineTo x="3996" y="9071"/>
              <wp:lineTo x="571" y="13606"/>
              <wp:lineTo x="0" y="18142"/>
              <wp:lineTo x="0" y="20976"/>
              <wp:lineTo x="21124" y="20976"/>
              <wp:lineTo x="21124" y="18142"/>
              <wp:lineTo x="19982" y="13039"/>
              <wp:lineTo x="17128" y="9071"/>
              <wp:lineTo x="17128" y="0"/>
              <wp:lineTo x="3996" y="0"/>
            </wp:wrapPolygon>
          </wp:wrapTight>
          <wp:docPr id="21" name="image1.png" descr="Imagen que contiene alimentos, vidrio, café, taz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png" descr="Imagen que contiene alimentos, vidrio, café, taz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928" cy="726090"/>
                  </a:xfrm>
                  <a:prstGeom prst="rect">
                    <a:avLst/>
                  </a:prstGeom>
                </pic:spPr>
              </pic:pic>
            </a:graphicData>
          </a:graphic>
          <wp14:sizeRelH relativeFrom="page">
            <wp14:pctWidth>0</wp14:pctWidth>
          </wp14:sizeRelH>
          <wp14:sizeRelV relativeFrom="page">
            <wp14:pctHeight>0</wp14:pctHeight>
          </wp14:sizeRelV>
        </wp:anchor>
      </w:drawing>
    </w:r>
  </w:p>
  <w:p w14:paraId="3200C9D2" w14:textId="77777777" w:rsidR="0077032A" w:rsidRDefault="0077032A">
    <w:pPr>
      <w:pStyle w:val="Textoindependiente"/>
      <w:spacing w:line="14" w:lineRule="auto"/>
      <w:rPr>
        <w:sz w:val="20"/>
      </w:rPr>
    </w:pPr>
  </w:p>
  <w:p w14:paraId="634B3855" w14:textId="77777777" w:rsidR="0077032A" w:rsidRDefault="0077032A">
    <w:pPr>
      <w:pStyle w:val="Textoindependiente"/>
      <w:spacing w:line="14" w:lineRule="auto"/>
      <w:rPr>
        <w:sz w:val="20"/>
      </w:rPr>
    </w:pPr>
  </w:p>
  <w:p w14:paraId="57BCF3D0" w14:textId="77777777" w:rsidR="0077032A" w:rsidRDefault="0077032A">
    <w:pPr>
      <w:pStyle w:val="Textoindependiente"/>
      <w:spacing w:line="14" w:lineRule="auto"/>
      <w:rPr>
        <w:sz w:val="20"/>
      </w:rPr>
    </w:pPr>
  </w:p>
  <w:p w14:paraId="06E251BA" w14:textId="77777777" w:rsidR="0077032A" w:rsidRDefault="0077032A">
    <w:pPr>
      <w:pStyle w:val="Textoindependiente"/>
      <w:spacing w:line="14" w:lineRule="auto"/>
      <w:rPr>
        <w:sz w:val="20"/>
      </w:rPr>
    </w:pPr>
  </w:p>
  <w:p w14:paraId="3365F3E9" w14:textId="77777777" w:rsidR="0077032A" w:rsidRDefault="0077032A">
    <w:pPr>
      <w:pStyle w:val="Textoindependiente"/>
      <w:spacing w:line="14" w:lineRule="auto"/>
      <w:rPr>
        <w:sz w:val="20"/>
      </w:rPr>
    </w:pPr>
  </w:p>
  <w:p w14:paraId="694AF2FB" w14:textId="77777777" w:rsidR="0077032A" w:rsidRDefault="0077032A">
    <w:pPr>
      <w:pStyle w:val="Textoindependiente"/>
      <w:spacing w:line="14" w:lineRule="auto"/>
      <w:rPr>
        <w:sz w:val="20"/>
      </w:rPr>
    </w:pPr>
  </w:p>
  <w:p w14:paraId="7B587001" w14:textId="77777777" w:rsidR="0077032A" w:rsidRDefault="0077032A">
    <w:pPr>
      <w:pStyle w:val="Textoindependiente"/>
      <w:spacing w:line="14" w:lineRule="auto"/>
      <w:rPr>
        <w:sz w:val="20"/>
      </w:rPr>
    </w:pPr>
  </w:p>
  <w:p w14:paraId="0ACDDAFD" w14:textId="77777777" w:rsidR="0077032A" w:rsidRDefault="0077032A">
    <w:pPr>
      <w:pStyle w:val="Textoindependiente"/>
      <w:spacing w:line="14" w:lineRule="auto"/>
      <w:rPr>
        <w:sz w:val="20"/>
      </w:rPr>
    </w:pPr>
  </w:p>
  <w:p w14:paraId="1656E2DF" w14:textId="77777777" w:rsidR="0077032A" w:rsidRDefault="0077032A">
    <w:pPr>
      <w:pStyle w:val="Textoindependiente"/>
      <w:spacing w:line="14" w:lineRule="auto"/>
      <w:rPr>
        <w:sz w:val="20"/>
      </w:rPr>
    </w:pPr>
  </w:p>
  <w:p w14:paraId="1E4A3904" w14:textId="77777777" w:rsidR="0077032A" w:rsidRDefault="0077032A">
    <w:pPr>
      <w:pStyle w:val="Textoindependiente"/>
      <w:spacing w:line="14" w:lineRule="auto"/>
      <w:rPr>
        <w:sz w:val="20"/>
      </w:rPr>
    </w:pPr>
  </w:p>
  <w:p w14:paraId="207A042E" w14:textId="77777777" w:rsidR="0077032A" w:rsidRDefault="0077032A">
    <w:pPr>
      <w:pStyle w:val="Textoindependiente"/>
      <w:spacing w:line="14" w:lineRule="auto"/>
      <w:rPr>
        <w:sz w:val="20"/>
      </w:rPr>
    </w:pPr>
  </w:p>
  <w:p w14:paraId="03FF1542" w14:textId="77777777" w:rsidR="0077032A" w:rsidRDefault="0077032A">
    <w:pPr>
      <w:pStyle w:val="Textoindependiente"/>
      <w:spacing w:line="14" w:lineRule="auto"/>
      <w:rPr>
        <w:sz w:val="20"/>
      </w:rPr>
    </w:pPr>
  </w:p>
  <w:p w14:paraId="6BDF2F75" w14:textId="77777777" w:rsidR="0077032A" w:rsidRDefault="0077032A">
    <w:pPr>
      <w:pStyle w:val="Textoindependiente"/>
      <w:spacing w:line="14" w:lineRule="auto"/>
      <w:rPr>
        <w:sz w:val="20"/>
      </w:rPr>
    </w:pPr>
  </w:p>
  <w:p w14:paraId="6C2C9B54" w14:textId="77777777" w:rsidR="0077032A" w:rsidRDefault="0077032A">
    <w:pPr>
      <w:pStyle w:val="Textoindependiente"/>
      <w:spacing w:line="14" w:lineRule="auto"/>
      <w:rPr>
        <w:sz w:val="20"/>
      </w:rPr>
    </w:pPr>
  </w:p>
  <w:p w14:paraId="064FE13A" w14:textId="77777777" w:rsidR="0077032A" w:rsidRDefault="0077032A">
    <w:pPr>
      <w:pStyle w:val="Textoindependiente"/>
      <w:spacing w:line="14" w:lineRule="auto"/>
      <w:rPr>
        <w:sz w:val="20"/>
      </w:rPr>
    </w:pPr>
  </w:p>
  <w:p w14:paraId="41801D5A" w14:textId="77777777" w:rsidR="0077032A" w:rsidRDefault="0077032A">
    <w:pPr>
      <w:pStyle w:val="Textoindependiente"/>
      <w:spacing w:line="14" w:lineRule="auto"/>
      <w:rPr>
        <w:sz w:val="20"/>
      </w:rPr>
    </w:pPr>
  </w:p>
  <w:p w14:paraId="6AF2D0C5" w14:textId="77777777" w:rsidR="0077032A" w:rsidRDefault="0077032A">
    <w:pPr>
      <w:pStyle w:val="Textoindependiente"/>
      <w:spacing w:line="14" w:lineRule="auto"/>
      <w:rPr>
        <w:sz w:val="20"/>
      </w:rPr>
    </w:pPr>
  </w:p>
  <w:p w14:paraId="004015EC" w14:textId="77777777" w:rsidR="0077032A" w:rsidRDefault="0077032A">
    <w:pPr>
      <w:pStyle w:val="Textoindependiente"/>
      <w:spacing w:line="14" w:lineRule="auto"/>
      <w:rPr>
        <w:sz w:val="20"/>
      </w:rPr>
    </w:pPr>
  </w:p>
  <w:p w14:paraId="3595B80E" w14:textId="77777777" w:rsidR="0077032A" w:rsidRDefault="0077032A">
    <w:pPr>
      <w:pStyle w:val="Textoindependiente"/>
      <w:spacing w:line="14" w:lineRule="auto"/>
      <w:rPr>
        <w:sz w:val="20"/>
      </w:rPr>
    </w:pPr>
  </w:p>
  <w:p w14:paraId="4BC2C934" w14:textId="77777777" w:rsidR="0077032A" w:rsidRDefault="0077032A">
    <w:pPr>
      <w:pStyle w:val="Textoindependiente"/>
      <w:spacing w:line="14" w:lineRule="auto"/>
      <w:rPr>
        <w:sz w:val="20"/>
      </w:rPr>
    </w:pPr>
  </w:p>
  <w:p w14:paraId="0AADA922" w14:textId="77777777" w:rsidR="0077032A" w:rsidRDefault="0077032A">
    <w:pPr>
      <w:pStyle w:val="Textoindependiente"/>
      <w:spacing w:line="14" w:lineRule="auto"/>
      <w:rPr>
        <w:sz w:val="20"/>
      </w:rPr>
    </w:pPr>
  </w:p>
  <w:p w14:paraId="433E3DA4" w14:textId="77777777" w:rsidR="0077032A" w:rsidRDefault="0077032A">
    <w:pPr>
      <w:pStyle w:val="Textoindependiente"/>
      <w:spacing w:line="14" w:lineRule="auto"/>
      <w:rPr>
        <w:sz w:val="20"/>
      </w:rPr>
    </w:pPr>
  </w:p>
  <w:p w14:paraId="45CF9093" w14:textId="77777777" w:rsidR="0077032A" w:rsidRDefault="0077032A">
    <w:pPr>
      <w:pStyle w:val="Textoindependiente"/>
      <w:spacing w:line="14" w:lineRule="auto"/>
      <w:rPr>
        <w:sz w:val="20"/>
      </w:rPr>
    </w:pPr>
  </w:p>
  <w:p w14:paraId="46EA22A1" w14:textId="77777777" w:rsidR="0077032A" w:rsidRDefault="0077032A">
    <w:pPr>
      <w:pStyle w:val="Textoindependiente"/>
      <w:spacing w:line="14" w:lineRule="auto"/>
      <w:rPr>
        <w:sz w:val="20"/>
      </w:rPr>
    </w:pPr>
  </w:p>
  <w:p w14:paraId="1F3F626B" w14:textId="77777777" w:rsidR="0077032A" w:rsidRDefault="0077032A">
    <w:pPr>
      <w:pStyle w:val="Textoindependiente"/>
      <w:spacing w:line="14" w:lineRule="auto"/>
      <w:rPr>
        <w:sz w:val="20"/>
      </w:rPr>
    </w:pPr>
  </w:p>
  <w:p w14:paraId="5DAF53DF" w14:textId="77777777" w:rsidR="0077032A" w:rsidRDefault="0077032A">
    <w:pPr>
      <w:pStyle w:val="Textoindependiente"/>
      <w:spacing w:line="14" w:lineRule="auto"/>
      <w:rPr>
        <w:sz w:val="20"/>
      </w:rPr>
    </w:pPr>
  </w:p>
  <w:p w14:paraId="2A318A46" w14:textId="77777777" w:rsidR="0077032A" w:rsidRDefault="0077032A">
    <w:pPr>
      <w:pStyle w:val="Textoindependiente"/>
      <w:spacing w:line="14" w:lineRule="auto"/>
      <w:rPr>
        <w:sz w:val="20"/>
      </w:rPr>
    </w:pPr>
  </w:p>
  <w:p w14:paraId="4992675C" w14:textId="77777777" w:rsidR="0077032A" w:rsidRDefault="0077032A">
    <w:pPr>
      <w:pStyle w:val="Textoindependiente"/>
      <w:spacing w:line="14" w:lineRule="auto"/>
      <w:rPr>
        <w:sz w:val="20"/>
      </w:rPr>
    </w:pPr>
  </w:p>
  <w:p w14:paraId="10941CA6" w14:textId="77777777" w:rsidR="0077032A" w:rsidRDefault="0077032A">
    <w:pPr>
      <w:pStyle w:val="Textoindependiente"/>
      <w:spacing w:line="14" w:lineRule="auto"/>
      <w:rPr>
        <w:sz w:val="20"/>
      </w:rPr>
    </w:pPr>
  </w:p>
  <w:p w14:paraId="1D1BD92F" w14:textId="77777777" w:rsidR="0077032A" w:rsidRDefault="0077032A">
    <w:pPr>
      <w:pStyle w:val="Textoindependiente"/>
      <w:spacing w:line="14" w:lineRule="auto"/>
      <w:rPr>
        <w:sz w:val="20"/>
      </w:rPr>
    </w:pPr>
  </w:p>
  <w:p w14:paraId="5067A17C" w14:textId="77777777" w:rsidR="0077032A" w:rsidRDefault="0077032A">
    <w:pPr>
      <w:pStyle w:val="Textoindependiente"/>
      <w:spacing w:line="14" w:lineRule="auto"/>
      <w:rPr>
        <w:sz w:val="20"/>
      </w:rPr>
    </w:pPr>
  </w:p>
  <w:p w14:paraId="32AB01D7" w14:textId="77777777" w:rsidR="0077032A" w:rsidRDefault="0077032A">
    <w:pPr>
      <w:pStyle w:val="Textoindependiente"/>
      <w:spacing w:line="14" w:lineRule="auto"/>
      <w:rPr>
        <w:sz w:val="20"/>
      </w:rPr>
    </w:pPr>
  </w:p>
  <w:p w14:paraId="65726F3E" w14:textId="77777777" w:rsidR="0077032A" w:rsidRDefault="0077032A">
    <w:pPr>
      <w:pStyle w:val="Textoindependiente"/>
      <w:spacing w:line="14" w:lineRule="auto"/>
      <w:rPr>
        <w:sz w:val="20"/>
      </w:rPr>
    </w:pPr>
  </w:p>
  <w:p w14:paraId="72228B11" w14:textId="77777777" w:rsidR="0077032A" w:rsidRDefault="0077032A">
    <w:pPr>
      <w:pStyle w:val="Textoindependiente"/>
      <w:spacing w:line="14" w:lineRule="auto"/>
      <w:rPr>
        <w:sz w:val="20"/>
      </w:rPr>
    </w:pPr>
  </w:p>
  <w:p w14:paraId="323DFA72" w14:textId="77777777" w:rsidR="0077032A" w:rsidRDefault="0077032A">
    <w:pPr>
      <w:pStyle w:val="Textoindependiente"/>
      <w:spacing w:line="14" w:lineRule="auto"/>
      <w:rPr>
        <w:sz w:val="20"/>
      </w:rPr>
    </w:pPr>
  </w:p>
  <w:p w14:paraId="0EBDB737" w14:textId="77777777" w:rsidR="0077032A" w:rsidRDefault="0077032A">
    <w:pPr>
      <w:pStyle w:val="Textoindependiente"/>
      <w:spacing w:line="14" w:lineRule="auto"/>
      <w:rPr>
        <w:sz w:val="20"/>
      </w:rPr>
    </w:pPr>
  </w:p>
  <w:p w14:paraId="1F2A7D9E" w14:textId="77777777" w:rsidR="0077032A" w:rsidRDefault="0077032A">
    <w:pPr>
      <w:pStyle w:val="Textoindependiente"/>
      <w:spacing w:line="14" w:lineRule="auto"/>
      <w:rPr>
        <w:sz w:val="20"/>
      </w:rPr>
    </w:pPr>
  </w:p>
  <w:p w14:paraId="3C21D890" w14:textId="77777777" w:rsidR="0077032A" w:rsidRDefault="0077032A">
    <w:pPr>
      <w:pStyle w:val="Textoindependiente"/>
      <w:spacing w:line="14" w:lineRule="auto"/>
      <w:rPr>
        <w:sz w:val="20"/>
      </w:rPr>
    </w:pPr>
  </w:p>
  <w:p w14:paraId="797DCEB2" w14:textId="77777777" w:rsidR="0077032A" w:rsidRDefault="0077032A">
    <w:pPr>
      <w:pStyle w:val="Textoindependiente"/>
      <w:spacing w:line="14" w:lineRule="auto"/>
      <w:rPr>
        <w:sz w:val="20"/>
      </w:rPr>
    </w:pPr>
  </w:p>
  <w:p w14:paraId="6A6F8051" w14:textId="77777777" w:rsidR="0077032A" w:rsidRDefault="0077032A">
    <w:pPr>
      <w:pStyle w:val="Textoindependiente"/>
      <w:spacing w:line="14" w:lineRule="auto"/>
      <w:rPr>
        <w:sz w:val="20"/>
      </w:rPr>
    </w:pPr>
  </w:p>
  <w:p w14:paraId="529A94CB" w14:textId="77777777" w:rsidR="0077032A" w:rsidRDefault="0077032A">
    <w:pPr>
      <w:pStyle w:val="Textoindependiente"/>
      <w:spacing w:line="14" w:lineRule="auto"/>
      <w:rPr>
        <w:sz w:val="20"/>
      </w:rPr>
    </w:pPr>
  </w:p>
  <w:p w14:paraId="0F4B02C5" w14:textId="77777777" w:rsidR="0077032A" w:rsidRDefault="0077032A">
    <w:pPr>
      <w:pStyle w:val="Textoindependiente"/>
      <w:spacing w:line="14" w:lineRule="auto"/>
      <w:rPr>
        <w:sz w:val="20"/>
      </w:rPr>
    </w:pPr>
  </w:p>
  <w:p w14:paraId="4BB5FCEF" w14:textId="77777777" w:rsidR="0077032A" w:rsidRDefault="0077032A">
    <w:pPr>
      <w:pStyle w:val="Textoindependiente"/>
      <w:spacing w:line="14" w:lineRule="auto"/>
      <w:rPr>
        <w:sz w:val="20"/>
      </w:rPr>
    </w:pPr>
  </w:p>
  <w:p w14:paraId="1FB52D99" w14:textId="77777777" w:rsidR="0077032A" w:rsidRDefault="0077032A">
    <w:pPr>
      <w:pStyle w:val="Textoindependiente"/>
      <w:spacing w:line="14" w:lineRule="auto"/>
      <w:rPr>
        <w:sz w:val="20"/>
      </w:rPr>
    </w:pPr>
  </w:p>
  <w:p w14:paraId="04A31915" w14:textId="77777777" w:rsidR="0077032A" w:rsidRDefault="0077032A">
    <w:pPr>
      <w:pStyle w:val="Textoindependiente"/>
      <w:spacing w:line="14" w:lineRule="auto"/>
      <w:rPr>
        <w:sz w:val="20"/>
      </w:rPr>
    </w:pPr>
  </w:p>
  <w:p w14:paraId="0005ED96" w14:textId="77777777" w:rsidR="0077032A" w:rsidRDefault="0077032A">
    <w:pPr>
      <w:pStyle w:val="Textoindependiente"/>
      <w:spacing w:line="14" w:lineRule="auto"/>
      <w:rPr>
        <w:sz w:val="20"/>
      </w:rPr>
    </w:pPr>
  </w:p>
  <w:p w14:paraId="7E783462" w14:textId="77777777" w:rsidR="0077032A" w:rsidRDefault="0077032A">
    <w:pPr>
      <w:pStyle w:val="Textoindependiente"/>
      <w:spacing w:line="14" w:lineRule="auto"/>
      <w:rPr>
        <w:sz w:val="20"/>
      </w:rPr>
    </w:pPr>
  </w:p>
  <w:p w14:paraId="647E89D7" w14:textId="77777777" w:rsidR="0077032A" w:rsidRDefault="0077032A">
    <w:pPr>
      <w:pStyle w:val="Textoindependiente"/>
      <w:spacing w:line="14" w:lineRule="auto"/>
      <w:rPr>
        <w:sz w:val="20"/>
      </w:rPr>
    </w:pPr>
  </w:p>
  <w:p w14:paraId="657AD6A5" w14:textId="77777777" w:rsidR="0077032A" w:rsidRDefault="0077032A">
    <w:pPr>
      <w:pStyle w:val="Textoindependiente"/>
      <w:spacing w:line="14" w:lineRule="auto"/>
      <w:rPr>
        <w:sz w:val="20"/>
      </w:rPr>
    </w:pPr>
  </w:p>
  <w:p w14:paraId="3489541B" w14:textId="77777777" w:rsidR="0077032A" w:rsidRDefault="0077032A">
    <w:pPr>
      <w:pStyle w:val="Textoindependiente"/>
      <w:spacing w:line="14" w:lineRule="auto"/>
      <w:rPr>
        <w:sz w:val="20"/>
      </w:rPr>
    </w:pPr>
  </w:p>
  <w:p w14:paraId="136C5352" w14:textId="77777777" w:rsidR="0077032A" w:rsidRDefault="0077032A">
    <w:pPr>
      <w:pStyle w:val="Textoindependiente"/>
      <w:spacing w:line="14" w:lineRule="auto"/>
      <w:rPr>
        <w:sz w:val="20"/>
      </w:rPr>
    </w:pPr>
  </w:p>
  <w:p w14:paraId="3DC53D84" w14:textId="77777777" w:rsidR="0077032A" w:rsidRDefault="0077032A">
    <w:pPr>
      <w:pStyle w:val="Textoindependiente"/>
      <w:spacing w:line="14" w:lineRule="auto"/>
      <w:rPr>
        <w:sz w:val="20"/>
      </w:rPr>
    </w:pPr>
  </w:p>
  <w:p w14:paraId="52D5CACB" w14:textId="77777777" w:rsidR="0077032A" w:rsidRDefault="0077032A">
    <w:pPr>
      <w:pStyle w:val="Textoindependiente"/>
      <w:spacing w:line="14" w:lineRule="auto"/>
      <w:rPr>
        <w:sz w:val="20"/>
      </w:rPr>
    </w:pPr>
  </w:p>
  <w:p w14:paraId="6ED19F6A" w14:textId="77777777" w:rsidR="0077032A" w:rsidRDefault="0077032A">
    <w:pPr>
      <w:pStyle w:val="Textoindependiente"/>
      <w:spacing w:line="14" w:lineRule="auto"/>
      <w:rPr>
        <w:sz w:val="20"/>
      </w:rPr>
    </w:pPr>
  </w:p>
  <w:p w14:paraId="7ADDA542" w14:textId="77777777" w:rsidR="0077032A" w:rsidRDefault="0077032A">
    <w:pPr>
      <w:pStyle w:val="Textoindependiente"/>
      <w:spacing w:line="14" w:lineRule="auto"/>
      <w:rPr>
        <w:sz w:val="20"/>
      </w:rPr>
    </w:pPr>
  </w:p>
  <w:p w14:paraId="2419C9A4" w14:textId="77777777" w:rsidR="0077032A" w:rsidRDefault="0077032A">
    <w:pPr>
      <w:pStyle w:val="Textoindependiente"/>
      <w:spacing w:line="14" w:lineRule="auto"/>
      <w:rPr>
        <w:sz w:val="20"/>
      </w:rPr>
    </w:pPr>
  </w:p>
  <w:p w14:paraId="0C596B61" w14:textId="77777777" w:rsidR="0077032A" w:rsidRDefault="0077032A">
    <w:pPr>
      <w:pStyle w:val="Textoindependiente"/>
      <w:spacing w:line="14" w:lineRule="auto"/>
      <w:rPr>
        <w:sz w:val="20"/>
      </w:rPr>
    </w:pPr>
  </w:p>
  <w:p w14:paraId="5D7910B3" w14:textId="77777777" w:rsidR="0077032A" w:rsidRDefault="0077032A">
    <w:pPr>
      <w:pStyle w:val="Textoindependiente"/>
      <w:spacing w:line="14" w:lineRule="auto"/>
      <w:rPr>
        <w:sz w:val="20"/>
      </w:rPr>
    </w:pPr>
  </w:p>
  <w:p w14:paraId="0882802B" w14:textId="77777777" w:rsidR="0077032A" w:rsidRDefault="0077032A">
    <w:pPr>
      <w:pStyle w:val="Textoindependiente"/>
      <w:spacing w:line="14" w:lineRule="auto"/>
      <w:rPr>
        <w:sz w:val="20"/>
      </w:rPr>
    </w:pPr>
  </w:p>
  <w:p w14:paraId="117B9CA2" w14:textId="77777777" w:rsidR="0077032A" w:rsidRDefault="0077032A">
    <w:pPr>
      <w:pStyle w:val="Textoindependiente"/>
      <w:spacing w:line="14" w:lineRule="auto"/>
      <w:rPr>
        <w:sz w:val="20"/>
      </w:rPr>
    </w:pPr>
  </w:p>
  <w:p w14:paraId="4E34B05E" w14:textId="77777777" w:rsidR="0077032A" w:rsidRDefault="0077032A">
    <w:pPr>
      <w:pStyle w:val="Textoindependiente"/>
      <w:spacing w:line="14" w:lineRule="auto"/>
      <w:rPr>
        <w:sz w:val="20"/>
      </w:rPr>
    </w:pPr>
  </w:p>
  <w:p w14:paraId="565EE4DB" w14:textId="77777777" w:rsidR="0077032A" w:rsidRDefault="0077032A">
    <w:pPr>
      <w:pStyle w:val="Textoindependiente"/>
      <w:spacing w:line="14" w:lineRule="auto"/>
      <w:rPr>
        <w:sz w:val="20"/>
      </w:rPr>
    </w:pPr>
  </w:p>
  <w:p w14:paraId="117E962E" w14:textId="77777777" w:rsidR="0077032A" w:rsidRDefault="0077032A">
    <w:pPr>
      <w:pStyle w:val="Textoindependiente"/>
      <w:spacing w:line="14" w:lineRule="auto"/>
      <w:rPr>
        <w:sz w:val="20"/>
      </w:rPr>
    </w:pPr>
  </w:p>
  <w:p w14:paraId="40541669" w14:textId="77777777" w:rsidR="0077032A" w:rsidRDefault="0077032A">
    <w:pPr>
      <w:pStyle w:val="Textoindependiente"/>
      <w:spacing w:line="14" w:lineRule="auto"/>
      <w:rPr>
        <w:sz w:val="20"/>
      </w:rPr>
    </w:pPr>
  </w:p>
  <w:p w14:paraId="74ECA0B8" w14:textId="77777777" w:rsidR="0077032A" w:rsidRDefault="0077032A">
    <w:pPr>
      <w:pStyle w:val="Textoindependiente"/>
      <w:spacing w:line="14" w:lineRule="auto"/>
      <w:rPr>
        <w:sz w:val="20"/>
      </w:rPr>
    </w:pPr>
  </w:p>
  <w:p w14:paraId="34DEA63C" w14:textId="77777777" w:rsidR="0077032A" w:rsidRDefault="0077032A">
    <w:pPr>
      <w:pStyle w:val="Textoindependiente"/>
      <w:spacing w:line="14" w:lineRule="auto"/>
      <w:rPr>
        <w:sz w:val="20"/>
      </w:rPr>
    </w:pPr>
  </w:p>
  <w:p w14:paraId="5C9C1B25" w14:textId="77777777" w:rsidR="0077032A" w:rsidRDefault="0077032A">
    <w:pPr>
      <w:pStyle w:val="Textoindependiente"/>
      <w:spacing w:line="14" w:lineRule="auto"/>
      <w:rPr>
        <w:sz w:val="20"/>
      </w:rPr>
    </w:pPr>
  </w:p>
  <w:p w14:paraId="6BCA41FD" w14:textId="77777777" w:rsidR="0077032A" w:rsidRDefault="0077032A">
    <w:pPr>
      <w:pStyle w:val="Textoindependiente"/>
      <w:spacing w:line="14" w:lineRule="auto"/>
      <w:rPr>
        <w:sz w:val="20"/>
      </w:rPr>
    </w:pPr>
  </w:p>
  <w:p w14:paraId="49528829" w14:textId="77777777" w:rsidR="0077032A" w:rsidRDefault="0077032A">
    <w:pPr>
      <w:pStyle w:val="Textoindependiente"/>
      <w:spacing w:line="14" w:lineRule="auto"/>
      <w:rPr>
        <w:sz w:val="20"/>
      </w:rPr>
    </w:pPr>
  </w:p>
  <w:p w14:paraId="7E3E7378" w14:textId="77777777" w:rsidR="0077032A" w:rsidRDefault="0077032A">
    <w:pPr>
      <w:pStyle w:val="Textoindependiente"/>
      <w:spacing w:line="14" w:lineRule="auto"/>
      <w:rPr>
        <w:sz w:val="20"/>
      </w:rPr>
    </w:pPr>
  </w:p>
  <w:p w14:paraId="3CE0B5FC" w14:textId="77777777" w:rsidR="0077032A" w:rsidRDefault="0077032A">
    <w:pPr>
      <w:pStyle w:val="Textoindependiente"/>
      <w:spacing w:line="14" w:lineRule="auto"/>
      <w:rPr>
        <w:sz w:val="20"/>
      </w:rPr>
    </w:pPr>
  </w:p>
  <w:p w14:paraId="13B253E6" w14:textId="77777777" w:rsidR="0077032A" w:rsidRDefault="0077032A">
    <w:pPr>
      <w:pStyle w:val="Textoindependiente"/>
      <w:spacing w:line="14" w:lineRule="auto"/>
      <w:rPr>
        <w:sz w:val="20"/>
      </w:rPr>
    </w:pPr>
  </w:p>
  <w:p w14:paraId="3B495FBE" w14:textId="77777777" w:rsidR="0077032A" w:rsidRDefault="0077032A">
    <w:pPr>
      <w:pStyle w:val="Textoindependiente"/>
      <w:spacing w:line="14" w:lineRule="auto"/>
      <w:rPr>
        <w:sz w:val="20"/>
      </w:rPr>
    </w:pPr>
  </w:p>
  <w:p w14:paraId="08EAD6EA" w14:textId="77777777" w:rsidR="0077032A" w:rsidRDefault="0077032A">
    <w:pPr>
      <w:pStyle w:val="Textoindependiente"/>
      <w:spacing w:line="14" w:lineRule="auto"/>
      <w:rPr>
        <w:sz w:val="20"/>
      </w:rPr>
    </w:pPr>
  </w:p>
  <w:p w14:paraId="34438F26" w14:textId="77777777" w:rsidR="0077032A" w:rsidRDefault="0077032A">
    <w:pPr>
      <w:pStyle w:val="Textoindependiente"/>
      <w:spacing w:line="14" w:lineRule="auto"/>
      <w:rPr>
        <w:sz w:val="20"/>
      </w:rPr>
    </w:pPr>
  </w:p>
  <w:p w14:paraId="1ED76ADD" w14:textId="77777777" w:rsidR="0077032A" w:rsidRDefault="0077032A">
    <w:pPr>
      <w:pStyle w:val="Textoindependiente"/>
      <w:spacing w:line="14" w:lineRule="auto"/>
      <w:rPr>
        <w:sz w:val="20"/>
      </w:rPr>
    </w:pPr>
  </w:p>
  <w:p w14:paraId="492B73C1" w14:textId="77777777" w:rsidR="0077032A" w:rsidRDefault="0077032A">
    <w:pPr>
      <w:pStyle w:val="Textoindependiente"/>
      <w:spacing w:line="14" w:lineRule="auto"/>
      <w:rPr>
        <w:sz w:val="20"/>
      </w:rPr>
    </w:pPr>
  </w:p>
  <w:p w14:paraId="23049A4B" w14:textId="77777777" w:rsidR="0077032A" w:rsidRDefault="0077032A">
    <w:pPr>
      <w:pStyle w:val="Textoindependiente"/>
      <w:spacing w:line="14" w:lineRule="auto"/>
      <w:rPr>
        <w:sz w:val="20"/>
      </w:rPr>
    </w:pPr>
  </w:p>
  <w:p w14:paraId="029FE74C" w14:textId="77777777" w:rsidR="0077032A" w:rsidRDefault="0077032A">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3096E" w14:textId="77777777" w:rsidR="0077032A" w:rsidRDefault="0077032A">
    <w:pPr>
      <w:pStyle w:val="Textoindependiente"/>
      <w:spacing w:line="14" w:lineRule="auto"/>
      <w:rPr>
        <w:sz w:val="20"/>
      </w:rPr>
    </w:pPr>
    <w:r w:rsidRPr="00305F55">
      <w:rPr>
        <w:rFonts w:ascii="Times New Roman" w:hAnsi="Times New Roman" w:cs="Times New Roman"/>
        <w:noProof/>
        <w:lang w:val="es-CO" w:eastAsia="es-CO"/>
      </w:rPr>
      <w:drawing>
        <wp:anchor distT="0" distB="0" distL="114300" distR="114300" simplePos="0" relativeHeight="251663360" behindDoc="1" locked="0" layoutInCell="1" allowOverlap="1" wp14:anchorId="30F224AA" wp14:editId="54754B7F">
          <wp:simplePos x="0" y="0"/>
          <wp:positionH relativeFrom="margin">
            <wp:posOffset>2562225</wp:posOffset>
          </wp:positionH>
          <wp:positionV relativeFrom="paragraph">
            <wp:posOffset>-225425</wp:posOffset>
          </wp:positionV>
          <wp:extent cx="720928" cy="726090"/>
          <wp:effectExtent l="0" t="0" r="3175" b="0"/>
          <wp:wrapTight wrapText="bothSides">
            <wp:wrapPolygon edited="0">
              <wp:start x="3996" y="0"/>
              <wp:lineTo x="3996" y="9071"/>
              <wp:lineTo x="571" y="13606"/>
              <wp:lineTo x="0" y="18142"/>
              <wp:lineTo x="0" y="20976"/>
              <wp:lineTo x="21124" y="20976"/>
              <wp:lineTo x="21124" y="18142"/>
              <wp:lineTo x="19982" y="13039"/>
              <wp:lineTo x="17128" y="9071"/>
              <wp:lineTo x="17128" y="0"/>
              <wp:lineTo x="3996" y="0"/>
            </wp:wrapPolygon>
          </wp:wrapTight>
          <wp:docPr id="88" name="image1.png" descr="Imagen que contiene alimentos, vidrio, café, taz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png" descr="Imagen que contiene alimentos, vidrio, café, taz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928" cy="726090"/>
                  </a:xfrm>
                  <a:prstGeom prst="rect">
                    <a:avLst/>
                  </a:prstGeom>
                </pic:spPr>
              </pic:pic>
            </a:graphicData>
          </a:graphic>
          <wp14:sizeRelH relativeFrom="page">
            <wp14:pctWidth>0</wp14:pctWidth>
          </wp14:sizeRelH>
          <wp14:sizeRelV relativeFrom="page">
            <wp14:pctHeight>0</wp14:pctHeight>
          </wp14:sizeRelV>
        </wp:anchor>
      </w:drawing>
    </w:r>
  </w:p>
  <w:p w14:paraId="6C4D787B" w14:textId="77777777" w:rsidR="0077032A" w:rsidRDefault="0077032A">
    <w:pPr>
      <w:pStyle w:val="Textoindependiente"/>
      <w:spacing w:line="14" w:lineRule="auto"/>
      <w:rPr>
        <w:sz w:val="20"/>
      </w:rPr>
    </w:pPr>
  </w:p>
  <w:p w14:paraId="7313F75F" w14:textId="77777777" w:rsidR="0077032A" w:rsidRDefault="0077032A">
    <w:pPr>
      <w:pStyle w:val="Textoindependiente"/>
      <w:spacing w:line="14" w:lineRule="auto"/>
      <w:rPr>
        <w:sz w:val="20"/>
      </w:rPr>
    </w:pPr>
  </w:p>
  <w:p w14:paraId="6005FEE8" w14:textId="77777777" w:rsidR="0077032A" w:rsidRDefault="0077032A">
    <w:pPr>
      <w:pStyle w:val="Textoindependiente"/>
      <w:spacing w:line="14" w:lineRule="auto"/>
      <w:rPr>
        <w:sz w:val="20"/>
      </w:rPr>
    </w:pPr>
  </w:p>
  <w:p w14:paraId="6110ECCF" w14:textId="77777777" w:rsidR="0077032A" w:rsidRDefault="0077032A">
    <w:pPr>
      <w:pStyle w:val="Textoindependiente"/>
      <w:spacing w:line="14" w:lineRule="auto"/>
      <w:rPr>
        <w:sz w:val="20"/>
      </w:rPr>
    </w:pPr>
  </w:p>
  <w:p w14:paraId="6159BBEE" w14:textId="77777777" w:rsidR="0077032A" w:rsidRDefault="0077032A">
    <w:pPr>
      <w:pStyle w:val="Textoindependiente"/>
      <w:spacing w:line="14" w:lineRule="auto"/>
      <w:rPr>
        <w:sz w:val="20"/>
      </w:rPr>
    </w:pPr>
  </w:p>
  <w:p w14:paraId="4A8B8788" w14:textId="77777777" w:rsidR="0077032A" w:rsidRDefault="0077032A">
    <w:pPr>
      <w:pStyle w:val="Textoindependiente"/>
      <w:spacing w:line="14" w:lineRule="auto"/>
      <w:rPr>
        <w:sz w:val="20"/>
      </w:rPr>
    </w:pPr>
  </w:p>
  <w:p w14:paraId="65DB3FB9" w14:textId="77777777" w:rsidR="0077032A" w:rsidRDefault="0077032A">
    <w:pPr>
      <w:pStyle w:val="Textoindependiente"/>
      <w:spacing w:line="14" w:lineRule="auto"/>
      <w:rPr>
        <w:sz w:val="20"/>
      </w:rPr>
    </w:pPr>
  </w:p>
  <w:p w14:paraId="27289BD0" w14:textId="77777777" w:rsidR="0077032A" w:rsidRDefault="0077032A">
    <w:pPr>
      <w:pStyle w:val="Textoindependiente"/>
      <w:spacing w:line="14" w:lineRule="auto"/>
      <w:rPr>
        <w:sz w:val="20"/>
      </w:rPr>
    </w:pPr>
  </w:p>
  <w:p w14:paraId="5BEE3AD9" w14:textId="77777777" w:rsidR="0077032A" w:rsidRDefault="0077032A">
    <w:pPr>
      <w:pStyle w:val="Textoindependiente"/>
      <w:spacing w:line="14" w:lineRule="auto"/>
      <w:rPr>
        <w:sz w:val="20"/>
      </w:rPr>
    </w:pPr>
  </w:p>
  <w:p w14:paraId="5D549130" w14:textId="77777777" w:rsidR="0077032A" w:rsidRDefault="0077032A">
    <w:pPr>
      <w:pStyle w:val="Textoindependiente"/>
      <w:spacing w:line="14" w:lineRule="auto"/>
      <w:rPr>
        <w:sz w:val="20"/>
      </w:rPr>
    </w:pPr>
  </w:p>
  <w:p w14:paraId="1052D008" w14:textId="77777777" w:rsidR="0077032A" w:rsidRDefault="0077032A">
    <w:pPr>
      <w:pStyle w:val="Textoindependiente"/>
      <w:spacing w:line="14" w:lineRule="auto"/>
      <w:rPr>
        <w:sz w:val="20"/>
      </w:rPr>
    </w:pPr>
  </w:p>
  <w:p w14:paraId="54038478" w14:textId="77777777" w:rsidR="0077032A" w:rsidRDefault="0077032A">
    <w:pPr>
      <w:pStyle w:val="Textoindependiente"/>
      <w:spacing w:line="14" w:lineRule="auto"/>
      <w:rPr>
        <w:sz w:val="20"/>
      </w:rPr>
    </w:pPr>
  </w:p>
  <w:p w14:paraId="25FDC6F6" w14:textId="77777777" w:rsidR="0077032A" w:rsidRDefault="0077032A">
    <w:pPr>
      <w:pStyle w:val="Textoindependiente"/>
      <w:spacing w:line="14" w:lineRule="auto"/>
      <w:rPr>
        <w:sz w:val="20"/>
      </w:rPr>
    </w:pPr>
  </w:p>
  <w:p w14:paraId="13C69D44" w14:textId="77777777" w:rsidR="0077032A" w:rsidRDefault="0077032A">
    <w:pPr>
      <w:pStyle w:val="Textoindependiente"/>
      <w:spacing w:line="14" w:lineRule="auto"/>
      <w:rPr>
        <w:sz w:val="20"/>
      </w:rPr>
    </w:pPr>
  </w:p>
  <w:p w14:paraId="458C01A2" w14:textId="77777777" w:rsidR="0077032A" w:rsidRDefault="0077032A">
    <w:pPr>
      <w:pStyle w:val="Textoindependiente"/>
      <w:spacing w:line="14" w:lineRule="auto"/>
      <w:rPr>
        <w:sz w:val="20"/>
      </w:rPr>
    </w:pPr>
  </w:p>
  <w:p w14:paraId="27278C14" w14:textId="77777777" w:rsidR="0077032A" w:rsidRDefault="0077032A">
    <w:pPr>
      <w:pStyle w:val="Textoindependiente"/>
      <w:spacing w:line="14" w:lineRule="auto"/>
      <w:rPr>
        <w:sz w:val="20"/>
      </w:rPr>
    </w:pPr>
  </w:p>
  <w:p w14:paraId="3335A825" w14:textId="77777777" w:rsidR="0077032A" w:rsidRDefault="0077032A">
    <w:pPr>
      <w:pStyle w:val="Textoindependiente"/>
      <w:spacing w:line="14" w:lineRule="auto"/>
      <w:rPr>
        <w:sz w:val="20"/>
      </w:rPr>
    </w:pPr>
  </w:p>
  <w:p w14:paraId="2C8054DB" w14:textId="77777777" w:rsidR="0077032A" w:rsidRDefault="0077032A">
    <w:pPr>
      <w:pStyle w:val="Textoindependiente"/>
      <w:spacing w:line="14" w:lineRule="auto"/>
      <w:rPr>
        <w:sz w:val="20"/>
      </w:rPr>
    </w:pPr>
  </w:p>
  <w:p w14:paraId="52441EFD" w14:textId="77777777" w:rsidR="0077032A" w:rsidRDefault="0077032A">
    <w:pPr>
      <w:pStyle w:val="Textoindependiente"/>
      <w:spacing w:line="14" w:lineRule="auto"/>
      <w:rPr>
        <w:sz w:val="20"/>
      </w:rPr>
    </w:pPr>
  </w:p>
  <w:p w14:paraId="1A65AA0D" w14:textId="77777777" w:rsidR="0077032A" w:rsidRDefault="0077032A">
    <w:pPr>
      <w:pStyle w:val="Textoindependiente"/>
      <w:spacing w:line="14" w:lineRule="auto"/>
      <w:rPr>
        <w:sz w:val="20"/>
      </w:rPr>
    </w:pPr>
  </w:p>
  <w:p w14:paraId="49397BE8" w14:textId="77777777" w:rsidR="0077032A" w:rsidRDefault="0077032A">
    <w:pPr>
      <w:pStyle w:val="Textoindependiente"/>
      <w:spacing w:line="14" w:lineRule="auto"/>
      <w:rPr>
        <w:sz w:val="20"/>
      </w:rPr>
    </w:pPr>
  </w:p>
  <w:p w14:paraId="3D533C30" w14:textId="77777777" w:rsidR="0077032A" w:rsidRDefault="0077032A">
    <w:pPr>
      <w:pStyle w:val="Textoindependiente"/>
      <w:spacing w:line="14" w:lineRule="auto"/>
      <w:rPr>
        <w:sz w:val="20"/>
      </w:rPr>
    </w:pPr>
  </w:p>
  <w:p w14:paraId="3D38CD29" w14:textId="77777777" w:rsidR="0077032A" w:rsidRDefault="0077032A">
    <w:pPr>
      <w:pStyle w:val="Textoindependiente"/>
      <w:spacing w:line="14" w:lineRule="auto"/>
      <w:rPr>
        <w:sz w:val="20"/>
      </w:rPr>
    </w:pPr>
  </w:p>
  <w:p w14:paraId="472381EC" w14:textId="77777777" w:rsidR="0077032A" w:rsidRDefault="0077032A">
    <w:pPr>
      <w:pStyle w:val="Textoindependiente"/>
      <w:spacing w:line="14" w:lineRule="auto"/>
      <w:rPr>
        <w:sz w:val="20"/>
      </w:rPr>
    </w:pPr>
  </w:p>
  <w:p w14:paraId="383C2762" w14:textId="77777777" w:rsidR="0077032A" w:rsidRDefault="0077032A">
    <w:pPr>
      <w:pStyle w:val="Textoindependiente"/>
      <w:spacing w:line="14" w:lineRule="auto"/>
      <w:rPr>
        <w:sz w:val="20"/>
      </w:rPr>
    </w:pPr>
  </w:p>
  <w:p w14:paraId="76BF9C9C" w14:textId="77777777" w:rsidR="0077032A" w:rsidRDefault="0077032A">
    <w:pPr>
      <w:pStyle w:val="Textoindependiente"/>
      <w:spacing w:line="14" w:lineRule="auto"/>
      <w:rPr>
        <w:sz w:val="20"/>
      </w:rPr>
    </w:pPr>
  </w:p>
  <w:p w14:paraId="2FE80DD9" w14:textId="77777777" w:rsidR="0077032A" w:rsidRDefault="0077032A">
    <w:pPr>
      <w:pStyle w:val="Textoindependiente"/>
      <w:spacing w:line="14" w:lineRule="auto"/>
      <w:rPr>
        <w:sz w:val="20"/>
      </w:rPr>
    </w:pPr>
  </w:p>
  <w:p w14:paraId="74681D5D" w14:textId="77777777" w:rsidR="0077032A" w:rsidRDefault="0077032A">
    <w:pPr>
      <w:pStyle w:val="Textoindependiente"/>
      <w:spacing w:line="14" w:lineRule="auto"/>
      <w:rPr>
        <w:sz w:val="20"/>
      </w:rPr>
    </w:pPr>
  </w:p>
  <w:p w14:paraId="593B6954" w14:textId="77777777" w:rsidR="0077032A" w:rsidRDefault="0077032A">
    <w:pPr>
      <w:pStyle w:val="Textoindependiente"/>
      <w:spacing w:line="14" w:lineRule="auto"/>
      <w:rPr>
        <w:sz w:val="20"/>
      </w:rPr>
    </w:pPr>
  </w:p>
  <w:p w14:paraId="57448EC3" w14:textId="77777777" w:rsidR="0077032A" w:rsidRDefault="0077032A">
    <w:pPr>
      <w:pStyle w:val="Textoindependiente"/>
      <w:spacing w:line="14" w:lineRule="auto"/>
      <w:rPr>
        <w:sz w:val="20"/>
      </w:rPr>
    </w:pPr>
  </w:p>
  <w:p w14:paraId="7C25A11C" w14:textId="77777777" w:rsidR="0077032A" w:rsidRDefault="0077032A">
    <w:pPr>
      <w:pStyle w:val="Textoindependiente"/>
      <w:spacing w:line="14" w:lineRule="auto"/>
      <w:rPr>
        <w:sz w:val="20"/>
      </w:rPr>
    </w:pPr>
  </w:p>
  <w:p w14:paraId="4AA299F2" w14:textId="77777777" w:rsidR="0077032A" w:rsidRDefault="0077032A">
    <w:pPr>
      <w:pStyle w:val="Textoindependiente"/>
      <w:spacing w:line="14" w:lineRule="auto"/>
      <w:rPr>
        <w:sz w:val="20"/>
      </w:rPr>
    </w:pPr>
  </w:p>
  <w:p w14:paraId="5AF8AC9C" w14:textId="77777777" w:rsidR="0077032A" w:rsidRDefault="0077032A">
    <w:pPr>
      <w:pStyle w:val="Textoindependiente"/>
      <w:spacing w:line="14" w:lineRule="auto"/>
      <w:rPr>
        <w:sz w:val="20"/>
      </w:rPr>
    </w:pPr>
  </w:p>
  <w:p w14:paraId="1102B265" w14:textId="77777777" w:rsidR="0077032A" w:rsidRDefault="0077032A">
    <w:pPr>
      <w:pStyle w:val="Textoindependiente"/>
      <w:spacing w:line="14" w:lineRule="auto"/>
      <w:rPr>
        <w:sz w:val="20"/>
      </w:rPr>
    </w:pPr>
  </w:p>
  <w:p w14:paraId="2F827860" w14:textId="77777777" w:rsidR="0077032A" w:rsidRDefault="0077032A">
    <w:pPr>
      <w:pStyle w:val="Textoindependiente"/>
      <w:spacing w:line="14" w:lineRule="auto"/>
      <w:rPr>
        <w:sz w:val="20"/>
      </w:rPr>
    </w:pPr>
  </w:p>
  <w:p w14:paraId="3B50D0BE" w14:textId="77777777" w:rsidR="0077032A" w:rsidRDefault="0077032A">
    <w:pPr>
      <w:pStyle w:val="Textoindependiente"/>
      <w:spacing w:line="14" w:lineRule="auto"/>
      <w:rPr>
        <w:sz w:val="20"/>
      </w:rPr>
    </w:pPr>
  </w:p>
  <w:p w14:paraId="2664E902" w14:textId="77777777" w:rsidR="0077032A" w:rsidRDefault="0077032A">
    <w:pPr>
      <w:pStyle w:val="Textoindependiente"/>
      <w:spacing w:line="14" w:lineRule="auto"/>
      <w:rPr>
        <w:sz w:val="20"/>
      </w:rPr>
    </w:pPr>
  </w:p>
  <w:p w14:paraId="084BBF5B" w14:textId="77777777" w:rsidR="0077032A" w:rsidRDefault="0077032A">
    <w:pPr>
      <w:pStyle w:val="Textoindependiente"/>
      <w:spacing w:line="14" w:lineRule="auto"/>
      <w:rPr>
        <w:sz w:val="20"/>
      </w:rPr>
    </w:pPr>
  </w:p>
  <w:p w14:paraId="5CF8C06D" w14:textId="77777777" w:rsidR="0077032A" w:rsidRDefault="0077032A">
    <w:pPr>
      <w:pStyle w:val="Textoindependiente"/>
      <w:spacing w:line="14" w:lineRule="auto"/>
      <w:rPr>
        <w:sz w:val="20"/>
      </w:rPr>
    </w:pPr>
  </w:p>
  <w:p w14:paraId="4DFB028B" w14:textId="77777777" w:rsidR="0077032A" w:rsidRDefault="0077032A">
    <w:pPr>
      <w:pStyle w:val="Textoindependiente"/>
      <w:spacing w:line="14" w:lineRule="auto"/>
      <w:rPr>
        <w:sz w:val="20"/>
      </w:rPr>
    </w:pPr>
  </w:p>
  <w:p w14:paraId="319D6C62" w14:textId="77777777" w:rsidR="0077032A" w:rsidRDefault="0077032A">
    <w:pPr>
      <w:pStyle w:val="Textoindependiente"/>
      <w:spacing w:line="14" w:lineRule="auto"/>
      <w:rPr>
        <w:sz w:val="20"/>
      </w:rPr>
    </w:pPr>
  </w:p>
  <w:p w14:paraId="7F53B5ED" w14:textId="77777777" w:rsidR="0077032A" w:rsidRDefault="0077032A">
    <w:pPr>
      <w:pStyle w:val="Textoindependiente"/>
      <w:spacing w:line="14" w:lineRule="auto"/>
      <w:rPr>
        <w:sz w:val="20"/>
      </w:rPr>
    </w:pPr>
  </w:p>
  <w:p w14:paraId="49774C7E" w14:textId="77777777" w:rsidR="0077032A" w:rsidRDefault="0077032A">
    <w:pPr>
      <w:pStyle w:val="Textoindependiente"/>
      <w:spacing w:line="14" w:lineRule="auto"/>
      <w:rPr>
        <w:sz w:val="20"/>
      </w:rPr>
    </w:pPr>
  </w:p>
  <w:p w14:paraId="00BE604F" w14:textId="77777777" w:rsidR="0077032A" w:rsidRDefault="0077032A">
    <w:pPr>
      <w:pStyle w:val="Textoindependiente"/>
      <w:spacing w:line="14" w:lineRule="auto"/>
      <w:rPr>
        <w:sz w:val="20"/>
      </w:rPr>
    </w:pPr>
  </w:p>
  <w:p w14:paraId="228164B5" w14:textId="77777777" w:rsidR="0077032A" w:rsidRDefault="0077032A">
    <w:pPr>
      <w:pStyle w:val="Textoindependiente"/>
      <w:spacing w:line="14" w:lineRule="auto"/>
      <w:rPr>
        <w:sz w:val="20"/>
      </w:rPr>
    </w:pPr>
  </w:p>
  <w:p w14:paraId="59013B76" w14:textId="77777777" w:rsidR="0077032A" w:rsidRDefault="0077032A">
    <w:pPr>
      <w:pStyle w:val="Textoindependiente"/>
      <w:spacing w:line="14" w:lineRule="auto"/>
      <w:rPr>
        <w:sz w:val="20"/>
      </w:rPr>
    </w:pPr>
  </w:p>
  <w:p w14:paraId="1F52FCB1" w14:textId="77777777" w:rsidR="0077032A" w:rsidRDefault="0077032A">
    <w:pPr>
      <w:pStyle w:val="Textoindependiente"/>
      <w:spacing w:line="14" w:lineRule="auto"/>
      <w:rPr>
        <w:sz w:val="20"/>
      </w:rPr>
    </w:pPr>
  </w:p>
  <w:p w14:paraId="4DB4D3CA" w14:textId="77777777" w:rsidR="0077032A" w:rsidRDefault="0077032A">
    <w:pPr>
      <w:pStyle w:val="Textoindependiente"/>
      <w:spacing w:line="14" w:lineRule="auto"/>
      <w:rPr>
        <w:sz w:val="20"/>
      </w:rPr>
    </w:pPr>
  </w:p>
  <w:p w14:paraId="2D2DBCC8" w14:textId="77777777" w:rsidR="0077032A" w:rsidRDefault="0077032A">
    <w:pPr>
      <w:pStyle w:val="Textoindependiente"/>
      <w:spacing w:line="14" w:lineRule="auto"/>
      <w:rPr>
        <w:sz w:val="20"/>
      </w:rPr>
    </w:pPr>
  </w:p>
  <w:p w14:paraId="4EB01AAC" w14:textId="77777777" w:rsidR="0077032A" w:rsidRDefault="0077032A">
    <w:pPr>
      <w:pStyle w:val="Textoindependiente"/>
      <w:spacing w:line="14" w:lineRule="auto"/>
      <w:rPr>
        <w:sz w:val="20"/>
      </w:rPr>
    </w:pPr>
  </w:p>
  <w:p w14:paraId="54FC2667" w14:textId="77777777" w:rsidR="0077032A" w:rsidRDefault="0077032A">
    <w:pPr>
      <w:pStyle w:val="Textoindependiente"/>
      <w:spacing w:line="14" w:lineRule="auto"/>
      <w:rPr>
        <w:sz w:val="20"/>
      </w:rPr>
    </w:pPr>
  </w:p>
  <w:p w14:paraId="685A292A" w14:textId="77777777" w:rsidR="0077032A" w:rsidRDefault="0077032A">
    <w:pPr>
      <w:pStyle w:val="Textoindependiente"/>
      <w:spacing w:line="14" w:lineRule="auto"/>
      <w:rPr>
        <w:sz w:val="20"/>
      </w:rPr>
    </w:pPr>
  </w:p>
  <w:p w14:paraId="65EA11BD" w14:textId="77777777" w:rsidR="0077032A" w:rsidRDefault="0077032A">
    <w:pPr>
      <w:pStyle w:val="Textoindependiente"/>
      <w:spacing w:line="14" w:lineRule="auto"/>
      <w:rPr>
        <w:sz w:val="20"/>
      </w:rPr>
    </w:pPr>
  </w:p>
  <w:p w14:paraId="5FB76590" w14:textId="77777777" w:rsidR="0077032A" w:rsidRDefault="0077032A">
    <w:pPr>
      <w:pStyle w:val="Textoindependiente"/>
      <w:spacing w:line="14" w:lineRule="auto"/>
      <w:rPr>
        <w:sz w:val="20"/>
      </w:rPr>
    </w:pPr>
  </w:p>
  <w:p w14:paraId="19C0205A" w14:textId="77777777" w:rsidR="0077032A" w:rsidRDefault="0077032A">
    <w:pPr>
      <w:pStyle w:val="Textoindependiente"/>
      <w:spacing w:line="14" w:lineRule="auto"/>
      <w:rPr>
        <w:sz w:val="20"/>
      </w:rPr>
    </w:pPr>
  </w:p>
  <w:p w14:paraId="7AA5EAC4" w14:textId="77777777" w:rsidR="0077032A" w:rsidRDefault="0077032A">
    <w:pPr>
      <w:pStyle w:val="Textoindependiente"/>
      <w:spacing w:line="14" w:lineRule="auto"/>
      <w:rPr>
        <w:sz w:val="20"/>
      </w:rPr>
    </w:pPr>
  </w:p>
  <w:p w14:paraId="4A2C6BBF" w14:textId="77777777" w:rsidR="0077032A" w:rsidRDefault="0077032A">
    <w:pPr>
      <w:pStyle w:val="Textoindependiente"/>
      <w:spacing w:line="14" w:lineRule="auto"/>
      <w:rPr>
        <w:sz w:val="20"/>
      </w:rPr>
    </w:pPr>
  </w:p>
  <w:p w14:paraId="252E52AF" w14:textId="77777777" w:rsidR="0077032A" w:rsidRDefault="0077032A">
    <w:pPr>
      <w:pStyle w:val="Textoindependiente"/>
      <w:spacing w:line="14" w:lineRule="auto"/>
      <w:rPr>
        <w:sz w:val="20"/>
      </w:rPr>
    </w:pPr>
  </w:p>
  <w:p w14:paraId="7D26C44F" w14:textId="77777777" w:rsidR="0077032A" w:rsidRDefault="0077032A">
    <w:pPr>
      <w:pStyle w:val="Textoindependiente"/>
      <w:spacing w:line="14" w:lineRule="auto"/>
      <w:rPr>
        <w:sz w:val="20"/>
      </w:rPr>
    </w:pPr>
  </w:p>
  <w:p w14:paraId="53460881" w14:textId="77777777" w:rsidR="0077032A" w:rsidRDefault="0077032A">
    <w:pPr>
      <w:pStyle w:val="Textoindependiente"/>
      <w:spacing w:line="14" w:lineRule="auto"/>
      <w:rPr>
        <w:sz w:val="20"/>
      </w:rPr>
    </w:pPr>
  </w:p>
  <w:p w14:paraId="40C115CE" w14:textId="77777777" w:rsidR="0077032A" w:rsidRDefault="0077032A">
    <w:pPr>
      <w:pStyle w:val="Textoindependiente"/>
      <w:spacing w:line="14" w:lineRule="auto"/>
      <w:rPr>
        <w:sz w:val="20"/>
      </w:rPr>
    </w:pPr>
  </w:p>
  <w:p w14:paraId="4A6E4A9D" w14:textId="77777777" w:rsidR="0077032A" w:rsidRDefault="0077032A">
    <w:pPr>
      <w:pStyle w:val="Textoindependiente"/>
      <w:spacing w:line="14" w:lineRule="auto"/>
      <w:rPr>
        <w:sz w:val="20"/>
      </w:rPr>
    </w:pPr>
  </w:p>
  <w:p w14:paraId="04314D85" w14:textId="77777777" w:rsidR="0077032A" w:rsidRDefault="0077032A">
    <w:pPr>
      <w:pStyle w:val="Textoindependiente"/>
      <w:spacing w:line="14" w:lineRule="auto"/>
      <w:rPr>
        <w:sz w:val="20"/>
      </w:rPr>
    </w:pPr>
  </w:p>
  <w:p w14:paraId="72778AAE" w14:textId="77777777" w:rsidR="0077032A" w:rsidRDefault="0077032A">
    <w:pPr>
      <w:pStyle w:val="Textoindependiente"/>
      <w:spacing w:line="14" w:lineRule="auto"/>
      <w:rPr>
        <w:sz w:val="20"/>
      </w:rPr>
    </w:pPr>
  </w:p>
  <w:p w14:paraId="6F102B38" w14:textId="77777777" w:rsidR="0077032A" w:rsidRDefault="0077032A">
    <w:pPr>
      <w:pStyle w:val="Textoindependiente"/>
      <w:spacing w:line="14" w:lineRule="auto"/>
      <w:rPr>
        <w:sz w:val="20"/>
      </w:rPr>
    </w:pPr>
  </w:p>
  <w:p w14:paraId="5A5706D7" w14:textId="77777777" w:rsidR="0077032A" w:rsidRDefault="0077032A">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2379132D"/>
    <w:multiLevelType w:val="multilevel"/>
    <w:tmpl w:val="D88AD53E"/>
    <w:lvl w:ilvl="0">
      <w:start w:val="1"/>
      <w:numFmt w:val="decimal"/>
      <w:lvlText w:val="%1."/>
      <w:lvlJc w:val="left"/>
      <w:pPr>
        <w:ind w:left="1353" w:hanging="360"/>
      </w:pPr>
      <w:rPr>
        <w:rFonts w:hint="default"/>
        <w:b/>
      </w:rPr>
    </w:lvl>
    <w:lvl w:ilvl="1">
      <w:start w:val="2"/>
      <w:numFmt w:val="decimal"/>
      <w:isLgl/>
      <w:lvlText w:val="%1.%2."/>
      <w:lvlJc w:val="left"/>
      <w:pPr>
        <w:ind w:left="1713" w:hanging="720"/>
      </w:pPr>
      <w:rPr>
        <w:rFonts w:hint="default"/>
      </w:rPr>
    </w:lvl>
    <w:lvl w:ilvl="2">
      <w:start w:val="2"/>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433" w:hanging="144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10"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12"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A717961"/>
    <w:multiLevelType w:val="hybridMultilevel"/>
    <w:tmpl w:val="F64A351C"/>
    <w:lvl w:ilvl="0" w:tplc="26B8B7BA">
      <w:start w:val="4"/>
      <w:numFmt w:val="bullet"/>
      <w:lvlText w:val="-"/>
      <w:lvlJc w:val="left"/>
      <w:pPr>
        <w:ind w:left="720" w:hanging="360"/>
      </w:pPr>
      <w:rPr>
        <w:rFonts w:ascii="Garamond" w:eastAsia="Times New Roman" w:hAnsi="Garamon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BAA45F7"/>
    <w:multiLevelType w:val="hybridMultilevel"/>
    <w:tmpl w:val="B8785494"/>
    <w:lvl w:ilvl="0" w:tplc="369A2F20">
      <w:start w:val="1"/>
      <w:numFmt w:val="decimal"/>
      <w:pStyle w:val="Capitulo3"/>
      <w:lvlText w:val="3.%1."/>
      <w:lvlJc w:val="left"/>
      <w:pPr>
        <w:ind w:left="786" w:hanging="360"/>
      </w:pPr>
      <w:rPr>
        <w:b/>
        <w:color w:val="262626" w:themeColor="text1" w:themeTint="D9"/>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0" w15:restartNumberingAfterBreak="0">
    <w:nsid w:val="36C30385"/>
    <w:multiLevelType w:val="hybridMultilevel"/>
    <w:tmpl w:val="86C01C9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073DDB"/>
    <w:multiLevelType w:val="hybridMultilevel"/>
    <w:tmpl w:val="690A0D44"/>
    <w:lvl w:ilvl="0" w:tplc="1AD249F4">
      <w:start w:val="1"/>
      <w:numFmt w:val="bullet"/>
      <w:lvlText w:val="-"/>
      <w:lvlJc w:val="left"/>
      <w:pPr>
        <w:ind w:left="720" w:hanging="360"/>
      </w:pPr>
      <w:rPr>
        <w:rFonts w:ascii="Garamond" w:eastAsia="Times New Roman" w:hAnsi="Garamon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4"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5"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6" w15:restartNumberingAfterBreak="0">
    <w:nsid w:val="56012EBF"/>
    <w:multiLevelType w:val="multilevel"/>
    <w:tmpl w:val="DED8A9D6"/>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7" w15:restartNumberingAfterBreak="0">
    <w:nsid w:val="5AD146EC"/>
    <w:multiLevelType w:val="multilevel"/>
    <w:tmpl w:val="3168B7D4"/>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8" w15:restartNumberingAfterBreak="0">
    <w:nsid w:val="5DC63464"/>
    <w:multiLevelType w:val="hybridMultilevel"/>
    <w:tmpl w:val="D91A4504"/>
    <w:lvl w:ilvl="0" w:tplc="A816D820">
      <w:start w:val="20"/>
      <w:numFmt w:val="bullet"/>
      <w:lvlText w:val="-"/>
      <w:lvlJc w:val="left"/>
      <w:pPr>
        <w:ind w:left="1353" w:hanging="360"/>
      </w:pPr>
      <w:rPr>
        <w:rFonts w:ascii="Garamond" w:eastAsia="Times New Roman" w:hAnsi="Garamond" w:cstheme="minorHAnsi" w:hint="default"/>
        <w:i/>
        <w:color w:val="auto"/>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2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1" w15:restartNumberingAfterBreak="0">
    <w:nsid w:val="673B1F9C"/>
    <w:multiLevelType w:val="multilevel"/>
    <w:tmpl w:val="54D601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3" w15:restartNumberingAfterBreak="0">
    <w:nsid w:val="6C71704B"/>
    <w:multiLevelType w:val="multilevel"/>
    <w:tmpl w:val="2E304E9C"/>
    <w:lvl w:ilvl="0">
      <w:start w:val="1"/>
      <w:numFmt w:val="decimal"/>
      <w:lvlText w:val="%1."/>
      <w:lvlJc w:val="left"/>
      <w:pPr>
        <w:ind w:left="720" w:hanging="360"/>
      </w:pPr>
      <w:rPr>
        <w:rFonts w:hint="default"/>
        <w:b/>
        <w:sz w:val="24"/>
      </w:rPr>
    </w:lvl>
    <w:lvl w:ilvl="1">
      <w:start w:val="1"/>
      <w:numFmt w:val="decimal"/>
      <w:isLgl/>
      <w:lvlText w:val="%1.%2."/>
      <w:lvlJc w:val="left"/>
      <w:pPr>
        <w:ind w:left="1440" w:hanging="720"/>
      </w:pPr>
      <w:rPr>
        <w:rFonts w:hint="default"/>
        <w:b/>
        <w:sz w:val="24"/>
      </w:rPr>
    </w:lvl>
    <w:lvl w:ilvl="2">
      <w:start w:val="1"/>
      <w:numFmt w:val="decimal"/>
      <w:isLgl/>
      <w:lvlText w:val="%1.%2.%3."/>
      <w:lvlJc w:val="left"/>
      <w:pPr>
        <w:ind w:left="1800" w:hanging="720"/>
      </w:pPr>
      <w:rPr>
        <w:rFonts w:hint="default"/>
        <w:b/>
        <w:sz w:val="24"/>
      </w:rPr>
    </w:lvl>
    <w:lvl w:ilvl="3">
      <w:start w:val="1"/>
      <w:numFmt w:val="decimal"/>
      <w:isLgl/>
      <w:lvlText w:val="%1.%2.%3.%4."/>
      <w:lvlJc w:val="left"/>
      <w:pPr>
        <w:ind w:left="2520" w:hanging="108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600" w:hanging="144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680" w:hanging="1800"/>
      </w:pPr>
      <w:rPr>
        <w:rFonts w:hint="default"/>
        <w:sz w:val="24"/>
      </w:rPr>
    </w:lvl>
    <w:lvl w:ilvl="8">
      <w:start w:val="1"/>
      <w:numFmt w:val="decimal"/>
      <w:isLgl/>
      <w:lvlText w:val="%1.%2.%3.%4.%5.%6.%7.%8.%9."/>
      <w:lvlJc w:val="left"/>
      <w:pPr>
        <w:ind w:left="5400" w:hanging="2160"/>
      </w:pPr>
      <w:rPr>
        <w:rFonts w:hint="default"/>
        <w:sz w:val="24"/>
      </w:rPr>
    </w:lvl>
  </w:abstractNum>
  <w:abstractNum w:abstractNumId="3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3"/>
  </w:num>
  <w:num w:numId="2">
    <w:abstractNumId w:val="17"/>
  </w:num>
  <w:num w:numId="3">
    <w:abstractNumId w:val="21"/>
  </w:num>
  <w:num w:numId="4">
    <w:abstractNumId w:val="28"/>
  </w:num>
  <w:num w:numId="5">
    <w:abstractNumId w:val="20"/>
  </w:num>
  <w:num w:numId="6">
    <w:abstractNumId w:val="31"/>
  </w:num>
  <w:num w:numId="7">
    <w:abstractNumId w:val="9"/>
  </w:num>
  <w:num w:numId="8">
    <w:abstractNumId w:val="26"/>
  </w:num>
  <w:num w:numId="9">
    <w:abstractNumId w:val="4"/>
  </w:num>
  <w:num w:numId="10">
    <w:abstractNumId w:val="30"/>
  </w:num>
  <w:num w:numId="11">
    <w:abstractNumId w:val="3"/>
  </w:num>
  <w:num w:numId="12">
    <w:abstractNumId w:val="8"/>
  </w:num>
  <w:num w:numId="13">
    <w:abstractNumId w:val="32"/>
  </w:num>
  <w:num w:numId="14">
    <w:abstractNumId w:val="1"/>
  </w:num>
  <w:num w:numId="15">
    <w:abstractNumId w:val="2"/>
  </w:num>
  <w:num w:numId="16">
    <w:abstractNumId w:val="11"/>
  </w:num>
  <w:num w:numId="17">
    <w:abstractNumId w:val="5"/>
  </w:num>
  <w:num w:numId="18">
    <w:abstractNumId w:val="7"/>
  </w:num>
  <w:num w:numId="19">
    <w:abstractNumId w:val="23"/>
  </w:num>
  <w:num w:numId="20">
    <w:abstractNumId w:val="24"/>
  </w:num>
  <w:num w:numId="21">
    <w:abstractNumId w:val="25"/>
  </w:num>
  <w:num w:numId="22">
    <w:abstractNumId w:val="22"/>
  </w:num>
  <w:num w:numId="23">
    <w:abstractNumId w:val="27"/>
    <w:lvlOverride w:ilvl="0">
      <w:lvl w:ilvl="0">
        <w:start w:val="1"/>
        <w:numFmt w:val="decimal"/>
        <w:lvlText w:val="%1."/>
        <w:lvlJc w:val="left"/>
        <w:rPr>
          <w:rFonts w:cs="Times New Roman"/>
          <w:color w:val="auto"/>
        </w:rPr>
      </w:lvl>
    </w:lvlOverride>
    <w:lvlOverride w:ilvl="1">
      <w:lvl w:ilvl="1">
        <w:start w:val="1"/>
        <w:numFmt w:val="decimal"/>
        <w:lvlText w:val="%2."/>
        <w:lvlJc w:val="left"/>
        <w:rPr>
          <w:rFonts w:cs="Times New Roman"/>
          <w:color w:val="auto"/>
        </w:rPr>
      </w:lvl>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16"/>
  </w:num>
  <w:num w:numId="30">
    <w:abstractNumId w:val="14"/>
  </w:num>
  <w:num w:numId="31">
    <w:abstractNumId w:val="34"/>
  </w:num>
  <w:num w:numId="32">
    <w:abstractNumId w:val="29"/>
  </w:num>
  <w:num w:numId="33">
    <w:abstractNumId w:val="15"/>
  </w:num>
  <w:num w:numId="34">
    <w:abstractNumId w:val="0"/>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36"/>
  </w:num>
  <w:num w:numId="38">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621"/>
    <w:rsid w:val="000106A3"/>
    <w:rsid w:val="00025895"/>
    <w:rsid w:val="00035832"/>
    <w:rsid w:val="00037B06"/>
    <w:rsid w:val="000474D2"/>
    <w:rsid w:val="00047D49"/>
    <w:rsid w:val="00060B48"/>
    <w:rsid w:val="00061F42"/>
    <w:rsid w:val="00062CAD"/>
    <w:rsid w:val="00081764"/>
    <w:rsid w:val="000A233E"/>
    <w:rsid w:val="000B19E8"/>
    <w:rsid w:val="000C1BA1"/>
    <w:rsid w:val="000D1677"/>
    <w:rsid w:val="000D62E1"/>
    <w:rsid w:val="00102FA1"/>
    <w:rsid w:val="001232D3"/>
    <w:rsid w:val="00143C6A"/>
    <w:rsid w:val="001502ED"/>
    <w:rsid w:val="00171C33"/>
    <w:rsid w:val="00176467"/>
    <w:rsid w:val="001B262C"/>
    <w:rsid w:val="001B3684"/>
    <w:rsid w:val="001C515A"/>
    <w:rsid w:val="001D2B89"/>
    <w:rsid w:val="001D5327"/>
    <w:rsid w:val="001F07F4"/>
    <w:rsid w:val="002167D2"/>
    <w:rsid w:val="00232F5A"/>
    <w:rsid w:val="00255444"/>
    <w:rsid w:val="00275BB0"/>
    <w:rsid w:val="002A4BF2"/>
    <w:rsid w:val="002A7F4C"/>
    <w:rsid w:val="002B0621"/>
    <w:rsid w:val="002B2209"/>
    <w:rsid w:val="002C6BA9"/>
    <w:rsid w:val="002E184A"/>
    <w:rsid w:val="00304DB4"/>
    <w:rsid w:val="00306D47"/>
    <w:rsid w:val="00323E62"/>
    <w:rsid w:val="00326519"/>
    <w:rsid w:val="00343DA3"/>
    <w:rsid w:val="00355E5A"/>
    <w:rsid w:val="003637FA"/>
    <w:rsid w:val="00364CE4"/>
    <w:rsid w:val="00365786"/>
    <w:rsid w:val="003A1825"/>
    <w:rsid w:val="003A222E"/>
    <w:rsid w:val="003B3061"/>
    <w:rsid w:val="003B4F74"/>
    <w:rsid w:val="003C1293"/>
    <w:rsid w:val="003D57C6"/>
    <w:rsid w:val="003F692F"/>
    <w:rsid w:val="00415197"/>
    <w:rsid w:val="00415BB2"/>
    <w:rsid w:val="004176CC"/>
    <w:rsid w:val="00442988"/>
    <w:rsid w:val="00470F33"/>
    <w:rsid w:val="004C2C14"/>
    <w:rsid w:val="004D51B4"/>
    <w:rsid w:val="004E682F"/>
    <w:rsid w:val="005000D3"/>
    <w:rsid w:val="005100AC"/>
    <w:rsid w:val="00516AC6"/>
    <w:rsid w:val="00563EAE"/>
    <w:rsid w:val="005725B4"/>
    <w:rsid w:val="00574019"/>
    <w:rsid w:val="005921AB"/>
    <w:rsid w:val="00594935"/>
    <w:rsid w:val="00597F81"/>
    <w:rsid w:val="005C51A5"/>
    <w:rsid w:val="005E68DB"/>
    <w:rsid w:val="00621E65"/>
    <w:rsid w:val="006242FE"/>
    <w:rsid w:val="00627AA4"/>
    <w:rsid w:val="0064349A"/>
    <w:rsid w:val="00652037"/>
    <w:rsid w:val="0065306B"/>
    <w:rsid w:val="0068116C"/>
    <w:rsid w:val="006817A3"/>
    <w:rsid w:val="006D2F87"/>
    <w:rsid w:val="006E26AC"/>
    <w:rsid w:val="006F0C06"/>
    <w:rsid w:val="007226AA"/>
    <w:rsid w:val="00767A56"/>
    <w:rsid w:val="0077032A"/>
    <w:rsid w:val="007964FB"/>
    <w:rsid w:val="007A5621"/>
    <w:rsid w:val="007C3D72"/>
    <w:rsid w:val="007C4FE8"/>
    <w:rsid w:val="0080095C"/>
    <w:rsid w:val="00825FFD"/>
    <w:rsid w:val="00846D56"/>
    <w:rsid w:val="008503EF"/>
    <w:rsid w:val="00866C14"/>
    <w:rsid w:val="00875B36"/>
    <w:rsid w:val="008815C9"/>
    <w:rsid w:val="008B69F4"/>
    <w:rsid w:val="008C192F"/>
    <w:rsid w:val="008C2966"/>
    <w:rsid w:val="008E41A0"/>
    <w:rsid w:val="008F76DB"/>
    <w:rsid w:val="00901AC0"/>
    <w:rsid w:val="00903468"/>
    <w:rsid w:val="0094794A"/>
    <w:rsid w:val="00961D7F"/>
    <w:rsid w:val="00996C67"/>
    <w:rsid w:val="009A6A9C"/>
    <w:rsid w:val="009C66AF"/>
    <w:rsid w:val="009D5A1A"/>
    <w:rsid w:val="00A10BAD"/>
    <w:rsid w:val="00A354D3"/>
    <w:rsid w:val="00A53495"/>
    <w:rsid w:val="00A668EF"/>
    <w:rsid w:val="00A9535E"/>
    <w:rsid w:val="00A970CF"/>
    <w:rsid w:val="00AC5BAB"/>
    <w:rsid w:val="00AD55C5"/>
    <w:rsid w:val="00AD6DB4"/>
    <w:rsid w:val="00AF60F5"/>
    <w:rsid w:val="00B00A0B"/>
    <w:rsid w:val="00B06C1B"/>
    <w:rsid w:val="00B128A3"/>
    <w:rsid w:val="00B14A7D"/>
    <w:rsid w:val="00B26E66"/>
    <w:rsid w:val="00B43739"/>
    <w:rsid w:val="00BB213E"/>
    <w:rsid w:val="00BC4825"/>
    <w:rsid w:val="00C0193C"/>
    <w:rsid w:val="00C050A9"/>
    <w:rsid w:val="00C26D04"/>
    <w:rsid w:val="00C276E0"/>
    <w:rsid w:val="00C336AA"/>
    <w:rsid w:val="00C403C0"/>
    <w:rsid w:val="00C434B7"/>
    <w:rsid w:val="00C645A7"/>
    <w:rsid w:val="00C81C67"/>
    <w:rsid w:val="00C843FD"/>
    <w:rsid w:val="00C86380"/>
    <w:rsid w:val="00CA3E14"/>
    <w:rsid w:val="00CA6853"/>
    <w:rsid w:val="00CA6979"/>
    <w:rsid w:val="00CD1F14"/>
    <w:rsid w:val="00CE50EE"/>
    <w:rsid w:val="00D01498"/>
    <w:rsid w:val="00D02590"/>
    <w:rsid w:val="00D81689"/>
    <w:rsid w:val="00D82131"/>
    <w:rsid w:val="00D82F11"/>
    <w:rsid w:val="00D8549E"/>
    <w:rsid w:val="00D87611"/>
    <w:rsid w:val="00D93591"/>
    <w:rsid w:val="00DC2BCF"/>
    <w:rsid w:val="00DC6ED4"/>
    <w:rsid w:val="00DE55C6"/>
    <w:rsid w:val="00E268B1"/>
    <w:rsid w:val="00E30E31"/>
    <w:rsid w:val="00E44AC0"/>
    <w:rsid w:val="00EA1D77"/>
    <w:rsid w:val="00EA4D8D"/>
    <w:rsid w:val="00EA55C7"/>
    <w:rsid w:val="00EC1D59"/>
    <w:rsid w:val="00ED31F4"/>
    <w:rsid w:val="00F234F8"/>
    <w:rsid w:val="00F42E17"/>
    <w:rsid w:val="00F53D8D"/>
    <w:rsid w:val="00F57312"/>
    <w:rsid w:val="00F64EA3"/>
    <w:rsid w:val="00F970C5"/>
    <w:rsid w:val="00FC3EBB"/>
    <w:rsid w:val="00FE35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A9CCC"/>
  <w15:chartTrackingRefBased/>
  <w15:docId w15:val="{EB5CA73D-8067-439D-AF77-45D3BA7E7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BA1"/>
  </w:style>
  <w:style w:type="paragraph" w:styleId="Ttulo1">
    <w:name w:val="heading 1"/>
    <w:basedOn w:val="Encabezado1"/>
    <w:next w:val="Textbody"/>
    <w:link w:val="Ttulo1Car"/>
    <w:uiPriority w:val="9"/>
    <w:qFormat/>
    <w:rsid w:val="00ED31F4"/>
    <w:pPr>
      <w:outlineLvl w:val="0"/>
    </w:pPr>
    <w:rPr>
      <w:rFonts w:ascii="Liberation Serif" w:hAnsi="Liberation Serif"/>
      <w:b/>
      <w:bCs/>
      <w:sz w:val="48"/>
      <w:szCs w:val="48"/>
    </w:rPr>
  </w:style>
  <w:style w:type="paragraph" w:styleId="Ttulo2">
    <w:name w:val="heading 2"/>
    <w:aliases w:val="Capítulos"/>
    <w:basedOn w:val="Normal"/>
    <w:next w:val="Normal"/>
    <w:link w:val="Ttulo2Car"/>
    <w:uiPriority w:val="9"/>
    <w:unhideWhenUsed/>
    <w:qFormat/>
    <w:rsid w:val="00866C14"/>
    <w:pPr>
      <w:keepNext/>
      <w:keepLines/>
      <w:widowControl w:val="0"/>
      <w:autoSpaceDE w:val="0"/>
      <w:autoSpaceDN w:val="0"/>
      <w:spacing w:before="40" w:after="0" w:line="240" w:lineRule="auto"/>
      <w:outlineLvl w:val="1"/>
    </w:pPr>
    <w:rPr>
      <w:rFonts w:asciiTheme="majorHAnsi" w:eastAsiaTheme="majorEastAsia" w:hAnsiTheme="majorHAnsi" w:cstheme="majorBidi"/>
      <w:color w:val="2E74B5" w:themeColor="accent1" w:themeShade="BF"/>
      <w:sz w:val="26"/>
      <w:szCs w:val="26"/>
      <w:lang w:val="es-ES"/>
    </w:rPr>
  </w:style>
  <w:style w:type="paragraph" w:styleId="Ttulo3">
    <w:name w:val="heading 3"/>
    <w:aliases w:val="Secciones"/>
    <w:basedOn w:val="Normal"/>
    <w:next w:val="Normal"/>
    <w:link w:val="Ttulo3Car"/>
    <w:uiPriority w:val="9"/>
    <w:unhideWhenUsed/>
    <w:qFormat/>
    <w:rsid w:val="00ED31F4"/>
    <w:pPr>
      <w:keepNext/>
      <w:keepLines/>
      <w:spacing w:before="40" w:after="0"/>
      <w:ind w:left="720" w:hanging="720"/>
      <w:outlineLvl w:val="2"/>
    </w:pPr>
    <w:rPr>
      <w:rFonts w:ascii="Arial" w:eastAsiaTheme="majorEastAsia" w:hAnsi="Arial" w:cstheme="majorBidi"/>
      <w:color w:val="3B3838" w:themeColor="background2" w:themeShade="40"/>
      <w:sz w:val="20"/>
      <w:szCs w:val="24"/>
    </w:rPr>
  </w:style>
  <w:style w:type="paragraph" w:styleId="Ttulo4">
    <w:name w:val="heading 4"/>
    <w:basedOn w:val="Normal"/>
    <w:next w:val="Normal"/>
    <w:link w:val="Ttulo4Car"/>
    <w:uiPriority w:val="9"/>
    <w:semiHidden/>
    <w:unhideWhenUsed/>
    <w:qFormat/>
    <w:rsid w:val="00ED31F4"/>
    <w:pPr>
      <w:keepNext/>
      <w:keepLines/>
      <w:spacing w:before="40" w:after="0"/>
      <w:ind w:left="864" w:hanging="864"/>
      <w:outlineLvl w:val="3"/>
    </w:pPr>
    <w:rPr>
      <w:rFonts w:asciiTheme="majorHAnsi" w:eastAsiaTheme="majorEastAsia" w:hAnsiTheme="majorHAnsi" w:cstheme="majorBidi"/>
      <w:i/>
      <w:iCs/>
      <w:color w:val="2E74B5" w:themeColor="accent1" w:themeShade="BF"/>
      <w:sz w:val="20"/>
    </w:rPr>
  </w:style>
  <w:style w:type="paragraph" w:styleId="Ttulo5">
    <w:name w:val="heading 5"/>
    <w:basedOn w:val="Normal"/>
    <w:next w:val="Normal"/>
    <w:link w:val="Ttulo5Car"/>
    <w:uiPriority w:val="9"/>
    <w:semiHidden/>
    <w:unhideWhenUsed/>
    <w:qFormat/>
    <w:rsid w:val="00ED31F4"/>
    <w:pPr>
      <w:keepNext/>
      <w:keepLines/>
      <w:tabs>
        <w:tab w:val="num" w:pos="360"/>
      </w:tabs>
      <w:spacing w:before="40" w:after="0"/>
      <w:outlineLvl w:val="4"/>
    </w:pPr>
    <w:rPr>
      <w:rFonts w:asciiTheme="majorHAnsi" w:eastAsiaTheme="majorEastAsia" w:hAnsiTheme="majorHAnsi" w:cstheme="majorBidi"/>
      <w:color w:val="2E74B5" w:themeColor="accent1" w:themeShade="BF"/>
      <w:sz w:val="20"/>
    </w:rPr>
  </w:style>
  <w:style w:type="paragraph" w:styleId="Ttulo6">
    <w:name w:val="heading 6"/>
    <w:basedOn w:val="Normal"/>
    <w:next w:val="Normal"/>
    <w:link w:val="Ttulo6Car"/>
    <w:uiPriority w:val="9"/>
    <w:semiHidden/>
    <w:unhideWhenUsed/>
    <w:qFormat/>
    <w:rsid w:val="00ED31F4"/>
    <w:pPr>
      <w:keepNext/>
      <w:keepLines/>
      <w:tabs>
        <w:tab w:val="num" w:pos="360"/>
      </w:tabs>
      <w:spacing w:before="40" w:after="0"/>
      <w:outlineLvl w:val="5"/>
    </w:pPr>
    <w:rPr>
      <w:rFonts w:asciiTheme="majorHAnsi" w:eastAsiaTheme="majorEastAsia" w:hAnsiTheme="majorHAnsi" w:cstheme="majorBidi"/>
      <w:color w:val="1F4D78" w:themeColor="accent1" w:themeShade="7F"/>
      <w:sz w:val="20"/>
    </w:rPr>
  </w:style>
  <w:style w:type="paragraph" w:styleId="Ttulo7">
    <w:name w:val="heading 7"/>
    <w:basedOn w:val="Normal"/>
    <w:next w:val="Normal"/>
    <w:link w:val="Ttulo7Car"/>
    <w:uiPriority w:val="9"/>
    <w:semiHidden/>
    <w:unhideWhenUsed/>
    <w:qFormat/>
    <w:rsid w:val="00ED31F4"/>
    <w:pPr>
      <w:keepNext/>
      <w:keepLines/>
      <w:tabs>
        <w:tab w:val="num" w:pos="360"/>
      </w:tabs>
      <w:spacing w:before="40" w:after="0"/>
      <w:outlineLvl w:val="6"/>
    </w:pPr>
    <w:rPr>
      <w:rFonts w:asciiTheme="majorHAnsi" w:eastAsiaTheme="majorEastAsia" w:hAnsiTheme="majorHAnsi" w:cstheme="majorBidi"/>
      <w:i/>
      <w:iCs/>
      <w:color w:val="1F4D78" w:themeColor="accent1" w:themeShade="7F"/>
      <w:sz w:val="20"/>
    </w:rPr>
  </w:style>
  <w:style w:type="paragraph" w:styleId="Ttulo8">
    <w:name w:val="heading 8"/>
    <w:basedOn w:val="Normal"/>
    <w:next w:val="Normal"/>
    <w:link w:val="Ttulo8Car"/>
    <w:uiPriority w:val="9"/>
    <w:semiHidden/>
    <w:unhideWhenUsed/>
    <w:qFormat/>
    <w:rsid w:val="00ED31F4"/>
    <w:pPr>
      <w:keepNext/>
      <w:keepLines/>
      <w:tabs>
        <w:tab w:val="num" w:pos="360"/>
      </w:tab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D31F4"/>
    <w:pPr>
      <w:keepNext/>
      <w:keepLines/>
      <w:tabs>
        <w:tab w:val="num" w:pos="360"/>
      </w:tab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1,Foot,List Paragraph,H"/>
    <w:basedOn w:val="Normal"/>
    <w:link w:val="PrrafodelistaCar"/>
    <w:uiPriority w:val="34"/>
    <w:qFormat/>
    <w:rsid w:val="00CA3E14"/>
    <w:pPr>
      <w:ind w:left="720"/>
      <w:contextualSpacing/>
    </w:pPr>
  </w:style>
  <w:style w:type="paragraph" w:customStyle="1" w:styleId="Standard">
    <w:name w:val="Standard"/>
    <w:link w:val="StandardCar"/>
    <w:qFormat/>
    <w:rsid w:val="00415197"/>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415197"/>
    <w:rPr>
      <w:rFonts w:ascii="Times New Roman" w:eastAsia="Times New Roman" w:hAnsi="Times New Roman" w:cs="Times New Roman"/>
      <w:kern w:val="3"/>
      <w:sz w:val="20"/>
      <w:szCs w:val="20"/>
      <w:lang w:eastAsia="zh-CN"/>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34"/>
    <w:qFormat/>
    <w:rsid w:val="00846D56"/>
  </w:style>
  <w:style w:type="character" w:customStyle="1" w:styleId="Ttulo2Car">
    <w:name w:val="Título 2 Car"/>
    <w:aliases w:val="Capítulos Car"/>
    <w:basedOn w:val="Fuentedeprrafopredeter"/>
    <w:link w:val="Ttulo2"/>
    <w:uiPriority w:val="9"/>
    <w:rsid w:val="00866C14"/>
    <w:rPr>
      <w:rFonts w:asciiTheme="majorHAnsi" w:eastAsiaTheme="majorEastAsia" w:hAnsiTheme="majorHAnsi" w:cstheme="majorBidi"/>
      <w:color w:val="2E74B5" w:themeColor="accent1" w:themeShade="BF"/>
      <w:sz w:val="26"/>
      <w:szCs w:val="26"/>
      <w:lang w:val="es-ES"/>
    </w:rPr>
  </w:style>
  <w:style w:type="table" w:customStyle="1" w:styleId="NormalTable0">
    <w:name w:val="Normal Table0"/>
    <w:uiPriority w:val="2"/>
    <w:semiHidden/>
    <w:unhideWhenUsed/>
    <w:qFormat/>
    <w:rsid w:val="00866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866C14"/>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rsid w:val="00866C14"/>
    <w:rPr>
      <w:rFonts w:ascii="Arial MT" w:eastAsia="Arial MT" w:hAnsi="Arial MT" w:cs="Arial MT"/>
      <w:lang w:val="es-ES"/>
    </w:rPr>
  </w:style>
  <w:style w:type="paragraph" w:customStyle="1" w:styleId="TableParagraph">
    <w:name w:val="Table Paragraph"/>
    <w:basedOn w:val="Normal"/>
    <w:uiPriority w:val="1"/>
    <w:qFormat/>
    <w:rsid w:val="00866C14"/>
    <w:pPr>
      <w:widowControl w:val="0"/>
      <w:autoSpaceDE w:val="0"/>
      <w:autoSpaceDN w:val="0"/>
      <w:spacing w:after="0" w:line="240" w:lineRule="auto"/>
    </w:pPr>
    <w:rPr>
      <w:rFonts w:ascii="Arial MT" w:eastAsia="Arial MT" w:hAnsi="Arial MT" w:cs="Arial MT"/>
      <w:lang w:val="es-ES"/>
    </w:rPr>
  </w:style>
  <w:style w:type="paragraph" w:styleId="Descripcin">
    <w:name w:val="caption"/>
    <w:basedOn w:val="Normal"/>
    <w:next w:val="Normal"/>
    <w:uiPriority w:val="35"/>
    <w:unhideWhenUsed/>
    <w:qFormat/>
    <w:rsid w:val="00866C14"/>
    <w:pPr>
      <w:widowControl w:val="0"/>
      <w:autoSpaceDE w:val="0"/>
      <w:autoSpaceDN w:val="0"/>
      <w:spacing w:after="200" w:line="240" w:lineRule="auto"/>
    </w:pPr>
    <w:rPr>
      <w:rFonts w:ascii="Arial MT" w:eastAsia="Arial MT" w:hAnsi="Arial MT" w:cs="Arial MT"/>
      <w:i/>
      <w:iCs/>
      <w:color w:val="44546A" w:themeColor="text2"/>
      <w:sz w:val="18"/>
      <w:szCs w:val="18"/>
      <w:lang w:val="es-ES"/>
    </w:rPr>
  </w:style>
  <w:style w:type="paragraph" w:styleId="NormalWeb">
    <w:name w:val="Normal (Web)"/>
    <w:basedOn w:val="Normal"/>
    <w:uiPriority w:val="99"/>
    <w:unhideWhenUsed/>
    <w:rsid w:val="00866C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866C14"/>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h Car,h8 Car,h9 Car,h10 Car,h18 Car"/>
    <w:basedOn w:val="Fuentedeprrafopredeter"/>
    <w:link w:val="Encabezado"/>
    <w:uiPriority w:val="99"/>
    <w:rsid w:val="00866C14"/>
    <w:rPr>
      <w:rFonts w:ascii="Arial MT" w:eastAsia="Arial MT" w:hAnsi="Arial MT" w:cs="Arial MT"/>
      <w:lang w:val="es-ES"/>
    </w:rPr>
  </w:style>
  <w:style w:type="table" w:styleId="Tablaconcuadrcula">
    <w:name w:val="Table Grid"/>
    <w:basedOn w:val="Tablanormal"/>
    <w:uiPriority w:val="39"/>
    <w:rsid w:val="00866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6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k3ksmc">
    <w:name w:val="k3ksmc"/>
    <w:basedOn w:val="Normal"/>
    <w:rsid w:val="00866C1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iedepgina">
    <w:name w:val="footer"/>
    <w:aliases w:val="pie de página,Car"/>
    <w:basedOn w:val="Normal"/>
    <w:link w:val="PiedepginaCar"/>
    <w:uiPriority w:val="99"/>
    <w:unhideWhenUsed/>
    <w:rsid w:val="00CA6979"/>
    <w:pPr>
      <w:tabs>
        <w:tab w:val="center" w:pos="4419"/>
        <w:tab w:val="right" w:pos="8838"/>
      </w:tabs>
      <w:spacing w:after="0" w:line="240" w:lineRule="auto"/>
    </w:pPr>
  </w:style>
  <w:style w:type="character" w:customStyle="1" w:styleId="PiedepginaCar">
    <w:name w:val="Pie de página Car"/>
    <w:aliases w:val="pie de página Car,Car Car"/>
    <w:basedOn w:val="Fuentedeprrafopredeter"/>
    <w:link w:val="Piedepgina"/>
    <w:uiPriority w:val="99"/>
    <w:rsid w:val="00CA6979"/>
  </w:style>
  <w:style w:type="paragraph" w:customStyle="1" w:styleId="Default">
    <w:name w:val="Default"/>
    <w:rsid w:val="00EA1D77"/>
    <w:pPr>
      <w:autoSpaceDE w:val="0"/>
      <w:autoSpaceDN w:val="0"/>
      <w:adjustRightInd w:val="0"/>
      <w:spacing w:after="0" w:line="240" w:lineRule="auto"/>
    </w:pPr>
    <w:rPr>
      <w:rFonts w:ascii="Garamond" w:eastAsia="Times New Roman" w:hAnsi="Garamond" w:cs="Garamond"/>
      <w:color w:val="000000"/>
      <w:sz w:val="24"/>
      <w:szCs w:val="24"/>
      <w:lang w:eastAsia="es-CO"/>
    </w:rPr>
  </w:style>
  <w:style w:type="character" w:styleId="Hipervnculo">
    <w:name w:val="Hyperlink"/>
    <w:basedOn w:val="Fuentedeprrafopredeter"/>
    <w:uiPriority w:val="99"/>
    <w:unhideWhenUsed/>
    <w:rsid w:val="00C050A9"/>
    <w:rPr>
      <w:color w:val="0563C1" w:themeColor="hyperlink"/>
      <w:u w:val="single"/>
    </w:rPr>
  </w:style>
  <w:style w:type="table" w:customStyle="1" w:styleId="NormalTable01">
    <w:name w:val="Normal Table01"/>
    <w:uiPriority w:val="2"/>
    <w:semiHidden/>
    <w:unhideWhenUsed/>
    <w:qFormat/>
    <w:rsid w:val="00516A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F76DB"/>
    <w:rPr>
      <w:b/>
      <w:bCs/>
    </w:rPr>
  </w:style>
  <w:style w:type="table" w:customStyle="1" w:styleId="Tablaconcuadrcula1">
    <w:name w:val="Tabla con cuadrícula1"/>
    <w:basedOn w:val="Tablanormal"/>
    <w:next w:val="Tablaconcuadrcula"/>
    <w:uiPriority w:val="59"/>
    <w:rsid w:val="009D5A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ED31F4"/>
    <w:rPr>
      <w:rFonts w:ascii="Liberation Serif" w:eastAsia="Times New Roman" w:hAnsi="Liberation Serif" w:cs="Lohit Hindi"/>
      <w:b/>
      <w:bCs/>
      <w:kern w:val="3"/>
      <w:sz w:val="48"/>
      <w:szCs w:val="48"/>
      <w:lang w:eastAsia="zh-CN"/>
    </w:rPr>
  </w:style>
  <w:style w:type="character" w:customStyle="1" w:styleId="Ttulo3Car">
    <w:name w:val="Título 3 Car"/>
    <w:aliases w:val="Secciones Car"/>
    <w:basedOn w:val="Fuentedeprrafopredeter"/>
    <w:link w:val="Ttulo3"/>
    <w:uiPriority w:val="9"/>
    <w:rsid w:val="00ED31F4"/>
    <w:rPr>
      <w:rFonts w:ascii="Arial" w:eastAsiaTheme="majorEastAsia" w:hAnsi="Arial"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ED31F4"/>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ED31F4"/>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ED31F4"/>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ED31F4"/>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ED31F4"/>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D31F4"/>
    <w:rPr>
      <w:rFonts w:asciiTheme="majorHAnsi" w:eastAsiaTheme="majorEastAsia" w:hAnsiTheme="majorHAnsi" w:cstheme="majorBidi"/>
      <w:i/>
      <w:iCs/>
      <w:color w:val="272727" w:themeColor="text1" w:themeTint="D8"/>
      <w:sz w:val="21"/>
      <w:szCs w:val="21"/>
    </w:rPr>
  </w:style>
  <w:style w:type="paragraph" w:customStyle="1" w:styleId="Heading">
    <w:name w:val="Heading"/>
    <w:basedOn w:val="Normal"/>
    <w:rsid w:val="00ED31F4"/>
    <w:pPr>
      <w:widowControl w:val="0"/>
      <w:tabs>
        <w:tab w:val="center" w:pos="4419"/>
        <w:tab w:val="right" w:pos="8838"/>
      </w:tabs>
      <w:suppressAutoHyphens/>
      <w:autoSpaceDN w:val="0"/>
      <w:spacing w:after="0" w:line="240" w:lineRule="auto"/>
      <w:textAlignment w:val="baseline"/>
    </w:pPr>
    <w:rPr>
      <w:rFonts w:ascii="Times New Roman" w:eastAsia="Times New Roman" w:hAnsi="Times New Roman" w:cs="Mangal"/>
      <w:kern w:val="3"/>
      <w:sz w:val="24"/>
      <w:szCs w:val="21"/>
      <w:lang w:eastAsia="zh-CN" w:bidi="hi-IN"/>
    </w:rPr>
  </w:style>
  <w:style w:type="paragraph" w:customStyle="1" w:styleId="Textbody">
    <w:name w:val="Text body"/>
    <w:basedOn w:val="Standard"/>
    <w:rsid w:val="00ED31F4"/>
    <w:pPr>
      <w:spacing w:line="360" w:lineRule="auto"/>
      <w:jc w:val="both"/>
    </w:pPr>
    <w:rPr>
      <w:rFonts w:ascii="Arial" w:hAnsi="Arial" w:cs="Arial"/>
      <w:sz w:val="24"/>
      <w:szCs w:val="24"/>
    </w:rPr>
  </w:style>
  <w:style w:type="paragraph" w:styleId="Lista">
    <w:name w:val="List"/>
    <w:basedOn w:val="Textbody"/>
    <w:uiPriority w:val="99"/>
    <w:rsid w:val="00ED31F4"/>
    <w:rPr>
      <w:rFonts w:cs="Lohit Hindi"/>
    </w:rPr>
  </w:style>
  <w:style w:type="paragraph" w:customStyle="1" w:styleId="Descripcin1">
    <w:name w:val="Descripción1"/>
    <w:basedOn w:val="Standard"/>
    <w:uiPriority w:val="35"/>
    <w:rsid w:val="00ED31F4"/>
    <w:pPr>
      <w:suppressLineNumbers/>
      <w:spacing w:before="120" w:after="120"/>
    </w:pPr>
    <w:rPr>
      <w:rFonts w:cs="Lohit Hindi"/>
      <w:i/>
      <w:iCs/>
      <w:sz w:val="24"/>
      <w:szCs w:val="24"/>
    </w:rPr>
  </w:style>
  <w:style w:type="paragraph" w:customStyle="1" w:styleId="Index">
    <w:name w:val="Index"/>
    <w:basedOn w:val="Standard"/>
    <w:rsid w:val="00ED31F4"/>
    <w:pPr>
      <w:suppressLineNumbers/>
    </w:pPr>
    <w:rPr>
      <w:rFonts w:cs="Lohit Hindi"/>
    </w:rPr>
  </w:style>
  <w:style w:type="paragraph" w:customStyle="1" w:styleId="Encabezado1">
    <w:name w:val="Encabezado1"/>
    <w:basedOn w:val="Standard"/>
    <w:next w:val="Textbody"/>
    <w:rsid w:val="00ED31F4"/>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ED31F4"/>
    <w:pPr>
      <w:suppressLineNumbers/>
      <w:spacing w:before="120" w:after="120"/>
    </w:pPr>
    <w:rPr>
      <w:rFonts w:cs="Lohit Hindi"/>
      <w:i/>
      <w:iCs/>
      <w:sz w:val="24"/>
      <w:szCs w:val="24"/>
    </w:rPr>
  </w:style>
  <w:style w:type="character" w:customStyle="1" w:styleId="PiedepginaCar2">
    <w:name w:val="Pie de página Car2"/>
    <w:aliases w:val="pie de página Car1,Car Car1"/>
    <w:uiPriority w:val="99"/>
    <w:rsid w:val="00ED31F4"/>
    <w:rPr>
      <w:rFonts w:ascii="Times New Roman" w:hAnsi="Times New Roman"/>
      <w:sz w:val="24"/>
      <w:lang w:val="es-ES"/>
    </w:rPr>
  </w:style>
  <w:style w:type="paragraph" w:customStyle="1" w:styleId="Footnote">
    <w:name w:val="Footnote"/>
    <w:basedOn w:val="Standard"/>
    <w:rsid w:val="00ED31F4"/>
  </w:style>
  <w:style w:type="paragraph" w:customStyle="1" w:styleId="Textoindependiente21">
    <w:name w:val="Texto independiente 21"/>
    <w:basedOn w:val="Standard"/>
    <w:rsid w:val="00ED31F4"/>
    <w:pPr>
      <w:spacing w:after="120" w:line="480" w:lineRule="auto"/>
    </w:pPr>
    <w:rPr>
      <w:sz w:val="24"/>
      <w:szCs w:val="24"/>
    </w:rPr>
  </w:style>
  <w:style w:type="paragraph" w:customStyle="1" w:styleId="Contents1">
    <w:name w:val="Contents 1"/>
    <w:basedOn w:val="Standard"/>
    <w:next w:val="Standard"/>
    <w:rsid w:val="00ED31F4"/>
    <w:pPr>
      <w:spacing w:before="120" w:after="120"/>
    </w:pPr>
    <w:rPr>
      <w:b/>
      <w:bCs/>
      <w:caps/>
    </w:rPr>
  </w:style>
  <w:style w:type="paragraph" w:customStyle="1" w:styleId="Contents2">
    <w:name w:val="Contents 2"/>
    <w:basedOn w:val="Standard"/>
    <w:next w:val="Standard"/>
    <w:rsid w:val="00ED31F4"/>
    <w:pPr>
      <w:ind w:left="200"/>
    </w:pPr>
    <w:rPr>
      <w:smallCaps/>
    </w:rPr>
  </w:style>
  <w:style w:type="paragraph" w:customStyle="1" w:styleId="Contents3">
    <w:name w:val="Contents 3"/>
    <w:basedOn w:val="Standard"/>
    <w:next w:val="Standard"/>
    <w:rsid w:val="00ED31F4"/>
    <w:pPr>
      <w:ind w:left="400"/>
    </w:pPr>
    <w:rPr>
      <w:i/>
      <w:iCs/>
    </w:rPr>
  </w:style>
  <w:style w:type="paragraph" w:customStyle="1" w:styleId="Contents4">
    <w:name w:val="Contents 4"/>
    <w:basedOn w:val="Standard"/>
    <w:next w:val="Standard"/>
    <w:rsid w:val="00ED31F4"/>
    <w:pPr>
      <w:ind w:left="800" w:hanging="200"/>
    </w:pPr>
  </w:style>
  <w:style w:type="paragraph" w:customStyle="1" w:styleId="Contents5">
    <w:name w:val="Contents 5"/>
    <w:basedOn w:val="Standard"/>
    <w:next w:val="Standard"/>
    <w:rsid w:val="00ED31F4"/>
    <w:pPr>
      <w:ind w:left="1000" w:hanging="200"/>
    </w:pPr>
  </w:style>
  <w:style w:type="paragraph" w:customStyle="1" w:styleId="Contents6">
    <w:name w:val="Contents 6"/>
    <w:basedOn w:val="Standard"/>
    <w:next w:val="Standard"/>
    <w:rsid w:val="00ED31F4"/>
    <w:pPr>
      <w:ind w:left="1200" w:hanging="200"/>
    </w:pPr>
  </w:style>
  <w:style w:type="paragraph" w:customStyle="1" w:styleId="Contents7">
    <w:name w:val="Contents 7"/>
    <w:basedOn w:val="Standard"/>
    <w:next w:val="Standard"/>
    <w:rsid w:val="00ED31F4"/>
    <w:pPr>
      <w:ind w:left="1400" w:hanging="200"/>
    </w:pPr>
  </w:style>
  <w:style w:type="paragraph" w:customStyle="1" w:styleId="Contents8">
    <w:name w:val="Contents 8"/>
    <w:basedOn w:val="Standard"/>
    <w:next w:val="Standard"/>
    <w:rsid w:val="00ED31F4"/>
    <w:pPr>
      <w:ind w:left="1600" w:hanging="200"/>
    </w:pPr>
  </w:style>
  <w:style w:type="paragraph" w:customStyle="1" w:styleId="Contents9">
    <w:name w:val="Contents 9"/>
    <w:basedOn w:val="Standard"/>
    <w:next w:val="Standard"/>
    <w:rsid w:val="00ED31F4"/>
    <w:pPr>
      <w:ind w:left="1800" w:hanging="200"/>
    </w:pPr>
  </w:style>
  <w:style w:type="paragraph" w:styleId="ndice1">
    <w:name w:val="index 1"/>
    <w:basedOn w:val="Normal"/>
    <w:next w:val="Normal"/>
    <w:autoRedefine/>
    <w:uiPriority w:val="99"/>
    <w:semiHidden/>
    <w:unhideWhenUsed/>
    <w:rsid w:val="00ED31F4"/>
    <w:pPr>
      <w:widowControl w:val="0"/>
      <w:suppressAutoHyphens/>
      <w:autoSpaceDN w:val="0"/>
      <w:spacing w:after="0" w:line="240" w:lineRule="auto"/>
      <w:ind w:left="240" w:hanging="240"/>
      <w:textAlignment w:val="baseline"/>
    </w:pPr>
    <w:rPr>
      <w:rFonts w:ascii="Times New Roman" w:eastAsia="Times New Roman" w:hAnsi="Times New Roman" w:cs="Mangal"/>
      <w:kern w:val="3"/>
      <w:sz w:val="24"/>
      <w:szCs w:val="21"/>
      <w:lang w:eastAsia="zh-CN" w:bidi="hi-IN"/>
    </w:rPr>
  </w:style>
  <w:style w:type="paragraph" w:styleId="Ttulodendice">
    <w:name w:val="index heading"/>
    <w:basedOn w:val="Standard"/>
    <w:next w:val="Contents1"/>
    <w:uiPriority w:val="99"/>
    <w:rsid w:val="00ED31F4"/>
    <w:pPr>
      <w:spacing w:before="120" w:after="120"/>
    </w:pPr>
    <w:rPr>
      <w:b/>
      <w:bCs/>
      <w:i/>
      <w:iCs/>
    </w:rPr>
  </w:style>
  <w:style w:type="paragraph" w:customStyle="1" w:styleId="TDC41">
    <w:name w:val="TDC 41"/>
    <w:basedOn w:val="Standard"/>
    <w:next w:val="Standard"/>
    <w:rsid w:val="00ED31F4"/>
    <w:pPr>
      <w:ind w:left="600"/>
    </w:pPr>
    <w:rPr>
      <w:sz w:val="18"/>
      <w:szCs w:val="18"/>
    </w:rPr>
  </w:style>
  <w:style w:type="paragraph" w:customStyle="1" w:styleId="TDC51">
    <w:name w:val="TDC 51"/>
    <w:basedOn w:val="Standard"/>
    <w:next w:val="Standard"/>
    <w:rsid w:val="00ED31F4"/>
    <w:pPr>
      <w:ind w:left="800"/>
    </w:pPr>
    <w:rPr>
      <w:sz w:val="18"/>
      <w:szCs w:val="18"/>
    </w:rPr>
  </w:style>
  <w:style w:type="paragraph" w:customStyle="1" w:styleId="TDC61">
    <w:name w:val="TDC 61"/>
    <w:basedOn w:val="Standard"/>
    <w:next w:val="Standard"/>
    <w:rsid w:val="00ED31F4"/>
    <w:pPr>
      <w:ind w:left="1000"/>
    </w:pPr>
    <w:rPr>
      <w:sz w:val="18"/>
      <w:szCs w:val="18"/>
    </w:rPr>
  </w:style>
  <w:style w:type="paragraph" w:customStyle="1" w:styleId="TDC71">
    <w:name w:val="TDC 71"/>
    <w:basedOn w:val="Standard"/>
    <w:next w:val="Standard"/>
    <w:rsid w:val="00ED31F4"/>
    <w:pPr>
      <w:ind w:left="1200"/>
    </w:pPr>
    <w:rPr>
      <w:sz w:val="18"/>
      <w:szCs w:val="18"/>
    </w:rPr>
  </w:style>
  <w:style w:type="paragraph" w:customStyle="1" w:styleId="TDC81">
    <w:name w:val="TDC 81"/>
    <w:basedOn w:val="Standard"/>
    <w:next w:val="Standard"/>
    <w:rsid w:val="00ED31F4"/>
    <w:pPr>
      <w:ind w:left="1400"/>
    </w:pPr>
    <w:rPr>
      <w:sz w:val="18"/>
      <w:szCs w:val="18"/>
    </w:rPr>
  </w:style>
  <w:style w:type="paragraph" w:customStyle="1" w:styleId="TDC91">
    <w:name w:val="TDC 91"/>
    <w:basedOn w:val="Standard"/>
    <w:next w:val="Standard"/>
    <w:rsid w:val="00ED31F4"/>
    <w:pPr>
      <w:ind w:left="1600"/>
    </w:pPr>
    <w:rPr>
      <w:sz w:val="18"/>
      <w:szCs w:val="18"/>
    </w:rPr>
  </w:style>
  <w:style w:type="paragraph" w:customStyle="1" w:styleId="Prrafodelista1">
    <w:name w:val="Párrafo de lista1"/>
    <w:basedOn w:val="Standard"/>
    <w:rsid w:val="00ED31F4"/>
    <w:pPr>
      <w:ind w:left="708"/>
    </w:pPr>
  </w:style>
  <w:style w:type="paragraph" w:styleId="Textodeglobo">
    <w:name w:val="Balloon Text"/>
    <w:basedOn w:val="Standard"/>
    <w:link w:val="TextodegloboCar"/>
    <w:uiPriority w:val="99"/>
    <w:rsid w:val="00ED31F4"/>
    <w:rPr>
      <w:rFonts w:ascii="Tahoma" w:hAnsi="Tahoma" w:cs="Tahoma"/>
      <w:sz w:val="16"/>
      <w:szCs w:val="16"/>
    </w:rPr>
  </w:style>
  <w:style w:type="character" w:customStyle="1" w:styleId="TextodegloboCar">
    <w:name w:val="Texto de globo Car"/>
    <w:basedOn w:val="Fuentedeprrafopredeter"/>
    <w:link w:val="Textodeglobo"/>
    <w:uiPriority w:val="99"/>
    <w:rsid w:val="00ED31F4"/>
    <w:rPr>
      <w:rFonts w:ascii="Tahoma" w:eastAsia="Times New Roman" w:hAnsi="Tahoma" w:cs="Tahoma"/>
      <w:kern w:val="3"/>
      <w:sz w:val="16"/>
      <w:szCs w:val="16"/>
      <w:lang w:eastAsia="zh-CN"/>
    </w:rPr>
  </w:style>
  <w:style w:type="paragraph" w:customStyle="1" w:styleId="Textocomentario1">
    <w:name w:val="Texto comentario1"/>
    <w:basedOn w:val="Standard"/>
    <w:rsid w:val="00ED31F4"/>
  </w:style>
  <w:style w:type="paragraph" w:styleId="Textocomentario">
    <w:name w:val="annotation text"/>
    <w:basedOn w:val="Normal"/>
    <w:link w:val="TextocomentarioCar1"/>
    <w:uiPriority w:val="99"/>
    <w:rsid w:val="00ED31F4"/>
    <w:pPr>
      <w:widowControl w:val="0"/>
      <w:suppressAutoHyphens/>
      <w:autoSpaceDN w:val="0"/>
      <w:spacing w:after="0" w:line="240" w:lineRule="auto"/>
      <w:textAlignment w:val="baseline"/>
    </w:pPr>
    <w:rPr>
      <w:rFonts w:ascii="Times New Roman" w:eastAsia="Times New Roman" w:hAnsi="Times New Roman" w:cs="Mangal"/>
      <w:kern w:val="3"/>
      <w:sz w:val="20"/>
      <w:szCs w:val="18"/>
      <w:lang w:eastAsia="zh-CN" w:bidi="hi-IN"/>
    </w:rPr>
  </w:style>
  <w:style w:type="character" w:customStyle="1" w:styleId="TextocomentarioCar">
    <w:name w:val="Texto comentario Car"/>
    <w:basedOn w:val="Fuentedeprrafopredeter"/>
    <w:uiPriority w:val="99"/>
    <w:rsid w:val="00ED31F4"/>
    <w:rPr>
      <w:sz w:val="20"/>
      <w:szCs w:val="20"/>
    </w:rPr>
  </w:style>
  <w:style w:type="character" w:customStyle="1" w:styleId="TextocomentarioCar1">
    <w:name w:val="Texto comentario Car1"/>
    <w:link w:val="Textocomentario"/>
    <w:uiPriority w:val="99"/>
    <w:rsid w:val="00ED31F4"/>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ED31F4"/>
    <w:rPr>
      <w:b/>
      <w:bCs/>
    </w:rPr>
  </w:style>
  <w:style w:type="character" w:customStyle="1" w:styleId="AsuntodelcomentarioCar">
    <w:name w:val="Asunto del comentario Car"/>
    <w:basedOn w:val="TextocomentarioCar"/>
    <w:link w:val="Asuntodelcomentario"/>
    <w:uiPriority w:val="99"/>
    <w:rsid w:val="00ED31F4"/>
    <w:rPr>
      <w:rFonts w:ascii="Times New Roman" w:eastAsia="Times New Roman" w:hAnsi="Times New Roman" w:cs="Times New Roman"/>
      <w:b/>
      <w:bCs/>
      <w:kern w:val="3"/>
      <w:sz w:val="20"/>
      <w:szCs w:val="20"/>
      <w:lang w:eastAsia="zh-CN"/>
    </w:rPr>
  </w:style>
  <w:style w:type="paragraph" w:customStyle="1" w:styleId="Sangradet">
    <w:name w:val="Sangría de t"/>
    <w:basedOn w:val="Standard"/>
    <w:rsid w:val="00ED31F4"/>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ED31F4"/>
    <w:pPr>
      <w:spacing w:after="120" w:line="480" w:lineRule="auto"/>
      <w:ind w:left="283"/>
    </w:pPr>
  </w:style>
  <w:style w:type="paragraph" w:customStyle="1" w:styleId="TableContents">
    <w:name w:val="Table Contents"/>
    <w:basedOn w:val="Standard"/>
    <w:rsid w:val="00ED31F4"/>
    <w:pPr>
      <w:suppressLineNumbers/>
    </w:pPr>
  </w:style>
  <w:style w:type="paragraph" w:customStyle="1" w:styleId="TableHeading">
    <w:name w:val="Table Heading"/>
    <w:basedOn w:val="TableContents"/>
    <w:rsid w:val="00ED31F4"/>
    <w:pPr>
      <w:jc w:val="center"/>
    </w:pPr>
    <w:rPr>
      <w:b/>
      <w:bCs/>
    </w:rPr>
  </w:style>
  <w:style w:type="paragraph" w:customStyle="1" w:styleId="western">
    <w:name w:val="western"/>
    <w:basedOn w:val="Standard"/>
    <w:rsid w:val="00ED31F4"/>
    <w:pPr>
      <w:suppressAutoHyphens w:val="0"/>
      <w:spacing w:before="280" w:after="280"/>
    </w:pPr>
    <w:rPr>
      <w:sz w:val="24"/>
      <w:szCs w:val="24"/>
    </w:rPr>
  </w:style>
  <w:style w:type="character" w:customStyle="1" w:styleId="EncabezadoCar2">
    <w:name w:val="Encabezado Car2"/>
    <w:aliases w:val="h Car1,h8 Car1,h9 Car1,h10 Car1,h18 Car1"/>
    <w:uiPriority w:val="99"/>
    <w:rsid w:val="00ED31F4"/>
    <w:rPr>
      <w:sz w:val="20"/>
    </w:rPr>
  </w:style>
  <w:style w:type="character" w:customStyle="1" w:styleId="WW8Num1z0">
    <w:name w:val="WW8Num1z0"/>
    <w:rsid w:val="00ED31F4"/>
    <w:rPr>
      <w:rFonts w:ascii="Symbol" w:hAnsi="Symbol"/>
      <w:b/>
    </w:rPr>
  </w:style>
  <w:style w:type="character" w:customStyle="1" w:styleId="WW8Num1z1">
    <w:name w:val="WW8Num1z1"/>
    <w:rsid w:val="00ED31F4"/>
  </w:style>
  <w:style w:type="character" w:customStyle="1" w:styleId="WW8Num1z2">
    <w:name w:val="WW8Num1z2"/>
    <w:rsid w:val="00ED31F4"/>
  </w:style>
  <w:style w:type="character" w:customStyle="1" w:styleId="WW8Num1z3">
    <w:name w:val="WW8Num1z3"/>
    <w:rsid w:val="00ED31F4"/>
  </w:style>
  <w:style w:type="character" w:customStyle="1" w:styleId="WW8Num1z4">
    <w:name w:val="WW8Num1z4"/>
    <w:rsid w:val="00ED31F4"/>
  </w:style>
  <w:style w:type="character" w:customStyle="1" w:styleId="WW8Num1z5">
    <w:name w:val="WW8Num1z5"/>
    <w:rsid w:val="00ED31F4"/>
  </w:style>
  <w:style w:type="character" w:customStyle="1" w:styleId="WW8Num1z6">
    <w:name w:val="WW8Num1z6"/>
    <w:rsid w:val="00ED31F4"/>
  </w:style>
  <w:style w:type="character" w:customStyle="1" w:styleId="WW8Num1z7">
    <w:name w:val="WW8Num1z7"/>
    <w:rsid w:val="00ED31F4"/>
  </w:style>
  <w:style w:type="character" w:customStyle="1" w:styleId="WW8Num1z8">
    <w:name w:val="WW8Num1z8"/>
    <w:rsid w:val="00ED31F4"/>
  </w:style>
  <w:style w:type="character" w:customStyle="1" w:styleId="WW8Num2z0">
    <w:name w:val="WW8Num2z0"/>
    <w:rsid w:val="00ED31F4"/>
    <w:rPr>
      <w:rFonts w:ascii="Arial" w:hAnsi="Arial"/>
      <w:b/>
      <w:sz w:val="22"/>
    </w:rPr>
  </w:style>
  <w:style w:type="character" w:customStyle="1" w:styleId="WW8Num3z0">
    <w:name w:val="WW8Num3z0"/>
    <w:rsid w:val="00ED31F4"/>
  </w:style>
  <w:style w:type="character" w:customStyle="1" w:styleId="WW8Num4z0">
    <w:name w:val="WW8Num4z0"/>
    <w:rsid w:val="00ED31F4"/>
    <w:rPr>
      <w:rFonts w:ascii="Garamond" w:hAnsi="Garamond"/>
      <w:color w:val="000000"/>
      <w:sz w:val="22"/>
    </w:rPr>
  </w:style>
  <w:style w:type="character" w:customStyle="1" w:styleId="WW8Num5z0">
    <w:name w:val="WW8Num5z0"/>
    <w:rsid w:val="00ED31F4"/>
    <w:rPr>
      <w:rFonts w:ascii="Arial" w:hAnsi="Arial"/>
      <w:b/>
      <w:sz w:val="22"/>
    </w:rPr>
  </w:style>
  <w:style w:type="character" w:customStyle="1" w:styleId="WW8Num6z0">
    <w:name w:val="WW8Num6z0"/>
    <w:rsid w:val="00ED31F4"/>
    <w:rPr>
      <w:rFonts w:ascii="Garamond" w:hAnsi="Garamond"/>
      <w:color w:val="000000"/>
      <w:sz w:val="22"/>
      <w:lang w:val="es-ES"/>
    </w:rPr>
  </w:style>
  <w:style w:type="character" w:customStyle="1" w:styleId="WW8Num7z0">
    <w:name w:val="WW8Num7z0"/>
    <w:rsid w:val="00ED31F4"/>
  </w:style>
  <w:style w:type="character" w:customStyle="1" w:styleId="WW8Num8z0">
    <w:name w:val="WW8Num8z0"/>
    <w:rsid w:val="00ED31F4"/>
    <w:rPr>
      <w:rFonts w:ascii="Arial Narrow" w:hAnsi="Arial Narrow"/>
      <w:color w:val="000000"/>
      <w:sz w:val="22"/>
    </w:rPr>
  </w:style>
  <w:style w:type="character" w:customStyle="1" w:styleId="WW8Num9z0">
    <w:name w:val="WW8Num9z0"/>
    <w:rsid w:val="00ED31F4"/>
    <w:rPr>
      <w:rFonts w:ascii="Garamond" w:hAnsi="Garamond"/>
      <w:b/>
      <w:sz w:val="22"/>
      <w:lang w:val="es-ES"/>
    </w:rPr>
  </w:style>
  <w:style w:type="character" w:customStyle="1" w:styleId="WW8Num10z0">
    <w:name w:val="WW8Num10z0"/>
    <w:rsid w:val="00ED31F4"/>
    <w:rPr>
      <w:rFonts w:ascii="Garamond" w:hAnsi="Garamond"/>
      <w:b/>
      <w:color w:val="000000"/>
      <w:sz w:val="22"/>
    </w:rPr>
  </w:style>
  <w:style w:type="character" w:customStyle="1" w:styleId="WW8Num11z0">
    <w:name w:val="WW8Num11z0"/>
    <w:rsid w:val="00ED31F4"/>
    <w:rPr>
      <w:rFonts w:ascii="Symbol" w:hAnsi="Symbol"/>
      <w:b/>
    </w:rPr>
  </w:style>
  <w:style w:type="character" w:customStyle="1" w:styleId="WW8Num12z0">
    <w:name w:val="WW8Num12z0"/>
    <w:rsid w:val="00ED31F4"/>
    <w:rPr>
      <w:rFonts w:ascii="Arial" w:hAnsi="Arial"/>
      <w:b/>
      <w:sz w:val="22"/>
      <w:lang w:val="es-ES"/>
    </w:rPr>
  </w:style>
  <w:style w:type="character" w:customStyle="1" w:styleId="WW8Num12z1">
    <w:name w:val="WW8Num12z1"/>
    <w:rsid w:val="00ED31F4"/>
  </w:style>
  <w:style w:type="character" w:customStyle="1" w:styleId="WW8Num13z0">
    <w:name w:val="WW8Num13z0"/>
    <w:rsid w:val="00ED31F4"/>
    <w:rPr>
      <w:b/>
      <w:color w:val="808080"/>
    </w:rPr>
  </w:style>
  <w:style w:type="character" w:customStyle="1" w:styleId="WW8Num14z0">
    <w:name w:val="WW8Num14z0"/>
    <w:rsid w:val="00ED31F4"/>
    <w:rPr>
      <w:rFonts w:ascii="Garamond" w:hAnsi="Garamond"/>
      <w:b/>
      <w:color w:val="948A54"/>
      <w:sz w:val="22"/>
    </w:rPr>
  </w:style>
  <w:style w:type="character" w:customStyle="1" w:styleId="WW8Num7z1">
    <w:name w:val="WW8Num7z1"/>
    <w:rsid w:val="00ED31F4"/>
  </w:style>
  <w:style w:type="character" w:customStyle="1" w:styleId="WW8Num11z1">
    <w:name w:val="WW8Num11z1"/>
    <w:rsid w:val="00ED31F4"/>
    <w:rPr>
      <w:rFonts w:ascii="Courier New" w:hAnsi="Courier New"/>
    </w:rPr>
  </w:style>
  <w:style w:type="character" w:customStyle="1" w:styleId="WW8Num14z1">
    <w:name w:val="WW8Num14z1"/>
    <w:rsid w:val="00ED31F4"/>
  </w:style>
  <w:style w:type="character" w:customStyle="1" w:styleId="WW8Num14z2">
    <w:name w:val="WW8Num14z2"/>
    <w:rsid w:val="00ED31F4"/>
  </w:style>
  <w:style w:type="character" w:customStyle="1" w:styleId="WW8Num14z3">
    <w:name w:val="WW8Num14z3"/>
    <w:rsid w:val="00ED31F4"/>
  </w:style>
  <w:style w:type="character" w:customStyle="1" w:styleId="WW8Num14z4">
    <w:name w:val="WW8Num14z4"/>
    <w:rsid w:val="00ED31F4"/>
  </w:style>
  <w:style w:type="character" w:customStyle="1" w:styleId="WW8Num14z5">
    <w:name w:val="WW8Num14z5"/>
    <w:rsid w:val="00ED31F4"/>
  </w:style>
  <w:style w:type="character" w:customStyle="1" w:styleId="WW8Num14z6">
    <w:name w:val="WW8Num14z6"/>
    <w:rsid w:val="00ED31F4"/>
  </w:style>
  <w:style w:type="character" w:customStyle="1" w:styleId="WW8Num14z7">
    <w:name w:val="WW8Num14z7"/>
    <w:rsid w:val="00ED31F4"/>
  </w:style>
  <w:style w:type="character" w:customStyle="1" w:styleId="WW8Num14z8">
    <w:name w:val="WW8Num14z8"/>
    <w:rsid w:val="00ED31F4"/>
  </w:style>
  <w:style w:type="character" w:customStyle="1" w:styleId="WW8Num2z1">
    <w:name w:val="WW8Num2z1"/>
    <w:rsid w:val="00ED31F4"/>
  </w:style>
  <w:style w:type="character" w:customStyle="1" w:styleId="WW8Num3z1">
    <w:name w:val="WW8Num3z1"/>
    <w:rsid w:val="00ED31F4"/>
  </w:style>
  <w:style w:type="character" w:customStyle="1" w:styleId="WW8Num4z1">
    <w:name w:val="WW8Num4z1"/>
    <w:rsid w:val="00ED31F4"/>
  </w:style>
  <w:style w:type="character" w:customStyle="1" w:styleId="WW8Num5z1">
    <w:name w:val="WW8Num5z1"/>
    <w:rsid w:val="00ED31F4"/>
  </w:style>
  <w:style w:type="character" w:customStyle="1" w:styleId="WW8Num6z1">
    <w:name w:val="WW8Num6z1"/>
    <w:rsid w:val="00ED31F4"/>
  </w:style>
  <w:style w:type="character" w:customStyle="1" w:styleId="WW8Num8z1">
    <w:name w:val="WW8Num8z1"/>
    <w:rsid w:val="00ED31F4"/>
    <w:rPr>
      <w:rFonts w:ascii="Courier New" w:hAnsi="Courier New"/>
    </w:rPr>
  </w:style>
  <w:style w:type="character" w:customStyle="1" w:styleId="WW8Num8z2">
    <w:name w:val="WW8Num8z2"/>
    <w:rsid w:val="00ED31F4"/>
    <w:rPr>
      <w:rFonts w:ascii="Wingdings" w:hAnsi="Wingdings"/>
    </w:rPr>
  </w:style>
  <w:style w:type="character" w:customStyle="1" w:styleId="WW8Num8z3">
    <w:name w:val="WW8Num8z3"/>
    <w:rsid w:val="00ED31F4"/>
    <w:rPr>
      <w:rFonts w:ascii="Symbol" w:hAnsi="Symbol"/>
    </w:rPr>
  </w:style>
  <w:style w:type="character" w:customStyle="1" w:styleId="WW8Num9z1">
    <w:name w:val="WW8Num9z1"/>
    <w:rsid w:val="00ED31F4"/>
  </w:style>
  <w:style w:type="character" w:customStyle="1" w:styleId="WW8Num10z1">
    <w:name w:val="WW8Num10z1"/>
    <w:rsid w:val="00ED31F4"/>
    <w:rPr>
      <w:rFonts w:ascii="Symbol" w:hAnsi="Symbol"/>
    </w:rPr>
  </w:style>
  <w:style w:type="character" w:customStyle="1" w:styleId="WW8Num10z2">
    <w:name w:val="WW8Num10z2"/>
    <w:rsid w:val="00ED31F4"/>
  </w:style>
  <w:style w:type="character" w:customStyle="1" w:styleId="WW8Num11z2">
    <w:name w:val="WW8Num11z2"/>
    <w:rsid w:val="00ED31F4"/>
    <w:rPr>
      <w:rFonts w:ascii="Wingdings" w:hAnsi="Wingdings"/>
    </w:rPr>
  </w:style>
  <w:style w:type="character" w:customStyle="1" w:styleId="WW8Num13z1">
    <w:name w:val="WW8Num13z1"/>
    <w:rsid w:val="00ED31F4"/>
  </w:style>
  <w:style w:type="character" w:customStyle="1" w:styleId="WW8Num15z0">
    <w:name w:val="WW8Num15z0"/>
    <w:rsid w:val="00ED31F4"/>
    <w:rPr>
      <w:b/>
    </w:rPr>
  </w:style>
  <w:style w:type="character" w:customStyle="1" w:styleId="WW8Num15z1">
    <w:name w:val="WW8Num15z1"/>
    <w:rsid w:val="00ED31F4"/>
  </w:style>
  <w:style w:type="character" w:customStyle="1" w:styleId="WW8Num16z0">
    <w:name w:val="WW8Num16z0"/>
    <w:rsid w:val="00ED31F4"/>
    <w:rPr>
      <w:b/>
    </w:rPr>
  </w:style>
  <w:style w:type="character" w:customStyle="1" w:styleId="WW8Num16z1">
    <w:name w:val="WW8Num16z1"/>
    <w:rsid w:val="00ED31F4"/>
  </w:style>
  <w:style w:type="character" w:customStyle="1" w:styleId="WW8Num16z2">
    <w:name w:val="WW8Num16z2"/>
    <w:rsid w:val="00ED31F4"/>
  </w:style>
  <w:style w:type="character" w:customStyle="1" w:styleId="WW8Num17z0">
    <w:name w:val="WW8Num17z0"/>
    <w:rsid w:val="00ED31F4"/>
    <w:rPr>
      <w:rFonts w:ascii="Wingdings" w:hAnsi="Wingdings"/>
    </w:rPr>
  </w:style>
  <w:style w:type="character" w:customStyle="1" w:styleId="WW8Num17z1">
    <w:name w:val="WW8Num17z1"/>
    <w:rsid w:val="00ED31F4"/>
    <w:rPr>
      <w:rFonts w:ascii="Courier New" w:hAnsi="Courier New"/>
    </w:rPr>
  </w:style>
  <w:style w:type="character" w:customStyle="1" w:styleId="WW8Num17z3">
    <w:name w:val="WW8Num17z3"/>
    <w:rsid w:val="00ED31F4"/>
    <w:rPr>
      <w:rFonts w:ascii="Symbol" w:hAnsi="Symbol"/>
    </w:rPr>
  </w:style>
  <w:style w:type="character" w:customStyle="1" w:styleId="WW8Num18z0">
    <w:name w:val="WW8Num18z0"/>
    <w:rsid w:val="00ED31F4"/>
    <w:rPr>
      <w:rFonts w:ascii="Symbol" w:hAnsi="Symbol"/>
      <w:sz w:val="22"/>
    </w:rPr>
  </w:style>
  <w:style w:type="character" w:customStyle="1" w:styleId="WW8Num18z1">
    <w:name w:val="WW8Num18z1"/>
    <w:rsid w:val="00ED31F4"/>
    <w:rPr>
      <w:rFonts w:ascii="Courier New" w:hAnsi="Courier New"/>
    </w:rPr>
  </w:style>
  <w:style w:type="character" w:customStyle="1" w:styleId="WW8Num18z2">
    <w:name w:val="WW8Num18z2"/>
    <w:rsid w:val="00ED31F4"/>
    <w:rPr>
      <w:rFonts w:ascii="Wingdings" w:hAnsi="Wingdings"/>
    </w:rPr>
  </w:style>
  <w:style w:type="character" w:customStyle="1" w:styleId="WW8Num19z0">
    <w:name w:val="WW8Num19z0"/>
    <w:rsid w:val="00ED31F4"/>
    <w:rPr>
      <w:rFonts w:ascii="Wingdings" w:hAnsi="Wingdings"/>
    </w:rPr>
  </w:style>
  <w:style w:type="character" w:customStyle="1" w:styleId="WW8Num19z1">
    <w:name w:val="WW8Num19z1"/>
    <w:rsid w:val="00ED31F4"/>
    <w:rPr>
      <w:rFonts w:ascii="Courier New" w:hAnsi="Courier New"/>
    </w:rPr>
  </w:style>
  <w:style w:type="character" w:customStyle="1" w:styleId="WW8Num19z3">
    <w:name w:val="WW8Num19z3"/>
    <w:rsid w:val="00ED31F4"/>
    <w:rPr>
      <w:rFonts w:ascii="Symbol" w:hAnsi="Symbol"/>
    </w:rPr>
  </w:style>
  <w:style w:type="character" w:customStyle="1" w:styleId="WW8Num20z0">
    <w:name w:val="WW8Num20z0"/>
    <w:rsid w:val="00ED31F4"/>
    <w:rPr>
      <w:b/>
    </w:rPr>
  </w:style>
  <w:style w:type="character" w:customStyle="1" w:styleId="WW8Num20z2">
    <w:name w:val="WW8Num20z2"/>
    <w:rsid w:val="00ED31F4"/>
  </w:style>
  <w:style w:type="character" w:customStyle="1" w:styleId="WW8Num21z0">
    <w:name w:val="WW8Num21z0"/>
    <w:rsid w:val="00ED31F4"/>
  </w:style>
  <w:style w:type="character" w:customStyle="1" w:styleId="WW8Num22z0">
    <w:name w:val="WW8Num22z0"/>
    <w:rsid w:val="00ED31F4"/>
    <w:rPr>
      <w:b/>
    </w:rPr>
  </w:style>
  <w:style w:type="character" w:customStyle="1" w:styleId="WW8Num22z1">
    <w:name w:val="WW8Num22z1"/>
    <w:rsid w:val="00ED31F4"/>
  </w:style>
  <w:style w:type="character" w:customStyle="1" w:styleId="WW8Num23z0">
    <w:name w:val="WW8Num23z0"/>
    <w:rsid w:val="00ED31F4"/>
  </w:style>
  <w:style w:type="character" w:customStyle="1" w:styleId="WW8Num24z0">
    <w:name w:val="WW8Num24z0"/>
    <w:rsid w:val="00ED31F4"/>
  </w:style>
  <w:style w:type="character" w:customStyle="1" w:styleId="WW8Num24z1">
    <w:name w:val="WW8Num24z1"/>
    <w:rsid w:val="00ED31F4"/>
    <w:rPr>
      <w:rFonts w:ascii="Symbol" w:hAnsi="Symbol"/>
    </w:rPr>
  </w:style>
  <w:style w:type="character" w:customStyle="1" w:styleId="WW8Num24z2">
    <w:name w:val="WW8Num24z2"/>
    <w:rsid w:val="00ED31F4"/>
  </w:style>
  <w:style w:type="character" w:customStyle="1" w:styleId="WW8Num24z3">
    <w:name w:val="WW8Num24z3"/>
    <w:rsid w:val="00ED31F4"/>
  </w:style>
  <w:style w:type="character" w:customStyle="1" w:styleId="WW8Num25z0">
    <w:name w:val="WW8Num25z0"/>
    <w:rsid w:val="00ED31F4"/>
  </w:style>
  <w:style w:type="character" w:customStyle="1" w:styleId="WW8Num25z1">
    <w:name w:val="WW8Num25z1"/>
    <w:rsid w:val="00ED31F4"/>
  </w:style>
  <w:style w:type="character" w:customStyle="1" w:styleId="WW8Num26z0">
    <w:name w:val="WW8Num26z0"/>
    <w:rsid w:val="00ED31F4"/>
  </w:style>
  <w:style w:type="character" w:customStyle="1" w:styleId="WW8Num26z1">
    <w:name w:val="WW8Num26z1"/>
    <w:rsid w:val="00ED31F4"/>
  </w:style>
  <w:style w:type="character" w:customStyle="1" w:styleId="WW8Num27z0">
    <w:name w:val="WW8Num27z0"/>
    <w:rsid w:val="00ED31F4"/>
  </w:style>
  <w:style w:type="character" w:customStyle="1" w:styleId="WW8Num28z0">
    <w:name w:val="WW8Num28z0"/>
    <w:rsid w:val="00ED31F4"/>
  </w:style>
  <w:style w:type="character" w:customStyle="1" w:styleId="WW8Num29z0">
    <w:name w:val="WW8Num29z0"/>
    <w:rsid w:val="00ED31F4"/>
  </w:style>
  <w:style w:type="character" w:customStyle="1" w:styleId="WW8Num30z0">
    <w:name w:val="WW8Num30z0"/>
    <w:rsid w:val="00ED31F4"/>
  </w:style>
  <w:style w:type="character" w:customStyle="1" w:styleId="WW8Num31z0">
    <w:name w:val="WW8Num31z0"/>
    <w:rsid w:val="00ED31F4"/>
  </w:style>
  <w:style w:type="character" w:customStyle="1" w:styleId="WW8Num31z1">
    <w:name w:val="WW8Num31z1"/>
    <w:rsid w:val="00ED31F4"/>
  </w:style>
  <w:style w:type="character" w:customStyle="1" w:styleId="WW8Num32z0">
    <w:name w:val="WW8Num32z0"/>
    <w:rsid w:val="00ED31F4"/>
    <w:rPr>
      <w:rFonts w:ascii="Symbol" w:hAnsi="Symbol"/>
    </w:rPr>
  </w:style>
  <w:style w:type="character" w:customStyle="1" w:styleId="WW8Num32z1">
    <w:name w:val="WW8Num32z1"/>
    <w:rsid w:val="00ED31F4"/>
    <w:rPr>
      <w:rFonts w:ascii="Courier New" w:hAnsi="Courier New"/>
    </w:rPr>
  </w:style>
  <w:style w:type="character" w:customStyle="1" w:styleId="WW8Num32z2">
    <w:name w:val="WW8Num32z2"/>
    <w:rsid w:val="00ED31F4"/>
    <w:rPr>
      <w:rFonts w:ascii="Wingdings" w:hAnsi="Wingdings"/>
    </w:rPr>
  </w:style>
  <w:style w:type="character" w:customStyle="1" w:styleId="WW8Num33z0">
    <w:name w:val="WW8Num33z0"/>
    <w:rsid w:val="00ED31F4"/>
    <w:rPr>
      <w:rFonts w:ascii="Arial" w:hAnsi="Arial"/>
      <w:b/>
      <w:sz w:val="22"/>
    </w:rPr>
  </w:style>
  <w:style w:type="character" w:customStyle="1" w:styleId="WW8Num33z1">
    <w:name w:val="WW8Num33z1"/>
    <w:rsid w:val="00ED31F4"/>
  </w:style>
  <w:style w:type="character" w:customStyle="1" w:styleId="WW8Num34z0">
    <w:name w:val="WW8Num34z0"/>
    <w:rsid w:val="00ED31F4"/>
    <w:rPr>
      <w:b/>
    </w:rPr>
  </w:style>
  <w:style w:type="character" w:customStyle="1" w:styleId="WW8Num34z2">
    <w:name w:val="WW8Num34z2"/>
    <w:rsid w:val="00ED31F4"/>
  </w:style>
  <w:style w:type="character" w:customStyle="1" w:styleId="WW8Num35z0">
    <w:name w:val="WW8Num35z0"/>
    <w:rsid w:val="00ED31F4"/>
    <w:rPr>
      <w:b/>
    </w:rPr>
  </w:style>
  <w:style w:type="character" w:customStyle="1" w:styleId="WW8Num35z2">
    <w:name w:val="WW8Num35z2"/>
    <w:rsid w:val="00ED31F4"/>
  </w:style>
  <w:style w:type="character" w:customStyle="1" w:styleId="WW8Num36z0">
    <w:name w:val="WW8Num36z0"/>
    <w:rsid w:val="00ED31F4"/>
    <w:rPr>
      <w:b/>
    </w:rPr>
  </w:style>
  <w:style w:type="character" w:customStyle="1" w:styleId="WW8Num36z1">
    <w:name w:val="WW8Num36z1"/>
    <w:rsid w:val="00ED31F4"/>
  </w:style>
  <w:style w:type="character" w:customStyle="1" w:styleId="WW8Num37z0">
    <w:name w:val="WW8Num37z0"/>
    <w:rsid w:val="00ED31F4"/>
    <w:rPr>
      <w:b/>
    </w:rPr>
  </w:style>
  <w:style w:type="character" w:customStyle="1" w:styleId="WW8Num37z1">
    <w:name w:val="WW8Num37z1"/>
    <w:rsid w:val="00ED31F4"/>
  </w:style>
  <w:style w:type="character" w:customStyle="1" w:styleId="WW8Num38z0">
    <w:name w:val="WW8Num38z0"/>
    <w:rsid w:val="00ED31F4"/>
  </w:style>
  <w:style w:type="character" w:customStyle="1" w:styleId="WW8Num38z1">
    <w:name w:val="WW8Num38z1"/>
    <w:rsid w:val="00ED31F4"/>
  </w:style>
  <w:style w:type="character" w:customStyle="1" w:styleId="WW8Num39z0">
    <w:name w:val="WW8Num39z0"/>
    <w:rsid w:val="00ED31F4"/>
    <w:rPr>
      <w:rFonts w:ascii="Arial Narrow" w:hAnsi="Arial Narrow"/>
    </w:rPr>
  </w:style>
  <w:style w:type="character" w:customStyle="1" w:styleId="WW8Num39z1">
    <w:name w:val="WW8Num39z1"/>
    <w:rsid w:val="00ED31F4"/>
    <w:rPr>
      <w:rFonts w:ascii="Courier New" w:hAnsi="Courier New"/>
    </w:rPr>
  </w:style>
  <w:style w:type="character" w:customStyle="1" w:styleId="WW8Num39z2">
    <w:name w:val="WW8Num39z2"/>
    <w:rsid w:val="00ED31F4"/>
    <w:rPr>
      <w:rFonts w:ascii="Wingdings" w:hAnsi="Wingdings"/>
    </w:rPr>
  </w:style>
  <w:style w:type="character" w:customStyle="1" w:styleId="WW8Num39z3">
    <w:name w:val="WW8Num39z3"/>
    <w:rsid w:val="00ED31F4"/>
    <w:rPr>
      <w:rFonts w:ascii="Symbol" w:hAnsi="Symbol"/>
    </w:rPr>
  </w:style>
  <w:style w:type="character" w:customStyle="1" w:styleId="WW8Num40z0">
    <w:name w:val="WW8Num40z0"/>
    <w:rsid w:val="00ED31F4"/>
  </w:style>
  <w:style w:type="character" w:customStyle="1" w:styleId="WW8Num41z0">
    <w:name w:val="WW8Num41z0"/>
    <w:rsid w:val="00ED31F4"/>
    <w:rPr>
      <w:b/>
    </w:rPr>
  </w:style>
  <w:style w:type="character" w:customStyle="1" w:styleId="WW8Num41z1">
    <w:name w:val="WW8Num41z1"/>
    <w:rsid w:val="00ED31F4"/>
  </w:style>
  <w:style w:type="character" w:customStyle="1" w:styleId="WW8Num42z0">
    <w:name w:val="WW8Num42z0"/>
    <w:rsid w:val="00ED31F4"/>
  </w:style>
  <w:style w:type="character" w:customStyle="1" w:styleId="WW8Num43z0">
    <w:name w:val="WW8Num43z0"/>
    <w:rsid w:val="00ED31F4"/>
    <w:rPr>
      <w:rFonts w:ascii="Arial Narrow" w:hAnsi="Arial Narrow"/>
      <w:color w:val="000000"/>
      <w:sz w:val="24"/>
    </w:rPr>
  </w:style>
  <w:style w:type="character" w:customStyle="1" w:styleId="WW8Num43z1">
    <w:name w:val="WW8Num43z1"/>
    <w:rsid w:val="00ED31F4"/>
  </w:style>
  <w:style w:type="character" w:customStyle="1" w:styleId="WW8Num44z0">
    <w:name w:val="WW8Num44z0"/>
    <w:rsid w:val="00ED31F4"/>
    <w:rPr>
      <w:rFonts w:ascii="Symbol" w:hAnsi="Symbol"/>
    </w:rPr>
  </w:style>
  <w:style w:type="character" w:customStyle="1" w:styleId="WW8Num44z1">
    <w:name w:val="WW8Num44z1"/>
    <w:rsid w:val="00ED31F4"/>
    <w:rPr>
      <w:rFonts w:ascii="Courier New" w:hAnsi="Courier New"/>
    </w:rPr>
  </w:style>
  <w:style w:type="character" w:customStyle="1" w:styleId="WW8Num44z2">
    <w:name w:val="WW8Num44z2"/>
    <w:rsid w:val="00ED31F4"/>
    <w:rPr>
      <w:rFonts w:ascii="Wingdings" w:hAnsi="Wingdings"/>
    </w:rPr>
  </w:style>
  <w:style w:type="character" w:customStyle="1" w:styleId="WW8Num45z0">
    <w:name w:val="WW8Num45z0"/>
    <w:rsid w:val="00ED31F4"/>
    <w:rPr>
      <w:rFonts w:ascii="Symbol" w:hAnsi="Symbol"/>
      <w:color w:val="000000"/>
    </w:rPr>
  </w:style>
  <w:style w:type="character" w:customStyle="1" w:styleId="WW8Num45z2">
    <w:name w:val="WW8Num45z2"/>
    <w:rsid w:val="00ED31F4"/>
    <w:rPr>
      <w:rFonts w:ascii="Wingdings" w:hAnsi="Wingdings"/>
      <w:color w:val="000000"/>
    </w:rPr>
  </w:style>
  <w:style w:type="character" w:customStyle="1" w:styleId="WW8Num45z3">
    <w:name w:val="WW8Num45z3"/>
    <w:rsid w:val="00ED31F4"/>
    <w:rPr>
      <w:rFonts w:ascii="Symbol" w:hAnsi="Symbol"/>
    </w:rPr>
  </w:style>
  <w:style w:type="character" w:customStyle="1" w:styleId="WW8Num45z4">
    <w:name w:val="WW8Num45z4"/>
    <w:rsid w:val="00ED31F4"/>
    <w:rPr>
      <w:rFonts w:ascii="Courier New" w:hAnsi="Courier New"/>
    </w:rPr>
  </w:style>
  <w:style w:type="character" w:customStyle="1" w:styleId="WW8Num45z5">
    <w:name w:val="WW8Num45z5"/>
    <w:rsid w:val="00ED31F4"/>
    <w:rPr>
      <w:rFonts w:ascii="Wingdings" w:hAnsi="Wingdings"/>
    </w:rPr>
  </w:style>
  <w:style w:type="character" w:customStyle="1" w:styleId="WW8Num46z0">
    <w:name w:val="WW8Num46z0"/>
    <w:rsid w:val="00ED31F4"/>
    <w:rPr>
      <w:rFonts w:ascii="Arial" w:hAnsi="Arial"/>
      <w:b/>
      <w:color w:val="000000"/>
      <w:sz w:val="22"/>
    </w:rPr>
  </w:style>
  <w:style w:type="character" w:customStyle="1" w:styleId="WW8Num46z1">
    <w:name w:val="WW8Num46z1"/>
    <w:rsid w:val="00ED31F4"/>
  </w:style>
  <w:style w:type="character" w:customStyle="1" w:styleId="Fuentedeprrafopredeter1">
    <w:name w:val="Fuente de párrafo predeter.1"/>
    <w:rsid w:val="00ED31F4"/>
  </w:style>
  <w:style w:type="character" w:customStyle="1" w:styleId="FooterChar1">
    <w:name w:val="Footer Char1"/>
    <w:rsid w:val="00ED31F4"/>
    <w:rPr>
      <w:sz w:val="20"/>
    </w:rPr>
  </w:style>
  <w:style w:type="character" w:customStyle="1" w:styleId="Internetlink">
    <w:name w:val="Internet link"/>
    <w:rsid w:val="00ED31F4"/>
    <w:rPr>
      <w:color w:val="0000FF"/>
      <w:u w:val="single"/>
    </w:rPr>
  </w:style>
  <w:style w:type="character" w:customStyle="1" w:styleId="BodyTextChar">
    <w:name w:val="Body Text Char"/>
    <w:rsid w:val="00ED31F4"/>
    <w:rPr>
      <w:sz w:val="20"/>
    </w:rPr>
  </w:style>
  <w:style w:type="character" w:customStyle="1" w:styleId="FootnoteTextChar">
    <w:name w:val="Footnote Text Char"/>
    <w:rsid w:val="00ED31F4"/>
    <w:rPr>
      <w:sz w:val="20"/>
    </w:rPr>
  </w:style>
  <w:style w:type="character" w:customStyle="1" w:styleId="FootnoteSymbol">
    <w:name w:val="Footnote Symbol"/>
    <w:rsid w:val="00ED31F4"/>
    <w:rPr>
      <w:position w:val="0"/>
      <w:vertAlign w:val="superscript"/>
    </w:rPr>
  </w:style>
  <w:style w:type="character" w:customStyle="1" w:styleId="BodyText2Char">
    <w:name w:val="Body Text 2 Char"/>
    <w:rsid w:val="00ED31F4"/>
    <w:rPr>
      <w:sz w:val="20"/>
    </w:rPr>
  </w:style>
  <w:style w:type="character" w:styleId="Nmerodepgina">
    <w:name w:val="page number"/>
    <w:basedOn w:val="Fuentedeprrafopredeter"/>
    <w:rsid w:val="00ED31F4"/>
  </w:style>
  <w:style w:type="character" w:customStyle="1" w:styleId="FootnoteTextChar1">
    <w:name w:val="Footnote Text Char1"/>
    <w:rsid w:val="00ED31F4"/>
    <w:rPr>
      <w:lang w:val="es-CO"/>
    </w:rPr>
  </w:style>
  <w:style w:type="character" w:customStyle="1" w:styleId="Refdecomentario1">
    <w:name w:val="Ref. de comentario1"/>
    <w:rsid w:val="00ED31F4"/>
    <w:rPr>
      <w:sz w:val="16"/>
    </w:rPr>
  </w:style>
  <w:style w:type="character" w:customStyle="1" w:styleId="VisitedInternetLink">
    <w:name w:val="Visited Internet Link"/>
    <w:rsid w:val="00ED31F4"/>
    <w:rPr>
      <w:color w:val="800080"/>
      <w:u w:val="single"/>
    </w:rPr>
  </w:style>
  <w:style w:type="character" w:customStyle="1" w:styleId="BodyTextIndent2Char">
    <w:name w:val="Body Text Indent 2 Char"/>
    <w:rsid w:val="00ED31F4"/>
    <w:rPr>
      <w:sz w:val="20"/>
    </w:rPr>
  </w:style>
  <w:style w:type="character" w:styleId="Refdenotaalpie">
    <w:name w:val="footnote reference"/>
    <w:uiPriority w:val="99"/>
    <w:rsid w:val="00ED31F4"/>
    <w:rPr>
      <w:position w:val="0"/>
      <w:vertAlign w:val="superscript"/>
    </w:rPr>
  </w:style>
  <w:style w:type="character" w:customStyle="1" w:styleId="EndnoteSymbol">
    <w:name w:val="Endnote Symbol"/>
    <w:rsid w:val="00ED31F4"/>
    <w:rPr>
      <w:position w:val="0"/>
      <w:vertAlign w:val="superscript"/>
    </w:rPr>
  </w:style>
  <w:style w:type="character" w:customStyle="1" w:styleId="WW-Caracteresdenotafinal">
    <w:name w:val="WW-Caracteres de nota final"/>
    <w:rsid w:val="00ED31F4"/>
  </w:style>
  <w:style w:type="character" w:styleId="Refdenotaalfinal">
    <w:name w:val="endnote reference"/>
    <w:uiPriority w:val="99"/>
    <w:rsid w:val="00ED31F4"/>
    <w:rPr>
      <w:position w:val="0"/>
      <w:vertAlign w:val="superscript"/>
    </w:rPr>
  </w:style>
  <w:style w:type="character" w:customStyle="1" w:styleId="Footnoteanchor">
    <w:name w:val="Footnote anchor"/>
    <w:rsid w:val="00ED31F4"/>
    <w:rPr>
      <w:position w:val="0"/>
      <w:vertAlign w:val="superscript"/>
    </w:rPr>
  </w:style>
  <w:style w:type="character" w:styleId="Refdecomentario">
    <w:name w:val="annotation reference"/>
    <w:uiPriority w:val="99"/>
    <w:rsid w:val="00ED31F4"/>
    <w:rPr>
      <w:rFonts w:cs="Times New Roman"/>
      <w:sz w:val="16"/>
      <w:szCs w:val="16"/>
    </w:rPr>
  </w:style>
  <w:style w:type="character" w:customStyle="1" w:styleId="EncabezadoCar1">
    <w:name w:val="Encabezado Car1"/>
    <w:rsid w:val="00ED31F4"/>
    <w:rPr>
      <w:rFonts w:cs="Mangal"/>
      <w:sz w:val="21"/>
      <w:szCs w:val="21"/>
    </w:rPr>
  </w:style>
  <w:style w:type="character" w:customStyle="1" w:styleId="PiedepginaCar1">
    <w:name w:val="Pie de página Car1"/>
    <w:rsid w:val="00ED31F4"/>
    <w:rPr>
      <w:rFonts w:cs="Mangal"/>
      <w:sz w:val="21"/>
      <w:szCs w:val="21"/>
    </w:rPr>
  </w:style>
  <w:style w:type="numbering" w:customStyle="1" w:styleId="WW8Num6">
    <w:name w:val="WW8Num6"/>
    <w:rsid w:val="00ED31F4"/>
    <w:pPr>
      <w:numPr>
        <w:numId w:val="14"/>
      </w:numPr>
    </w:pPr>
  </w:style>
  <w:style w:type="numbering" w:customStyle="1" w:styleId="WW8Num7">
    <w:name w:val="WW8Num7"/>
    <w:rsid w:val="00ED31F4"/>
    <w:pPr>
      <w:numPr>
        <w:numId w:val="15"/>
      </w:numPr>
    </w:pPr>
  </w:style>
  <w:style w:type="numbering" w:customStyle="1" w:styleId="WW8Num3">
    <w:name w:val="WW8Num3"/>
    <w:rsid w:val="00ED31F4"/>
    <w:pPr>
      <w:numPr>
        <w:numId w:val="11"/>
      </w:numPr>
    </w:pPr>
  </w:style>
  <w:style w:type="numbering" w:customStyle="1" w:styleId="WW8Num1">
    <w:name w:val="WW8Num1"/>
    <w:rsid w:val="00ED31F4"/>
    <w:pPr>
      <w:numPr>
        <w:numId w:val="9"/>
      </w:numPr>
    </w:pPr>
  </w:style>
  <w:style w:type="numbering" w:customStyle="1" w:styleId="WW8Num9">
    <w:name w:val="WW8Num9"/>
    <w:rsid w:val="00ED31F4"/>
    <w:pPr>
      <w:numPr>
        <w:numId w:val="17"/>
      </w:numPr>
    </w:pPr>
  </w:style>
  <w:style w:type="numbering" w:customStyle="1" w:styleId="WW8Num10">
    <w:name w:val="WW8Num10"/>
    <w:rsid w:val="00ED31F4"/>
    <w:pPr>
      <w:numPr>
        <w:numId w:val="18"/>
      </w:numPr>
    </w:pPr>
  </w:style>
  <w:style w:type="numbering" w:customStyle="1" w:styleId="WW8Num4">
    <w:name w:val="WW8Num4"/>
    <w:rsid w:val="00ED31F4"/>
    <w:pPr>
      <w:numPr>
        <w:numId w:val="12"/>
      </w:numPr>
    </w:pPr>
  </w:style>
  <w:style w:type="numbering" w:customStyle="1" w:styleId="WW8Num8">
    <w:name w:val="WW8Num8"/>
    <w:rsid w:val="00ED31F4"/>
    <w:pPr>
      <w:numPr>
        <w:numId w:val="16"/>
      </w:numPr>
    </w:pPr>
  </w:style>
  <w:style w:type="numbering" w:customStyle="1" w:styleId="WW8Num14">
    <w:name w:val="WW8Num14"/>
    <w:rsid w:val="00ED31F4"/>
    <w:pPr>
      <w:numPr>
        <w:numId w:val="22"/>
      </w:numPr>
    </w:pPr>
  </w:style>
  <w:style w:type="numbering" w:customStyle="1" w:styleId="WW8Num11">
    <w:name w:val="WW8Num11"/>
    <w:rsid w:val="00ED31F4"/>
    <w:pPr>
      <w:numPr>
        <w:numId w:val="19"/>
      </w:numPr>
    </w:pPr>
  </w:style>
  <w:style w:type="numbering" w:customStyle="1" w:styleId="WW8Num12">
    <w:name w:val="WW8Num12"/>
    <w:rsid w:val="00ED31F4"/>
    <w:pPr>
      <w:numPr>
        <w:numId w:val="20"/>
      </w:numPr>
    </w:pPr>
  </w:style>
  <w:style w:type="numbering" w:customStyle="1" w:styleId="WW8Num13">
    <w:name w:val="WW8Num13"/>
    <w:rsid w:val="00ED31F4"/>
    <w:pPr>
      <w:numPr>
        <w:numId w:val="21"/>
      </w:numPr>
    </w:pPr>
  </w:style>
  <w:style w:type="numbering" w:customStyle="1" w:styleId="WW8Num2">
    <w:name w:val="WW8Num2"/>
    <w:rsid w:val="00ED31F4"/>
    <w:pPr>
      <w:numPr>
        <w:numId w:val="10"/>
      </w:numPr>
    </w:pPr>
  </w:style>
  <w:style w:type="numbering" w:customStyle="1" w:styleId="WW8Num5">
    <w:name w:val="WW8Num5"/>
    <w:rsid w:val="00ED31F4"/>
    <w:pPr>
      <w:numPr>
        <w:numId w:val="13"/>
      </w:numPr>
    </w:pPr>
  </w:style>
  <w:style w:type="character" w:styleId="nfasis">
    <w:name w:val="Emphasis"/>
    <w:uiPriority w:val="20"/>
    <w:qFormat/>
    <w:rsid w:val="00ED31F4"/>
    <w:rPr>
      <w:i/>
      <w:iCs/>
    </w:rPr>
  </w:style>
  <w:style w:type="character" w:customStyle="1" w:styleId="WW8Num9z2">
    <w:name w:val="WW8Num9z2"/>
    <w:rsid w:val="00ED31F4"/>
  </w:style>
  <w:style w:type="character" w:customStyle="1" w:styleId="WW8Num9z3">
    <w:name w:val="WW8Num9z3"/>
    <w:rsid w:val="00ED31F4"/>
    <w:rPr>
      <w:rFonts w:ascii="Symbol" w:hAnsi="Symbol"/>
    </w:rPr>
  </w:style>
  <w:style w:type="character" w:customStyle="1" w:styleId="WW8Num9z4">
    <w:name w:val="WW8Num9z4"/>
    <w:rsid w:val="00ED31F4"/>
  </w:style>
  <w:style w:type="character" w:customStyle="1" w:styleId="WW8Num9z5">
    <w:name w:val="WW8Num9z5"/>
    <w:rsid w:val="00ED31F4"/>
  </w:style>
  <w:style w:type="character" w:customStyle="1" w:styleId="WW8Num9z6">
    <w:name w:val="WW8Num9z6"/>
    <w:rsid w:val="00ED31F4"/>
  </w:style>
  <w:style w:type="character" w:customStyle="1" w:styleId="WW8Num9z7">
    <w:name w:val="WW8Num9z7"/>
    <w:rsid w:val="00ED31F4"/>
  </w:style>
  <w:style w:type="character" w:customStyle="1" w:styleId="WW8Num9z8">
    <w:name w:val="WW8Num9z8"/>
    <w:rsid w:val="00ED31F4"/>
  </w:style>
  <w:style w:type="character" w:customStyle="1" w:styleId="WW8Num10z3">
    <w:name w:val="WW8Num10z3"/>
    <w:rsid w:val="00ED31F4"/>
  </w:style>
  <w:style w:type="character" w:customStyle="1" w:styleId="WW8Num10z4">
    <w:name w:val="WW8Num10z4"/>
    <w:rsid w:val="00ED31F4"/>
  </w:style>
  <w:style w:type="character" w:customStyle="1" w:styleId="WW8Num10z5">
    <w:name w:val="WW8Num10z5"/>
    <w:rsid w:val="00ED31F4"/>
  </w:style>
  <w:style w:type="character" w:customStyle="1" w:styleId="WW8Num10z6">
    <w:name w:val="WW8Num10z6"/>
    <w:rsid w:val="00ED31F4"/>
  </w:style>
  <w:style w:type="character" w:customStyle="1" w:styleId="WW8Num10z7">
    <w:name w:val="WW8Num10z7"/>
    <w:rsid w:val="00ED31F4"/>
  </w:style>
  <w:style w:type="character" w:customStyle="1" w:styleId="WW8Num10z8">
    <w:name w:val="WW8Num10z8"/>
    <w:rsid w:val="00ED31F4"/>
  </w:style>
  <w:style w:type="character" w:customStyle="1" w:styleId="WW8Num6z2">
    <w:name w:val="WW8Num6z2"/>
    <w:rsid w:val="00ED31F4"/>
    <w:rPr>
      <w:rFonts w:ascii="Wingdings" w:hAnsi="Wingdings"/>
    </w:rPr>
  </w:style>
  <w:style w:type="character" w:customStyle="1" w:styleId="WW8Num12z3">
    <w:name w:val="WW8Num12z3"/>
    <w:rsid w:val="00ED31F4"/>
    <w:rPr>
      <w:rFonts w:ascii="Symbol" w:hAnsi="Symbol"/>
    </w:rPr>
  </w:style>
  <w:style w:type="character" w:customStyle="1" w:styleId="WW8Num13z3">
    <w:name w:val="WW8Num13z3"/>
    <w:rsid w:val="00ED31F4"/>
    <w:rPr>
      <w:rFonts w:ascii="Symbol" w:hAnsi="Symbol"/>
    </w:rPr>
  </w:style>
  <w:style w:type="character" w:customStyle="1" w:styleId="WW8Num15z3">
    <w:name w:val="WW8Num15z3"/>
    <w:rsid w:val="00ED31F4"/>
    <w:rPr>
      <w:rFonts w:ascii="Symbol" w:hAnsi="Symbol"/>
    </w:rPr>
  </w:style>
  <w:style w:type="character" w:customStyle="1" w:styleId="WW8Num18z3">
    <w:name w:val="WW8Num18z3"/>
    <w:rsid w:val="00ED31F4"/>
    <w:rPr>
      <w:rFonts w:ascii="Symbol" w:hAnsi="Symbol"/>
    </w:rPr>
  </w:style>
  <w:style w:type="character" w:customStyle="1" w:styleId="BulletSymbols">
    <w:name w:val="Bullet Symbols"/>
    <w:rsid w:val="00ED31F4"/>
    <w:rPr>
      <w:rFonts w:ascii="OpenSymbol" w:eastAsia="Times New Roman" w:hAnsi="OpenSymbol"/>
    </w:rPr>
  </w:style>
  <w:style w:type="numbering" w:customStyle="1" w:styleId="WW8Num41">
    <w:name w:val="WW8Num41"/>
    <w:rsid w:val="00ED31F4"/>
    <w:pPr>
      <w:numPr>
        <w:numId w:val="38"/>
      </w:numPr>
    </w:pPr>
  </w:style>
  <w:style w:type="character" w:customStyle="1" w:styleId="InviasNormalCar">
    <w:name w:val="Invias Normal Car"/>
    <w:link w:val="InviasNormal"/>
    <w:locked/>
    <w:rsid w:val="00ED31F4"/>
    <w:rPr>
      <w:rFonts w:ascii="Arial Narrow" w:hAnsi="Arial Narrow"/>
      <w:color w:val="3B3838" w:themeColor="background2" w:themeShade="40"/>
      <w:sz w:val="24"/>
      <w:szCs w:val="24"/>
      <w:lang w:val="x-none" w:eastAsia="es-ES"/>
    </w:rPr>
  </w:style>
  <w:style w:type="paragraph" w:customStyle="1" w:styleId="InviasNormal">
    <w:name w:val="Invias Normal"/>
    <w:basedOn w:val="Normal"/>
    <w:link w:val="InviasNormalCar"/>
    <w:qFormat/>
    <w:rsid w:val="00ED31F4"/>
    <w:pPr>
      <w:tabs>
        <w:tab w:val="left" w:pos="-142"/>
      </w:tabs>
      <w:autoSpaceDE w:val="0"/>
      <w:autoSpaceDN w:val="0"/>
      <w:adjustRightInd w:val="0"/>
      <w:spacing w:before="120" w:after="240" w:line="240" w:lineRule="auto"/>
      <w:jc w:val="both"/>
    </w:pPr>
    <w:rPr>
      <w:rFonts w:ascii="Arial Narrow" w:hAnsi="Arial Narrow"/>
      <w:color w:val="3B3838" w:themeColor="background2" w:themeShade="40"/>
      <w:sz w:val="24"/>
      <w:szCs w:val="24"/>
      <w:lang w:val="x-none" w:eastAsia="es-ES"/>
    </w:rPr>
  </w:style>
  <w:style w:type="paragraph" w:customStyle="1" w:styleId="Capitulo3">
    <w:name w:val="Capitulo 3"/>
    <w:basedOn w:val="Normal"/>
    <w:qFormat/>
    <w:rsid w:val="00ED31F4"/>
    <w:pPr>
      <w:keepNext/>
      <w:numPr>
        <w:numId w:val="24"/>
      </w:numPr>
      <w:spacing w:before="120" w:after="200" w:line="276" w:lineRule="auto"/>
      <w:outlineLvl w:val="1"/>
    </w:pPr>
    <w:rPr>
      <w:rFonts w:ascii="Arial" w:eastAsia="Times New Roman" w:hAnsi="Arial" w:cs="Arial"/>
      <w:b/>
      <w:color w:val="000000"/>
      <w:sz w:val="20"/>
      <w:szCs w:val="20"/>
      <w:lang w:eastAsia="es-CO"/>
    </w:rPr>
  </w:style>
  <w:style w:type="paragraph" w:customStyle="1" w:styleId="Entidad-Capitulo">
    <w:name w:val="Entidad-Capitulo"/>
    <w:next w:val="Normal"/>
    <w:autoRedefine/>
    <w:uiPriority w:val="99"/>
    <w:qFormat/>
    <w:rsid w:val="00ED31F4"/>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ED31F4"/>
    <w:pPr>
      <w:keepNext/>
      <w:numPr>
        <w:numId w:val="3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ED31F4"/>
    <w:pPr>
      <w:numPr>
        <w:numId w:val="25"/>
      </w:numPr>
    </w:pPr>
  </w:style>
  <w:style w:type="paragraph" w:customStyle="1" w:styleId="CaptulosTtulo2">
    <w:name w:val="Capítulos  (Título 2)"/>
    <w:basedOn w:val="Normal"/>
    <w:rsid w:val="00ED31F4"/>
    <w:rPr>
      <w:rFonts w:ascii="Arial" w:hAnsi="Arial"/>
      <w:color w:val="3B3838" w:themeColor="background2" w:themeShade="40"/>
      <w:sz w:val="20"/>
    </w:rPr>
  </w:style>
  <w:style w:type="paragraph" w:customStyle="1" w:styleId="SeccionesTtulo3">
    <w:name w:val="Secciones  (Título 3)"/>
    <w:basedOn w:val="Normal"/>
    <w:rsid w:val="00ED31F4"/>
    <w:rPr>
      <w:rFonts w:ascii="Arial" w:hAnsi="Arial"/>
      <w:color w:val="3B3838" w:themeColor="background2" w:themeShade="40"/>
      <w:sz w:val="20"/>
    </w:rPr>
  </w:style>
  <w:style w:type="paragraph" w:customStyle="1" w:styleId="Invias-VietaAlfabetica">
    <w:name w:val="Invias-Viñeta Alfabetica"/>
    <w:next w:val="Normal"/>
    <w:uiPriority w:val="99"/>
    <w:qFormat/>
    <w:rsid w:val="00ED31F4"/>
    <w:pPr>
      <w:numPr>
        <w:numId w:val="26"/>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ED31F4"/>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D31F4"/>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ED31F4"/>
    <w:pPr>
      <w:keepLines/>
      <w:suppressAutoHyphens w:val="0"/>
      <w:autoSpaceDN/>
      <w:spacing w:after="0" w:line="259" w:lineRule="auto"/>
      <w:ind w:left="432" w:hanging="432"/>
      <w:textAlignment w:val="auto"/>
      <w:outlineLvl w:val="9"/>
    </w:pPr>
    <w:rPr>
      <w:rFonts w:asciiTheme="majorHAnsi" w:eastAsiaTheme="majorEastAsia" w:hAnsiTheme="majorHAnsi" w:cstheme="majorBidi"/>
      <w:b w:val="0"/>
      <w:bCs w:val="0"/>
      <w:color w:val="2E74B5" w:themeColor="accent1" w:themeShade="BF"/>
      <w:kern w:val="0"/>
      <w:sz w:val="32"/>
      <w:szCs w:val="32"/>
      <w:lang w:eastAsia="es-CO"/>
    </w:rPr>
  </w:style>
  <w:style w:type="paragraph" w:styleId="TDC1">
    <w:name w:val="toc 1"/>
    <w:basedOn w:val="Normal"/>
    <w:next w:val="Normal"/>
    <w:autoRedefine/>
    <w:uiPriority w:val="39"/>
    <w:unhideWhenUsed/>
    <w:rsid w:val="00ED31F4"/>
    <w:pPr>
      <w:tabs>
        <w:tab w:val="right" w:leader="dot" w:pos="8828"/>
      </w:tabs>
      <w:spacing w:after="100"/>
    </w:pPr>
    <w:rPr>
      <w:rFonts w:ascii="Arial" w:hAnsi="Arial"/>
      <w:b/>
      <w:noProof/>
      <w:sz w:val="20"/>
    </w:rPr>
  </w:style>
  <w:style w:type="paragraph" w:styleId="TDC2">
    <w:name w:val="toc 2"/>
    <w:basedOn w:val="Normal"/>
    <w:next w:val="Normal"/>
    <w:autoRedefine/>
    <w:uiPriority w:val="39"/>
    <w:unhideWhenUsed/>
    <w:rsid w:val="00ED31F4"/>
    <w:pPr>
      <w:tabs>
        <w:tab w:val="left" w:pos="880"/>
        <w:tab w:val="right" w:leader="dot" w:pos="8828"/>
      </w:tabs>
      <w:spacing w:after="100"/>
      <w:ind w:left="200"/>
    </w:pPr>
    <w:rPr>
      <w:rFonts w:ascii="Arial" w:hAnsi="Arial"/>
      <w:bCs/>
      <w:noProof/>
      <w:color w:val="292929"/>
      <w:sz w:val="20"/>
    </w:rPr>
  </w:style>
  <w:style w:type="paragraph" w:styleId="TDC3">
    <w:name w:val="toc 3"/>
    <w:basedOn w:val="Normal"/>
    <w:next w:val="Normal"/>
    <w:autoRedefine/>
    <w:uiPriority w:val="39"/>
    <w:unhideWhenUsed/>
    <w:rsid w:val="00ED31F4"/>
    <w:pPr>
      <w:tabs>
        <w:tab w:val="left" w:pos="1276"/>
        <w:tab w:val="right" w:leader="dot" w:pos="8828"/>
      </w:tabs>
      <w:spacing w:after="100"/>
      <w:ind w:left="440"/>
    </w:pPr>
    <w:rPr>
      <w:rFonts w:eastAsiaTheme="minorEastAsia" w:cs="Times New Roman"/>
      <w:lang w:eastAsia="es-CO"/>
    </w:rPr>
  </w:style>
  <w:style w:type="character" w:customStyle="1" w:styleId="Mencinsinresolver1">
    <w:name w:val="Mención sin resolver1"/>
    <w:basedOn w:val="Fuentedeprrafopredeter"/>
    <w:uiPriority w:val="99"/>
    <w:semiHidden/>
    <w:unhideWhenUsed/>
    <w:rsid w:val="00ED31F4"/>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ED31F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D31F4"/>
    <w:rPr>
      <w:rFonts w:ascii="Times New Roman" w:eastAsia="Times New Roman" w:hAnsi="Times New Roman" w:cs="Times New Roman"/>
      <w:sz w:val="20"/>
      <w:szCs w:val="20"/>
      <w:lang w:val="es-ES" w:eastAsia="es-ES"/>
    </w:rPr>
  </w:style>
  <w:style w:type="character" w:customStyle="1" w:styleId="spelle">
    <w:name w:val="spelle"/>
    <w:basedOn w:val="Fuentedeprrafopredeter"/>
    <w:rsid w:val="00ED31F4"/>
  </w:style>
  <w:style w:type="character" w:customStyle="1" w:styleId="SinespaciadoCar">
    <w:name w:val="Sin espaciado Car"/>
    <w:link w:val="Sinespaciado"/>
    <w:uiPriority w:val="1"/>
    <w:locked/>
    <w:rsid w:val="00ED31F4"/>
    <w:rPr>
      <w:rFonts w:ascii="Calibri" w:eastAsia="Calibri" w:hAnsi="Calibri"/>
      <w:lang w:val="es-ES" w:eastAsia="es-ES"/>
    </w:rPr>
  </w:style>
  <w:style w:type="paragraph" w:styleId="Sinespaciado">
    <w:name w:val="No Spacing"/>
    <w:link w:val="SinespaciadoCar"/>
    <w:uiPriority w:val="1"/>
    <w:qFormat/>
    <w:rsid w:val="00ED31F4"/>
    <w:pPr>
      <w:spacing w:after="0" w:line="240" w:lineRule="auto"/>
    </w:pPr>
    <w:rPr>
      <w:rFonts w:ascii="Calibri" w:eastAsia="Calibri" w:hAnsi="Calibri"/>
      <w:lang w:val="es-ES" w:eastAsia="es-ES"/>
    </w:rPr>
  </w:style>
  <w:style w:type="paragraph" w:customStyle="1" w:styleId="Capitulo1">
    <w:name w:val="Capitulo 1"/>
    <w:basedOn w:val="Literales"/>
    <w:qFormat/>
    <w:rsid w:val="00ED31F4"/>
    <w:pPr>
      <w:numPr>
        <w:numId w:val="30"/>
      </w:numPr>
    </w:pPr>
  </w:style>
  <w:style w:type="paragraph" w:customStyle="1" w:styleId="Capitulo2">
    <w:name w:val="Capitulo 2"/>
    <w:basedOn w:val="Literales"/>
    <w:autoRedefine/>
    <w:qFormat/>
    <w:rsid w:val="00ED31F4"/>
    <w:pPr>
      <w:numPr>
        <w:numId w:val="0"/>
      </w:numPr>
      <w:jc w:val="both"/>
    </w:pPr>
    <w:rPr>
      <w:bCs/>
      <w:color w:val="000000" w:themeColor="text1"/>
      <w:lang w:val="es-MX"/>
    </w:rPr>
  </w:style>
  <w:style w:type="paragraph" w:customStyle="1" w:styleId="Captulo4">
    <w:name w:val="Capítulo 4"/>
    <w:basedOn w:val="Normal"/>
    <w:autoRedefine/>
    <w:qFormat/>
    <w:rsid w:val="00ED31F4"/>
    <w:pPr>
      <w:spacing w:after="200" w:line="276" w:lineRule="auto"/>
      <w:contextualSpacing/>
      <w:outlineLvl w:val="1"/>
    </w:pPr>
    <w:rPr>
      <w:rFonts w:ascii="Arial" w:eastAsia="Times New Roman" w:hAnsi="Arial" w:cs="Arial"/>
      <w:b/>
      <w:bCs/>
      <w:sz w:val="20"/>
      <w:szCs w:val="20"/>
      <w:lang w:eastAsia="es-CO"/>
    </w:rPr>
  </w:style>
  <w:style w:type="paragraph" w:customStyle="1" w:styleId="Captulo7">
    <w:name w:val="Capítulo 7"/>
    <w:basedOn w:val="Prrafodelista"/>
    <w:qFormat/>
    <w:rsid w:val="00ED31F4"/>
    <w:pPr>
      <w:numPr>
        <w:numId w:val="28"/>
      </w:numPr>
      <w:spacing w:after="200" w:line="276" w:lineRule="auto"/>
    </w:pPr>
    <w:rPr>
      <w:rFonts w:ascii="Arial" w:eastAsia="Calibri" w:hAnsi="Arial" w:cs="Arial"/>
      <w:b/>
      <w:bCs/>
      <w:color w:val="1C1C1C"/>
      <w:sz w:val="20"/>
      <w:szCs w:val="20"/>
    </w:rPr>
  </w:style>
  <w:style w:type="paragraph" w:customStyle="1" w:styleId="Captulo5">
    <w:name w:val="Capítulo 5"/>
    <w:basedOn w:val="Prrafodelista"/>
    <w:qFormat/>
    <w:rsid w:val="00ED31F4"/>
    <w:pPr>
      <w:numPr>
        <w:numId w:val="29"/>
      </w:numPr>
      <w:spacing w:after="200" w:line="276" w:lineRule="auto"/>
      <w:ind w:left="964" w:hanging="680"/>
    </w:pPr>
    <w:rPr>
      <w:rFonts w:ascii="Arial" w:eastAsia="Calibri" w:hAnsi="Arial" w:cs="Arial"/>
      <w:b/>
      <w:bCs/>
      <w:color w:val="1C1C1C"/>
      <w:sz w:val="20"/>
      <w:szCs w:val="20"/>
    </w:rPr>
  </w:style>
  <w:style w:type="paragraph" w:customStyle="1" w:styleId="Captulo8">
    <w:name w:val="Capítulo 8"/>
    <w:basedOn w:val="Captulo7"/>
    <w:qFormat/>
    <w:rsid w:val="00ED31F4"/>
    <w:pPr>
      <w:numPr>
        <w:numId w:val="32"/>
      </w:numPr>
    </w:pPr>
    <w:rPr>
      <w:color w:val="3B3838" w:themeColor="background2" w:themeShade="40"/>
    </w:rPr>
  </w:style>
  <w:style w:type="character" w:styleId="Hipervnculovisitado">
    <w:name w:val="FollowedHyperlink"/>
    <w:basedOn w:val="Fuentedeprrafopredeter"/>
    <w:uiPriority w:val="99"/>
    <w:semiHidden/>
    <w:unhideWhenUsed/>
    <w:rsid w:val="00ED31F4"/>
    <w:rPr>
      <w:color w:val="954F72" w:themeColor="followedHyperlink"/>
      <w:u w:val="single"/>
    </w:rPr>
  </w:style>
  <w:style w:type="paragraph" w:styleId="Revisin">
    <w:name w:val="Revision"/>
    <w:hidden/>
    <w:uiPriority w:val="99"/>
    <w:semiHidden/>
    <w:rsid w:val="00ED31F4"/>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ED31F4"/>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ED31F4"/>
    <w:rPr>
      <w:color w:val="808080"/>
      <w:shd w:val="clear" w:color="auto" w:fill="E6E6E6"/>
    </w:rPr>
  </w:style>
  <w:style w:type="character" w:styleId="Textodelmarcadordeposicin">
    <w:name w:val="Placeholder Text"/>
    <w:basedOn w:val="Fuentedeprrafopredeter"/>
    <w:uiPriority w:val="99"/>
    <w:semiHidden/>
    <w:rsid w:val="00ED31F4"/>
    <w:rPr>
      <w:color w:val="808080"/>
    </w:rPr>
  </w:style>
  <w:style w:type="character" w:customStyle="1" w:styleId="Mencinsinresolver3">
    <w:name w:val="Mención sin resolver3"/>
    <w:basedOn w:val="Fuentedeprrafopredeter"/>
    <w:uiPriority w:val="99"/>
    <w:semiHidden/>
    <w:unhideWhenUsed/>
    <w:rsid w:val="00ED31F4"/>
    <w:rPr>
      <w:color w:val="808080"/>
      <w:shd w:val="clear" w:color="auto" w:fill="E6E6E6"/>
    </w:rPr>
  </w:style>
  <w:style w:type="character" w:customStyle="1" w:styleId="Mencinsinresolver30">
    <w:name w:val="Mención sin resolver30"/>
    <w:basedOn w:val="Fuentedeprrafopredeter"/>
    <w:uiPriority w:val="99"/>
    <w:semiHidden/>
    <w:unhideWhenUsed/>
    <w:rsid w:val="00ED31F4"/>
    <w:rPr>
      <w:color w:val="808080"/>
      <w:shd w:val="clear" w:color="auto" w:fill="E6E6E6"/>
    </w:rPr>
  </w:style>
  <w:style w:type="paragraph" w:customStyle="1" w:styleId="clusulas">
    <w:name w:val="cláusulas"/>
    <w:basedOn w:val="Normal"/>
    <w:qFormat/>
    <w:rsid w:val="00ED31F4"/>
    <w:pPr>
      <w:numPr>
        <w:numId w:val="33"/>
      </w:numPr>
      <w:spacing w:before="120" w:after="120" w:line="240" w:lineRule="auto"/>
      <w:jc w:val="both"/>
    </w:pPr>
    <w:rPr>
      <w:b/>
      <w:sz w:val="20"/>
    </w:rPr>
  </w:style>
  <w:style w:type="paragraph" w:customStyle="1" w:styleId="Capitulo8">
    <w:name w:val="Capitulo 8"/>
    <w:basedOn w:val="Captulo7"/>
    <w:qFormat/>
    <w:rsid w:val="00ED31F4"/>
    <w:pPr>
      <w:numPr>
        <w:numId w:val="34"/>
      </w:numPr>
      <w:jc w:val="both"/>
    </w:pPr>
  </w:style>
  <w:style w:type="table" w:customStyle="1" w:styleId="Tablaconcuadrcula2">
    <w:name w:val="Tabla con cuadrícula2"/>
    <w:basedOn w:val="Tablanormal"/>
    <w:next w:val="Tablaconcuadrcula"/>
    <w:uiPriority w:val="59"/>
    <w:rsid w:val="00ED31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D31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ED31F4"/>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ED31F4"/>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ED31F4"/>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ED31F4"/>
    <w:rPr>
      <w:color w:val="808080"/>
      <w:shd w:val="clear" w:color="auto" w:fill="E6E6E6"/>
    </w:rPr>
  </w:style>
  <w:style w:type="character" w:customStyle="1" w:styleId="Mencinsinresolver3000">
    <w:name w:val="Mención sin resolver3000"/>
    <w:basedOn w:val="Fuentedeprrafopredeter"/>
    <w:uiPriority w:val="99"/>
    <w:semiHidden/>
    <w:unhideWhenUsed/>
    <w:rsid w:val="00ED31F4"/>
    <w:rPr>
      <w:color w:val="808080"/>
      <w:shd w:val="clear" w:color="auto" w:fill="E6E6E6"/>
    </w:rPr>
  </w:style>
  <w:style w:type="character" w:customStyle="1" w:styleId="Mencinsinresolver30000">
    <w:name w:val="Mención sin resolver30000"/>
    <w:basedOn w:val="Fuentedeprrafopredeter"/>
    <w:uiPriority w:val="99"/>
    <w:semiHidden/>
    <w:unhideWhenUsed/>
    <w:rsid w:val="00ED31F4"/>
    <w:rPr>
      <w:color w:val="808080"/>
      <w:shd w:val="clear" w:color="auto" w:fill="E6E6E6"/>
    </w:rPr>
  </w:style>
  <w:style w:type="paragraph" w:styleId="TDC4">
    <w:name w:val="toc 4"/>
    <w:basedOn w:val="Normal"/>
    <w:next w:val="Normal"/>
    <w:autoRedefine/>
    <w:uiPriority w:val="39"/>
    <w:unhideWhenUsed/>
    <w:rsid w:val="00ED31F4"/>
    <w:pPr>
      <w:spacing w:after="100"/>
      <w:ind w:left="660"/>
    </w:pPr>
    <w:rPr>
      <w:rFonts w:eastAsiaTheme="minorEastAsia"/>
      <w:lang w:eastAsia="es-CO"/>
    </w:rPr>
  </w:style>
  <w:style w:type="paragraph" w:styleId="TDC5">
    <w:name w:val="toc 5"/>
    <w:basedOn w:val="Normal"/>
    <w:next w:val="Normal"/>
    <w:autoRedefine/>
    <w:uiPriority w:val="39"/>
    <w:unhideWhenUsed/>
    <w:rsid w:val="00ED31F4"/>
    <w:pPr>
      <w:spacing w:after="100"/>
      <w:ind w:left="880"/>
    </w:pPr>
    <w:rPr>
      <w:rFonts w:eastAsiaTheme="minorEastAsia"/>
      <w:lang w:eastAsia="es-CO"/>
    </w:rPr>
  </w:style>
  <w:style w:type="paragraph" w:styleId="TDC6">
    <w:name w:val="toc 6"/>
    <w:basedOn w:val="Normal"/>
    <w:next w:val="Normal"/>
    <w:autoRedefine/>
    <w:uiPriority w:val="39"/>
    <w:unhideWhenUsed/>
    <w:rsid w:val="00ED31F4"/>
    <w:pPr>
      <w:spacing w:after="100"/>
      <w:ind w:left="1100"/>
    </w:pPr>
    <w:rPr>
      <w:rFonts w:eastAsiaTheme="minorEastAsia"/>
      <w:lang w:eastAsia="es-CO"/>
    </w:rPr>
  </w:style>
  <w:style w:type="paragraph" w:styleId="TDC7">
    <w:name w:val="toc 7"/>
    <w:basedOn w:val="Normal"/>
    <w:next w:val="Normal"/>
    <w:autoRedefine/>
    <w:uiPriority w:val="39"/>
    <w:unhideWhenUsed/>
    <w:rsid w:val="00ED31F4"/>
    <w:pPr>
      <w:spacing w:after="100"/>
      <w:ind w:left="1320"/>
    </w:pPr>
    <w:rPr>
      <w:rFonts w:eastAsiaTheme="minorEastAsia"/>
      <w:lang w:eastAsia="es-CO"/>
    </w:rPr>
  </w:style>
  <w:style w:type="paragraph" w:styleId="TDC8">
    <w:name w:val="toc 8"/>
    <w:basedOn w:val="Normal"/>
    <w:next w:val="Normal"/>
    <w:autoRedefine/>
    <w:uiPriority w:val="39"/>
    <w:unhideWhenUsed/>
    <w:rsid w:val="00ED31F4"/>
    <w:pPr>
      <w:spacing w:after="100"/>
      <w:ind w:left="1540"/>
    </w:pPr>
    <w:rPr>
      <w:rFonts w:eastAsiaTheme="minorEastAsia"/>
      <w:lang w:eastAsia="es-CO"/>
    </w:rPr>
  </w:style>
  <w:style w:type="paragraph" w:styleId="TDC9">
    <w:name w:val="toc 9"/>
    <w:basedOn w:val="Normal"/>
    <w:next w:val="Normal"/>
    <w:autoRedefine/>
    <w:uiPriority w:val="39"/>
    <w:unhideWhenUsed/>
    <w:rsid w:val="00ED31F4"/>
    <w:pPr>
      <w:spacing w:after="100"/>
      <w:ind w:left="1760"/>
    </w:pPr>
    <w:rPr>
      <w:rFonts w:eastAsiaTheme="minorEastAsia"/>
      <w:lang w:eastAsia="es-CO"/>
    </w:rPr>
  </w:style>
  <w:style w:type="character" w:customStyle="1" w:styleId="Mencinsinresolver4">
    <w:name w:val="Mención sin resolver4"/>
    <w:basedOn w:val="Fuentedeprrafopredeter"/>
    <w:uiPriority w:val="99"/>
    <w:semiHidden/>
    <w:unhideWhenUsed/>
    <w:rsid w:val="00ED31F4"/>
    <w:rPr>
      <w:color w:val="605E5C"/>
      <w:shd w:val="clear" w:color="auto" w:fill="E1DFDD"/>
    </w:rPr>
  </w:style>
  <w:style w:type="table" w:customStyle="1" w:styleId="Cuadrculadetablaclara1">
    <w:name w:val="Cuadrícula de tabla clara1"/>
    <w:basedOn w:val="Tablanormal"/>
    <w:next w:val="Tablaconcuadrculaclara"/>
    <w:uiPriority w:val="99"/>
    <w:rsid w:val="00ED31F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D31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ED31F4"/>
    <w:rPr>
      <w:color w:val="2B579A"/>
      <w:shd w:val="clear" w:color="auto" w:fill="E1DFDD"/>
    </w:rPr>
  </w:style>
  <w:style w:type="table" w:customStyle="1" w:styleId="Tablaconcuadrcula10">
    <w:name w:val="Tabla con cuadrícula10"/>
    <w:basedOn w:val="Tablanormal"/>
    <w:next w:val="Tablaconcuadrcula"/>
    <w:uiPriority w:val="59"/>
    <w:rsid w:val="00ED3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D31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ED31F4"/>
  </w:style>
  <w:style w:type="character" w:customStyle="1" w:styleId="normaltextrun">
    <w:name w:val="normaltextrun"/>
    <w:basedOn w:val="Fuentedeprrafopredeter"/>
    <w:rsid w:val="00ED31F4"/>
  </w:style>
  <w:style w:type="paragraph" w:styleId="Subttulo">
    <w:name w:val="Subtitle"/>
    <w:basedOn w:val="Normal"/>
    <w:next w:val="Normal"/>
    <w:link w:val="SubttuloCar"/>
    <w:uiPriority w:val="11"/>
    <w:qFormat/>
    <w:rsid w:val="00ED31F4"/>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ED31F4"/>
    <w:rPr>
      <w:rFonts w:eastAsiaTheme="minorEastAsia"/>
      <w:color w:val="5A5A5A" w:themeColor="text1" w:themeTint="A5"/>
      <w:spacing w:val="15"/>
    </w:rPr>
  </w:style>
  <w:style w:type="character" w:customStyle="1" w:styleId="apple-converted-space">
    <w:name w:val="apple-converted-space"/>
    <w:basedOn w:val="Fuentedeprrafopredeter"/>
    <w:rsid w:val="00ED31F4"/>
  </w:style>
  <w:style w:type="paragraph" w:customStyle="1" w:styleId="paragraph">
    <w:name w:val="paragraph"/>
    <w:basedOn w:val="Normal"/>
    <w:rsid w:val="00ED31F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167867">
      <w:bodyDiv w:val="1"/>
      <w:marLeft w:val="0"/>
      <w:marRight w:val="0"/>
      <w:marTop w:val="0"/>
      <w:marBottom w:val="0"/>
      <w:divBdr>
        <w:top w:val="none" w:sz="0" w:space="0" w:color="auto"/>
        <w:left w:val="none" w:sz="0" w:space="0" w:color="auto"/>
        <w:bottom w:val="none" w:sz="0" w:space="0" w:color="auto"/>
        <w:right w:val="none" w:sz="0" w:space="0" w:color="auto"/>
      </w:divBdr>
    </w:div>
    <w:div w:id="851994601">
      <w:bodyDiv w:val="1"/>
      <w:marLeft w:val="0"/>
      <w:marRight w:val="0"/>
      <w:marTop w:val="0"/>
      <w:marBottom w:val="0"/>
      <w:divBdr>
        <w:top w:val="none" w:sz="0" w:space="0" w:color="auto"/>
        <w:left w:val="none" w:sz="0" w:space="0" w:color="auto"/>
        <w:bottom w:val="none" w:sz="0" w:space="0" w:color="auto"/>
        <w:right w:val="none" w:sz="0" w:space="0" w:color="auto"/>
      </w:divBdr>
    </w:div>
    <w:div w:id="930553483">
      <w:bodyDiv w:val="1"/>
      <w:marLeft w:val="0"/>
      <w:marRight w:val="0"/>
      <w:marTop w:val="0"/>
      <w:marBottom w:val="0"/>
      <w:divBdr>
        <w:top w:val="none" w:sz="0" w:space="0" w:color="auto"/>
        <w:left w:val="none" w:sz="0" w:space="0" w:color="auto"/>
        <w:bottom w:val="none" w:sz="0" w:space="0" w:color="auto"/>
        <w:right w:val="none" w:sz="0" w:space="0" w:color="auto"/>
      </w:divBdr>
    </w:div>
    <w:div w:id="932932715">
      <w:bodyDiv w:val="1"/>
      <w:marLeft w:val="0"/>
      <w:marRight w:val="0"/>
      <w:marTop w:val="0"/>
      <w:marBottom w:val="0"/>
      <w:divBdr>
        <w:top w:val="none" w:sz="0" w:space="0" w:color="auto"/>
        <w:left w:val="none" w:sz="0" w:space="0" w:color="auto"/>
        <w:bottom w:val="none" w:sz="0" w:space="0" w:color="auto"/>
        <w:right w:val="none" w:sz="0" w:space="0" w:color="auto"/>
      </w:divBdr>
    </w:div>
    <w:div w:id="975373313">
      <w:bodyDiv w:val="1"/>
      <w:marLeft w:val="0"/>
      <w:marRight w:val="0"/>
      <w:marTop w:val="0"/>
      <w:marBottom w:val="0"/>
      <w:divBdr>
        <w:top w:val="none" w:sz="0" w:space="0" w:color="auto"/>
        <w:left w:val="none" w:sz="0" w:space="0" w:color="auto"/>
        <w:bottom w:val="none" w:sz="0" w:space="0" w:color="auto"/>
        <w:right w:val="none" w:sz="0" w:space="0" w:color="auto"/>
      </w:divBdr>
    </w:div>
    <w:div w:id="1131048911">
      <w:bodyDiv w:val="1"/>
      <w:marLeft w:val="0"/>
      <w:marRight w:val="0"/>
      <w:marTop w:val="0"/>
      <w:marBottom w:val="0"/>
      <w:divBdr>
        <w:top w:val="none" w:sz="0" w:space="0" w:color="auto"/>
        <w:left w:val="none" w:sz="0" w:space="0" w:color="auto"/>
        <w:bottom w:val="none" w:sz="0" w:space="0" w:color="auto"/>
        <w:right w:val="none" w:sz="0" w:space="0" w:color="auto"/>
      </w:divBdr>
    </w:div>
    <w:div w:id="1398700494">
      <w:bodyDiv w:val="1"/>
      <w:marLeft w:val="0"/>
      <w:marRight w:val="0"/>
      <w:marTop w:val="0"/>
      <w:marBottom w:val="0"/>
      <w:divBdr>
        <w:top w:val="none" w:sz="0" w:space="0" w:color="auto"/>
        <w:left w:val="none" w:sz="0" w:space="0" w:color="auto"/>
        <w:bottom w:val="none" w:sz="0" w:space="0" w:color="auto"/>
        <w:right w:val="none" w:sz="0" w:space="0" w:color="auto"/>
      </w:divBdr>
    </w:div>
    <w:div w:id="1512838935">
      <w:bodyDiv w:val="1"/>
      <w:marLeft w:val="0"/>
      <w:marRight w:val="0"/>
      <w:marTop w:val="0"/>
      <w:marBottom w:val="0"/>
      <w:divBdr>
        <w:top w:val="none" w:sz="0" w:space="0" w:color="auto"/>
        <w:left w:val="none" w:sz="0" w:space="0" w:color="auto"/>
        <w:bottom w:val="none" w:sz="0" w:space="0" w:color="auto"/>
        <w:right w:val="none" w:sz="0" w:space="0" w:color="auto"/>
      </w:divBdr>
    </w:div>
    <w:div w:id="1722946962">
      <w:bodyDiv w:val="1"/>
      <w:marLeft w:val="0"/>
      <w:marRight w:val="0"/>
      <w:marTop w:val="0"/>
      <w:marBottom w:val="0"/>
      <w:divBdr>
        <w:top w:val="none" w:sz="0" w:space="0" w:color="auto"/>
        <w:left w:val="none" w:sz="0" w:space="0" w:color="auto"/>
        <w:bottom w:val="none" w:sz="0" w:space="0" w:color="auto"/>
        <w:right w:val="none" w:sz="0" w:space="0" w:color="auto"/>
      </w:divBdr>
    </w:div>
    <w:div w:id="2022048657">
      <w:bodyDiv w:val="1"/>
      <w:marLeft w:val="0"/>
      <w:marRight w:val="0"/>
      <w:marTop w:val="0"/>
      <w:marBottom w:val="0"/>
      <w:divBdr>
        <w:top w:val="none" w:sz="0" w:space="0" w:color="auto"/>
        <w:left w:val="none" w:sz="0" w:space="0" w:color="auto"/>
        <w:bottom w:val="none" w:sz="0" w:space="0" w:color="auto"/>
        <w:right w:val="none" w:sz="0" w:space="0" w:color="auto"/>
      </w:divBdr>
    </w:div>
    <w:div w:id="206263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9.png"/><Relationship Id="rId21" Type="http://schemas.openxmlformats.org/officeDocument/2006/relationships/image" Target="media/image5.png"/><Relationship Id="rId42" Type="http://schemas.openxmlformats.org/officeDocument/2006/relationships/image" Target="media/image25.png"/><Relationship Id="rId63" Type="http://schemas.openxmlformats.org/officeDocument/2006/relationships/image" Target="media/image45.png"/><Relationship Id="rId84" Type="http://schemas.openxmlformats.org/officeDocument/2006/relationships/image" Target="media/image60.png"/><Relationship Id="rId138" Type="http://schemas.openxmlformats.org/officeDocument/2006/relationships/image" Target="media/image91.png"/><Relationship Id="rId159" Type="http://schemas.openxmlformats.org/officeDocument/2006/relationships/hyperlink" Target="https://app.powerbi.com/view?r=eyJrIjoiOTk0MWM1MjMtYzhkOS00NDUwLThmOTEtMmRmMTQxNTEyYTczIiwidCI6IjdiMDkwNDFlLTI0NTEtNDlkMC04Y2IxLTc5ZDVlM2Q4YzFiZSIsImMiOjR9" TargetMode="External"/><Relationship Id="rId170" Type="http://schemas.openxmlformats.org/officeDocument/2006/relationships/image" Target="media/image108.png"/><Relationship Id="rId191" Type="http://schemas.openxmlformats.org/officeDocument/2006/relationships/hyperlink" Target="https://app.powerbi.com/view?r=eyJrIjoiOTk0MWM1MjMtYzhkOS00NDUwLThmOTEtMmRmMTQxNTEyYTczIiwidCI6IjdiMDkwNDFlLTI0NTEtNDlkMC04Y2IxLTc5ZDVlM2Q4YzFiZSIsImMiOjR9" TargetMode="External"/><Relationship Id="rId107" Type="http://schemas.openxmlformats.org/officeDocument/2006/relationships/hyperlink" Target="https://app.powerbi.com/view?r=eyJrIjoiOTk0MWM1MjMtYzhkOS00NDUwLThmOTEtMmRmMTQxNTEyYTczIiwidCI6IjdiMDkwNDFlLTI0NTEtNDlkMC04Y2IxLTc5ZDVlM2Q4YzFiZSIsImMiOjR9" TargetMode="External"/><Relationship Id="rId11" Type="http://schemas.openxmlformats.org/officeDocument/2006/relationships/hyperlink" Target="https://www.sca.org.co/" TargetMode="External"/><Relationship Id="rId32" Type="http://schemas.openxmlformats.org/officeDocument/2006/relationships/image" Target="media/image15.png"/><Relationship Id="rId53" Type="http://schemas.openxmlformats.org/officeDocument/2006/relationships/header" Target="header1.xml"/><Relationship Id="rId74" Type="http://schemas.openxmlformats.org/officeDocument/2006/relationships/image" Target="media/image54.png"/><Relationship Id="rId128" Type="http://schemas.openxmlformats.org/officeDocument/2006/relationships/image" Target="media/image85.png"/><Relationship Id="rId149" Type="http://schemas.openxmlformats.org/officeDocument/2006/relationships/hyperlink" Target="https://app.powerbi.com/view?r=eyJrIjoiOTk0MWM1MjMtYzhkOS00NDUwLThmOTEtMmRmMTQxNTEyYTczIiwidCI6IjdiMDkwNDFlLTI0NTEtNDlkMC04Y2IxLTc5ZDVlM2Q4YzFiZSIsImMiOjR9" TargetMode="External"/><Relationship Id="rId5" Type="http://schemas.openxmlformats.org/officeDocument/2006/relationships/webSettings" Target="webSettings.xml"/><Relationship Id="rId95" Type="http://schemas.openxmlformats.org/officeDocument/2006/relationships/image" Target="media/image66.png"/><Relationship Id="rId160" Type="http://schemas.openxmlformats.org/officeDocument/2006/relationships/image" Target="media/image103.png"/><Relationship Id="rId181" Type="http://schemas.openxmlformats.org/officeDocument/2006/relationships/hyperlink" Target="https://app.powerbi.com/view?r=eyJrIjoiOTk0MWM1MjMtYzhkOS00NDUwLThmOTEtMmRmMTQxNTEyYTczIiwidCI6IjdiMDkwNDFlLTI0NTEtNDlkMC04Y2IxLTc5ZDVlM2Q4YzFiZSIsImMiOjR9" TargetMode="External"/><Relationship Id="rId22" Type="http://schemas.openxmlformats.org/officeDocument/2006/relationships/image" Target="media/image6.png"/><Relationship Id="rId43" Type="http://schemas.openxmlformats.org/officeDocument/2006/relationships/image" Target="media/image26.png"/><Relationship Id="rId64" Type="http://schemas.openxmlformats.org/officeDocument/2006/relationships/image" Target="media/image46.emf"/><Relationship Id="rId118" Type="http://schemas.openxmlformats.org/officeDocument/2006/relationships/hyperlink" Target="https://app.powerbi.com/view?r=eyJrIjoiOTk0MWM1MjMtYzhkOS00NDUwLThmOTEtMmRmMTQxNTEyYTczIiwidCI6IjdiMDkwNDFlLTI0NTEtNDlkMC04Y2IxLTc5ZDVlM2Q4YzFiZSIsImMiOjR9" TargetMode="External"/><Relationship Id="rId139" Type="http://schemas.openxmlformats.org/officeDocument/2006/relationships/hyperlink" Target="https://app.powerbi.com/view?r=eyJrIjoiOTk0MWM1MjMtYzhkOS00NDUwLThmOTEtMmRmMTQxNTEyYTczIiwidCI6IjdiMDkwNDFlLTI0NTEtNDlkMC04Y2IxLTc5ZDVlM2Q4YzFiZSIsImMiOjR9" TargetMode="External"/><Relationship Id="rId85" Type="http://schemas.openxmlformats.org/officeDocument/2006/relationships/hyperlink" Target="https://app.powerbi.com/view?r=eyJrIjoiOTk0MWM1MjMtYzhkOS00NDUwLThmOTEtMmRmMTQxNTEyYTczIiwidCI6IjdiMDkwNDFlLTI0NTEtNDlkMC04Y2IxLTc5ZDVlM2Q4YzFiZSIsImMiOjR9" TargetMode="External"/><Relationship Id="rId150" Type="http://schemas.openxmlformats.org/officeDocument/2006/relationships/image" Target="media/image98.png"/><Relationship Id="rId171" Type="http://schemas.openxmlformats.org/officeDocument/2006/relationships/hyperlink" Target="https://app.powerbi.com/view?r=eyJrIjoiOTk0MWM1MjMtYzhkOS00NDUwLThmOTEtMmRmMTQxNTEyYTczIiwidCI6IjdiMDkwNDFlLTI0NTEtNDlkMC04Y2IxLTc5ZDVlM2Q4YzFiZSIsImMiOjR9" TargetMode="External"/><Relationship Id="rId192" Type="http://schemas.openxmlformats.org/officeDocument/2006/relationships/image" Target="media/image120.png"/><Relationship Id="rId12" Type="http://schemas.openxmlformats.org/officeDocument/2006/relationships/hyperlink" Target="https://www.camacol.org.co/" TargetMode="External"/><Relationship Id="rId33" Type="http://schemas.openxmlformats.org/officeDocument/2006/relationships/image" Target="media/image16.png"/><Relationship Id="rId108" Type="http://schemas.openxmlformats.org/officeDocument/2006/relationships/image" Target="media/image73.png"/><Relationship Id="rId129" Type="http://schemas.openxmlformats.org/officeDocument/2006/relationships/hyperlink" Target="https://app.powerbi.com/view?r=eyJrIjoiOTk0MWM1MjMtYzhkOS00NDUwLThmOTEtMmRmMTQxNTEyYTczIiwidCI6IjdiMDkwNDFlLTI0NTEtNDlkMC04Y2IxLTc5ZDVlM2Q4YzFiZSIsImMiOjR9" TargetMode="External"/><Relationship Id="rId54" Type="http://schemas.openxmlformats.org/officeDocument/2006/relationships/footer" Target="footer1.xml"/><Relationship Id="rId75" Type="http://schemas.openxmlformats.org/officeDocument/2006/relationships/hyperlink" Target="https://app.powerbi.com/view?r=eyJrIjoiOTk0MWM1MjMtYzhkOS00NDUwLThmOTEtMmRmMTQxNTEyYTczIiwidCI6IjdiMDkwNDFlLTI0NTEtNDlkMC04Y2IxLTc5ZDVlM2Q4YzFiZSIsImMiOjR9" TargetMode="External"/><Relationship Id="rId96" Type="http://schemas.openxmlformats.org/officeDocument/2006/relationships/hyperlink" Target="https://app.powerbi.com/view?r=eyJrIjoiOTk0MWM1MjMtYzhkOS00NDUwLThmOTEtMmRmMTQxNTEyYTczIiwidCI6IjdiMDkwNDFlLTI0NTEtNDlkMC04Y2IxLTc5ZDVlM2Q4YzFiZSIsImMiOjR9" TargetMode="External"/><Relationship Id="rId140" Type="http://schemas.openxmlformats.org/officeDocument/2006/relationships/image" Target="media/image92.png"/><Relationship Id="rId161" Type="http://schemas.openxmlformats.org/officeDocument/2006/relationships/hyperlink" Target="https://app.powerbi.com/view?r=eyJrIjoiOTk0MWM1MjMtYzhkOS00NDUwLThmOTEtMmRmMTQxNTEyYTczIiwidCI6IjdiMDkwNDFlLTI0NTEtNDlkMC04Y2IxLTc5ZDVlM2Q4YzFiZSIsImMiOjR9" TargetMode="External"/><Relationship Id="rId182" Type="http://schemas.openxmlformats.org/officeDocument/2006/relationships/image" Target="media/image114.png"/><Relationship Id="rId6" Type="http://schemas.openxmlformats.org/officeDocument/2006/relationships/footnotes" Target="footnotes.xml"/><Relationship Id="rId23" Type="http://schemas.openxmlformats.org/officeDocument/2006/relationships/image" Target="media/image7.png"/><Relationship Id="rId119" Type="http://schemas.openxmlformats.org/officeDocument/2006/relationships/image" Target="media/image80.png"/><Relationship Id="rId44" Type="http://schemas.openxmlformats.org/officeDocument/2006/relationships/image" Target="media/image27.png"/><Relationship Id="rId65" Type="http://schemas.openxmlformats.org/officeDocument/2006/relationships/image" Target="media/image47.emf"/><Relationship Id="rId86" Type="http://schemas.openxmlformats.org/officeDocument/2006/relationships/image" Target="media/image61.png"/><Relationship Id="rId130" Type="http://schemas.openxmlformats.org/officeDocument/2006/relationships/image" Target="media/image86.png"/><Relationship Id="rId151" Type="http://schemas.openxmlformats.org/officeDocument/2006/relationships/hyperlink" Target="https://app.powerbi.com/view?r=eyJrIjoiOTk0MWM1MjMtYzhkOS00NDUwLThmOTEtMmRmMTQxNTEyYTczIiwidCI6IjdiMDkwNDFlLTI0NTEtNDlkMC04Y2IxLTc5ZDVlM2Q4YzFiZSIsImMiOjR9" TargetMode="External"/><Relationship Id="rId172" Type="http://schemas.openxmlformats.org/officeDocument/2006/relationships/image" Target="media/image109.png"/><Relationship Id="rId193" Type="http://schemas.openxmlformats.org/officeDocument/2006/relationships/hyperlink" Target="https://app.powerbi.com/view?r=eyJrIjoiOTk0MWM1MjMtYzhkOS00NDUwLThmOTEtMmRmMTQxNTEyYTczIiwidCI6IjdiMDkwNDFlLTI0NTEtNDlkMC04Y2IxLTc5ZDVlM2Q4YzFiZSIsImMiOjR9" TargetMode="External"/><Relationship Id="rId13" Type="http://schemas.openxmlformats.org/officeDocument/2006/relationships/hyperlink" Target="https://www.aciem.org/" TargetMode="External"/><Relationship Id="rId109" Type="http://schemas.openxmlformats.org/officeDocument/2006/relationships/hyperlink" Target="https://app.powerbi.com/view?r=eyJrIjoiOTk0MWM1MjMtYzhkOS00NDUwLThmOTEtMmRmMTQxNTEyYTczIiwidCI6IjdiMDkwNDFlLTI0NTEtNDlkMC04Y2IxLTc5ZDVlM2Q4YzFiZSIsImMiOjR9" TargetMode="External"/><Relationship Id="rId34" Type="http://schemas.openxmlformats.org/officeDocument/2006/relationships/image" Target="media/image17.png"/><Relationship Id="rId55" Type="http://schemas.openxmlformats.org/officeDocument/2006/relationships/image" Target="media/image37.png"/><Relationship Id="rId76" Type="http://schemas.openxmlformats.org/officeDocument/2006/relationships/image" Target="media/image55.png"/><Relationship Id="rId97" Type="http://schemas.openxmlformats.org/officeDocument/2006/relationships/image" Target="media/image67.png"/><Relationship Id="rId120" Type="http://schemas.openxmlformats.org/officeDocument/2006/relationships/hyperlink" Target="https://app.powerbi.com/view?r=eyJrIjoiOTk0MWM1MjMtYzhkOS00NDUwLThmOTEtMmRmMTQxNTEyYTczIiwidCI6IjdiMDkwNDFlLTI0NTEtNDlkMC04Y2IxLTc5ZDVlM2Q4YzFiZSIsImMiOjR9" TargetMode="External"/><Relationship Id="rId141" Type="http://schemas.openxmlformats.org/officeDocument/2006/relationships/hyperlink" Target="https://app.powerbi.com/view?r=eyJrIjoiOTk0MWM1MjMtYzhkOS00NDUwLThmOTEtMmRmMTQxNTEyYTczIiwidCI6IjdiMDkwNDFlLTI0NTEtNDlkMC04Y2IxLTc5ZDVlM2Q4YzFiZSIsImMiOjR9" TargetMode="External"/><Relationship Id="rId7" Type="http://schemas.openxmlformats.org/officeDocument/2006/relationships/endnotes" Target="endnotes.xml"/><Relationship Id="rId71" Type="http://schemas.openxmlformats.org/officeDocument/2006/relationships/hyperlink" Target="https://app.powerbi.com/view?r=eyJrIjoiOTk0MWM1MjMtYzhkOS00NDUwLThmOTEtMmRmMTQxNTEyYTczIiwidCI6IjdiMDkwNDFlLTI0NTEtNDlkMC04Y2IxLTc5ZDVlM2Q4YzFiZSIsImMiOjR9" TargetMode="External"/><Relationship Id="rId92" Type="http://schemas.openxmlformats.org/officeDocument/2006/relationships/image" Target="media/image64.png"/><Relationship Id="rId162" Type="http://schemas.openxmlformats.org/officeDocument/2006/relationships/image" Target="media/image104.png"/><Relationship Id="rId183" Type="http://schemas.openxmlformats.org/officeDocument/2006/relationships/hyperlink" Target="https://app.powerbi.com/view?r=eyJrIjoiOTk0MWM1MjMtYzhkOS00NDUwLThmOTEtMmRmMTQxNTEyYTczIiwidCI6IjdiMDkwNDFlLTI0NTEtNDlkMC04Y2IxLTc5ZDVlM2Q4YzFiZSIsImMiOjR9" TargetMode="External"/><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8.png"/><Relationship Id="rId87" Type="http://schemas.openxmlformats.org/officeDocument/2006/relationships/hyperlink" Target="https://app.powerbi.com/view?r=eyJrIjoiOTk0MWM1MjMtYzhkOS00NDUwLThmOTEtMmRmMTQxNTEyYTczIiwidCI6IjdiMDkwNDFlLTI0NTEtNDlkMC04Y2IxLTc5ZDVlM2Q4YzFiZSIsImMiOjR9" TargetMode="External"/><Relationship Id="rId110" Type="http://schemas.openxmlformats.org/officeDocument/2006/relationships/image" Target="media/image74.png"/><Relationship Id="rId115" Type="http://schemas.openxmlformats.org/officeDocument/2006/relationships/image" Target="media/image78.png"/><Relationship Id="rId131" Type="http://schemas.openxmlformats.org/officeDocument/2006/relationships/image" Target="media/image87.png"/><Relationship Id="rId136" Type="http://schemas.openxmlformats.org/officeDocument/2006/relationships/image" Target="media/image90.png"/><Relationship Id="rId157" Type="http://schemas.openxmlformats.org/officeDocument/2006/relationships/hyperlink" Target="https://app.powerbi.com/view?r=eyJrIjoiOTk0MWM1MjMtYzhkOS00NDUwLThmOTEtMmRmMTQxNTEyYTczIiwidCI6IjdiMDkwNDFlLTI0NTEtNDlkMC04Y2IxLTc5ZDVlM2Q4YzFiZSIsImMiOjR9" TargetMode="External"/><Relationship Id="rId178" Type="http://schemas.openxmlformats.org/officeDocument/2006/relationships/image" Target="media/image112.png"/><Relationship Id="rId61" Type="http://schemas.openxmlformats.org/officeDocument/2006/relationships/image" Target="media/image43.png"/><Relationship Id="rId82" Type="http://schemas.openxmlformats.org/officeDocument/2006/relationships/image" Target="media/image59.png"/><Relationship Id="rId152" Type="http://schemas.openxmlformats.org/officeDocument/2006/relationships/image" Target="media/image99.png"/><Relationship Id="rId173" Type="http://schemas.openxmlformats.org/officeDocument/2006/relationships/hyperlink" Target="https://app.powerbi.com/view?r=eyJrIjoiOTk0MWM1MjMtYzhkOS00NDUwLThmOTEtMmRmMTQxNTEyYTczIiwidCI6IjdiMDkwNDFlLTI0NTEtNDlkMC04Y2IxLTc5ZDVlM2Q4YzFiZSIsImMiOjR9" TargetMode="External"/><Relationship Id="rId194" Type="http://schemas.openxmlformats.org/officeDocument/2006/relationships/image" Target="media/image121.png"/><Relationship Id="rId199" Type="http://schemas.openxmlformats.org/officeDocument/2006/relationships/fontTable" Target="fontTable.xml"/><Relationship Id="rId19" Type="http://schemas.openxmlformats.org/officeDocument/2006/relationships/image" Target="media/image3.png"/><Relationship Id="rId14" Type="http://schemas.openxmlformats.org/officeDocument/2006/relationships/hyperlink" Target="https://www.cpnaa.gov.co/" TargetMode="External"/><Relationship Id="rId30" Type="http://schemas.openxmlformats.org/officeDocument/2006/relationships/hyperlink" Target="https://www.superfinanciera.gov.co/publicaciones/60819/informes-y-cifrascifrasestablecimientos-de-creditoinformacion-periodicadiariatasa-de-cambio-representativa-del-mercado-trm-60819/" TargetMode="External"/><Relationship Id="rId35" Type="http://schemas.openxmlformats.org/officeDocument/2006/relationships/image" Target="media/image18.png"/><Relationship Id="rId56" Type="http://schemas.openxmlformats.org/officeDocument/2006/relationships/image" Target="media/image38.jpeg"/><Relationship Id="rId77" Type="http://schemas.openxmlformats.org/officeDocument/2006/relationships/hyperlink" Target="https://app.powerbi.com/view?r=eyJrIjoiOTk0MWM1MjMtYzhkOS00NDUwLThmOTEtMmRmMTQxNTEyYTczIiwidCI6IjdiMDkwNDFlLTI0NTEtNDlkMC04Y2IxLTc5ZDVlM2Q4YzFiZSIsImMiOjR9" TargetMode="External"/><Relationship Id="rId100" Type="http://schemas.openxmlformats.org/officeDocument/2006/relationships/image" Target="media/image69.png"/><Relationship Id="rId105" Type="http://schemas.openxmlformats.org/officeDocument/2006/relationships/hyperlink" Target="https://app.powerbi.com/view?r=eyJrIjoiOTk0MWM1MjMtYzhkOS00NDUwLThmOTEtMmRmMTQxNTEyYTczIiwidCI6IjdiMDkwNDFlLTI0NTEtNDlkMC04Y2IxLTc5ZDVlM2Q4YzFiZSIsImMiOjR9" TargetMode="External"/><Relationship Id="rId126" Type="http://schemas.openxmlformats.org/officeDocument/2006/relationships/hyperlink" Target="https://app.powerbi.com/view?r=eyJrIjoiOTk0MWM1MjMtYzhkOS00NDUwLThmOTEtMmRmMTQxNTEyYTczIiwidCI6IjdiMDkwNDFlLTI0NTEtNDlkMC04Y2IxLTc5ZDVlM2Q4YzFiZSIsImMiOjR9" TargetMode="External"/><Relationship Id="rId147" Type="http://schemas.openxmlformats.org/officeDocument/2006/relationships/hyperlink" Target="https://app.powerbi.com/view?r=eyJrIjoiOTk0MWM1MjMtYzhkOS00NDUwLThmOTEtMmRmMTQxNTEyYTczIiwidCI6IjdiMDkwNDFlLTI0NTEtNDlkMC04Y2IxLTc5ZDVlM2Q4YzFiZSIsImMiOjR9" TargetMode="External"/><Relationship Id="rId168" Type="http://schemas.openxmlformats.org/officeDocument/2006/relationships/image" Target="media/image107.png"/><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3.png"/><Relationship Id="rId93" Type="http://schemas.openxmlformats.org/officeDocument/2006/relationships/hyperlink" Target="https://app.powerbi.com/view?r=eyJrIjoiOTk0MWM1MjMtYzhkOS00NDUwLThmOTEtMmRmMTQxNTEyYTczIiwidCI6IjdiMDkwNDFlLTI0NTEtNDlkMC04Y2IxLTc5ZDVlM2Q4YzFiZSIsImMiOjR9" TargetMode="External"/><Relationship Id="rId98" Type="http://schemas.openxmlformats.org/officeDocument/2006/relationships/image" Target="media/image68.png"/><Relationship Id="rId121" Type="http://schemas.openxmlformats.org/officeDocument/2006/relationships/image" Target="media/image81.png"/><Relationship Id="rId142" Type="http://schemas.openxmlformats.org/officeDocument/2006/relationships/image" Target="media/image93.png"/><Relationship Id="rId163" Type="http://schemas.openxmlformats.org/officeDocument/2006/relationships/hyperlink" Target="https://app.powerbi.com/view?r=eyJrIjoiOTk0MWM1MjMtYzhkOS00NDUwLThmOTEtMmRmMTQxNTEyYTczIiwidCI6IjdiMDkwNDFlLTI0NTEtNDlkMC04Y2IxLTc5ZDVlM2Q4YzFiZSIsImMiOjR9" TargetMode="External"/><Relationship Id="rId184" Type="http://schemas.openxmlformats.org/officeDocument/2006/relationships/image" Target="media/image115.png"/><Relationship Id="rId189" Type="http://schemas.openxmlformats.org/officeDocument/2006/relationships/image" Target="media/image118.png"/><Relationship Id="rId3" Type="http://schemas.openxmlformats.org/officeDocument/2006/relationships/styles" Target="styles.xml"/><Relationship Id="rId25" Type="http://schemas.openxmlformats.org/officeDocument/2006/relationships/image" Target="media/image9.png"/><Relationship Id="rId46" Type="http://schemas.openxmlformats.org/officeDocument/2006/relationships/image" Target="media/image29.png"/><Relationship Id="rId67" Type="http://schemas.openxmlformats.org/officeDocument/2006/relationships/image" Target="media/image49.emf"/><Relationship Id="rId116" Type="http://schemas.openxmlformats.org/officeDocument/2006/relationships/hyperlink" Target="https://app.powerbi.com/view?r=eyJrIjoiOTk0MWM1MjMtYzhkOS00NDUwLThmOTEtMmRmMTQxNTEyYTczIiwidCI6IjdiMDkwNDFlLTI0NTEtNDlkMC04Y2IxLTc5ZDVlM2Q4YzFiZSIsImMiOjR9" TargetMode="External"/><Relationship Id="rId137" Type="http://schemas.openxmlformats.org/officeDocument/2006/relationships/hyperlink" Target="https://app.powerbi.com/view?r=eyJrIjoiOTk0MWM1MjMtYzhkOS00NDUwLThmOTEtMmRmMTQxNTEyYTczIiwidCI6IjdiMDkwNDFlLTI0NTEtNDlkMC04Y2IxLTc5ZDVlM2Q4YzFiZSIsImMiOjR9" TargetMode="External"/><Relationship Id="rId158" Type="http://schemas.openxmlformats.org/officeDocument/2006/relationships/image" Target="media/image102.png"/><Relationship Id="rId20" Type="http://schemas.openxmlformats.org/officeDocument/2006/relationships/image" Target="media/image4.jpeg"/><Relationship Id="rId41" Type="http://schemas.openxmlformats.org/officeDocument/2006/relationships/image" Target="media/image24.png"/><Relationship Id="rId62" Type="http://schemas.openxmlformats.org/officeDocument/2006/relationships/image" Target="media/image44.jpeg"/><Relationship Id="rId83" Type="http://schemas.openxmlformats.org/officeDocument/2006/relationships/hyperlink" Target="https://app.powerbi.com/view?r=eyJrIjoiOTk0MWM1MjMtYzhkOS00NDUwLThmOTEtMmRmMTQxNTEyYTczIiwidCI6IjdiMDkwNDFlLTI0NTEtNDlkMC04Y2IxLTc5ZDVlM2Q4YzFiZSIsImMiOjR9" TargetMode="External"/><Relationship Id="rId88" Type="http://schemas.openxmlformats.org/officeDocument/2006/relationships/image" Target="media/image62.png"/><Relationship Id="rId111" Type="http://schemas.openxmlformats.org/officeDocument/2006/relationships/image" Target="media/image75.png"/><Relationship Id="rId132" Type="http://schemas.openxmlformats.org/officeDocument/2006/relationships/image" Target="media/image88.png"/><Relationship Id="rId153" Type="http://schemas.openxmlformats.org/officeDocument/2006/relationships/hyperlink" Target="https://app.powerbi.com/view?r=eyJrIjoiOTk0MWM1MjMtYzhkOS00NDUwLThmOTEtMmRmMTQxNTEyYTczIiwidCI6IjdiMDkwNDFlLTI0NTEtNDlkMC04Y2IxLTc5ZDVlM2Q4YzFiZSIsImMiOjR9" TargetMode="External"/><Relationship Id="rId174" Type="http://schemas.openxmlformats.org/officeDocument/2006/relationships/image" Target="media/image110.png"/><Relationship Id="rId179" Type="http://schemas.openxmlformats.org/officeDocument/2006/relationships/hyperlink" Target="https://app.powerbi.com/view?r=eyJrIjoiOTk0MWM1MjMtYzhkOS00NDUwLThmOTEtMmRmMTQxNTEyYTczIiwidCI6IjdiMDkwNDFlLTI0NTEtNDlkMC04Y2IxLTc5ZDVlM2Q4YzFiZSIsImMiOjR9" TargetMode="External"/><Relationship Id="rId195" Type="http://schemas.openxmlformats.org/officeDocument/2006/relationships/hyperlink" Target="https://app.powerbi.com/view?r=eyJrIjoiOTk0MWM1MjMtYzhkOS00NDUwLThmOTEtMmRmMTQxNTEyYTczIiwidCI6IjdiMDkwNDFlLTI0NTEtNDlkMC04Y2IxLTc5ZDVlM2Q4YzFiZSIsImMiOjR9" TargetMode="External"/><Relationship Id="rId190" Type="http://schemas.openxmlformats.org/officeDocument/2006/relationships/image" Target="media/image119.png"/><Relationship Id="rId15" Type="http://schemas.openxmlformats.org/officeDocument/2006/relationships/hyperlink" Target="https://www.copnia.gov.co/" TargetMode="External"/><Relationship Id="rId36" Type="http://schemas.openxmlformats.org/officeDocument/2006/relationships/image" Target="media/image19.png"/><Relationship Id="rId57" Type="http://schemas.openxmlformats.org/officeDocument/2006/relationships/image" Target="media/image39.png"/><Relationship Id="rId106" Type="http://schemas.openxmlformats.org/officeDocument/2006/relationships/image" Target="media/image72.png"/><Relationship Id="rId127" Type="http://schemas.openxmlformats.org/officeDocument/2006/relationships/image" Target="media/image84.png"/><Relationship Id="rId10" Type="http://schemas.openxmlformats.org/officeDocument/2006/relationships/hyperlink" Target="https://www.sci.org.co/" TargetMode="External"/><Relationship Id="rId31" Type="http://schemas.openxmlformats.org/officeDocument/2006/relationships/image" Target="media/image14.png"/><Relationship Id="rId52" Type="http://schemas.openxmlformats.org/officeDocument/2006/relationships/image" Target="media/image35.png"/><Relationship Id="rId73" Type="http://schemas.openxmlformats.org/officeDocument/2006/relationships/hyperlink" Target="https://app.powerbi.com/view?r=eyJrIjoiOTk0MWM1MjMtYzhkOS00NDUwLThmOTEtMmRmMTQxNTEyYTczIiwidCI6IjdiMDkwNDFlLTI0NTEtNDlkMC04Y2IxLTc5ZDVlM2Q4YzFiZSIsImMiOjR9" TargetMode="External"/><Relationship Id="rId78" Type="http://schemas.openxmlformats.org/officeDocument/2006/relationships/image" Target="media/image56.png"/><Relationship Id="rId94" Type="http://schemas.openxmlformats.org/officeDocument/2006/relationships/image" Target="media/image65.png"/><Relationship Id="rId99" Type="http://schemas.openxmlformats.org/officeDocument/2006/relationships/hyperlink" Target="https://app.powerbi.com/view?r=eyJrIjoiOTk0MWM1MjMtYzhkOS00NDUwLThmOTEtMmRmMTQxNTEyYTczIiwidCI6IjdiMDkwNDFlLTI0NTEtNDlkMC04Y2IxLTc5ZDVlM2Q4YzFiZSIsImMiOjR9" TargetMode="External"/><Relationship Id="rId101" Type="http://schemas.openxmlformats.org/officeDocument/2006/relationships/hyperlink" Target="https://app.powerbi.com/view?r=eyJrIjoiOTk0MWM1MjMtYzhkOS00NDUwLThmOTEtMmRmMTQxNTEyYTczIiwidCI6IjdiMDkwNDFlLTI0NTEtNDlkMC04Y2IxLTc5ZDVlM2Q4YzFiZSIsImMiOjR9" TargetMode="External"/><Relationship Id="rId122" Type="http://schemas.openxmlformats.org/officeDocument/2006/relationships/hyperlink" Target="https://app.powerbi.com/view?r=eyJrIjoiOTk0MWM1MjMtYzhkOS00NDUwLThmOTEtMmRmMTQxNTEyYTczIiwidCI6IjdiMDkwNDFlLTI0NTEtNDlkMC04Y2IxLTc5ZDVlM2Q4YzFiZSIsImMiOjR9" TargetMode="External"/><Relationship Id="rId143" Type="http://schemas.openxmlformats.org/officeDocument/2006/relationships/image" Target="media/image94.png"/><Relationship Id="rId148" Type="http://schemas.openxmlformats.org/officeDocument/2006/relationships/image" Target="media/image97.png"/><Relationship Id="rId164" Type="http://schemas.openxmlformats.org/officeDocument/2006/relationships/image" Target="media/image105.png"/><Relationship Id="rId169" Type="http://schemas.openxmlformats.org/officeDocument/2006/relationships/hyperlink" Target="https://app.powerbi.com/view?r=eyJrIjoiOTk0MWM1MjMtYzhkOS00NDUwLThmOTEtMmRmMTQxNTEyYTczIiwidCI6IjdiMDkwNDFlLTI0NTEtNDlkMC04Y2IxLTc5ZDVlM2Q4YzFiZSIsImMiOjR9" TargetMode="External"/><Relationship Id="rId185" Type="http://schemas.openxmlformats.org/officeDocument/2006/relationships/hyperlink" Target="https://app.powerbi.com/view?r=eyJrIjoiOTk0MWM1MjMtYzhkOS00NDUwLThmOTEtMmRmMTQxNTEyYTczIiwidCI6IjdiMDkwNDFlLTI0NTEtNDlkMC04Y2IxLTc5ZDVlM2Q4YzFiZSIsImMiOjR9"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13.png"/><Relationship Id="rId26" Type="http://schemas.openxmlformats.org/officeDocument/2006/relationships/image" Target="media/image10.png"/><Relationship Id="rId47" Type="http://schemas.openxmlformats.org/officeDocument/2006/relationships/image" Target="media/image30.png"/><Relationship Id="rId68" Type="http://schemas.openxmlformats.org/officeDocument/2006/relationships/image" Target="media/image50.emf"/><Relationship Id="rId89" Type="http://schemas.openxmlformats.org/officeDocument/2006/relationships/hyperlink" Target="https://app.powerbi.com/view?r=eyJrIjoiOTk0MWM1MjMtYzhkOS00NDUwLThmOTEtMmRmMTQxNTEyYTczIiwidCI6IjdiMDkwNDFlLTI0NTEtNDlkMC04Y2IxLTc5ZDVlM2Q4YzFiZSIsImMiOjR9" TargetMode="External"/><Relationship Id="rId112" Type="http://schemas.openxmlformats.org/officeDocument/2006/relationships/image" Target="media/image76.png"/><Relationship Id="rId133" Type="http://schemas.openxmlformats.org/officeDocument/2006/relationships/hyperlink" Target="https://app.powerbi.com/view?r=eyJrIjoiOTk0MWM1MjMtYzhkOS00NDUwLThmOTEtMmRmMTQxNTEyYTczIiwidCI6IjdiMDkwNDFlLTI0NTEtNDlkMC04Y2IxLTc5ZDVlM2Q4YzFiZSIsImMiOjR9" TargetMode="External"/><Relationship Id="rId154" Type="http://schemas.openxmlformats.org/officeDocument/2006/relationships/image" Target="media/image100.png"/><Relationship Id="rId175" Type="http://schemas.openxmlformats.org/officeDocument/2006/relationships/hyperlink" Target="https://app.powerbi.com/view?r=eyJrIjoiOTk0MWM1MjMtYzhkOS00NDUwLThmOTEtMmRmMTQxNTEyYTczIiwidCI6IjdiMDkwNDFlLTI0NTEtNDlkMC04Y2IxLTc5ZDVlM2Q4YzFiZSIsImMiOjR9" TargetMode="External"/><Relationship Id="rId196" Type="http://schemas.openxmlformats.org/officeDocument/2006/relationships/image" Target="media/image122.png"/><Relationship Id="rId200" Type="http://schemas.openxmlformats.org/officeDocument/2006/relationships/theme" Target="theme/theme1.xml"/><Relationship Id="rId16" Type="http://schemas.openxmlformats.org/officeDocument/2006/relationships/hyperlink" Target="https://www.acfa.org.co/" TargetMode="External"/><Relationship Id="rId37" Type="http://schemas.openxmlformats.org/officeDocument/2006/relationships/image" Target="media/image20.png"/><Relationship Id="rId58" Type="http://schemas.openxmlformats.org/officeDocument/2006/relationships/image" Target="media/image40.png"/><Relationship Id="rId79" Type="http://schemas.openxmlformats.org/officeDocument/2006/relationships/image" Target="media/image57.png"/><Relationship Id="rId102" Type="http://schemas.openxmlformats.org/officeDocument/2006/relationships/image" Target="media/image70.png"/><Relationship Id="rId123" Type="http://schemas.openxmlformats.org/officeDocument/2006/relationships/image" Target="media/image82.png"/><Relationship Id="rId144" Type="http://schemas.openxmlformats.org/officeDocument/2006/relationships/image" Target="media/image95.png"/><Relationship Id="rId90" Type="http://schemas.openxmlformats.org/officeDocument/2006/relationships/image" Target="media/image63.png"/><Relationship Id="rId165" Type="http://schemas.openxmlformats.org/officeDocument/2006/relationships/hyperlink" Target="https://app.powerbi.com/view?r=eyJrIjoiOTk0MWM1MjMtYzhkOS00NDUwLThmOTEtMmRmMTQxNTEyYTczIiwidCI6IjdiMDkwNDFlLTI0NTEtNDlkMC04Y2IxLTc5ZDVlM2Q4YzFiZSIsImMiOjR9" TargetMode="External"/><Relationship Id="rId186" Type="http://schemas.openxmlformats.org/officeDocument/2006/relationships/image" Target="media/image116.png"/><Relationship Id="rId27" Type="http://schemas.openxmlformats.org/officeDocument/2006/relationships/image" Target="media/image11.png"/><Relationship Id="rId48" Type="http://schemas.openxmlformats.org/officeDocument/2006/relationships/image" Target="media/image31.png"/><Relationship Id="rId69" Type="http://schemas.openxmlformats.org/officeDocument/2006/relationships/image" Target="media/image51.png"/><Relationship Id="rId113" Type="http://schemas.openxmlformats.org/officeDocument/2006/relationships/hyperlink" Target="https://app.powerbi.com/view?r=eyJrIjoiOTk0MWM1MjMtYzhkOS00NDUwLThmOTEtMmRmMTQxNTEyYTczIiwidCI6IjdiMDkwNDFlLTI0NTEtNDlkMC04Y2IxLTc5ZDVlM2Q4YzFiZSIsImMiOjR9" TargetMode="External"/><Relationship Id="rId134" Type="http://schemas.openxmlformats.org/officeDocument/2006/relationships/image" Target="media/image89.png"/><Relationship Id="rId80" Type="http://schemas.openxmlformats.org/officeDocument/2006/relationships/hyperlink" Target="https://app.powerbi.com/view?r=eyJrIjoiOTk0MWM1MjMtYzhkOS00NDUwLThmOTEtMmRmMTQxNTEyYTczIiwidCI6IjdiMDkwNDFlLTI0NTEtNDlkMC04Y2IxLTc5ZDVlM2Q4YzFiZSIsImMiOjR9" TargetMode="External"/><Relationship Id="rId155" Type="http://schemas.openxmlformats.org/officeDocument/2006/relationships/hyperlink" Target="https://app.powerbi.com/view?r=eyJrIjoiOTk0MWM1MjMtYzhkOS00NDUwLThmOTEtMmRmMTQxNTEyYTczIiwidCI6IjdiMDkwNDFlLTI0NTEtNDlkMC04Y2IxLTc5ZDVlM2Q4YzFiZSIsImMiOjR9" TargetMode="External"/><Relationship Id="rId176" Type="http://schemas.openxmlformats.org/officeDocument/2006/relationships/image" Target="media/image111.png"/><Relationship Id="rId197" Type="http://schemas.openxmlformats.org/officeDocument/2006/relationships/hyperlink" Target="https://app.powerbi.com/view?r=eyJrIjoiOTk0MWM1MjMtYzhkOS00NDUwLThmOTEtMmRmMTQxNTEyYTczIiwidCI6IjdiMDkwNDFlLTI0NTEtNDlkMC04Y2IxLTc5ZDVlM2Q4YzFiZSIsImMiOjR9" TargetMode="External"/><Relationship Id="rId17" Type="http://schemas.openxmlformats.org/officeDocument/2006/relationships/hyperlink" Target="https://www.andesco.org.co/" TargetMode="External"/><Relationship Id="rId38" Type="http://schemas.openxmlformats.org/officeDocument/2006/relationships/image" Target="media/image21.png"/><Relationship Id="rId59" Type="http://schemas.openxmlformats.org/officeDocument/2006/relationships/image" Target="media/image41.png"/><Relationship Id="rId103" Type="http://schemas.openxmlformats.org/officeDocument/2006/relationships/hyperlink" Target="https://app.powerbi.com/view?r=eyJrIjoiOTk0MWM1MjMtYzhkOS00NDUwLThmOTEtMmRmMTQxNTEyYTczIiwidCI6IjdiMDkwNDFlLTI0NTEtNDlkMC04Y2IxLTc5ZDVlM2Q4YzFiZSIsImMiOjR9" TargetMode="External"/><Relationship Id="rId124" Type="http://schemas.openxmlformats.org/officeDocument/2006/relationships/hyperlink" Target="https://app.powerbi.com/view?r=eyJrIjoiOTk0MWM1MjMtYzhkOS00NDUwLThmOTEtMmRmMTQxNTEyYTczIiwidCI6IjdiMDkwNDFlLTI0NTEtNDlkMC04Y2IxLTc5ZDVlM2Q4YzFiZSIsImMiOjR9" TargetMode="External"/><Relationship Id="rId70" Type="http://schemas.openxmlformats.org/officeDocument/2006/relationships/image" Target="media/image52.png"/><Relationship Id="rId91" Type="http://schemas.openxmlformats.org/officeDocument/2006/relationships/hyperlink" Target="https://app.powerbi.com/view?r=eyJrIjoiOTk0MWM1MjMtYzhkOS00NDUwLThmOTEtMmRmMTQxNTEyYTczIiwidCI6IjdiMDkwNDFlLTI0NTEtNDlkMC04Y2IxLTc5ZDVlM2Q4YzFiZSIsImMiOjR9" TargetMode="External"/><Relationship Id="rId145" Type="http://schemas.openxmlformats.org/officeDocument/2006/relationships/hyperlink" Target="https://app.powerbi.com/view?r=eyJrIjoiOTk0MWM1MjMtYzhkOS00NDUwLThmOTEtMmRmMTQxNTEyYTczIiwidCI6IjdiMDkwNDFlLTI0NTEtNDlkMC04Y2IxLTc5ZDVlM2Q4YzFiZSIsImMiOjR9" TargetMode="External"/><Relationship Id="rId166" Type="http://schemas.openxmlformats.org/officeDocument/2006/relationships/image" Target="media/image106.png"/><Relationship Id="rId187" Type="http://schemas.openxmlformats.org/officeDocument/2006/relationships/hyperlink" Target="https://app.powerbi.com/view?r=eyJrIjoiOTk0MWM1MjMtYzhkOS00NDUwLThmOTEtMmRmMTQxNTEyYTczIiwidCI6IjdiMDkwNDFlLTI0NTEtNDlkMC04Y2IxLTc5ZDVlM2Q4YzFiZSIsImMiOjR9" TargetMode="External"/><Relationship Id="rId1" Type="http://schemas.openxmlformats.org/officeDocument/2006/relationships/customXml" Target="../customXml/item1.xml"/><Relationship Id="rId28" Type="http://schemas.openxmlformats.org/officeDocument/2006/relationships/image" Target="media/image12.png"/><Relationship Id="rId49" Type="http://schemas.openxmlformats.org/officeDocument/2006/relationships/image" Target="media/image32.png"/><Relationship Id="rId114" Type="http://schemas.openxmlformats.org/officeDocument/2006/relationships/image" Target="media/image77.png"/><Relationship Id="rId60" Type="http://schemas.openxmlformats.org/officeDocument/2006/relationships/image" Target="media/image42.png"/><Relationship Id="rId81" Type="http://schemas.openxmlformats.org/officeDocument/2006/relationships/image" Target="media/image58.png"/><Relationship Id="rId135" Type="http://schemas.openxmlformats.org/officeDocument/2006/relationships/hyperlink" Target="https://app.powerbi.com/view?r=eyJrIjoiOTk0MWM1MjMtYzhkOS00NDUwLThmOTEtMmRmMTQxNTEyYTczIiwidCI6IjdiMDkwNDFlLTI0NTEtNDlkMC04Y2IxLTc5ZDVlM2Q4YzFiZSIsImMiOjR9" TargetMode="External"/><Relationship Id="rId156" Type="http://schemas.openxmlformats.org/officeDocument/2006/relationships/image" Target="media/image101.png"/><Relationship Id="rId177" Type="http://schemas.openxmlformats.org/officeDocument/2006/relationships/hyperlink" Target="https://app.powerbi.com/view?r=eyJrIjoiOTk0MWM1MjMtYzhkOS00NDUwLThmOTEtMmRmMTQxNTEyYTczIiwidCI6IjdiMDkwNDFlLTI0NTEtNDlkMC04Y2IxLTc5ZDVlM2Q4YzFiZSIsImMiOjR9" TargetMode="External"/><Relationship Id="rId198" Type="http://schemas.openxmlformats.org/officeDocument/2006/relationships/header" Target="header2.xml"/><Relationship Id="rId18" Type="http://schemas.openxmlformats.org/officeDocument/2006/relationships/hyperlink" Target="https://www.acurcol.org/" TargetMode="External"/><Relationship Id="rId39" Type="http://schemas.openxmlformats.org/officeDocument/2006/relationships/image" Target="media/image22.png"/><Relationship Id="rId50" Type="http://schemas.openxmlformats.org/officeDocument/2006/relationships/image" Target="media/image33.png"/><Relationship Id="rId104" Type="http://schemas.openxmlformats.org/officeDocument/2006/relationships/image" Target="media/image71.png"/><Relationship Id="rId125" Type="http://schemas.openxmlformats.org/officeDocument/2006/relationships/image" Target="media/image83.png"/><Relationship Id="rId146" Type="http://schemas.openxmlformats.org/officeDocument/2006/relationships/image" Target="media/image96.png"/><Relationship Id="rId167" Type="http://schemas.openxmlformats.org/officeDocument/2006/relationships/hyperlink" Target="https://app.powerbi.com/view?r=eyJrIjoiOTk0MWM1MjMtYzhkOS00NDUwLThmOTEtMmRmMTQxNTEyYTczIiwidCI6IjdiMDkwNDFlLTI0NTEtNDlkMC04Y2IxLTc5ZDVlM2Q4YzFiZSIsImMiOjR9" TargetMode="External"/><Relationship Id="rId188" Type="http://schemas.openxmlformats.org/officeDocument/2006/relationships/image" Target="media/image117.png"/></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_rels/header2.xml.rels><?xml version="1.0" encoding="UTF-8" standalone="yes"?>
<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FB59E-1470-40EB-A7DC-22BF7FB4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11183</TotalTime>
  <Pages>128</Pages>
  <Words>34661</Words>
  <Characters>190640</Characters>
  <Application>Microsoft Office Word</Application>
  <DocSecurity>0</DocSecurity>
  <Lines>1588</Lines>
  <Paragraphs>449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Gallego Vives</dc:creator>
  <cp:keywords/>
  <dc:description/>
  <cp:lastModifiedBy>Juan Camilo Gallego Vives</cp:lastModifiedBy>
  <cp:revision>110</cp:revision>
  <cp:lastPrinted>2025-11-14T03:47:00Z</cp:lastPrinted>
  <dcterms:created xsi:type="dcterms:W3CDTF">2025-09-02T16:10:00Z</dcterms:created>
  <dcterms:modified xsi:type="dcterms:W3CDTF">2025-11-14T14:44:00Z</dcterms:modified>
</cp:coreProperties>
</file>