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A60" w:rsidRPr="000E295F" w:rsidRDefault="00334A60" w:rsidP="00334A60">
      <w:pPr>
        <w:spacing w:after="0" w:line="240" w:lineRule="auto"/>
        <w:jc w:val="center"/>
        <w:rPr>
          <w:rFonts w:ascii="Arial" w:hAnsi="Arial" w:cs="Arial"/>
          <w:b/>
        </w:rPr>
      </w:pPr>
      <w:r w:rsidRPr="000E295F">
        <w:rPr>
          <w:rFonts w:ascii="Arial" w:hAnsi="Arial" w:cs="Arial"/>
          <w:b/>
        </w:rPr>
        <w:t>PRIMER AVISO DE CONVOCATORIA</w:t>
      </w:r>
    </w:p>
    <w:p w:rsidR="00334A60" w:rsidRPr="000E295F" w:rsidRDefault="00334A60" w:rsidP="00334A60">
      <w:pPr>
        <w:spacing w:after="0" w:line="240" w:lineRule="auto"/>
        <w:jc w:val="center"/>
        <w:rPr>
          <w:rFonts w:ascii="Arial" w:hAnsi="Arial" w:cs="Arial"/>
          <w:b/>
        </w:rPr>
      </w:pPr>
      <w:r w:rsidRPr="000E295F">
        <w:rPr>
          <w:rFonts w:ascii="Arial" w:hAnsi="Arial" w:cs="Arial"/>
          <w:b/>
        </w:rPr>
        <w:t>CORTOLIMA-LIC-</w:t>
      </w:r>
      <w:r w:rsidR="000E295F" w:rsidRPr="000E295F">
        <w:rPr>
          <w:rFonts w:ascii="Arial" w:hAnsi="Arial" w:cs="Arial"/>
          <w:b/>
        </w:rPr>
        <w:t>0</w:t>
      </w:r>
      <w:r w:rsidR="00586C85">
        <w:rPr>
          <w:rFonts w:ascii="Arial" w:hAnsi="Arial" w:cs="Arial"/>
          <w:b/>
        </w:rPr>
        <w:t>1</w:t>
      </w:r>
      <w:r w:rsidR="009E2089">
        <w:rPr>
          <w:rFonts w:ascii="Arial" w:hAnsi="Arial" w:cs="Arial"/>
          <w:b/>
        </w:rPr>
        <w:t>6</w:t>
      </w:r>
      <w:r w:rsidRPr="000E295F">
        <w:rPr>
          <w:rFonts w:ascii="Arial" w:hAnsi="Arial" w:cs="Arial"/>
          <w:b/>
        </w:rPr>
        <w:t>-2020</w:t>
      </w:r>
    </w:p>
    <w:p w:rsidR="00334A60" w:rsidRPr="000E295F" w:rsidRDefault="00334A60" w:rsidP="00334A60">
      <w:pPr>
        <w:spacing w:after="0" w:line="240" w:lineRule="auto"/>
        <w:jc w:val="center"/>
        <w:rPr>
          <w:rFonts w:ascii="Arial" w:hAnsi="Arial" w:cs="Arial"/>
        </w:rPr>
      </w:pPr>
    </w:p>
    <w:p w:rsidR="009E2089" w:rsidRPr="004773AD" w:rsidRDefault="00334A60" w:rsidP="009E2089">
      <w:pPr>
        <w:jc w:val="both"/>
        <w:rPr>
          <w:rFonts w:ascii="Arial" w:hAnsi="Arial" w:cs="Arial"/>
          <w:b/>
          <w:shd w:val="clear" w:color="auto" w:fill="FFFFFF"/>
        </w:rPr>
      </w:pPr>
      <w:r w:rsidRPr="000E295F">
        <w:rPr>
          <w:rFonts w:ascii="Arial" w:hAnsi="Arial" w:cs="Arial"/>
        </w:rPr>
        <w:t xml:space="preserve">LA CORPORACIÓN AUTÓNOMA REGIONAL DEL TOLIMA – CORTOLIMA -convoca a los interesados en participar en el Proceso de Contratación </w:t>
      </w:r>
      <w:r w:rsidRPr="00586C85">
        <w:rPr>
          <w:rFonts w:ascii="Arial" w:hAnsi="Arial" w:cs="Arial"/>
          <w:b/>
          <w:bCs/>
          <w:i/>
          <w:iCs/>
        </w:rPr>
        <w:t>CORTOLIMA-LIC-</w:t>
      </w:r>
      <w:r w:rsidR="000E295F" w:rsidRPr="00586C85">
        <w:rPr>
          <w:rFonts w:ascii="Arial" w:hAnsi="Arial" w:cs="Arial"/>
          <w:b/>
          <w:bCs/>
          <w:i/>
          <w:iCs/>
        </w:rPr>
        <w:t>0</w:t>
      </w:r>
      <w:r w:rsidR="00586C85" w:rsidRPr="00586C85">
        <w:rPr>
          <w:rFonts w:ascii="Arial" w:hAnsi="Arial" w:cs="Arial"/>
          <w:b/>
          <w:bCs/>
          <w:i/>
          <w:iCs/>
        </w:rPr>
        <w:t>1</w:t>
      </w:r>
      <w:r w:rsidR="009E2089">
        <w:rPr>
          <w:rFonts w:ascii="Arial" w:hAnsi="Arial" w:cs="Arial"/>
          <w:b/>
          <w:bCs/>
          <w:i/>
          <w:iCs/>
        </w:rPr>
        <w:t>6</w:t>
      </w:r>
      <w:r w:rsidRPr="00586C85">
        <w:rPr>
          <w:rFonts w:ascii="Arial" w:hAnsi="Arial" w:cs="Arial"/>
          <w:b/>
          <w:bCs/>
          <w:i/>
          <w:iCs/>
        </w:rPr>
        <w:t>-2020</w:t>
      </w:r>
      <w:r w:rsidRPr="000E295F">
        <w:rPr>
          <w:rFonts w:ascii="Arial" w:hAnsi="Arial" w:cs="Arial"/>
        </w:rPr>
        <w:t xml:space="preserve"> para seleccionar a través de LICITACIÓN PÚBLICA a los proveedores para </w:t>
      </w:r>
      <w:r w:rsidR="008327DE">
        <w:rPr>
          <w:rFonts w:ascii="Arial" w:hAnsi="Arial" w:cs="Arial"/>
          <w:bCs/>
        </w:rPr>
        <w:t>l</w:t>
      </w:r>
      <w:r w:rsidR="000E295F" w:rsidRPr="000E295F">
        <w:rPr>
          <w:rFonts w:ascii="Arial" w:hAnsi="Arial" w:cs="Arial"/>
          <w:bCs/>
        </w:rPr>
        <w:t>a</w:t>
      </w:r>
      <w:r w:rsidR="000E295F" w:rsidRPr="000E295F">
        <w:rPr>
          <w:rFonts w:ascii="Arial" w:hAnsi="Arial" w:cs="Arial"/>
          <w:b/>
        </w:rPr>
        <w:t xml:space="preserve"> </w:t>
      </w:r>
      <w:r w:rsidR="009E2089" w:rsidRPr="00DE3964">
        <w:rPr>
          <w:rFonts w:ascii="Arial" w:hAnsi="Arial" w:cs="Arial"/>
          <w:b/>
          <w:bCs/>
          <w:i/>
          <w:iCs/>
        </w:rPr>
        <w:t>FORTALECER LAS CAPACIDADES DE EMPRENDIMIENTOS VERDES CON ENFOQUE DIFERENCIAL, COMO OPCIÓN DE MITIGACIÓN DE EFECTOS AMBIENTALES NEGATIVOS EN SISTEMAS PRODUCTIVOS, EN EL DEPARTAMENTO DEL TOLIMA</w:t>
      </w:r>
      <w:r w:rsidR="009E2089" w:rsidRPr="00DE3964">
        <w:rPr>
          <w:rFonts w:ascii="Arial" w:eastAsia="Calibri" w:hAnsi="Arial" w:cs="Arial"/>
          <w:b/>
          <w:bCs/>
          <w:i/>
          <w:iCs/>
        </w:rPr>
        <w:t>.</w:t>
      </w:r>
    </w:p>
    <w:p w:rsidR="006230A8" w:rsidRPr="000E295F" w:rsidRDefault="006230A8" w:rsidP="006230A8">
      <w:pPr>
        <w:jc w:val="both"/>
        <w:rPr>
          <w:rFonts w:ascii="Arial" w:hAnsi="Arial" w:cs="Arial"/>
        </w:rPr>
      </w:pPr>
      <w:r w:rsidRPr="000E295F">
        <w:rPr>
          <w:rFonts w:ascii="Arial" w:hAnsi="Arial" w:cs="Arial"/>
        </w:rPr>
        <w:t xml:space="preserve">Dadas las condiciones del contrato a celebrar,  CORTOLIMA realizo el análisis de precios de cada una de las actividades a desarrollar, de acuerdo con los precios de referencia del mercado, los cuales, incluyen los costos implícitos de manos de obra, materiales, transporte y costos indirectos y la zona en donde se ejecutará el mismo, obteniendo así los valores definitivos que conforma el presupuesto oficial del proyecto, el cual se estimó en </w:t>
      </w:r>
      <w:r w:rsidR="009E2089" w:rsidRPr="00DE3964">
        <w:rPr>
          <w:rFonts w:ascii="Arial" w:hAnsi="Arial" w:cs="Arial"/>
          <w:b/>
          <w:bCs/>
        </w:rPr>
        <w:t>QUINIENTOS NOVENTA Y OCHO MILLONES DOSCIENTOS OCHENTA Y CUATRO MIL PESOS ($598.284.000) M/CTE</w:t>
      </w:r>
      <w:r w:rsidR="00885228" w:rsidRPr="00586C85">
        <w:rPr>
          <w:rFonts w:ascii="Arial" w:hAnsi="Arial" w:cs="Arial"/>
          <w:b/>
          <w:bCs/>
          <w:i/>
          <w:iCs/>
          <w:lang w:eastAsia="es-CO"/>
        </w:rPr>
        <w:t>.</w:t>
      </w:r>
    </w:p>
    <w:p w:rsidR="00921A32" w:rsidRPr="000E295F" w:rsidRDefault="00921A32" w:rsidP="00334A60">
      <w:pPr>
        <w:spacing w:after="0" w:line="240" w:lineRule="auto"/>
        <w:jc w:val="both"/>
        <w:rPr>
          <w:rFonts w:ascii="Arial" w:hAnsi="Arial" w:cs="Arial"/>
        </w:rPr>
      </w:pPr>
    </w:p>
    <w:p w:rsidR="00921A32" w:rsidRPr="000E295F" w:rsidRDefault="00921A32" w:rsidP="002B5ADA">
      <w:pPr>
        <w:spacing w:after="0" w:line="240" w:lineRule="auto"/>
        <w:jc w:val="center"/>
        <w:rPr>
          <w:rFonts w:ascii="Arial" w:hAnsi="Arial" w:cs="Arial"/>
          <w:b/>
        </w:rPr>
      </w:pPr>
      <w:r w:rsidRPr="000E295F">
        <w:rPr>
          <w:rFonts w:ascii="Arial" w:hAnsi="Arial" w:cs="Arial"/>
          <w:b/>
        </w:rPr>
        <w:t>INFORMACIÓN GENERAL</w:t>
      </w:r>
    </w:p>
    <w:p w:rsidR="00921A32" w:rsidRPr="000E295F" w:rsidRDefault="00921A32" w:rsidP="00334A60">
      <w:pPr>
        <w:spacing w:after="0" w:line="240" w:lineRule="auto"/>
        <w:jc w:val="both"/>
        <w:rPr>
          <w:rFonts w:ascii="Arial" w:hAnsi="Arial" w:cs="Arial"/>
        </w:rPr>
      </w:pPr>
    </w:p>
    <w:p w:rsidR="0036609E" w:rsidRPr="00586C85" w:rsidRDefault="0036609E" w:rsidP="000E295F">
      <w:pPr>
        <w:tabs>
          <w:tab w:val="left" w:pos="0"/>
          <w:tab w:val="left" w:pos="142"/>
        </w:tabs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  <w:r w:rsidRPr="000E295F">
        <w:rPr>
          <w:rFonts w:ascii="Arial" w:hAnsi="Arial" w:cs="Arial"/>
          <w:b/>
        </w:rPr>
        <w:t xml:space="preserve">Consulta de pliegos de condiciones: </w:t>
      </w:r>
      <w:r w:rsidRPr="000E295F">
        <w:rPr>
          <w:rFonts w:ascii="Arial" w:hAnsi="Arial" w:cs="Arial"/>
        </w:rPr>
        <w:t xml:space="preserve">Los pliegos de condiciones, así como los estudios y documentos previos se pueden consultar en el SECOP II en el Link del proceso N° </w:t>
      </w:r>
      <w:r w:rsidRPr="00586C85">
        <w:rPr>
          <w:rFonts w:ascii="Arial" w:hAnsi="Arial" w:cs="Arial"/>
          <w:b/>
          <w:bCs/>
          <w:i/>
          <w:iCs/>
        </w:rPr>
        <w:t>CORTOLIMA-LIC-</w:t>
      </w:r>
      <w:r w:rsidR="000E295F" w:rsidRPr="00586C85">
        <w:rPr>
          <w:rFonts w:ascii="Arial" w:hAnsi="Arial" w:cs="Arial"/>
          <w:b/>
          <w:bCs/>
          <w:i/>
          <w:iCs/>
        </w:rPr>
        <w:t>0</w:t>
      </w:r>
      <w:r w:rsidR="00586C85" w:rsidRPr="00586C85">
        <w:rPr>
          <w:rFonts w:ascii="Arial" w:hAnsi="Arial" w:cs="Arial"/>
          <w:b/>
          <w:bCs/>
          <w:i/>
          <w:iCs/>
        </w:rPr>
        <w:t>1</w:t>
      </w:r>
      <w:r w:rsidR="009E2089">
        <w:rPr>
          <w:rFonts w:ascii="Arial" w:hAnsi="Arial" w:cs="Arial"/>
          <w:b/>
          <w:bCs/>
          <w:i/>
          <w:iCs/>
        </w:rPr>
        <w:t>6</w:t>
      </w:r>
      <w:r w:rsidRPr="00586C85">
        <w:rPr>
          <w:rFonts w:ascii="Arial" w:hAnsi="Arial" w:cs="Arial"/>
          <w:b/>
          <w:bCs/>
          <w:i/>
          <w:iCs/>
        </w:rPr>
        <w:t>-2020.</w:t>
      </w:r>
    </w:p>
    <w:p w:rsidR="0036609E" w:rsidRPr="000E295F" w:rsidRDefault="0036609E" w:rsidP="0036609E">
      <w:pPr>
        <w:spacing w:after="0" w:line="240" w:lineRule="auto"/>
        <w:jc w:val="both"/>
        <w:rPr>
          <w:rFonts w:ascii="Arial" w:hAnsi="Arial" w:cs="Arial"/>
          <w:b/>
        </w:rPr>
      </w:pPr>
    </w:p>
    <w:p w:rsidR="0036609E" w:rsidRPr="00586C85" w:rsidRDefault="0036609E" w:rsidP="0036609E">
      <w:pPr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  <w:r w:rsidRPr="000E295F">
        <w:rPr>
          <w:rFonts w:ascii="Arial" w:hAnsi="Arial" w:cs="Arial"/>
          <w:b/>
        </w:rPr>
        <w:t xml:space="preserve">Participantes: </w:t>
      </w:r>
      <w:r w:rsidRPr="000E295F">
        <w:rPr>
          <w:rFonts w:ascii="Arial" w:hAnsi="Arial" w:cs="Arial"/>
        </w:rPr>
        <w:t xml:space="preserve">Podrán participar en el presente proceso las personas jurídicas nacionales, individualmente o asociadas en consorcio o unión temporal, conformadas en los términos establecidos en la Ley 80 de 1993 y en los pliegos de condiciones de la Licitación Pública N° </w:t>
      </w:r>
      <w:r w:rsidRPr="00586C85">
        <w:rPr>
          <w:rFonts w:ascii="Arial" w:hAnsi="Arial" w:cs="Arial"/>
          <w:b/>
          <w:bCs/>
          <w:i/>
          <w:iCs/>
        </w:rPr>
        <w:t>CORTOLIMA-LIC-</w:t>
      </w:r>
      <w:r w:rsidR="000E295F" w:rsidRPr="00586C85">
        <w:rPr>
          <w:rFonts w:ascii="Arial" w:hAnsi="Arial" w:cs="Arial"/>
          <w:b/>
          <w:bCs/>
          <w:i/>
          <w:iCs/>
        </w:rPr>
        <w:t>0</w:t>
      </w:r>
      <w:r w:rsidR="00586C85" w:rsidRPr="00586C85">
        <w:rPr>
          <w:rFonts w:ascii="Arial" w:hAnsi="Arial" w:cs="Arial"/>
          <w:b/>
          <w:bCs/>
          <w:i/>
          <w:iCs/>
        </w:rPr>
        <w:t>1</w:t>
      </w:r>
      <w:r w:rsidR="009E2089">
        <w:rPr>
          <w:rFonts w:ascii="Arial" w:hAnsi="Arial" w:cs="Arial"/>
          <w:b/>
          <w:bCs/>
          <w:i/>
          <w:iCs/>
        </w:rPr>
        <w:t>6</w:t>
      </w:r>
      <w:bookmarkStart w:id="0" w:name="_GoBack"/>
      <w:bookmarkEnd w:id="0"/>
      <w:r w:rsidRPr="00586C85">
        <w:rPr>
          <w:rFonts w:ascii="Arial" w:hAnsi="Arial" w:cs="Arial"/>
          <w:b/>
          <w:bCs/>
          <w:i/>
          <w:iCs/>
        </w:rPr>
        <w:t>-2020.</w:t>
      </w:r>
    </w:p>
    <w:p w:rsidR="0036609E" w:rsidRPr="000E295F" w:rsidRDefault="0036609E" w:rsidP="0036609E">
      <w:pPr>
        <w:spacing w:after="0" w:line="240" w:lineRule="auto"/>
        <w:jc w:val="both"/>
        <w:rPr>
          <w:rFonts w:ascii="Arial" w:hAnsi="Arial" w:cs="Arial"/>
          <w:b/>
        </w:rPr>
      </w:pPr>
    </w:p>
    <w:p w:rsidR="0036609E" w:rsidRPr="000E295F" w:rsidRDefault="0036609E" w:rsidP="0036609E">
      <w:pPr>
        <w:spacing w:after="0" w:line="240" w:lineRule="auto"/>
        <w:jc w:val="both"/>
        <w:rPr>
          <w:rFonts w:ascii="Arial" w:hAnsi="Arial" w:cs="Arial"/>
          <w:b/>
        </w:rPr>
      </w:pPr>
      <w:r w:rsidRPr="000E295F">
        <w:rPr>
          <w:rFonts w:ascii="Arial" w:hAnsi="Arial" w:cs="Arial"/>
          <w:b/>
        </w:rPr>
        <w:t xml:space="preserve">Requisitos habilitantes y factores de selección: </w:t>
      </w:r>
      <w:r w:rsidRPr="000E295F">
        <w:rPr>
          <w:rFonts w:ascii="Arial" w:hAnsi="Arial" w:cs="Arial"/>
        </w:rPr>
        <w:t>La capacidad jurídica, condiciones de experiencia, capacidad financiera, capacidad organizacional y capacidad técnica, serán materia de verificación como requisitos habilitantes para la participación en el proceso licitatorio. El factor técnico/calidad, el factor económico, el apoyo a la industria nacional y la incorporación de trabajadores en situación de discapacidad, serán objeto de calificación y por tanto, de escogencia del ofrecimiento más favorable para la Entidad.</w:t>
      </w:r>
    </w:p>
    <w:p w:rsidR="0036609E" w:rsidRPr="000E295F" w:rsidRDefault="0036609E" w:rsidP="0036609E">
      <w:pPr>
        <w:spacing w:after="0" w:line="240" w:lineRule="auto"/>
        <w:jc w:val="both"/>
        <w:rPr>
          <w:rFonts w:ascii="Arial" w:hAnsi="Arial" w:cs="Arial"/>
          <w:b/>
        </w:rPr>
      </w:pPr>
    </w:p>
    <w:p w:rsidR="0036609E" w:rsidRPr="000E295F" w:rsidRDefault="0036609E" w:rsidP="0036609E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jc w:val="both"/>
        <w:rPr>
          <w:sz w:val="22"/>
          <w:szCs w:val="22"/>
          <w:lang w:val="es-CO"/>
        </w:rPr>
      </w:pPr>
      <w:r w:rsidRPr="00586C85">
        <w:rPr>
          <w:b/>
          <w:sz w:val="22"/>
          <w:szCs w:val="22"/>
          <w:lang w:val="es-CO"/>
        </w:rPr>
        <w:t xml:space="preserve">Convocatoria a veedurías: </w:t>
      </w:r>
      <w:r w:rsidRPr="000E295F">
        <w:rPr>
          <w:sz w:val="22"/>
          <w:szCs w:val="22"/>
          <w:lang w:val="es-CO"/>
        </w:rPr>
        <w:t xml:space="preserve">En cumplimiento de lo dispuesto en el inciso 3 del artículo 66 de la Ley 80 de 1993, CORTOLIMA, invita a todas las personas y organizaciones interesadas en hacer control social al presente Proceso, en cualquiera de sus fases o etapas, a que presenten las recomendaciones que consideren convenientes, intervengan en las audiencias y a que consulten los Documentos del Proceso en el SECOP II. </w:t>
      </w:r>
    </w:p>
    <w:p w:rsidR="0036609E" w:rsidRPr="000E295F" w:rsidRDefault="0036609E" w:rsidP="00334A60">
      <w:pPr>
        <w:spacing w:after="0" w:line="240" w:lineRule="auto"/>
        <w:jc w:val="both"/>
        <w:rPr>
          <w:rFonts w:ascii="Arial" w:hAnsi="Arial" w:cs="Arial"/>
        </w:rPr>
      </w:pPr>
    </w:p>
    <w:p w:rsidR="00921A32" w:rsidRPr="000E295F" w:rsidRDefault="0036609E" w:rsidP="002B5ADA">
      <w:pPr>
        <w:spacing w:after="0" w:line="240" w:lineRule="auto"/>
        <w:jc w:val="both"/>
        <w:rPr>
          <w:rFonts w:ascii="Arial" w:hAnsi="Arial" w:cs="Arial"/>
          <w:b/>
        </w:rPr>
      </w:pPr>
      <w:r w:rsidRPr="000E295F">
        <w:rPr>
          <w:rFonts w:ascii="Arial" w:hAnsi="Arial" w:cs="Arial"/>
          <w:b/>
        </w:rPr>
        <w:t>Cronograma:</w:t>
      </w:r>
      <w:r w:rsidR="00315834" w:rsidRPr="000E295F">
        <w:rPr>
          <w:rFonts w:ascii="Arial" w:hAnsi="Arial" w:cs="Arial"/>
          <w:b/>
        </w:rPr>
        <w:t xml:space="preserve"> </w:t>
      </w:r>
      <w:r w:rsidR="00315834" w:rsidRPr="000E295F">
        <w:rPr>
          <w:rFonts w:ascii="Arial" w:hAnsi="Arial" w:cs="Arial"/>
        </w:rPr>
        <w:t>El cronograma es el establecido en el pliego electrónico.</w:t>
      </w:r>
    </w:p>
    <w:sectPr w:rsidR="00921A32" w:rsidRPr="000E295F" w:rsidSect="00B907CE">
      <w:headerReference w:type="default" r:id="rId6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0CE" w:rsidRDefault="009010CE">
      <w:pPr>
        <w:spacing w:after="0" w:line="240" w:lineRule="auto"/>
      </w:pPr>
      <w:r>
        <w:separator/>
      </w:r>
    </w:p>
  </w:endnote>
  <w:endnote w:type="continuationSeparator" w:id="0">
    <w:p w:rsidR="009010CE" w:rsidRDefault="00901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0CE" w:rsidRDefault="009010CE">
      <w:pPr>
        <w:spacing w:after="0" w:line="240" w:lineRule="auto"/>
      </w:pPr>
      <w:r>
        <w:separator/>
      </w:r>
    </w:p>
  </w:footnote>
  <w:footnote w:type="continuationSeparator" w:id="0">
    <w:p w:rsidR="009010CE" w:rsidRDefault="00901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421" w:rsidRDefault="002B5ADA">
    <w:pPr>
      <w:pStyle w:val="Encabezado"/>
    </w:pPr>
    <w:r w:rsidRPr="008204F8">
      <w:rPr>
        <w:rFonts w:ascii="Arial" w:hAnsi="Arial" w:cs="Arial"/>
        <w:b/>
        <w:noProof/>
        <w:lang w:eastAsia="es-CO"/>
      </w:rPr>
      <w:drawing>
        <wp:anchor distT="0" distB="0" distL="114300" distR="114300" simplePos="0" relativeHeight="251659264" behindDoc="1" locked="0" layoutInCell="1" allowOverlap="1" wp14:anchorId="465EDB81" wp14:editId="4017C6D8">
          <wp:simplePos x="0" y="0"/>
          <wp:positionH relativeFrom="column">
            <wp:posOffset>5046345</wp:posOffset>
          </wp:positionH>
          <wp:positionV relativeFrom="paragraph">
            <wp:posOffset>10795</wp:posOffset>
          </wp:positionV>
          <wp:extent cx="921385" cy="1055370"/>
          <wp:effectExtent l="0" t="0" r="0" b="0"/>
          <wp:wrapNone/>
          <wp:docPr id="5" name="Imagen 5" descr="D:\público\LOG-INTER-NE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:\público\LOG-INTER-NE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385" cy="1055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16421" w:rsidRDefault="009010CE">
    <w:pPr>
      <w:pStyle w:val="Encabezado"/>
    </w:pPr>
  </w:p>
  <w:p w:rsidR="00316421" w:rsidRDefault="009010CE">
    <w:pPr>
      <w:pStyle w:val="Encabezado"/>
    </w:pPr>
  </w:p>
  <w:p w:rsidR="00316421" w:rsidRDefault="009010CE">
    <w:pPr>
      <w:pStyle w:val="Encabezado"/>
    </w:pPr>
  </w:p>
  <w:p w:rsidR="00316421" w:rsidRDefault="009010CE">
    <w:pPr>
      <w:pStyle w:val="Encabezado"/>
    </w:pPr>
  </w:p>
  <w:p w:rsidR="00316421" w:rsidRDefault="009010CE">
    <w:pPr>
      <w:pStyle w:val="Encabezado"/>
    </w:pPr>
  </w:p>
  <w:p w:rsidR="00316421" w:rsidRDefault="009010C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A60"/>
    <w:rsid w:val="000E295F"/>
    <w:rsid w:val="00277EAD"/>
    <w:rsid w:val="002B5ADA"/>
    <w:rsid w:val="00315834"/>
    <w:rsid w:val="00315A3B"/>
    <w:rsid w:val="00334A60"/>
    <w:rsid w:val="0036609E"/>
    <w:rsid w:val="00586C85"/>
    <w:rsid w:val="006230A8"/>
    <w:rsid w:val="008327DE"/>
    <w:rsid w:val="00836FB9"/>
    <w:rsid w:val="00885228"/>
    <w:rsid w:val="009010CE"/>
    <w:rsid w:val="00921A32"/>
    <w:rsid w:val="009E2089"/>
    <w:rsid w:val="00A626B7"/>
    <w:rsid w:val="00A824E5"/>
    <w:rsid w:val="00BD2B6E"/>
    <w:rsid w:val="00F0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59CF5C"/>
  <w15:chartTrackingRefBased/>
  <w15:docId w15:val="{9F98F737-D9D5-4BB3-B5B8-0FAD54409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4A6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4A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4A60"/>
  </w:style>
  <w:style w:type="character" w:styleId="Hipervnculo">
    <w:name w:val="Hyperlink"/>
    <w:basedOn w:val="Fuentedeprrafopredeter"/>
    <w:uiPriority w:val="99"/>
    <w:unhideWhenUsed/>
    <w:rsid w:val="00334A60"/>
    <w:rPr>
      <w:color w:val="0563C1" w:themeColor="hyperlink"/>
      <w:u w:val="single"/>
    </w:rPr>
  </w:style>
  <w:style w:type="paragraph" w:customStyle="1" w:styleId="Default">
    <w:name w:val="Default"/>
    <w:link w:val="DefaultCar"/>
    <w:rsid w:val="00334A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"/>
    <w:basedOn w:val="Normal"/>
    <w:link w:val="PrrafodelistaCar"/>
    <w:uiPriority w:val="34"/>
    <w:qFormat/>
    <w:rsid w:val="00334A60"/>
    <w:pPr>
      <w:ind w:left="720"/>
      <w:contextualSpacing/>
    </w:pPr>
    <w:rPr>
      <w:rFonts w:ascii="Arial" w:hAnsi="Arial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locked/>
    <w:rsid w:val="00334A60"/>
    <w:rPr>
      <w:rFonts w:ascii="Arial" w:hAnsi="Arial"/>
    </w:rPr>
  </w:style>
  <w:style w:type="character" w:customStyle="1" w:styleId="DefaultCar">
    <w:name w:val="Default Car"/>
    <w:link w:val="Default"/>
    <w:locked/>
    <w:rsid w:val="00334A60"/>
    <w:rPr>
      <w:rFonts w:ascii="Arial" w:hAnsi="Arial" w:cs="Arial"/>
      <w:color w:val="000000"/>
      <w:sz w:val="24"/>
      <w:szCs w:val="24"/>
      <w:lang w:val="es-MX"/>
    </w:rPr>
  </w:style>
  <w:style w:type="paragraph" w:styleId="Textoindependiente">
    <w:name w:val="Body Text"/>
    <w:basedOn w:val="Normal"/>
    <w:link w:val="TextoindependienteCar"/>
    <w:uiPriority w:val="1"/>
    <w:qFormat/>
    <w:rsid w:val="002B5ADA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5ADA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390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LMA</dc:creator>
  <cp:keywords/>
  <dc:description/>
  <cp:lastModifiedBy>MARIA ISABELLA PATIÑO GIL</cp:lastModifiedBy>
  <cp:revision>3</cp:revision>
  <dcterms:created xsi:type="dcterms:W3CDTF">2020-11-09T02:25:00Z</dcterms:created>
  <dcterms:modified xsi:type="dcterms:W3CDTF">2020-11-11T16:24:00Z</dcterms:modified>
</cp:coreProperties>
</file>