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D386" w14:textId="4CAFD209" w:rsidR="001E4A6A" w:rsidRPr="001E4A6A" w:rsidRDefault="001E4A6A" w:rsidP="710AFD00">
      <w:pPr>
        <w:spacing w:after="0" w:line="240" w:lineRule="auto"/>
        <w:contextualSpacing/>
        <w:jc w:val="center"/>
        <w:rPr>
          <w:rFonts w:ascii="Arial" w:eastAsia="Arial" w:hAnsi="Arial" w:cs="Arial"/>
          <w:b/>
          <w:bCs/>
          <w:spacing w:val="-10"/>
          <w:kern w:val="28"/>
          <w:sz w:val="20"/>
          <w:szCs w:val="20"/>
        </w:rPr>
      </w:pPr>
      <w:r w:rsidRPr="710AFD00">
        <w:rPr>
          <w:rFonts w:ascii="Arial" w:eastAsia="Arial" w:hAnsi="Arial" w:cs="Arial"/>
          <w:b/>
          <w:bCs/>
          <w:spacing w:val="-10"/>
          <w:kern w:val="28"/>
          <w:sz w:val="20"/>
          <w:szCs w:val="20"/>
        </w:rPr>
        <w:t xml:space="preserve">ANEXO </w:t>
      </w:r>
      <w:r w:rsidR="000D0AAD">
        <w:rPr>
          <w:rFonts w:ascii="Arial" w:eastAsia="Arial" w:hAnsi="Arial" w:cs="Arial"/>
          <w:b/>
          <w:bCs/>
          <w:spacing w:val="-10"/>
          <w:kern w:val="28"/>
          <w:sz w:val="20"/>
          <w:szCs w:val="20"/>
        </w:rPr>
        <w:t>3</w:t>
      </w:r>
      <w:r w:rsidRPr="710AFD00">
        <w:rPr>
          <w:rFonts w:ascii="Arial" w:eastAsia="Arial" w:hAnsi="Arial" w:cs="Arial"/>
          <w:b/>
          <w:bCs/>
          <w:spacing w:val="-10"/>
          <w:kern w:val="28"/>
          <w:sz w:val="20"/>
          <w:szCs w:val="20"/>
        </w:rPr>
        <w:t xml:space="preserve"> GLOSARIO “</w:t>
      </w:r>
      <w:r w:rsidR="00FB1A14" w:rsidRPr="710AFD00">
        <w:rPr>
          <w:rFonts w:ascii="Arial" w:eastAsia="Arial" w:hAnsi="Arial" w:cs="Arial"/>
          <w:b/>
          <w:bCs/>
          <w:spacing w:val="-10"/>
          <w:kern w:val="28"/>
          <w:sz w:val="20"/>
          <w:szCs w:val="20"/>
        </w:rPr>
        <w:t xml:space="preserve">INTERVENTORÍA DE OBRA PÚBLICA DE INFRAESTRUCTURA DEL </w:t>
      </w:r>
      <w:r w:rsidRPr="710AFD00">
        <w:rPr>
          <w:rFonts w:ascii="Arial" w:eastAsia="Arial" w:hAnsi="Arial" w:cs="Arial"/>
          <w:b/>
          <w:bCs/>
          <w:spacing w:val="-10"/>
          <w:kern w:val="28"/>
          <w:sz w:val="20"/>
          <w:szCs w:val="20"/>
        </w:rPr>
        <w:t>SECTOR CULTURA, RECREACIÓN Y DEPORTE”</w:t>
      </w:r>
    </w:p>
    <w:p w14:paraId="600FA614" w14:textId="77777777" w:rsidR="001E4A6A" w:rsidRPr="001E4A6A" w:rsidRDefault="001E4A6A" w:rsidP="710AFD00">
      <w:pPr>
        <w:spacing w:after="0" w:line="240" w:lineRule="auto"/>
        <w:jc w:val="both"/>
        <w:rPr>
          <w:rFonts w:ascii="Arial" w:eastAsia="Arial" w:hAnsi="Arial" w:cs="Arial"/>
          <w:sz w:val="20"/>
          <w:szCs w:val="20"/>
        </w:rPr>
      </w:pPr>
    </w:p>
    <w:p w14:paraId="53632468" w14:textId="77777777" w:rsidR="001E4A6A" w:rsidRPr="001E4A6A" w:rsidRDefault="001E4A6A" w:rsidP="710AFD00">
      <w:pPr>
        <w:spacing w:after="0" w:line="240" w:lineRule="auto"/>
        <w:jc w:val="both"/>
        <w:rPr>
          <w:rFonts w:ascii="Arial" w:eastAsia="Arial" w:hAnsi="Arial" w:cs="Arial"/>
          <w:sz w:val="20"/>
          <w:szCs w:val="20"/>
        </w:rPr>
      </w:pPr>
      <w:r w:rsidRPr="710AFD00">
        <w:rPr>
          <w:rFonts w:ascii="Arial" w:eastAsia="Arial" w:hAnsi="Arial" w:cs="Arial"/>
          <w:sz w:val="20"/>
          <w:szCs w:val="20"/>
        </w:rPr>
        <w:t xml:space="preserve">Para efectos de interpretación del Pliego de Condiciones: </w:t>
      </w:r>
    </w:p>
    <w:p w14:paraId="762FCFD3" w14:textId="760E7EF5" w:rsidR="001E4A6A" w:rsidRPr="00896F31" w:rsidRDefault="001E4A6A" w:rsidP="710AFD00">
      <w:pPr>
        <w:spacing w:after="0" w:line="240" w:lineRule="auto"/>
        <w:jc w:val="both"/>
        <w:rPr>
          <w:rFonts w:ascii="Arial" w:eastAsia="Arial" w:hAnsi="Arial" w:cs="Arial"/>
          <w:sz w:val="20"/>
          <w:szCs w:val="20"/>
          <w:highlight w:val="darkGray"/>
        </w:rPr>
      </w:pPr>
      <w:r w:rsidRPr="710AFD00">
        <w:rPr>
          <w:rFonts w:ascii="Arial" w:eastAsia="Arial" w:hAnsi="Arial" w:cs="Arial"/>
          <w:sz w:val="20"/>
          <w:szCs w:val="20"/>
        </w:rPr>
        <w:t xml:space="preserve"> </w:t>
      </w:r>
    </w:p>
    <w:p w14:paraId="2344CF76" w14:textId="77777777" w:rsidR="001E4A6A" w:rsidRPr="001E4A6A" w:rsidRDefault="001E4A6A" w:rsidP="710AFD00">
      <w:pPr>
        <w:keepNext/>
        <w:keepLines/>
        <w:pBdr>
          <w:bottom w:val="single" w:sz="4" w:space="1" w:color="auto"/>
        </w:pBdr>
        <w:spacing w:after="0" w:line="240" w:lineRule="auto"/>
        <w:ind w:left="360" w:hanging="360"/>
        <w:jc w:val="both"/>
        <w:outlineLvl w:val="0"/>
        <w:rPr>
          <w:rFonts w:ascii="Arial" w:eastAsia="Arial" w:hAnsi="Arial" w:cs="Arial"/>
          <w:b/>
          <w:bCs/>
          <w:sz w:val="20"/>
          <w:szCs w:val="20"/>
        </w:rPr>
      </w:pPr>
      <w:r w:rsidRPr="710AFD00">
        <w:rPr>
          <w:rFonts w:ascii="Arial" w:eastAsia="Arial" w:hAnsi="Arial" w:cs="Arial"/>
          <w:b/>
          <w:bCs/>
          <w:sz w:val="20"/>
          <w:szCs w:val="20"/>
        </w:rPr>
        <w:t>GLOSARIO GENERAL</w:t>
      </w:r>
    </w:p>
    <w:p w14:paraId="21D79472" w14:textId="77777777" w:rsidR="001E4A6A" w:rsidRPr="001E4A6A" w:rsidRDefault="001E4A6A" w:rsidP="710AFD00">
      <w:pPr>
        <w:spacing w:after="0" w:line="240" w:lineRule="auto"/>
        <w:jc w:val="both"/>
        <w:rPr>
          <w:rFonts w:ascii="Arial" w:eastAsia="Arial" w:hAnsi="Arial" w:cs="Arial"/>
          <w:sz w:val="20"/>
          <w:szCs w:val="20"/>
        </w:rPr>
      </w:pPr>
    </w:p>
    <w:p w14:paraId="6666A4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Aclaraciones y explicaciones:</w:t>
      </w:r>
      <w:r w:rsidRPr="710AFD00">
        <w:rPr>
          <w:rFonts w:ascii="Arial" w:eastAsia="Arial" w:hAnsi="Arial" w:cs="Arial"/>
          <w:sz w:val="20"/>
          <w:szCs w:val="20"/>
        </w:rPr>
        <w:t xml:space="preserve"> Se remite a las nociones desarrolladas en la sentencia del Consejo de Estado, Sección Tercera, Subsección C, del 12 de noviembre de 2014, Radicado 27.986, Consejero Ponente: Enrique Gil Botero. </w:t>
      </w:r>
    </w:p>
    <w:p w14:paraId="0AB5D048"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C0423E2" w14:textId="77777777" w:rsidR="001E4A6A" w:rsidRPr="001E4A6A" w:rsidRDefault="001E4A6A" w:rsidP="710AFD00">
      <w:pPr>
        <w:numPr>
          <w:ilvl w:val="1"/>
          <w:numId w:val="1"/>
        </w:numPr>
        <w:spacing w:before="120"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Acta de Inicio: </w:t>
      </w:r>
      <w:r w:rsidRPr="710AFD00">
        <w:rPr>
          <w:rFonts w:ascii="Arial" w:eastAsia="Arial" w:hAnsi="Arial" w:cs="Arial"/>
          <w:sz w:val="20"/>
          <w:szCs w:val="20"/>
        </w:rPr>
        <w:t xml:space="preserve">Documento en el que las partes, de común acuerdo, dejan constancia del inicio del plazo contractual. </w:t>
      </w:r>
    </w:p>
    <w:p w14:paraId="45E18B1D"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8A2B4A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Activo Corriente:</w:t>
      </w:r>
      <w:r w:rsidRPr="710AFD00">
        <w:rPr>
          <w:rFonts w:ascii="Arial" w:eastAsia="Arial" w:hAnsi="Arial" w:cs="Arial"/>
          <w:sz w:val="20"/>
          <w:szCs w:val="20"/>
        </w:rPr>
        <w:t xml:space="preserve"> Activo susceptible de convertirse en dinero en efectivo en un período inferior a un año. </w:t>
      </w:r>
    </w:p>
    <w:p w14:paraId="14F9FBDC"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553FE49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Activo Total: </w:t>
      </w:r>
      <w:r w:rsidRPr="710AFD00">
        <w:rPr>
          <w:rFonts w:ascii="Arial" w:eastAsia="Arial" w:hAnsi="Arial" w:cs="Arial"/>
          <w:sz w:val="20"/>
          <w:szCs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6EB6961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Administración Delegada:</w:t>
      </w:r>
      <w:r w:rsidRPr="710AFD00">
        <w:rPr>
          <w:rFonts w:ascii="Arial" w:eastAsia="Arial" w:hAnsi="Arial" w:cs="Arial"/>
          <w:sz w:val="20"/>
          <w:szCs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F87102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Análisis del Sector:</w:t>
      </w:r>
      <w:r w:rsidRPr="710AFD00">
        <w:rPr>
          <w:rFonts w:ascii="Arial" w:eastAsia="Arial" w:hAnsi="Arial" w:cs="Arial"/>
          <w:sz w:val="20"/>
          <w:szCs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289312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Este estudio debe realizarse desde la perspectiva legal, comercial, financiera, organizacional, técnica y de análisis de Riesgo.</w:t>
      </w:r>
    </w:p>
    <w:p w14:paraId="642FB926"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15DEDD0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Anexo:</w:t>
      </w:r>
      <w:r w:rsidRPr="710AFD00">
        <w:rPr>
          <w:rFonts w:ascii="Arial" w:eastAsia="Arial" w:hAnsi="Arial" w:cs="Arial"/>
          <w:sz w:val="20"/>
          <w:szCs w:val="20"/>
        </w:rPr>
        <w:t xml:space="preserve"> Documento o conjunto de documentos que la Entidad adjunta al Pliego de Condiciones y que hacen parte integral del mismo.</w:t>
      </w:r>
    </w:p>
    <w:p w14:paraId="21D2D19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FBFDC4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Anticipo: </w:t>
      </w:r>
      <w:r w:rsidRPr="710AFD00">
        <w:rPr>
          <w:rFonts w:ascii="Arial" w:eastAsia="Arial" w:hAnsi="Arial" w:cs="Arial"/>
          <w:sz w:val="20"/>
          <w:szCs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72A01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Aportes Legales:</w:t>
      </w:r>
      <w:r w:rsidRPr="710AFD00">
        <w:rPr>
          <w:rFonts w:ascii="Arial" w:eastAsia="Arial" w:hAnsi="Arial" w:cs="Arial"/>
          <w:sz w:val="20"/>
          <w:szCs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97ACD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Apostilla:</w:t>
      </w:r>
      <w:r w:rsidRPr="710AFD00">
        <w:rPr>
          <w:rFonts w:ascii="Arial" w:eastAsia="Arial" w:hAnsi="Arial" w:cs="Arial"/>
          <w:sz w:val="20"/>
          <w:szCs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4A86C11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Beneficiario Real:</w:t>
      </w:r>
      <w:r w:rsidRPr="710AFD00">
        <w:rPr>
          <w:rFonts w:ascii="Arial" w:eastAsia="Arial" w:hAnsi="Arial" w:cs="Arial"/>
          <w:sz w:val="20"/>
          <w:szCs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28B80B9"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710AFD00">
      <w:pPr>
        <w:spacing w:after="0" w:line="240" w:lineRule="auto"/>
        <w:ind w:left="709" w:hanging="1"/>
        <w:jc w:val="both"/>
        <w:rPr>
          <w:rFonts w:ascii="Arial" w:eastAsia="Arial" w:hAnsi="Arial" w:cs="Arial"/>
          <w:sz w:val="20"/>
          <w:szCs w:val="20"/>
        </w:rPr>
      </w:pPr>
    </w:p>
    <w:p w14:paraId="6F573A7B"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Igualmente, constituyen un mismo beneficiario real las sociedades matrices y sus subordinadas.</w:t>
      </w:r>
    </w:p>
    <w:p w14:paraId="006B7367" w14:textId="77777777" w:rsidR="001E4A6A" w:rsidRPr="001E4A6A" w:rsidRDefault="001E4A6A" w:rsidP="710AFD00">
      <w:pPr>
        <w:spacing w:after="0" w:line="240" w:lineRule="auto"/>
        <w:ind w:left="709" w:hanging="709"/>
        <w:jc w:val="both"/>
        <w:rPr>
          <w:rFonts w:ascii="Arial" w:eastAsia="Arial" w:hAnsi="Arial" w:cs="Arial"/>
          <w:sz w:val="20"/>
          <w:szCs w:val="20"/>
        </w:rPr>
      </w:pPr>
    </w:p>
    <w:p w14:paraId="3536ED7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Capacidad Financiera:</w:t>
      </w:r>
      <w:r w:rsidRPr="710AFD00">
        <w:rPr>
          <w:rFonts w:ascii="Arial" w:eastAsia="Arial" w:hAnsi="Arial" w:cs="Arial"/>
          <w:sz w:val="20"/>
          <w:szCs w:val="20"/>
        </w:rPr>
        <w:t xml:space="preserve"> Condiciones mínimas que reflejan la salud financiera de los Proponentes a través de su liquidez y endeudamiento </w:t>
      </w:r>
      <w:r w:rsidRPr="710AFD00">
        <w:rPr>
          <w:rFonts w:ascii="Arial" w:eastAsia="Arial" w:hAnsi="Arial" w:cs="Arial"/>
          <w:color w:val="000000" w:themeColor="text1"/>
          <w:sz w:val="20"/>
          <w:szCs w:val="20"/>
        </w:rPr>
        <w:t>y los demás indicadores que apliquen</w:t>
      </w:r>
      <w:r w:rsidRPr="710AFD00">
        <w:rPr>
          <w:rFonts w:ascii="Arial" w:eastAsia="Arial" w:hAnsi="Arial" w:cs="Arial"/>
          <w:strike/>
          <w:color w:val="498205"/>
          <w:sz w:val="20"/>
          <w:szCs w:val="20"/>
        </w:rPr>
        <w:t>,</w:t>
      </w:r>
      <w:r w:rsidRPr="710AFD00">
        <w:rPr>
          <w:rFonts w:ascii="Arial" w:eastAsia="Arial" w:hAnsi="Arial" w:cs="Arial"/>
          <w:color w:val="000000" w:themeColor="text1"/>
          <w:sz w:val="20"/>
          <w:szCs w:val="20"/>
        </w:rPr>
        <w:t> para poder soportar adecuadamente la ejecución del Contrato</w:t>
      </w:r>
      <w:r w:rsidRPr="710AFD00">
        <w:rPr>
          <w:rFonts w:ascii="Arial" w:eastAsia="Arial" w:hAnsi="Arial" w:cs="Arial"/>
          <w:sz w:val="20"/>
          <w:szCs w:val="20"/>
        </w:rPr>
        <w:t>.</w:t>
      </w:r>
    </w:p>
    <w:p w14:paraId="1741C1A9"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0AF28E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Capacidad Organizacional: </w:t>
      </w:r>
      <w:r w:rsidRPr="710AFD00">
        <w:rPr>
          <w:rFonts w:ascii="Arial" w:eastAsia="Arial" w:hAnsi="Arial" w:cs="Arial"/>
          <w:sz w:val="20"/>
          <w:szCs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0EDD68" w14:textId="76367F81" w:rsidR="00FB1A14" w:rsidRPr="00557F3B" w:rsidRDefault="001E4A6A"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Certificado de Disponibilidad Presupuestal:</w:t>
      </w:r>
      <w:r w:rsidRPr="710AFD00">
        <w:rPr>
          <w:rFonts w:ascii="Arial" w:eastAsia="Arial" w:hAnsi="Arial" w:cs="Arial"/>
          <w:sz w:val="20"/>
          <w:szCs w:val="20"/>
        </w:rPr>
        <w:t xml:space="preserve"> Documento que sirve como prueba para demostrar la existencia previa de los recursos disponibles dentro del presupuesto, que ampare el compromiso que se adquiere. </w:t>
      </w:r>
    </w:p>
    <w:p w14:paraId="2FC5D2C4" w14:textId="4BD74C1F" w:rsidR="00FB1A14" w:rsidRPr="00557F3B" w:rsidRDefault="00FB1A14" w:rsidP="710AFD00">
      <w:pPr>
        <w:autoSpaceDE w:val="0"/>
        <w:autoSpaceDN w:val="0"/>
        <w:adjustRightInd w:val="0"/>
        <w:spacing w:before="120" w:after="0" w:line="240" w:lineRule="auto"/>
        <w:contextualSpacing/>
        <w:jc w:val="both"/>
        <w:rPr>
          <w:rFonts w:ascii="Arial" w:eastAsia="Arial" w:hAnsi="Arial" w:cs="Arial"/>
          <w:sz w:val="20"/>
          <w:szCs w:val="20"/>
        </w:rPr>
      </w:pPr>
    </w:p>
    <w:p w14:paraId="5A4EFFB4" w14:textId="09CD5356" w:rsidR="00FB1A14" w:rsidRPr="00557F3B" w:rsidRDefault="00FB1A14"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Conflicto de Interés:</w:t>
      </w:r>
      <w:r w:rsidRPr="710AFD00">
        <w:rPr>
          <w:rFonts w:ascii="Arial" w:eastAsia="Arial" w:hAnsi="Arial" w:cs="Arial"/>
          <w:sz w:val="20"/>
          <w:szCs w:val="20"/>
        </w:rPr>
        <w:t xml:space="preserve"> Circunstancias que el interesado o el Proponente dará a conocer a la Entidad Estatal y que considera puede tener incidencia en la imparcialidad con la que se debe adoptar las decisiones en el curso del Proceso de Contratación.</w:t>
      </w:r>
    </w:p>
    <w:p w14:paraId="7A1BC123" w14:textId="0FF02819" w:rsidR="710AFD00" w:rsidRDefault="710AFD00" w:rsidP="710AFD00">
      <w:pPr>
        <w:spacing w:after="0" w:line="240" w:lineRule="auto"/>
        <w:contextualSpacing/>
        <w:jc w:val="both"/>
        <w:rPr>
          <w:rFonts w:ascii="Arial" w:eastAsia="Arial" w:hAnsi="Arial" w:cs="Arial"/>
          <w:b/>
          <w:bCs/>
          <w:sz w:val="20"/>
          <w:szCs w:val="20"/>
        </w:rPr>
      </w:pPr>
    </w:p>
    <w:p w14:paraId="5264E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Consorcio:</w:t>
      </w:r>
      <w:r w:rsidRPr="710AFD00">
        <w:rPr>
          <w:rFonts w:ascii="Arial" w:eastAsia="Arial" w:hAnsi="Arial" w:cs="Arial"/>
          <w:sz w:val="20"/>
          <w:szCs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195F7C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Contratista:</w:t>
      </w:r>
      <w:r w:rsidRPr="710AFD00">
        <w:rPr>
          <w:rFonts w:ascii="Arial" w:eastAsia="Arial" w:hAnsi="Arial" w:cs="Arial"/>
          <w:sz w:val="20"/>
          <w:szCs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1713BC" w14:textId="77777777" w:rsidR="00FB1A14"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lang w:eastAsia="es-ES"/>
        </w:rPr>
        <w:t xml:space="preserve">Contrato de Interventoría: </w:t>
      </w:r>
      <w:r w:rsidRPr="710AFD00">
        <w:rPr>
          <w:rFonts w:ascii="Arial" w:eastAsia="Arial" w:hAnsi="Arial" w:cs="Arial"/>
          <w:sz w:val="20"/>
          <w:szCs w:val="20"/>
        </w:rPr>
        <w:t xml:space="preserve">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w:t>
      </w:r>
      <w:r w:rsidRPr="710AFD00">
        <w:rPr>
          <w:rFonts w:ascii="Arial" w:eastAsia="Arial" w:hAnsi="Arial" w:cs="Arial"/>
          <w:sz w:val="20"/>
          <w:szCs w:val="20"/>
        </w:rPr>
        <w:lastRenderedPageBreak/>
        <w:t>en el respectivo contrato. La interventoría puede incluir, según el caso, el seguimiento administrativo, contable, financiero y/o jurídico.</w:t>
      </w:r>
    </w:p>
    <w:p w14:paraId="035CBD56" w14:textId="77777777" w:rsidR="00FB1A14" w:rsidRDefault="00FB1A14" w:rsidP="710AFD00">
      <w:pPr>
        <w:pStyle w:val="Prrafodelista"/>
        <w:rPr>
          <w:rFonts w:ascii="Arial" w:eastAsia="Arial" w:hAnsi="Arial" w:cs="Arial"/>
          <w:b/>
          <w:bCs/>
          <w:sz w:val="20"/>
          <w:szCs w:val="20"/>
        </w:rPr>
      </w:pPr>
    </w:p>
    <w:p w14:paraId="1AEFB2F3" w14:textId="595E3B55"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Contrato de Obra o Contrato:</w:t>
      </w:r>
      <w:r w:rsidRPr="710AFD00">
        <w:rPr>
          <w:rFonts w:ascii="Arial" w:eastAsia="Arial" w:hAnsi="Arial" w:cs="Arial"/>
          <w:sz w:val="20"/>
          <w:szCs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Documentos Tipo:</w:t>
      </w:r>
      <w:r w:rsidRPr="710AFD00">
        <w:rPr>
          <w:rFonts w:ascii="Arial" w:eastAsia="Arial" w:hAnsi="Arial" w:cs="Arial"/>
          <w:sz w:val="20"/>
          <w:szCs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r w:rsidRPr="710AFD00">
        <w:rPr>
          <w:rFonts w:ascii="Arial" w:eastAsia="Arial" w:hAnsi="Arial" w:cs="Arial"/>
          <w:sz w:val="20"/>
          <w:szCs w:val="20"/>
        </w:rPr>
        <w:t xml:space="preserve"> </w:t>
      </w:r>
    </w:p>
    <w:p w14:paraId="6BC28A4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EPC (por sus siglas en inglés </w:t>
      </w:r>
      <w:proofErr w:type="spellStart"/>
      <w:r w:rsidRPr="710AFD00">
        <w:rPr>
          <w:rFonts w:ascii="Arial" w:eastAsia="Arial" w:hAnsi="Arial" w:cs="Arial"/>
          <w:b/>
          <w:bCs/>
          <w:sz w:val="20"/>
          <w:szCs w:val="20"/>
        </w:rPr>
        <w:t>Engineering</w:t>
      </w:r>
      <w:proofErr w:type="spellEnd"/>
      <w:r w:rsidRPr="710AFD00">
        <w:rPr>
          <w:rFonts w:ascii="Arial" w:eastAsia="Arial" w:hAnsi="Arial" w:cs="Arial"/>
          <w:b/>
          <w:bCs/>
          <w:sz w:val="20"/>
          <w:szCs w:val="20"/>
        </w:rPr>
        <w:t xml:space="preserve">, </w:t>
      </w:r>
      <w:proofErr w:type="spellStart"/>
      <w:r w:rsidRPr="710AFD00">
        <w:rPr>
          <w:rFonts w:ascii="Arial" w:eastAsia="Arial" w:hAnsi="Arial" w:cs="Arial"/>
          <w:b/>
          <w:bCs/>
          <w:sz w:val="20"/>
          <w:szCs w:val="20"/>
        </w:rPr>
        <w:t>Procurement</w:t>
      </w:r>
      <w:proofErr w:type="spellEnd"/>
      <w:r w:rsidRPr="710AFD00">
        <w:rPr>
          <w:rFonts w:ascii="Arial" w:eastAsia="Arial" w:hAnsi="Arial" w:cs="Arial"/>
          <w:b/>
          <w:bCs/>
          <w:sz w:val="20"/>
          <w:szCs w:val="20"/>
        </w:rPr>
        <w:t xml:space="preserve"> and </w:t>
      </w:r>
      <w:proofErr w:type="spellStart"/>
      <w:r w:rsidRPr="710AFD00">
        <w:rPr>
          <w:rFonts w:ascii="Arial" w:eastAsia="Arial" w:hAnsi="Arial" w:cs="Arial"/>
          <w:b/>
          <w:bCs/>
          <w:sz w:val="20"/>
          <w:szCs w:val="20"/>
        </w:rPr>
        <w:t>Construction</w:t>
      </w:r>
      <w:proofErr w:type="spellEnd"/>
      <w:r w:rsidRPr="710AFD00">
        <w:rPr>
          <w:rFonts w:ascii="Arial" w:eastAsia="Arial" w:hAnsi="Arial" w:cs="Arial"/>
          <w:b/>
          <w:bCs/>
          <w:sz w:val="20"/>
          <w:szCs w:val="20"/>
        </w:rPr>
        <w:t xml:space="preserve">): </w:t>
      </w:r>
      <w:r w:rsidRPr="710AFD00">
        <w:rPr>
          <w:rFonts w:ascii="Arial" w:eastAsia="Arial" w:hAnsi="Arial" w:cs="Arial"/>
          <w:sz w:val="20"/>
          <w:szCs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5F1B1A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Estados Financieros: </w:t>
      </w:r>
      <w:r w:rsidRPr="710AFD00">
        <w:rPr>
          <w:rFonts w:ascii="Arial" w:eastAsia="Arial" w:hAnsi="Arial" w:cs="Arial"/>
          <w:sz w:val="20"/>
          <w:szCs w:val="20"/>
        </w:rPr>
        <w:t xml:space="preserve">Informes utilizados en las instituciones/empresas que reflejan la situación económica y financiera y los cambios que se dan en cierta fecha o período determinado. </w:t>
      </w:r>
      <w:r w:rsidRPr="710AFD00">
        <w:rPr>
          <w:rFonts w:ascii="Arial" w:eastAsia="Arial" w:hAnsi="Arial" w:cs="Arial"/>
          <w:sz w:val="20"/>
          <w:szCs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710AFD00">
        <w:rPr>
          <w:rFonts w:ascii="Arial" w:eastAsia="Arial" w:hAnsi="Arial" w:cs="Arial"/>
          <w:sz w:val="20"/>
          <w:szCs w:val="20"/>
          <w:lang w:eastAsia="es-ES"/>
        </w:rPr>
        <w:t>reexpresión</w:t>
      </w:r>
      <w:proofErr w:type="spellEnd"/>
      <w:r w:rsidRPr="710AFD00">
        <w:rPr>
          <w:rFonts w:ascii="Arial" w:eastAsia="Arial" w:hAnsi="Arial" w:cs="Arial"/>
          <w:sz w:val="20"/>
          <w:szCs w:val="20"/>
          <w:lang w:eastAsia="es-ES"/>
        </w:rPr>
        <w:t xml:space="preserve"> retroactiva de partidas en sus estados financieros, o cuando reclasifique partidas en sus estados financieros.</w:t>
      </w:r>
    </w:p>
    <w:p w14:paraId="2439C0E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A9C7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Estudios Previos:</w:t>
      </w:r>
      <w:r w:rsidRPr="710AFD00">
        <w:rPr>
          <w:rFonts w:ascii="Arial" w:eastAsia="Arial" w:hAnsi="Arial" w:cs="Arial"/>
          <w:sz w:val="20"/>
          <w:szCs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85AEDF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Formato:</w:t>
      </w:r>
      <w:r w:rsidRPr="710AFD00">
        <w:rPr>
          <w:rFonts w:ascii="Arial" w:eastAsia="Arial" w:hAnsi="Arial" w:cs="Arial"/>
          <w:sz w:val="20"/>
          <w:szCs w:val="20"/>
        </w:rPr>
        <w:t xml:space="preserve"> Documentos que aporta el Proponente y que hacen parte integral de su oferta. </w:t>
      </w:r>
    </w:p>
    <w:p w14:paraId="436892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DCEA35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Formulario: </w:t>
      </w:r>
      <w:r w:rsidRPr="710AFD00">
        <w:rPr>
          <w:rFonts w:ascii="Arial" w:eastAsia="Arial" w:hAnsi="Arial" w:cs="Arial"/>
          <w:sz w:val="20"/>
          <w:szCs w:val="20"/>
        </w:rPr>
        <w:t>Documento por medio del cual la Entidad solicita información específica que debe ser completada por el Proponente.</w:t>
      </w:r>
    </w:p>
    <w:p w14:paraId="1B5C89C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81DB2D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Garantía:</w:t>
      </w:r>
      <w:r w:rsidRPr="710AFD00">
        <w:rPr>
          <w:rFonts w:ascii="Arial" w:eastAsia="Arial" w:hAnsi="Arial" w:cs="Arial"/>
          <w:sz w:val="20"/>
          <w:szCs w:val="20"/>
        </w:rPr>
        <w:t xml:space="preserve"> Respaldo que tiene</w:t>
      </w:r>
      <w:r w:rsidRPr="710AFD00">
        <w:rPr>
          <w:rFonts w:ascii="Arial" w:eastAsia="Arial" w:hAnsi="Arial" w:cs="Arial"/>
          <w:b/>
          <w:bCs/>
          <w:sz w:val="20"/>
          <w:szCs w:val="20"/>
        </w:rPr>
        <w:t xml:space="preserve"> </w:t>
      </w:r>
      <w:r w:rsidRPr="710AFD00">
        <w:rPr>
          <w:rFonts w:ascii="Arial" w:eastAsia="Arial" w:hAnsi="Arial" w:cs="Arial"/>
          <w:sz w:val="20"/>
          <w:szCs w:val="20"/>
        </w:rPr>
        <w:t>como fin</w:t>
      </w:r>
      <w:r w:rsidRPr="710AFD00">
        <w:rPr>
          <w:rFonts w:ascii="Arial" w:eastAsia="Arial" w:hAnsi="Arial" w:cs="Arial"/>
          <w:color w:val="D13438"/>
          <w:sz w:val="19"/>
          <w:szCs w:val="19"/>
        </w:rPr>
        <w:t xml:space="preserve"> </w:t>
      </w:r>
      <w:r w:rsidRPr="710AFD00">
        <w:rPr>
          <w:rFonts w:ascii="Arial" w:eastAsia="Arial" w:hAnsi="Arial" w:cs="Arial"/>
          <w:sz w:val="19"/>
          <w:szCs w:val="19"/>
        </w:rPr>
        <w:t>el pago a favor de la Entidad Estatal</w:t>
      </w:r>
      <w:r w:rsidRPr="710AFD00">
        <w:rPr>
          <w:rFonts w:ascii="Arial" w:eastAsia="Arial" w:hAnsi="Arial" w:cs="Arial"/>
          <w:sz w:val="20"/>
          <w:szCs w:val="20"/>
        </w:rPr>
        <w:t xml:space="preserve"> de las indemnizaciones o sanciones derivadas del incumplimiento del contrato. Las clases de garantías son: (i) contratos de seguro, (ii) fiducia mercantil de garantía o (iii) garantías bancarias.</w:t>
      </w:r>
    </w:p>
    <w:p w14:paraId="3661BF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EFCD84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Garantía de Responsabilidad Civil Extracontractual:</w:t>
      </w:r>
      <w:r w:rsidRPr="710AFD00">
        <w:rPr>
          <w:rFonts w:ascii="Arial" w:eastAsia="Arial" w:hAnsi="Arial" w:cs="Arial"/>
          <w:sz w:val="20"/>
          <w:szCs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1A7C3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Información Pública Reservada:</w:t>
      </w:r>
      <w:r w:rsidRPr="710AFD00">
        <w:rPr>
          <w:rFonts w:ascii="Arial" w:eastAsia="Arial" w:hAnsi="Arial" w:cs="Arial"/>
          <w:sz w:val="20"/>
          <w:szCs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A133D36"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lastRenderedPageBreak/>
        <w:t>Interventor(a):</w:t>
      </w:r>
      <w:r w:rsidRPr="710AFD00">
        <w:rPr>
          <w:rFonts w:ascii="Arial" w:eastAsia="Arial" w:hAnsi="Arial" w:cs="Arial"/>
          <w:sz w:val="20"/>
          <w:szCs w:val="20"/>
          <w:lang w:val="es-CO"/>
        </w:rPr>
        <w:t xml:space="preserve"> </w:t>
      </w:r>
      <w:r w:rsidRPr="710AFD00">
        <w:rPr>
          <w:rFonts w:ascii="Arial" w:eastAsia="Arial" w:hAnsi="Arial" w:cs="Arial"/>
          <w:sz w:val="20"/>
          <w:szCs w:val="20"/>
          <w:lang w:val="es-CO" w:eastAsia="en-US"/>
        </w:rPr>
        <w:t>Persona natural, jurídica, Consorcio o Unión Temporal, que tiene a su cargo el seguimiento y control del contrato en los términos del artículo 83 de la Ley 1474 de 2011.</w:t>
      </w:r>
    </w:p>
    <w:p w14:paraId="0F201DF2" w14:textId="77777777" w:rsidR="00FB1A14" w:rsidRPr="00EC29F6" w:rsidRDefault="00FB1A14" w:rsidP="710AFD00">
      <w:pPr>
        <w:ind w:left="643"/>
        <w:rPr>
          <w:rFonts w:ascii="Arial" w:eastAsia="Arial" w:hAnsi="Arial" w:cs="Arial"/>
        </w:rPr>
      </w:pPr>
    </w:p>
    <w:p w14:paraId="5E297620" w14:textId="77777777" w:rsidR="00FB1A14" w:rsidRPr="00EC29F6" w:rsidRDefault="00FB1A14" w:rsidP="710AFD00">
      <w:pPr>
        <w:pStyle w:val="Prrafodelista"/>
        <w:numPr>
          <w:ilvl w:val="1"/>
          <w:numId w:val="1"/>
        </w:numPr>
        <w:spacing w:after="0" w:line="240" w:lineRule="auto"/>
        <w:jc w:val="both"/>
        <w:rPr>
          <w:rFonts w:ascii="Arial" w:eastAsia="Arial" w:hAnsi="Arial" w:cs="Arial"/>
          <w:b/>
          <w:bCs/>
          <w:sz w:val="20"/>
          <w:szCs w:val="20"/>
          <w:lang w:eastAsia="es-ES"/>
        </w:rPr>
      </w:pPr>
      <w:r w:rsidRPr="710AFD00">
        <w:rPr>
          <w:rFonts w:ascii="Arial" w:eastAsia="Arial" w:hAnsi="Arial" w:cs="Arial"/>
          <w:b/>
          <w:bCs/>
          <w:sz w:val="20"/>
          <w:szCs w:val="20"/>
        </w:rPr>
        <w:t xml:space="preserve"> Interventoría Administrativa: </w:t>
      </w:r>
      <w:r w:rsidRPr="710AFD00">
        <w:rPr>
          <w:rFonts w:ascii="Arial" w:eastAsia="Arial" w:hAnsi="Arial" w:cs="Arial"/>
          <w:sz w:val="20"/>
          <w:szCs w:val="2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7A57FB7" w14:textId="77777777" w:rsidR="00FB1A14" w:rsidRPr="00EC29F6" w:rsidRDefault="00FB1A14" w:rsidP="710AFD00">
      <w:pPr>
        <w:pStyle w:val="Prrafodelista"/>
        <w:ind w:left="643"/>
        <w:jc w:val="both"/>
        <w:rPr>
          <w:rFonts w:ascii="Arial" w:eastAsia="Arial" w:hAnsi="Arial" w:cs="Arial"/>
          <w:b/>
          <w:bCs/>
          <w:sz w:val="20"/>
          <w:szCs w:val="20"/>
          <w:lang w:eastAsia="es-ES"/>
        </w:rPr>
      </w:pPr>
    </w:p>
    <w:p w14:paraId="2321845F"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ES"/>
        </w:rPr>
      </w:pPr>
      <w:r w:rsidRPr="710AFD00">
        <w:rPr>
          <w:rFonts w:ascii="Arial" w:eastAsia="Arial" w:hAnsi="Arial" w:cs="Arial"/>
          <w:b/>
          <w:bCs/>
          <w:sz w:val="20"/>
          <w:szCs w:val="20"/>
          <w:lang w:val="es-CO"/>
        </w:rPr>
        <w:t xml:space="preserve">Interventoría Ambiental: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cumplimiento de la legislación ambiental vigente y específica para el proyecto, así como de los controles y medidas de manejo contenidas en el Plan de Manejo Ambiental, en la licencia o los permisos autorizados y concesione</w:t>
      </w:r>
      <w:r w:rsidRPr="710AFD00">
        <w:rPr>
          <w:rFonts w:ascii="Arial" w:eastAsia="Arial" w:hAnsi="Arial" w:cs="Arial"/>
          <w:sz w:val="20"/>
          <w:szCs w:val="20"/>
          <w:lang w:val="es-ES" w:eastAsia="en-US"/>
        </w:rPr>
        <w:t>s.</w:t>
      </w:r>
    </w:p>
    <w:p w14:paraId="57DFF1C6" w14:textId="77777777" w:rsidR="00FB1A14" w:rsidRPr="00EC29F6" w:rsidRDefault="00FB1A14" w:rsidP="710AFD00">
      <w:pPr>
        <w:ind w:left="643"/>
        <w:rPr>
          <w:rFonts w:ascii="Arial" w:eastAsia="Arial" w:hAnsi="Arial" w:cs="Arial"/>
          <w:lang w:val="es-ES"/>
        </w:rPr>
      </w:pPr>
    </w:p>
    <w:p w14:paraId="454B1AC9"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t xml:space="preserve">Interventoría Financiera: </w:t>
      </w:r>
      <w:r w:rsidRPr="710AFD00">
        <w:rPr>
          <w:rFonts w:ascii="Arial" w:eastAsia="Arial" w:hAnsi="Arial" w:cs="Arial"/>
          <w:sz w:val="20"/>
          <w:szCs w:val="20"/>
          <w:lang w:val="es-CO" w:eastAsia="en-U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w:t>
      </w:r>
    </w:p>
    <w:p w14:paraId="6D4F7366" w14:textId="77777777" w:rsidR="00FB1A14" w:rsidRPr="00EC29F6" w:rsidRDefault="00FB1A14" w:rsidP="710AFD00">
      <w:pPr>
        <w:ind w:left="641"/>
        <w:rPr>
          <w:rFonts w:ascii="Arial" w:eastAsia="Arial" w:hAnsi="Arial" w:cs="Arial"/>
          <w:sz w:val="20"/>
          <w:szCs w:val="20"/>
        </w:rPr>
      </w:pPr>
    </w:p>
    <w:p w14:paraId="1C0AFCDA"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Legal: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 xml:space="preserve">cumplimiento </w:t>
      </w:r>
      <w:r w:rsidRPr="710AFD00">
        <w:rPr>
          <w:rFonts w:ascii="Arial" w:eastAsia="Arial" w:hAnsi="Arial" w:cs="Arial"/>
          <w:sz w:val="20"/>
          <w:szCs w:val="20"/>
          <w:lang w:val="es-CO" w:eastAsia="en-US"/>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6C930724" w14:textId="77777777" w:rsidR="00FB1A14" w:rsidRPr="00EC29F6" w:rsidRDefault="00FB1A14" w:rsidP="710AFD00">
      <w:pPr>
        <w:ind w:left="641"/>
        <w:rPr>
          <w:rFonts w:ascii="Arial" w:eastAsia="Arial" w:hAnsi="Arial" w:cs="Arial"/>
        </w:rPr>
      </w:pPr>
    </w:p>
    <w:p w14:paraId="5F85E903"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de Seguridad y Salud en el Trabajo (SST): </w:t>
      </w:r>
      <w:r w:rsidRPr="710AFD00">
        <w:rPr>
          <w:rFonts w:ascii="Arial" w:eastAsia="Arial" w:hAnsi="Arial" w:cs="Arial"/>
          <w:sz w:val="20"/>
          <w:szCs w:val="20"/>
          <w:lang w:val="es-ES"/>
        </w:rPr>
        <w:t xml:space="preserve">Seguimiento y </w:t>
      </w:r>
      <w:r w:rsidRPr="710AFD00">
        <w:rPr>
          <w:rFonts w:ascii="Arial" w:eastAsia="Arial" w:hAnsi="Arial" w:cs="Arial"/>
          <w:sz w:val="20"/>
          <w:szCs w:val="20"/>
          <w:lang w:val="uz-Cyrl-UZ"/>
        </w:rPr>
        <w:t>cumplimiento</w:t>
      </w:r>
      <w:r w:rsidRPr="710AFD00">
        <w:rPr>
          <w:rFonts w:ascii="Arial" w:eastAsia="Arial" w:hAnsi="Arial" w:cs="Arial"/>
          <w:b/>
          <w:bCs/>
          <w:sz w:val="20"/>
          <w:szCs w:val="20"/>
          <w:lang w:val="uz-Cyrl-UZ"/>
        </w:rPr>
        <w:t xml:space="preserve"> </w:t>
      </w:r>
      <w:r w:rsidRPr="710AFD00">
        <w:rPr>
          <w:rFonts w:ascii="Arial" w:eastAsia="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2F48F886" w14:textId="77777777" w:rsidR="00FB1A14" w:rsidRPr="00EC29F6" w:rsidRDefault="00FB1A14" w:rsidP="710AFD00">
      <w:pPr>
        <w:ind w:left="643"/>
        <w:rPr>
          <w:rFonts w:ascii="Arial" w:eastAsia="Arial" w:hAnsi="Arial" w:cs="Arial"/>
        </w:rPr>
      </w:pPr>
    </w:p>
    <w:p w14:paraId="1D72FDC1"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Social: </w:t>
      </w:r>
      <w:r w:rsidRPr="710AFD00">
        <w:rPr>
          <w:rFonts w:ascii="Arial" w:eastAsia="Arial" w:hAnsi="Arial" w:cs="Arial"/>
          <w:sz w:val="20"/>
          <w:szCs w:val="20"/>
          <w:lang w:val="es-ES"/>
        </w:rPr>
        <w:t>Comprobación de</w:t>
      </w:r>
      <w:r w:rsidRPr="710AFD00">
        <w:rPr>
          <w:rFonts w:ascii="Arial" w:eastAsia="Arial" w:hAnsi="Arial" w:cs="Arial"/>
          <w:sz w:val="20"/>
          <w:szCs w:val="20"/>
          <w:lang w:val="es-CO"/>
        </w:rPr>
        <w:t xml:space="preserve"> la realización, cumplimiento oportuno y efectividad de todas las labores de gestión social establecidas en el contrato. Debe verificar que se elabore el Plan de Gestión Social o se ejecute el mismo, de acuerdo con lo contemplado en el contrato. </w:t>
      </w:r>
    </w:p>
    <w:p w14:paraId="5F7D9D1E" w14:textId="77777777" w:rsidR="00FB1A14" w:rsidRPr="00EC29F6" w:rsidRDefault="00FB1A14" w:rsidP="710AFD00">
      <w:pPr>
        <w:ind w:left="643"/>
        <w:rPr>
          <w:rFonts w:ascii="Arial" w:eastAsia="Arial" w:hAnsi="Arial" w:cs="Arial"/>
        </w:rPr>
      </w:pPr>
    </w:p>
    <w:p w14:paraId="71017717"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Técnica: </w:t>
      </w:r>
      <w:r w:rsidRPr="710AFD00">
        <w:rPr>
          <w:rFonts w:ascii="Arial" w:eastAsia="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w:t>
      </w:r>
      <w:r w:rsidRPr="710AFD00">
        <w:rPr>
          <w:rFonts w:ascii="Arial" w:eastAsia="Arial" w:hAnsi="Arial" w:cs="Arial"/>
          <w:sz w:val="20"/>
          <w:szCs w:val="20"/>
          <w:lang w:val="es-CO"/>
        </w:rPr>
        <w:lastRenderedPageBreak/>
        <w:t xml:space="preserve">constructivos que deben ser implementados según el tipo de obra de infraestructura de agua potable y saneamiento básico a realizar. </w:t>
      </w:r>
    </w:p>
    <w:p w14:paraId="1F7F2C3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Legalización:</w:t>
      </w:r>
      <w:r w:rsidRPr="710AFD00">
        <w:rPr>
          <w:rFonts w:ascii="Arial" w:eastAsia="Arial" w:hAnsi="Arial" w:cs="Arial"/>
          <w:sz w:val="20"/>
          <w:szCs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0F47896"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Manifestación de Interés:</w:t>
      </w:r>
      <w:r w:rsidRPr="710AFD00">
        <w:rPr>
          <w:rFonts w:ascii="Arial" w:eastAsia="Arial" w:hAnsi="Arial" w:cs="Arial"/>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31BE945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Matriz:</w:t>
      </w:r>
      <w:r w:rsidRPr="710AFD00">
        <w:rPr>
          <w:rFonts w:ascii="Arial" w:eastAsia="Arial" w:hAnsi="Arial" w:cs="Arial"/>
          <w:sz w:val="20"/>
          <w:szCs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3EBC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Medio Magnético:</w:t>
      </w:r>
      <w:r w:rsidRPr="710AFD00">
        <w:rPr>
          <w:rFonts w:ascii="Arial" w:eastAsia="Arial" w:hAnsi="Arial" w:cs="Arial"/>
          <w:sz w:val="20"/>
          <w:szCs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AC7D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w:t>
      </w:r>
      <w:r w:rsidRPr="710AFD00">
        <w:rPr>
          <w:rFonts w:ascii="Arial" w:eastAsia="Arial" w:hAnsi="Arial" w:cs="Arial"/>
          <w:sz w:val="20"/>
          <w:szCs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6F2298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 Tipo:</w:t>
      </w:r>
      <w:r w:rsidRPr="710AFD00">
        <w:rPr>
          <w:rFonts w:ascii="Arial" w:eastAsia="Arial" w:hAnsi="Arial" w:cs="Arial"/>
          <w:sz w:val="20"/>
          <w:szCs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C25C7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Porcentaje de AIU:</w:t>
      </w:r>
      <w:r w:rsidRPr="710AFD00">
        <w:rPr>
          <w:rFonts w:ascii="Arial" w:eastAsia="Arial" w:hAnsi="Arial" w:cs="Arial"/>
          <w:sz w:val="20"/>
          <w:szCs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44E081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 Global:</w:t>
      </w:r>
      <w:r w:rsidRPr="710AFD00">
        <w:rPr>
          <w:rFonts w:ascii="Arial" w:eastAsia="Arial" w:hAnsi="Arial" w:cs="Arial"/>
          <w:sz w:val="20"/>
          <w:szCs w:val="20"/>
        </w:rPr>
        <w:t xml:space="preserve"> Modalidad de pago cierto, cerrado e inalterable como única remuneración por el objeto contratado.</w:t>
      </w:r>
    </w:p>
    <w:p w14:paraId="4099326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02F36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Precios Unitarios:</w:t>
      </w:r>
      <w:r w:rsidRPr="710AFD00">
        <w:rPr>
          <w:rFonts w:ascii="Arial" w:eastAsia="Arial" w:hAnsi="Arial" w:cs="Arial"/>
          <w:sz w:val="20"/>
          <w:szCs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00CBB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Presupuesto Oficial:</w:t>
      </w:r>
      <w:r w:rsidRPr="710AFD00">
        <w:rPr>
          <w:rFonts w:ascii="Arial" w:eastAsia="Arial" w:hAnsi="Arial" w:cs="Arial"/>
          <w:sz w:val="20"/>
          <w:szCs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EBB98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 Plural:</w:t>
      </w:r>
      <w:r w:rsidRPr="710AFD00">
        <w:rPr>
          <w:rFonts w:ascii="Arial" w:eastAsia="Arial" w:hAnsi="Arial" w:cs="Arial"/>
          <w:sz w:val="20"/>
          <w:szCs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F24AD5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w:t>
      </w:r>
      <w:r w:rsidRPr="710AFD00">
        <w:rPr>
          <w:rFonts w:ascii="Arial" w:eastAsia="Arial" w:hAnsi="Arial" w:cs="Arial"/>
          <w:sz w:val="20"/>
          <w:szCs w:val="20"/>
        </w:rPr>
        <w:t xml:space="preserve"> Persona o grupo de personas que presentan una oferta para participar en el Proceso de Contratación. </w:t>
      </w:r>
    </w:p>
    <w:p w14:paraId="3D1B3CB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F555C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Reembolso de Gastos:</w:t>
      </w:r>
      <w:r w:rsidRPr="710AFD00">
        <w:rPr>
          <w:rFonts w:ascii="Arial" w:eastAsia="Arial" w:hAnsi="Arial" w:cs="Arial"/>
          <w:sz w:val="20"/>
          <w:szCs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2A3F66A" w14:textId="77777777" w:rsidR="00FB1A14"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Selección Objetiva:</w:t>
      </w:r>
      <w:r w:rsidRPr="710AFD00">
        <w:rPr>
          <w:rFonts w:ascii="Arial" w:eastAsia="Arial" w:hAnsi="Arial" w:cs="Arial"/>
          <w:sz w:val="20"/>
          <w:szCs w:val="20"/>
        </w:rPr>
        <w:t xml:space="preserve"> Principio y deber que busca que la escogencia de los colaboradores de la administración responda a criterios objetivos, en concordancia con los principios que rigen la función administrativa. </w:t>
      </w:r>
    </w:p>
    <w:p w14:paraId="3730FFEF" w14:textId="77777777" w:rsidR="00FB1A14" w:rsidRDefault="00FB1A14" w:rsidP="710AFD00">
      <w:pPr>
        <w:pStyle w:val="Prrafodelista"/>
        <w:rPr>
          <w:rFonts w:ascii="Arial" w:eastAsia="Arial" w:hAnsi="Arial" w:cs="Arial"/>
          <w:b/>
          <w:bCs/>
          <w:sz w:val="20"/>
          <w:szCs w:val="20"/>
        </w:rPr>
      </w:pPr>
    </w:p>
    <w:p w14:paraId="74CDEAFF" w14:textId="25719D15" w:rsidR="001E4A6A"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Sobre: </w:t>
      </w:r>
      <w:r w:rsidRPr="710AFD00">
        <w:rPr>
          <w:rFonts w:ascii="Arial" w:eastAsia="Arial" w:hAnsi="Arial" w:cs="Arial"/>
          <w:sz w:val="20"/>
          <w:szCs w:val="20"/>
        </w:rPr>
        <w:t>Instrumento</w:t>
      </w:r>
      <w:r w:rsidRPr="710AFD00">
        <w:rPr>
          <w:rFonts w:ascii="Arial" w:eastAsia="Arial" w:hAnsi="Arial" w:cs="Arial"/>
          <w:b/>
          <w:bCs/>
          <w:sz w:val="20"/>
          <w:szCs w:val="20"/>
        </w:rPr>
        <w:t xml:space="preserve"> </w:t>
      </w:r>
      <w:r w:rsidRPr="710AFD00">
        <w:rPr>
          <w:rFonts w:ascii="Arial" w:eastAsia="Arial" w:hAnsi="Arial" w:cs="Arial"/>
          <w:sz w:val="20"/>
          <w:szCs w:val="20"/>
        </w:rPr>
        <w:t>que permite incluir los documentos relacionados con el cumplimiento de los requisitos habilitantes, así como los requisitos y documentos a los que se les asigna puntaje.</w:t>
      </w:r>
    </w:p>
    <w:p w14:paraId="31D519E7" w14:textId="77777777" w:rsidR="00FB1A14" w:rsidRPr="00807517" w:rsidRDefault="00FB1A14" w:rsidP="710AFD00">
      <w:pPr>
        <w:spacing w:after="0" w:line="240" w:lineRule="auto"/>
        <w:ind w:left="720"/>
        <w:contextualSpacing/>
        <w:jc w:val="both"/>
        <w:rPr>
          <w:rFonts w:ascii="Arial" w:eastAsia="Arial" w:hAnsi="Arial" w:cs="Arial"/>
          <w:b/>
          <w:bCs/>
        </w:rPr>
      </w:pPr>
    </w:p>
    <w:p w14:paraId="1ABD3B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Subcontratista:</w:t>
      </w:r>
      <w:r w:rsidRPr="710AFD00">
        <w:rPr>
          <w:rFonts w:ascii="Arial" w:eastAsia="Arial" w:hAnsi="Arial" w:cs="Arial"/>
          <w:sz w:val="20"/>
          <w:szCs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C0CDE3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Sucursal:</w:t>
      </w:r>
      <w:r w:rsidRPr="710AFD00">
        <w:rPr>
          <w:rFonts w:ascii="Arial" w:eastAsia="Arial" w:hAnsi="Arial" w:cs="Arial"/>
          <w:sz w:val="20"/>
          <w:szCs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4D0B5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Trato Nacional:</w:t>
      </w:r>
      <w:r w:rsidRPr="710AFD00">
        <w:rPr>
          <w:rFonts w:ascii="Arial" w:eastAsia="Arial" w:hAnsi="Arial" w:cs="Arial"/>
          <w:sz w:val="20"/>
          <w:szCs w:val="20"/>
        </w:rPr>
        <w:t xml:space="preserve"> Principio según el cual un Estado concede a los nacionales de otro Estado el mismo trato que otorga a sus nacionales. </w:t>
      </w:r>
    </w:p>
    <w:p w14:paraId="65CA2F3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8820B9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Unión Temporal:</w:t>
      </w:r>
      <w:r w:rsidRPr="710AFD00">
        <w:rPr>
          <w:rFonts w:ascii="Arial" w:eastAsia="Arial" w:hAnsi="Arial" w:cs="Arial"/>
          <w:sz w:val="20"/>
          <w:szCs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A0B9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Utilidad Operacional:</w:t>
      </w:r>
      <w:r w:rsidRPr="710AFD00">
        <w:rPr>
          <w:rFonts w:ascii="Arial" w:eastAsia="Arial" w:hAnsi="Arial" w:cs="Arial"/>
          <w:sz w:val="20"/>
          <w:szCs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914F14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Vigencia Fiscal:</w:t>
      </w:r>
      <w:r w:rsidRPr="710AFD00">
        <w:rPr>
          <w:rFonts w:ascii="Arial" w:eastAsia="Arial" w:hAnsi="Arial" w:cs="Arial"/>
          <w:sz w:val="20"/>
          <w:szCs w:val="20"/>
        </w:rPr>
        <w:t xml:space="preserve"> Período que comprende desde el 1 de enero hasta el 31 de diciembre de cada año.</w:t>
      </w:r>
    </w:p>
    <w:p w14:paraId="2378D56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DA0D658" w14:textId="78D1869C" w:rsidR="001E4A6A" w:rsidRPr="001E4A6A" w:rsidRDefault="001E4A6A" w:rsidP="710AFD00">
      <w:pPr>
        <w:pStyle w:val="Ttulo1"/>
        <w:numPr>
          <w:ilvl w:val="0"/>
          <w:numId w:val="1"/>
        </w:numPr>
        <w:pBdr>
          <w:bottom w:val="single" w:sz="4" w:space="1" w:color="auto"/>
        </w:pBdr>
        <w:spacing w:before="0" w:line="240" w:lineRule="auto"/>
        <w:jc w:val="both"/>
        <w:rPr>
          <w:rFonts w:eastAsia="Arial"/>
        </w:rPr>
      </w:pPr>
      <w:r w:rsidRPr="710AFD00">
        <w:rPr>
          <w:rFonts w:eastAsia="Arial"/>
        </w:rPr>
        <w:t xml:space="preserve">GLOSARIO ESPECÍFICO TÉCNICO </w:t>
      </w:r>
    </w:p>
    <w:p w14:paraId="33523577" w14:textId="77777777" w:rsidR="00EF2C83" w:rsidRDefault="00EF2C83" w:rsidP="710AFD00">
      <w:pPr>
        <w:spacing w:after="0" w:line="240" w:lineRule="auto"/>
        <w:jc w:val="both"/>
        <w:rPr>
          <w:rFonts w:ascii="Arial" w:eastAsia="Arial" w:hAnsi="Arial" w:cs="Arial"/>
          <w:sz w:val="20"/>
          <w:szCs w:val="20"/>
        </w:rPr>
      </w:pPr>
    </w:p>
    <w:p w14:paraId="4DB890E0" w14:textId="0E2938C4" w:rsidR="001E4A6A" w:rsidRPr="001E4A6A" w:rsidRDefault="001E4A6A" w:rsidP="74C555B5">
      <w:pPr>
        <w:spacing w:after="0" w:line="240" w:lineRule="auto"/>
        <w:jc w:val="both"/>
        <w:rPr>
          <w:rFonts w:ascii="Arial" w:eastAsia="Arial" w:hAnsi="Arial" w:cs="Arial"/>
          <w:sz w:val="20"/>
          <w:szCs w:val="20"/>
        </w:rPr>
      </w:pPr>
      <w:r w:rsidRPr="7ADB3F25">
        <w:rPr>
          <w:rFonts w:ascii="Arial" w:eastAsia="Arial" w:hAnsi="Arial" w:cs="Arial"/>
          <w:sz w:val="20"/>
          <w:szCs w:val="20"/>
          <w:highlight w:val="lightGray"/>
        </w:rPr>
        <w:t>[</w:t>
      </w:r>
      <w:r w:rsidR="449A72A5" w:rsidRPr="7ADB3F25">
        <w:rPr>
          <w:rFonts w:ascii="Arial" w:eastAsia="Arial" w:hAnsi="Arial" w:cs="Arial"/>
          <w:sz w:val="20"/>
          <w:szCs w:val="20"/>
          <w:highlight w:val="lightGray"/>
        </w:rPr>
        <w:t>De igual forma, la Entidad deberá dar uso a las definiciones o conceptos establecidos en los Decretos Únicos Reglamentarios del Sector Administrativo del Deporte y  del Sector Cultura 1085 y 1080 de 2015, así como el manual de escenarios deportivos del Departamento Administrativo del Deporte</w:t>
      </w:r>
      <w:r w:rsidR="30D1E59D"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 xml:space="preserve"> COLDEPORTES, la guía general para la planeación, formulación ejecución y operación de proyectos de infraestructura cultural expedida por Min</w:t>
      </w:r>
      <w:r w:rsidR="21015106" w:rsidRPr="7ADB3F25">
        <w:rPr>
          <w:rFonts w:ascii="Arial" w:eastAsia="Arial" w:hAnsi="Arial" w:cs="Arial"/>
          <w:sz w:val="20"/>
          <w:szCs w:val="20"/>
          <w:highlight w:val="lightGray"/>
        </w:rPr>
        <w:t xml:space="preserve">isterio de </w:t>
      </w:r>
      <w:r w:rsidR="449A72A5" w:rsidRPr="7ADB3F25">
        <w:rPr>
          <w:rFonts w:ascii="Arial" w:eastAsia="Arial" w:hAnsi="Arial" w:cs="Arial"/>
          <w:sz w:val="20"/>
          <w:szCs w:val="20"/>
          <w:highlight w:val="lightGray"/>
        </w:rPr>
        <w:t>cultura en el 2011</w:t>
      </w:r>
      <w:r w:rsidR="21F5DC7B" w:rsidRPr="7ADB3F25">
        <w:rPr>
          <w:rFonts w:ascii="Arial" w:eastAsia="Arial" w:hAnsi="Arial" w:cs="Arial"/>
          <w:sz w:val="20"/>
          <w:szCs w:val="20"/>
          <w:highlight w:val="lightGray"/>
        </w:rPr>
        <w:t>, las Normas ICONTEC</w:t>
      </w:r>
      <w:r w:rsidR="13089882"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la NSR 10 en general y su clasificación de las edificaciones por grupos de ocupación del capítulo K</w:t>
      </w:r>
      <w:r w:rsidR="2EA23133" w:rsidRPr="7ADB3F25">
        <w:rPr>
          <w:rFonts w:ascii="Arial" w:eastAsia="Arial" w:hAnsi="Arial" w:cs="Arial"/>
          <w:sz w:val="20"/>
          <w:szCs w:val="20"/>
          <w:highlight w:val="lightGray"/>
        </w:rPr>
        <w:t xml:space="preserve"> y demás normativa vigente en la materia,</w:t>
      </w:r>
      <w:r w:rsidR="449A72A5" w:rsidRPr="7ADB3F25">
        <w:rPr>
          <w:rFonts w:ascii="Arial" w:eastAsia="Arial" w:hAnsi="Arial" w:cs="Arial"/>
          <w:sz w:val="20"/>
          <w:szCs w:val="20"/>
          <w:highlight w:val="lightGray"/>
        </w:rPr>
        <w:t xml:space="preserve"> entre otras o aquellas que los modifiquen, adicionen o sustituyan</w:t>
      </w:r>
      <w:r w:rsidRPr="7ADB3F25">
        <w:rPr>
          <w:rFonts w:ascii="Arial" w:eastAsia="Arial" w:hAnsi="Arial" w:cs="Arial"/>
          <w:sz w:val="20"/>
          <w:szCs w:val="20"/>
          <w:highlight w:val="lightGray"/>
        </w:rPr>
        <w:t>.]</w:t>
      </w:r>
      <w:r w:rsidRPr="7ADB3F25">
        <w:rPr>
          <w:rFonts w:ascii="Arial" w:eastAsia="Arial" w:hAnsi="Arial" w:cs="Arial"/>
          <w:sz w:val="20"/>
          <w:szCs w:val="20"/>
        </w:rPr>
        <w:t xml:space="preserve"> </w:t>
      </w:r>
    </w:p>
    <w:p w14:paraId="3C9ABAD7" w14:textId="77777777" w:rsidR="001E4A6A" w:rsidRPr="001E4A6A" w:rsidRDefault="001E4A6A" w:rsidP="710AFD00">
      <w:pPr>
        <w:spacing w:after="0" w:line="240" w:lineRule="auto"/>
        <w:jc w:val="both"/>
        <w:rPr>
          <w:rFonts w:ascii="Arial" w:eastAsia="Arial" w:hAnsi="Arial" w:cs="Arial"/>
          <w:sz w:val="20"/>
          <w:szCs w:val="20"/>
        </w:rPr>
      </w:pPr>
    </w:p>
    <w:p w14:paraId="16FE9F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Acabados:</w:t>
      </w:r>
      <w:r w:rsidRPr="710AFD00">
        <w:rPr>
          <w:rFonts w:ascii="Arial" w:eastAsia="Arial" w:hAnsi="Arial" w:cs="Arial"/>
          <w:sz w:val="20"/>
          <w:szCs w:val="20"/>
        </w:rPr>
        <w:t xml:space="preserve"> Partes y componentes de una edificación que no hacen parte de la estructura o de su cimentación, es decir son elementos no estructurales. </w:t>
      </w:r>
    </w:p>
    <w:p w14:paraId="4132149B"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94D4AA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Accesibilidad: </w:t>
      </w:r>
      <w:r w:rsidRPr="710AFD00">
        <w:rPr>
          <w:rFonts w:ascii="Arial" w:eastAsia="Arial" w:hAnsi="Arial" w:cs="Arial"/>
          <w:sz w:val="20"/>
          <w:szCs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67A5C6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Actualización Sísmica:</w:t>
      </w:r>
      <w:r w:rsidRPr="710AFD00">
        <w:rPr>
          <w:rFonts w:ascii="Arial" w:eastAsia="Arial" w:hAnsi="Arial" w:cs="Arial"/>
          <w:sz w:val="20"/>
          <w:szCs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599214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Adecuación:</w:t>
      </w:r>
      <w:r w:rsidRPr="710AFD00">
        <w:rPr>
          <w:rFonts w:ascii="Arial" w:eastAsia="Arial" w:hAnsi="Arial" w:cs="Arial"/>
          <w:sz w:val="20"/>
          <w:szCs w:val="20"/>
        </w:rPr>
        <w:t xml:space="preserve"> Cambio de uso de una edificación, o parte de ella, garantizando la permanencia total o parcial del inmueble original. </w:t>
      </w:r>
    </w:p>
    <w:p w14:paraId="5E9F6D1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29480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Alameda:</w:t>
      </w:r>
      <w:r w:rsidRPr="710AFD00">
        <w:rPr>
          <w:rFonts w:ascii="Arial" w:eastAsia="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4000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Altura de la Edificación en la Colindancia:</w:t>
      </w:r>
      <w:r w:rsidRPr="710AFD00">
        <w:rPr>
          <w:rFonts w:ascii="Arial" w:eastAsia="Arial" w:hAnsi="Arial" w:cs="Arial"/>
          <w:sz w:val="20"/>
          <w:szCs w:val="20"/>
        </w:rPr>
        <w:t xml:space="preserve"> Suma de las alturas de pisos en la colindancia. </w:t>
      </w:r>
    </w:p>
    <w:p w14:paraId="417001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E4323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Amenaza de Ruina: </w:t>
      </w:r>
      <w:r w:rsidRPr="710AFD00">
        <w:rPr>
          <w:rFonts w:ascii="Arial" w:eastAsia="Arial" w:hAnsi="Arial" w:cs="Arial"/>
          <w:sz w:val="20"/>
          <w:szCs w:val="2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710AFD00">
        <w:rPr>
          <w:rFonts w:ascii="Arial" w:eastAsia="Arial" w:hAnsi="Arial" w:cs="Arial"/>
          <w:sz w:val="20"/>
          <w:szCs w:val="20"/>
        </w:rPr>
        <w:t>sismorresistencia</w:t>
      </w:r>
      <w:proofErr w:type="spellEnd"/>
      <w:r w:rsidRPr="710AFD00">
        <w:rPr>
          <w:rFonts w:ascii="Arial" w:eastAsia="Arial" w:hAnsi="Arial" w:cs="Arial"/>
          <w:sz w:val="20"/>
          <w:szCs w:val="20"/>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710AFD00">
        <w:rPr>
          <w:rFonts w:ascii="Arial" w:eastAsia="Arial" w:hAnsi="Arial" w:cs="Arial"/>
          <w:b/>
          <w:bCs/>
          <w:sz w:val="20"/>
          <w:szCs w:val="20"/>
        </w:rPr>
        <w:t xml:space="preserve">  </w:t>
      </w:r>
    </w:p>
    <w:p w14:paraId="4D6795E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9EE15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Ampliación: </w:t>
      </w:r>
      <w:r w:rsidRPr="710AFD00">
        <w:rPr>
          <w:rFonts w:ascii="Arial" w:eastAsia="Arial" w:hAnsi="Arial" w:cs="Arial"/>
          <w:sz w:val="20"/>
          <w:szCs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2E2E4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Andén o Acera:</w:t>
      </w:r>
      <w:r w:rsidRPr="710AFD00">
        <w:rPr>
          <w:rFonts w:ascii="Arial" w:eastAsia="Arial" w:hAnsi="Arial" w:cs="Arial"/>
          <w:sz w:val="20"/>
          <w:szCs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1D3487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Área Clasificada: </w:t>
      </w:r>
      <w:r w:rsidRPr="710AFD00">
        <w:rPr>
          <w:rFonts w:ascii="Arial" w:eastAsia="Arial" w:hAnsi="Arial" w:cs="Arial"/>
          <w:sz w:val="20"/>
          <w:szCs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8A42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Área Libre:</w:t>
      </w:r>
      <w:r w:rsidRPr="710AFD00">
        <w:rPr>
          <w:rFonts w:ascii="Arial" w:eastAsia="Arial" w:hAnsi="Arial" w:cs="Arial"/>
          <w:sz w:val="20"/>
          <w:szCs w:val="20"/>
        </w:rPr>
        <w:t xml:space="preserve"> Espacio resultante de restar del área total del predio (descontando cesiones) el área construida cubierta en primer piso. </w:t>
      </w:r>
    </w:p>
    <w:p w14:paraId="62145A4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1D8AE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Barreras arquitectónicas: </w:t>
      </w:r>
      <w:r w:rsidRPr="710AFD00">
        <w:rPr>
          <w:rFonts w:ascii="Arial" w:eastAsia="Arial" w:hAnsi="Arial" w:cs="Arial"/>
          <w:sz w:val="20"/>
          <w:szCs w:val="20"/>
        </w:rPr>
        <w:t>Son los impedimentos al libre desplazamiento de las personas, que se presentan al interior de las edificaciones.</w:t>
      </w:r>
    </w:p>
    <w:p w14:paraId="30B90FEE" w14:textId="77777777" w:rsidR="001E4A6A" w:rsidRPr="001E4A6A" w:rsidRDefault="001E4A6A" w:rsidP="710AFD00">
      <w:pPr>
        <w:spacing w:after="0" w:line="240" w:lineRule="auto"/>
        <w:ind w:left="709"/>
        <w:contextualSpacing/>
        <w:jc w:val="both"/>
        <w:rPr>
          <w:rFonts w:ascii="Arial" w:eastAsia="Arial" w:hAnsi="Arial" w:cs="Arial"/>
        </w:rPr>
      </w:pPr>
    </w:p>
    <w:p w14:paraId="46A4E76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Bien de Interés Cultural:</w:t>
      </w:r>
      <w:r w:rsidRPr="710AFD00">
        <w:rPr>
          <w:rFonts w:ascii="Arial" w:eastAsia="Arial" w:hAnsi="Arial" w:cs="Arial"/>
          <w:sz w:val="20"/>
          <w:szCs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710AFD00">
      <w:pPr>
        <w:spacing w:after="0" w:line="240" w:lineRule="auto"/>
        <w:jc w:val="both"/>
        <w:rPr>
          <w:rFonts w:ascii="Arial" w:eastAsia="Arial" w:hAnsi="Arial" w:cs="Arial"/>
          <w:b/>
          <w:bCs/>
          <w:sz w:val="20"/>
          <w:szCs w:val="20"/>
        </w:rPr>
      </w:pPr>
    </w:p>
    <w:p w14:paraId="4911E0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 Múltiple:</w:t>
      </w:r>
      <w:r w:rsidRPr="710AFD00">
        <w:rPr>
          <w:rFonts w:ascii="Arial" w:eastAsia="Arial" w:hAnsi="Arial" w:cs="Arial"/>
          <w:sz w:val="20"/>
          <w:szCs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4A6FCFC" w14:textId="4B2DBBF3" w:rsidR="00675620"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Canchas o Campos Deportivos:</w:t>
      </w:r>
      <w:r w:rsidRPr="710AFD00">
        <w:rPr>
          <w:rFonts w:ascii="Arial" w:eastAsia="Arial" w:hAnsi="Arial" w:cs="Arial"/>
          <w:sz w:val="20"/>
          <w:szCs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DDA8073" w14:textId="77777777" w:rsidR="00560DF7" w:rsidRPr="00560DF7" w:rsidRDefault="00560DF7" w:rsidP="710AFD00">
      <w:pPr>
        <w:spacing w:after="0"/>
        <w:rPr>
          <w:rFonts w:ascii="Arial" w:eastAsia="Arial" w:hAnsi="Arial" w:cs="Arial"/>
          <w:b/>
          <w:bCs/>
          <w:sz w:val="20"/>
          <w:szCs w:val="20"/>
        </w:rPr>
      </w:pPr>
    </w:p>
    <w:p w14:paraId="2006EC61" w14:textId="784D0984" w:rsidR="00675620" w:rsidRPr="00560DF7" w:rsidRDefault="00675620"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Canchas sintéticas: </w:t>
      </w:r>
      <w:r w:rsidRPr="710AFD00">
        <w:rPr>
          <w:rFonts w:ascii="Arial" w:eastAsia="Arial" w:hAnsi="Arial" w:cs="Arial"/>
          <w:sz w:val="20"/>
          <w:szCs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710AFD00">
        <w:rPr>
          <w:rFonts w:ascii="Arial" w:eastAsia="Arial" w:hAnsi="Arial" w:cs="Arial"/>
          <w:sz w:val="20"/>
          <w:szCs w:val="20"/>
        </w:rPr>
        <w:t xml:space="preserve">grama sintética </w:t>
      </w:r>
      <w:r w:rsidR="003D6A62" w:rsidRPr="710AFD00">
        <w:rPr>
          <w:rFonts w:ascii="Arial" w:eastAsia="Arial" w:hAnsi="Arial" w:cs="Arial"/>
          <w:sz w:val="20"/>
          <w:szCs w:val="20"/>
        </w:rPr>
        <w:t xml:space="preserve">o </w:t>
      </w:r>
      <w:r w:rsidRPr="710AFD00">
        <w:rPr>
          <w:rFonts w:ascii="Arial" w:eastAsia="Arial" w:hAnsi="Arial" w:cs="Arial"/>
          <w:sz w:val="20"/>
          <w:szCs w:val="20"/>
        </w:rPr>
        <w:t xml:space="preserve">artificial. </w:t>
      </w:r>
    </w:p>
    <w:p w14:paraId="18580B2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4AF9E2D"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Casas de Cultura: </w:t>
      </w:r>
      <w:r w:rsidRPr="710AFD00">
        <w:rPr>
          <w:rFonts w:ascii="Arial" w:eastAsia="Arial" w:hAnsi="Arial" w:cs="Arial"/>
          <w:sz w:val="20"/>
          <w:szCs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710AFD00">
      <w:pPr>
        <w:spacing w:after="0" w:line="240" w:lineRule="auto"/>
        <w:jc w:val="both"/>
        <w:rPr>
          <w:rFonts w:ascii="Arial" w:eastAsia="Arial" w:hAnsi="Arial" w:cs="Arial"/>
          <w:b/>
          <w:bCs/>
          <w:sz w:val="20"/>
          <w:szCs w:val="20"/>
        </w:rPr>
      </w:pPr>
    </w:p>
    <w:p w14:paraId="08D6CA7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Cemento:</w:t>
      </w:r>
      <w:r w:rsidRPr="710AFD00">
        <w:rPr>
          <w:rFonts w:ascii="Arial" w:eastAsia="Arial" w:hAnsi="Arial" w:cs="Arial"/>
          <w:sz w:val="20"/>
          <w:szCs w:val="20"/>
        </w:rPr>
        <w:t xml:space="preserve"> </w:t>
      </w:r>
      <w:r w:rsidRPr="710AFD00">
        <w:rPr>
          <w:rFonts w:ascii="Arial" w:eastAsia="Arial" w:hAnsi="Arial" w:cs="Arial"/>
          <w:color w:val="000000"/>
          <w:sz w:val="20"/>
          <w:szCs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710AFD00">
      <w:pPr>
        <w:spacing w:after="0" w:line="240" w:lineRule="auto"/>
        <w:ind w:left="709"/>
        <w:contextualSpacing/>
        <w:jc w:val="both"/>
        <w:rPr>
          <w:rFonts w:ascii="Arial" w:eastAsia="Arial" w:hAnsi="Arial" w:cs="Arial"/>
        </w:rPr>
      </w:pPr>
    </w:p>
    <w:p w14:paraId="647EC9D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Centro Histórico: </w:t>
      </w:r>
      <w:r w:rsidRPr="710AFD00">
        <w:rPr>
          <w:rFonts w:ascii="Arial" w:eastAsia="Arial" w:hAnsi="Arial" w:cs="Arial"/>
          <w:sz w:val="20"/>
          <w:szCs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EBAE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Cerramiento:</w:t>
      </w:r>
      <w:r w:rsidRPr="710AFD00">
        <w:rPr>
          <w:rFonts w:ascii="Arial" w:eastAsia="Arial" w:hAnsi="Arial" w:cs="Arial"/>
          <w:sz w:val="20"/>
          <w:szCs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B2C14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Ciclorruta:</w:t>
      </w:r>
      <w:r w:rsidRPr="710AFD00">
        <w:rPr>
          <w:rFonts w:ascii="Arial" w:eastAsia="Arial" w:hAnsi="Arial" w:cs="Arial"/>
          <w:sz w:val="20"/>
          <w:szCs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E5D0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Ciclovía:</w:t>
      </w:r>
      <w:r w:rsidRPr="710AFD00">
        <w:rPr>
          <w:rFonts w:ascii="Arial" w:eastAsia="Arial" w:hAnsi="Arial" w:cs="Arial"/>
          <w:sz w:val="20"/>
          <w:szCs w:val="20"/>
        </w:rPr>
        <w:t xml:space="preserve"> Vía o sección de calzada destinada ocasionalmente para el tránsito de bicicletas, triciclos, peatones y animales.</w:t>
      </w:r>
    </w:p>
    <w:p w14:paraId="0E76264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5A6F34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Coliseo:</w:t>
      </w:r>
      <w:r w:rsidRPr="710AFD00">
        <w:rPr>
          <w:rFonts w:ascii="Arial" w:eastAsia="Arial" w:hAnsi="Arial" w:cs="Arial"/>
          <w:sz w:val="20"/>
          <w:szCs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99DBF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Complejo Deportivo:</w:t>
      </w:r>
      <w:r w:rsidRPr="710AFD00">
        <w:rPr>
          <w:rFonts w:ascii="Arial" w:eastAsia="Arial" w:hAnsi="Arial" w:cs="Arial"/>
          <w:sz w:val="20"/>
          <w:szCs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710AFD00">
      <w:pPr>
        <w:spacing w:after="0" w:line="240" w:lineRule="auto"/>
        <w:ind w:left="720"/>
        <w:contextualSpacing/>
        <w:jc w:val="both"/>
        <w:rPr>
          <w:rFonts w:ascii="Arial" w:eastAsia="Arial" w:hAnsi="Arial" w:cs="Arial"/>
        </w:rPr>
      </w:pPr>
    </w:p>
    <w:p w14:paraId="5BD75BE9"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rPr>
      </w:pPr>
      <w:r w:rsidRPr="710AFD00">
        <w:rPr>
          <w:rFonts w:ascii="Arial" w:eastAsia="Arial" w:hAnsi="Arial" w:cs="Arial"/>
          <w:b/>
          <w:bCs/>
          <w:sz w:val="20"/>
          <w:szCs w:val="20"/>
        </w:rPr>
        <w:t xml:space="preserve">Concreto Asfáltico: </w:t>
      </w:r>
      <w:r w:rsidRPr="710AFD00">
        <w:rPr>
          <w:rFonts w:ascii="Arial" w:eastAsia="Arial" w:hAnsi="Arial" w:cs="Arial"/>
          <w:sz w:val="20"/>
          <w:szCs w:val="20"/>
        </w:rPr>
        <w:t>Material resultante de la mezcla de cemento asfaltico convencional y/o modificado y agregados pétreos.</w:t>
      </w:r>
    </w:p>
    <w:p w14:paraId="6FEDCF4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13614F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w:t>
      </w:r>
      <w:r w:rsidRPr="710AFD00">
        <w:rPr>
          <w:rFonts w:ascii="Arial" w:eastAsia="Arial" w:hAnsi="Arial" w:cs="Arial"/>
          <w:sz w:val="20"/>
          <w:szCs w:val="20"/>
        </w:rPr>
        <w:t xml:space="preserve"> Material resultante de la mezcla de cemento portland, agua y agregados pétreos.</w:t>
      </w:r>
    </w:p>
    <w:p w14:paraId="62CEFB8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3716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 Reforzado:</w:t>
      </w:r>
      <w:r w:rsidRPr="710AFD00">
        <w:rPr>
          <w:rFonts w:ascii="Arial" w:eastAsia="Arial" w:hAnsi="Arial" w:cs="Arial"/>
          <w:sz w:val="20"/>
          <w:szCs w:val="20"/>
        </w:rPr>
        <w:t xml:space="preserve"> Material resultante de la mezcla de cemento portland, agua, agregados pétreos y/o aditivos y acero de refuerzo. </w:t>
      </w:r>
    </w:p>
    <w:p w14:paraId="6872920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E59CC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w:t>
      </w:r>
      <w:r w:rsidRPr="710AFD00">
        <w:rPr>
          <w:rFonts w:ascii="Arial" w:eastAsia="Arial" w:hAnsi="Arial" w:cs="Arial"/>
          <w:sz w:val="20"/>
          <w:szCs w:val="20"/>
        </w:rPr>
        <w:t xml:space="preserve"> Obras nuevas de edificaciones en terrenos no construidos o cuya área esté libre por autorización de demolición total. </w:t>
      </w:r>
    </w:p>
    <w:p w14:paraId="260515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C147CB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 Sismo Resistente:</w:t>
      </w:r>
      <w:r w:rsidRPr="710AFD00">
        <w:rPr>
          <w:rFonts w:ascii="Arial" w:eastAsia="Arial" w:hAnsi="Arial" w:cs="Arial"/>
          <w:sz w:val="20"/>
          <w:szCs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82ED7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Constructor:</w:t>
      </w:r>
      <w:r w:rsidRPr="710AFD00">
        <w:rPr>
          <w:rFonts w:ascii="Arial" w:eastAsia="Arial" w:hAnsi="Arial" w:cs="Arial"/>
          <w:sz w:val="20"/>
          <w:szCs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Cultura</w:t>
      </w:r>
      <w:r w:rsidRPr="710AFD00">
        <w:rPr>
          <w:rFonts w:ascii="Arial" w:eastAsia="Arial" w:hAnsi="Arial" w:cs="Arial"/>
          <w:b/>
          <w:bCs/>
          <w:sz w:val="20"/>
          <w:szCs w:val="20"/>
          <w:vertAlign w:val="superscript"/>
        </w:rPr>
        <w:footnoteReference w:id="2"/>
      </w:r>
      <w:r w:rsidRPr="710AFD00">
        <w:rPr>
          <w:rFonts w:ascii="Arial" w:eastAsia="Arial" w:hAnsi="Arial" w:cs="Arial"/>
          <w:b/>
          <w:bCs/>
          <w:sz w:val="20"/>
          <w:szCs w:val="20"/>
        </w:rPr>
        <w:t xml:space="preserve">: </w:t>
      </w:r>
      <w:r w:rsidRPr="710AFD00">
        <w:rPr>
          <w:rFonts w:ascii="Arial" w:eastAsia="Arial" w:hAnsi="Arial" w:cs="Arial"/>
          <w:sz w:val="20"/>
          <w:szCs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341069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Demolición:</w:t>
      </w:r>
      <w:r w:rsidRPr="710AFD00">
        <w:rPr>
          <w:rFonts w:ascii="Arial" w:eastAsia="Arial" w:hAnsi="Arial" w:cs="Arial"/>
          <w:sz w:val="20"/>
          <w:szCs w:val="20"/>
        </w:rPr>
        <w:t xml:space="preserve"> Actividades o intervenciones para derribar total o parcialmente una o varias edificaciones existentes en uno o varios predios. </w:t>
      </w:r>
    </w:p>
    <w:p w14:paraId="70A7064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2A8C4C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Diseñador Arquitectónico:</w:t>
      </w:r>
      <w:r w:rsidRPr="710AFD00">
        <w:rPr>
          <w:rFonts w:ascii="Arial" w:eastAsia="Arial" w:hAnsi="Arial" w:cs="Arial"/>
          <w:sz w:val="20"/>
          <w:szCs w:val="20"/>
        </w:rPr>
        <w:t xml:space="preserve"> Arquitecto bajo cuya responsabilidad se realiza el diseño y los planos arquitectónicos de la edificación y quien los firma o rotula. </w:t>
      </w:r>
    </w:p>
    <w:p w14:paraId="2F93231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AB55CA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Diseñador de los Elementos no Estructurales: </w:t>
      </w:r>
      <w:r w:rsidRPr="710AFD00">
        <w:rPr>
          <w:rFonts w:ascii="Arial" w:eastAsia="Arial" w:hAnsi="Arial" w:cs="Arial"/>
          <w:sz w:val="20"/>
          <w:szCs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5F576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Diseñador Estructural:</w:t>
      </w:r>
      <w:r w:rsidRPr="710AFD00">
        <w:rPr>
          <w:rFonts w:ascii="Arial" w:eastAsia="Arial" w:hAnsi="Arial" w:cs="Arial"/>
          <w:sz w:val="20"/>
          <w:szCs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AC7DB3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w:t>
      </w:r>
      <w:r w:rsidRPr="710AFD00">
        <w:rPr>
          <w:rFonts w:ascii="Arial" w:eastAsia="Arial" w:hAnsi="Arial" w:cs="Arial"/>
          <w:sz w:val="20"/>
          <w:szCs w:val="20"/>
        </w:rPr>
        <w:t xml:space="preserve"> Construcción cuyo uso primordial es la habitación u ocupación por seres vivos.</w:t>
      </w:r>
    </w:p>
    <w:p w14:paraId="1032A5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FB60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 de Atención a la Comunidad:</w:t>
      </w:r>
      <w:r w:rsidRPr="710AFD00">
        <w:rPr>
          <w:rFonts w:ascii="Arial" w:eastAsia="Arial" w:hAnsi="Arial" w:cs="Arial"/>
          <w:sz w:val="20"/>
          <w:szCs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2DE83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 xml:space="preserve">Edificaciones Indispensables: </w:t>
      </w:r>
      <w:r w:rsidRPr="710AFD00">
        <w:rPr>
          <w:rFonts w:ascii="Arial" w:eastAsia="Arial" w:hAnsi="Arial" w:cs="Arial"/>
          <w:sz w:val="20"/>
          <w:szCs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D347B6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en Ruina:</w:t>
      </w:r>
      <w:r w:rsidRPr="710AFD00">
        <w:rPr>
          <w:rFonts w:ascii="Arial" w:eastAsia="Arial" w:hAnsi="Arial" w:cs="Arial"/>
          <w:sz w:val="20"/>
          <w:szCs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4EF1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Institucional:</w:t>
      </w:r>
      <w:r w:rsidRPr="710AFD00">
        <w:rPr>
          <w:rFonts w:ascii="Arial" w:eastAsia="Arial" w:hAnsi="Arial" w:cs="Arial"/>
          <w:sz w:val="20"/>
          <w:szCs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E0C4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Elementos no Estructurales:</w:t>
      </w:r>
      <w:r w:rsidRPr="710AFD00">
        <w:rPr>
          <w:rFonts w:ascii="Arial" w:eastAsia="Arial" w:hAnsi="Arial" w:cs="Arial"/>
          <w:sz w:val="20"/>
          <w:szCs w:val="20"/>
        </w:rPr>
        <w:t xml:space="preserve"> Componentes de la edificación que no hacen parte de la estructura o su cimentación, los cuales son asociados con los acabados. </w:t>
      </w:r>
    </w:p>
    <w:p w14:paraId="5EEFE508" w14:textId="77777777" w:rsidR="001E4A6A" w:rsidRPr="00807517" w:rsidRDefault="001E4A6A" w:rsidP="710AFD00">
      <w:pPr>
        <w:spacing w:after="0" w:line="240" w:lineRule="auto"/>
        <w:ind w:left="709"/>
        <w:contextualSpacing/>
        <w:jc w:val="both"/>
        <w:rPr>
          <w:rFonts w:ascii="Arial" w:eastAsia="Arial" w:hAnsi="Arial" w:cs="Arial"/>
          <w:b/>
          <w:bCs/>
        </w:rPr>
      </w:pPr>
    </w:p>
    <w:p w14:paraId="3432467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Equipamiento Cultural</w:t>
      </w:r>
      <w:r w:rsidRPr="710AFD00">
        <w:rPr>
          <w:rFonts w:ascii="Arial" w:eastAsia="Arial" w:hAnsi="Arial" w:cs="Arial"/>
          <w:sz w:val="20"/>
          <w:szCs w:val="20"/>
        </w:rPr>
        <w:t>: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888C8D9" w14:textId="72CCA6AD" w:rsidR="00490B12"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Equipamiento Deportivo: </w:t>
      </w:r>
      <w:r w:rsidRPr="710AFD00">
        <w:rPr>
          <w:rFonts w:ascii="Arial" w:eastAsia="Arial" w:hAnsi="Arial" w:cs="Arial"/>
          <w:sz w:val="20"/>
          <w:szCs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ADD2979" w14:textId="77777777" w:rsidR="00490B12" w:rsidRDefault="00490B12" w:rsidP="710AFD00">
      <w:pPr>
        <w:pStyle w:val="Prrafodelista"/>
        <w:rPr>
          <w:rFonts w:ascii="Arial" w:eastAsia="Arial" w:hAnsi="Arial" w:cs="Arial"/>
          <w:b/>
          <w:bCs/>
          <w:sz w:val="20"/>
          <w:szCs w:val="20"/>
        </w:rPr>
      </w:pPr>
    </w:p>
    <w:p w14:paraId="7266FF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Escala regional:</w:t>
      </w:r>
      <w:r w:rsidRPr="710AFD00">
        <w:rPr>
          <w:rFonts w:ascii="Arial" w:eastAsia="Arial" w:hAnsi="Arial" w:cs="Arial"/>
          <w:sz w:val="20"/>
          <w:szCs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A5FB4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urbana:</w:t>
      </w:r>
      <w:r w:rsidRPr="710AFD00">
        <w:rPr>
          <w:rFonts w:ascii="Arial" w:eastAsia="Arial" w:hAnsi="Arial" w:cs="Arial"/>
          <w:sz w:val="20"/>
          <w:szCs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00D3E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vecinal:</w:t>
      </w:r>
      <w:r w:rsidRPr="710AFD00">
        <w:rPr>
          <w:rFonts w:ascii="Arial" w:eastAsia="Arial" w:hAnsi="Arial" w:cs="Arial"/>
          <w:sz w:val="20"/>
          <w:szCs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64AB1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zonal:</w:t>
      </w:r>
      <w:r w:rsidRPr="710AFD00">
        <w:rPr>
          <w:rFonts w:ascii="Arial" w:eastAsia="Arial" w:hAnsi="Arial" w:cs="Arial"/>
          <w:sz w:val="20"/>
          <w:szCs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25D8D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Escenario Deportivo: </w:t>
      </w:r>
      <w:r w:rsidRPr="710AFD00">
        <w:rPr>
          <w:rFonts w:ascii="Arial" w:eastAsia="Arial" w:hAnsi="Arial" w:cs="Arial"/>
          <w:sz w:val="20"/>
          <w:szCs w:val="20"/>
        </w:rPr>
        <w:t xml:space="preserve">Instalación construida o adecuada para la práctica de un deporte determinado y legalmente reconocido por el Estado colombiano por intermedio de la </w:t>
      </w:r>
      <w:r w:rsidRPr="710AFD00">
        <w:rPr>
          <w:rFonts w:ascii="Arial" w:eastAsia="Arial" w:hAnsi="Arial" w:cs="Arial"/>
          <w:sz w:val="20"/>
          <w:szCs w:val="20"/>
        </w:rPr>
        <w:lastRenderedPageBreak/>
        <w:t>autoridad competente respectiva incluyendo todas sus dependencias internas y externas y vías de ingreso y egreso aledañas a dicho escenario</w:t>
      </w:r>
      <w:r w:rsidRPr="710AFD00">
        <w:rPr>
          <w:rFonts w:ascii="Arial" w:eastAsia="Arial" w:hAnsi="Arial" w:cs="Arial"/>
          <w:sz w:val="20"/>
          <w:szCs w:val="20"/>
          <w:vertAlign w:val="superscript"/>
        </w:rPr>
        <w:footnoteReference w:id="3"/>
      </w:r>
      <w:r w:rsidRPr="710AFD00">
        <w:rPr>
          <w:rFonts w:ascii="Arial" w:eastAsia="Arial" w:hAnsi="Arial" w:cs="Arial"/>
          <w:sz w:val="20"/>
          <w:szCs w:val="20"/>
        </w:rPr>
        <w:t>.</w:t>
      </w:r>
    </w:p>
    <w:p w14:paraId="00FBC8C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5267F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Espacio Deportivo: </w:t>
      </w:r>
      <w:r w:rsidRPr="710AFD00">
        <w:rPr>
          <w:rFonts w:ascii="Arial" w:eastAsia="Arial" w:hAnsi="Arial" w:cs="Arial"/>
          <w:sz w:val="20"/>
          <w:szCs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E49916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Convencional: </w:t>
      </w:r>
      <w:r w:rsidRPr="710AFD00">
        <w:rPr>
          <w:rFonts w:ascii="Arial" w:eastAsia="Arial" w:hAnsi="Arial" w:cs="Arial"/>
          <w:sz w:val="20"/>
          <w:szCs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AB089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Singular: </w:t>
      </w:r>
      <w:r w:rsidRPr="710AFD00">
        <w:rPr>
          <w:rFonts w:ascii="Arial" w:eastAsia="Arial" w:hAnsi="Arial" w:cs="Arial"/>
          <w:sz w:val="20"/>
          <w:szCs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9612A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Espacio Público:</w:t>
      </w:r>
      <w:r w:rsidRPr="710AFD00">
        <w:rPr>
          <w:rFonts w:ascii="Arial" w:eastAsia="Arial" w:hAnsi="Arial" w:cs="Arial"/>
          <w:sz w:val="20"/>
          <w:szCs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710AFD00">
      <w:pPr>
        <w:spacing w:after="0" w:line="240" w:lineRule="auto"/>
        <w:ind w:left="708"/>
        <w:jc w:val="both"/>
        <w:rPr>
          <w:rFonts w:ascii="Arial" w:eastAsia="Arial" w:hAnsi="Arial" w:cs="Arial"/>
          <w:sz w:val="20"/>
          <w:szCs w:val="20"/>
        </w:rPr>
      </w:pPr>
    </w:p>
    <w:p w14:paraId="0C0BBE8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El espacio público comprende, entre otros, los siguientes aspectos: </w:t>
      </w:r>
    </w:p>
    <w:p w14:paraId="39990215" w14:textId="77777777" w:rsidR="001E4A6A" w:rsidRPr="001E4A6A" w:rsidRDefault="001E4A6A" w:rsidP="710AFD00">
      <w:pPr>
        <w:spacing w:after="0" w:line="240" w:lineRule="auto"/>
        <w:ind w:left="708"/>
        <w:jc w:val="both"/>
        <w:rPr>
          <w:rFonts w:ascii="Arial" w:eastAsia="Arial" w:hAnsi="Arial" w:cs="Arial"/>
          <w:sz w:val="20"/>
          <w:szCs w:val="20"/>
        </w:rPr>
      </w:pPr>
    </w:p>
    <w:p w14:paraId="3DF1AC9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710AFD00">
      <w:pPr>
        <w:spacing w:after="0" w:line="240" w:lineRule="auto"/>
        <w:ind w:left="708"/>
        <w:jc w:val="both"/>
        <w:rPr>
          <w:rFonts w:ascii="Arial" w:eastAsia="Arial" w:hAnsi="Arial" w:cs="Arial"/>
          <w:sz w:val="20"/>
          <w:szCs w:val="20"/>
        </w:rPr>
      </w:pPr>
    </w:p>
    <w:p w14:paraId="0FC59EE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710AFD00">
      <w:pPr>
        <w:spacing w:after="0" w:line="240" w:lineRule="auto"/>
        <w:ind w:left="708"/>
        <w:jc w:val="both"/>
        <w:rPr>
          <w:rFonts w:ascii="Arial" w:eastAsia="Arial" w:hAnsi="Arial" w:cs="Arial"/>
          <w:sz w:val="20"/>
          <w:szCs w:val="20"/>
        </w:rPr>
      </w:pPr>
    </w:p>
    <w:p w14:paraId="2B3E2E12"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BD2DA9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Estructura:</w:t>
      </w:r>
      <w:r w:rsidRPr="710AFD00">
        <w:rPr>
          <w:rFonts w:ascii="Arial" w:eastAsia="Arial" w:hAnsi="Arial" w:cs="Arial"/>
          <w:sz w:val="20"/>
          <w:szCs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710AFD00">
      <w:pPr>
        <w:spacing w:after="0" w:line="240" w:lineRule="auto"/>
        <w:jc w:val="both"/>
        <w:rPr>
          <w:rFonts w:ascii="Arial" w:eastAsia="Arial" w:hAnsi="Arial" w:cs="Arial"/>
          <w:sz w:val="20"/>
          <w:szCs w:val="20"/>
        </w:rPr>
      </w:pPr>
    </w:p>
    <w:p w14:paraId="444186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w:t>
      </w:r>
      <w:r w:rsidRPr="710AFD00">
        <w:rPr>
          <w:rFonts w:ascii="Arial" w:eastAsia="Arial" w:hAnsi="Arial" w:cs="Arial"/>
          <w:sz w:val="20"/>
          <w:szCs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 </w:t>
      </w:r>
    </w:p>
    <w:p w14:paraId="20D76287"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1EB8ED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culturales:</w:t>
      </w:r>
      <w:r w:rsidRPr="710AFD00">
        <w:rPr>
          <w:rFonts w:ascii="Arial" w:eastAsia="Arial" w:hAnsi="Arial" w:cs="Arial"/>
          <w:sz w:val="20"/>
          <w:szCs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710AFD00">
      <w:pPr>
        <w:spacing w:after="0" w:line="240" w:lineRule="auto"/>
        <w:ind w:left="709"/>
        <w:contextualSpacing/>
        <w:jc w:val="both"/>
        <w:rPr>
          <w:rFonts w:ascii="Arial" w:eastAsia="Arial" w:hAnsi="Arial" w:cs="Arial"/>
        </w:rPr>
      </w:pPr>
    </w:p>
    <w:p w14:paraId="5EE2AD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deportivos:</w:t>
      </w:r>
      <w:r w:rsidRPr="710AFD00">
        <w:rPr>
          <w:rFonts w:ascii="Arial" w:eastAsia="Arial" w:hAnsi="Arial" w:cs="Arial"/>
          <w:sz w:val="20"/>
          <w:szCs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0E5699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sociales y recreativos:</w:t>
      </w:r>
      <w:r w:rsidRPr="710AFD00">
        <w:rPr>
          <w:rFonts w:ascii="Arial" w:eastAsia="Arial" w:hAnsi="Arial" w:cs="Arial"/>
          <w:sz w:val="20"/>
          <w:szCs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7B2BA88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Construcción: </w:t>
      </w:r>
      <w:r w:rsidRPr="710AFD00">
        <w:rPr>
          <w:rFonts w:ascii="Arial" w:eastAsia="Arial" w:hAnsi="Arial" w:cs="Arial"/>
          <w:sz w:val="20"/>
          <w:szCs w:val="20"/>
        </w:rPr>
        <w:t xml:space="preserve">Relación entre el área total construida y el área del lote. </w:t>
      </w:r>
    </w:p>
    <w:p w14:paraId="54ED4F0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EFCE54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Ocupación: </w:t>
      </w:r>
      <w:r w:rsidRPr="710AFD00">
        <w:rPr>
          <w:rFonts w:ascii="Arial" w:eastAsia="Arial" w:hAnsi="Arial" w:cs="Arial"/>
          <w:sz w:val="20"/>
          <w:szCs w:val="20"/>
        </w:rPr>
        <w:t xml:space="preserve">Relación entre el área construida en el primer piso y el área total del lote. </w:t>
      </w:r>
    </w:p>
    <w:p w14:paraId="36F3CD2C"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765604F3" w14:textId="411B8B71" w:rsidR="00751321"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Infraestructura Cultural:</w:t>
      </w:r>
      <w:r w:rsidRPr="710AFD00">
        <w:rPr>
          <w:rFonts w:ascii="Arial" w:eastAsia="Arial" w:hAnsi="Arial" w:cs="Arial"/>
          <w:sz w:val="20"/>
          <w:szCs w:val="20"/>
        </w:rPr>
        <w:t xml:space="preserve"> </w:t>
      </w:r>
      <w:r w:rsidR="59317091" w:rsidRPr="3D530260">
        <w:rPr>
          <w:rFonts w:ascii="Arial" w:eastAsia="Arial" w:hAnsi="Arial" w:cs="Arial"/>
          <w:color w:val="7030A0"/>
          <w:sz w:val="20"/>
          <w:szCs w:val="20"/>
        </w:rPr>
        <w:t>Todos aquellos espacios físicos donde tienen lugar las diversas prácticas y manifestaciones artísticas, religiosas y culturales de las comunidades, como:  casas de cultura, salas de música, escuelas de música, escuelas de baile o danza, salones de baile o danza, bibliotecas, teatros, auditorios, centros de convenciones, escuelas de artes y oficios, talleres de artes y oficios, museos, fonotecas, fototecas, salas de conciertos, archivos, plazas de conciertos, conchas acústicas, coliseos de uso múltiple, aulas múltiples, malocas, centros ceremoniales, cinematecas, teatros, centros culturales, escuelas de formación artística, maloca, Monumento, edificio de interés cultural, monumento de interés cultural, monumento de interés patrimonial, auditorio, salones de exhibición, salones de convención, salas de cine, planetario, galería de arte, espacio cinematográfico, centro de producción cinematográfica, centro musical, centro de preservación o conservación audiovisual, sede cultural, escenario cultural,  Carpas y espacios abiertos,   Salas de Teatro,   teatros al aire libre,  Cinematecas, estadio, Salas de lectura y similares, CATEDRALES y similares.</w:t>
      </w:r>
      <w:r w:rsidRPr="3D530260">
        <w:rPr>
          <w:rFonts w:ascii="Arial" w:eastAsia="Arial" w:hAnsi="Arial" w:cs="Arial"/>
          <w:color w:val="7030A0"/>
          <w:sz w:val="14"/>
          <w:szCs w:val="14"/>
        </w:rPr>
        <w:footnoteReference w:id="4"/>
      </w:r>
      <w:r w:rsidRPr="3D530260">
        <w:rPr>
          <w:rFonts w:ascii="Arial" w:eastAsia="Arial" w:hAnsi="Arial" w:cs="Arial"/>
          <w:color w:val="7030A0"/>
          <w:sz w:val="20"/>
          <w:szCs w:val="20"/>
        </w:rPr>
        <w:t>.</w:t>
      </w:r>
    </w:p>
    <w:p w14:paraId="590365B9" w14:textId="77777777" w:rsidR="00751321" w:rsidRDefault="00751321" w:rsidP="710AFD00">
      <w:pPr>
        <w:pStyle w:val="Prrafodelista"/>
        <w:spacing w:after="0"/>
        <w:rPr>
          <w:rFonts w:ascii="Arial" w:eastAsia="Arial" w:hAnsi="Arial" w:cs="Arial"/>
          <w:b/>
          <w:bCs/>
          <w:sz w:val="20"/>
          <w:szCs w:val="20"/>
        </w:rPr>
      </w:pPr>
    </w:p>
    <w:p w14:paraId="6C1AA31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color w:val="000000" w:themeColor="text1"/>
          <w:sz w:val="20"/>
          <w:szCs w:val="20"/>
        </w:rPr>
        <w:t>Instalación Deportiva:</w:t>
      </w:r>
      <w:r w:rsidRPr="3D530260">
        <w:rPr>
          <w:rFonts w:ascii="Arial" w:eastAsia="Arial" w:hAnsi="Arial" w:cs="Arial"/>
          <w:color w:val="000000" w:themeColor="text1"/>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710AFD00">
      <w:pPr>
        <w:spacing w:after="0" w:line="240" w:lineRule="auto"/>
        <w:ind w:left="720"/>
        <w:contextualSpacing/>
        <w:jc w:val="both"/>
        <w:rPr>
          <w:rFonts w:ascii="Arial" w:eastAsia="Arial" w:hAnsi="Arial" w:cs="Arial"/>
          <w:b/>
          <w:bCs/>
          <w:color w:val="000000"/>
          <w:sz w:val="20"/>
          <w:szCs w:val="20"/>
        </w:rPr>
      </w:pPr>
    </w:p>
    <w:p w14:paraId="5D16A1B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t>Intervención de bienes de interés cultural.</w:t>
      </w:r>
      <w:r w:rsidRPr="3D530260">
        <w:rPr>
          <w:rFonts w:ascii="Arial" w:eastAsia="Arial" w:hAnsi="Arial" w:cs="Arial"/>
          <w:color w:val="000000" w:themeColor="text1"/>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t>Ítems no Previstos:</w:t>
      </w:r>
      <w:r w:rsidRPr="3D530260">
        <w:rPr>
          <w:rFonts w:ascii="Arial" w:eastAsia="Arial" w:hAnsi="Arial" w:cs="Arial"/>
          <w:sz w:val="20"/>
          <w:szCs w:val="20"/>
        </w:rPr>
        <w:t xml:space="preserve"> </w:t>
      </w:r>
      <w:r w:rsidRPr="3D530260">
        <w:rPr>
          <w:rFonts w:ascii="Arial" w:eastAsia="Arial" w:hAnsi="Arial" w:cs="Arial"/>
          <w:color w:val="000000" w:themeColor="text1"/>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Licencia de Construcción y sus modalidades: </w:t>
      </w:r>
      <w:r w:rsidRPr="710AFD00">
        <w:rPr>
          <w:rFonts w:ascii="Arial" w:eastAsia="Arial" w:hAnsi="Arial" w:cs="Arial"/>
          <w:sz w:val="20"/>
          <w:szCs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710AFD00">
        <w:rPr>
          <w:rFonts w:ascii="Arial" w:eastAsia="Arial" w:hAnsi="Arial" w:cs="Arial"/>
          <w:sz w:val="20"/>
          <w:szCs w:val="20"/>
          <w:vertAlign w:val="superscript"/>
        </w:rPr>
        <w:footnoteReference w:id="5"/>
      </w:r>
      <w:r w:rsidRPr="710AFD00">
        <w:rPr>
          <w:rFonts w:ascii="Arial" w:eastAsia="Arial" w:hAnsi="Arial" w:cs="Arial"/>
          <w:sz w:val="20"/>
          <w:szCs w:val="20"/>
        </w:rPr>
        <w:t>:</w:t>
      </w:r>
      <w:r w:rsidRPr="710AFD00">
        <w:rPr>
          <w:rFonts w:ascii="Arial" w:eastAsia="Arial" w:hAnsi="Arial" w:cs="Arial"/>
          <w:b/>
          <w:bCs/>
          <w:sz w:val="20"/>
          <w:szCs w:val="20"/>
        </w:rPr>
        <w:t xml:space="preserve">  </w:t>
      </w:r>
    </w:p>
    <w:p w14:paraId="25A5AA2D"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Adecuación: </w:t>
      </w:r>
      <w:r w:rsidRPr="3D530260">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Ampliación: </w:t>
      </w:r>
      <w:r w:rsidRPr="3D530260">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Cerramiento: </w:t>
      </w:r>
      <w:r w:rsidRPr="3D530260">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Demolición: </w:t>
      </w:r>
      <w:r w:rsidRPr="3D530260">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3D530260">
        <w:rPr>
          <w:rFonts w:ascii="Arial" w:eastAsia="Arial" w:hAnsi="Arial" w:cs="Arial"/>
          <w:b/>
          <w:bCs/>
          <w:sz w:val="20"/>
          <w:szCs w:val="20"/>
        </w:rPr>
        <w:t xml:space="preserve">Modificación: </w:t>
      </w:r>
      <w:r w:rsidRPr="3D530260">
        <w:rPr>
          <w:rFonts w:ascii="Arial" w:eastAsia="Arial" w:hAnsi="Arial" w:cs="Arial"/>
          <w:sz w:val="20"/>
          <w:szCs w:val="20"/>
        </w:rPr>
        <w:t>Autorización para variar el diseño arquitectónico o estructural de una edificación existente, sin incrementar su área construida.</w:t>
      </w:r>
      <w:r w:rsidRPr="3D530260">
        <w:rPr>
          <w:rFonts w:ascii="Arial" w:eastAsia="Arial" w:hAnsi="Arial" w:cs="Arial"/>
          <w:b/>
          <w:bCs/>
          <w:sz w:val="20"/>
          <w:szCs w:val="20"/>
        </w:rPr>
        <w:t xml:space="preserve">  </w:t>
      </w:r>
    </w:p>
    <w:p w14:paraId="41ECF0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Obra nueva:</w:t>
      </w:r>
      <w:r w:rsidRPr="3D530260">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710AFD00">
      <w:pPr>
        <w:spacing w:after="0" w:line="240" w:lineRule="auto"/>
        <w:ind w:left="1418"/>
        <w:contextualSpacing/>
        <w:jc w:val="both"/>
        <w:rPr>
          <w:rFonts w:ascii="Arial" w:eastAsia="Arial" w:hAnsi="Arial" w:cs="Arial"/>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Reconstrucción: </w:t>
      </w:r>
      <w:r w:rsidRPr="3D530260">
        <w:rPr>
          <w:rFonts w:ascii="Arial" w:eastAsia="Arial" w:hAnsi="Arial" w:cs="Arial"/>
          <w:sz w:val="20"/>
          <w:szCs w:val="20"/>
        </w:rPr>
        <w:t xml:space="preserve">Autorización que se otorga para volver a construir edificaciones que contaban con licencia o con acto de reconocimiento y que fueron afectadas por la ocurrencia de algún siniestro. Esta modalidad de licencia se limitará a autorizar la </w:t>
      </w:r>
      <w:r w:rsidRPr="3D530260">
        <w:rPr>
          <w:rFonts w:ascii="Arial" w:eastAsia="Arial" w:hAnsi="Arial" w:cs="Arial"/>
          <w:sz w:val="20"/>
          <w:szCs w:val="20"/>
        </w:rPr>
        <w:lastRenderedPageBreak/>
        <w:t>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Reforzamiento Estructural: </w:t>
      </w:r>
      <w:r w:rsidRPr="3D530260">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710AFD00">
      <w:pPr>
        <w:numPr>
          <w:ilvl w:val="2"/>
          <w:numId w:val="1"/>
        </w:numPr>
        <w:spacing w:after="0" w:line="240" w:lineRule="auto"/>
        <w:ind w:left="1417"/>
        <w:contextualSpacing/>
        <w:jc w:val="both"/>
        <w:rPr>
          <w:rFonts w:ascii="Arial" w:eastAsia="Arial" w:hAnsi="Arial" w:cs="Arial"/>
          <w:b/>
          <w:bCs/>
        </w:rPr>
      </w:pPr>
      <w:r w:rsidRPr="3D530260">
        <w:rPr>
          <w:rFonts w:ascii="Arial" w:eastAsia="Arial" w:hAnsi="Arial" w:cs="Arial"/>
          <w:b/>
          <w:bCs/>
          <w:sz w:val="20"/>
          <w:szCs w:val="20"/>
        </w:rPr>
        <w:t xml:space="preserve">Restauración: </w:t>
      </w:r>
      <w:r w:rsidRPr="3D530260">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3D530260">
        <w:rPr>
          <w:rFonts w:ascii="Arial" w:eastAsia="Arial" w:hAnsi="Arial" w:cs="Arial"/>
          <w:b/>
          <w:bCs/>
          <w:sz w:val="20"/>
          <w:szCs w:val="20"/>
        </w:rPr>
        <w:t xml:space="preserve">  </w:t>
      </w:r>
    </w:p>
    <w:p w14:paraId="6BE2CFDD"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74D32D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Lo Público: </w:t>
      </w:r>
      <w:r w:rsidRPr="3D530260">
        <w:rPr>
          <w:rFonts w:ascii="Arial" w:eastAsia="Arial" w:hAnsi="Arial" w:cs="Arial"/>
          <w:sz w:val="20"/>
          <w:szCs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57C638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Modificación: </w:t>
      </w:r>
      <w:r w:rsidRPr="3D530260">
        <w:rPr>
          <w:rFonts w:ascii="Arial" w:eastAsia="Arial" w:hAnsi="Arial" w:cs="Arial"/>
          <w:sz w:val="20"/>
          <w:szCs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644152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Muro de Carga: </w:t>
      </w:r>
      <w:r w:rsidRPr="3D530260">
        <w:rPr>
          <w:rFonts w:ascii="Arial" w:eastAsia="Arial" w:hAnsi="Arial" w:cs="Arial"/>
          <w:sz w:val="20"/>
          <w:szCs w:val="20"/>
        </w:rPr>
        <w:t xml:space="preserve">Estructura continua hasta la cimentación que soporta principalmente cargas verticales. </w:t>
      </w:r>
    </w:p>
    <w:p w14:paraId="1CEB4BF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9CCEB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NSR: </w:t>
      </w:r>
      <w:r w:rsidRPr="3D530260">
        <w:rPr>
          <w:rFonts w:ascii="Arial" w:eastAsia="Arial" w:hAnsi="Arial" w:cs="Arial"/>
          <w:sz w:val="20"/>
          <w:szCs w:val="20"/>
        </w:rPr>
        <w:t xml:space="preserve">Reglamento Colombiano de Construcción Sismo Resistente, actualmente en su versión NSR-10. </w:t>
      </w:r>
    </w:p>
    <w:p w14:paraId="1571ED54"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4EAA72BA" w14:textId="77777777" w:rsidR="001E4A6A" w:rsidRPr="0045495C"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Objetos de interés cultural: </w:t>
      </w:r>
      <w:r w:rsidRPr="3D530260">
        <w:rPr>
          <w:rFonts w:ascii="Arial" w:eastAsia="Arial" w:hAnsi="Arial" w:cs="Arial"/>
          <w:sz w:val="20"/>
          <w:szCs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710AFD00">
      <w:pPr>
        <w:pStyle w:val="Prrafodelista"/>
        <w:spacing w:after="0"/>
        <w:rPr>
          <w:rFonts w:ascii="Arial" w:eastAsia="Arial" w:hAnsi="Arial" w:cs="Arial"/>
          <w:b/>
          <w:bCs/>
          <w:sz w:val="20"/>
          <w:szCs w:val="20"/>
        </w:rPr>
      </w:pPr>
    </w:p>
    <w:p w14:paraId="7C0020C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Paramento: </w:t>
      </w:r>
      <w:r w:rsidRPr="3D530260">
        <w:rPr>
          <w:rFonts w:ascii="Arial" w:eastAsia="Arial" w:hAnsi="Arial" w:cs="Arial"/>
          <w:sz w:val="20"/>
          <w:szCs w:val="20"/>
        </w:rPr>
        <w:t>Plano vertical que delimita el inicio de la construcción en un predio. Cuando no existe antejardín coincide con la línea de demarcación.</w:t>
      </w:r>
      <w:r w:rsidRPr="3D530260">
        <w:rPr>
          <w:rFonts w:ascii="Arial" w:eastAsia="Arial" w:hAnsi="Arial" w:cs="Arial"/>
          <w:b/>
          <w:bCs/>
          <w:sz w:val="20"/>
          <w:szCs w:val="20"/>
        </w:rPr>
        <w:t xml:space="preserve"> </w:t>
      </w:r>
    </w:p>
    <w:p w14:paraId="2BF6A95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0CB6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Parques:</w:t>
      </w:r>
      <w:r w:rsidRPr="3D530260">
        <w:rPr>
          <w:rFonts w:ascii="Arial" w:eastAsia="Arial" w:hAnsi="Arial" w:cs="Arial"/>
          <w:sz w:val="20"/>
          <w:szCs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710AFD00">
      <w:pPr>
        <w:spacing w:after="0" w:line="240" w:lineRule="auto"/>
        <w:ind w:left="720"/>
        <w:contextualSpacing/>
        <w:jc w:val="both"/>
        <w:rPr>
          <w:rFonts w:ascii="Arial" w:eastAsia="Arial" w:hAnsi="Arial" w:cs="Arial"/>
          <w:b/>
          <w:bCs/>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 xml:space="preserve">Parques en donde el área destinada a la recreación activa es superior al 30%, o en los que, por sus condiciones topográficas, el área libre no es apta </w:t>
      </w:r>
      <w:r w:rsidRPr="00807517">
        <w:rPr>
          <w:rFonts w:ascii="Arial" w:eastAsia="Arial" w:hAnsi="Arial" w:cs="Arial"/>
          <w:sz w:val="20"/>
          <w:szCs w:val="20"/>
          <w:shd w:val="clear" w:color="auto" w:fill="FFFFFF"/>
          <w:lang w:val="es-ES"/>
        </w:rPr>
        <w:lastRenderedPageBreak/>
        <w:t>para la recreación pasiva. Son, por lo general, parques con un índice de ocupación alto y en los cuales la cantidad de áreas verdes es reducida.</w:t>
      </w:r>
    </w:p>
    <w:p w14:paraId="1B2D03B1" w14:textId="77777777" w:rsidR="001E4A6A" w:rsidRPr="00807517" w:rsidRDefault="001E4A6A" w:rsidP="710AFD00">
      <w:pPr>
        <w:spacing w:after="0" w:line="240" w:lineRule="auto"/>
        <w:ind w:left="720"/>
        <w:contextualSpacing/>
        <w:jc w:val="both"/>
        <w:rPr>
          <w:rFonts w:ascii="Arial" w:eastAsia="Arial" w:hAnsi="Arial" w:cs="Arial"/>
          <w:b/>
          <w:bCs/>
        </w:rPr>
      </w:pPr>
    </w:p>
    <w:p w14:paraId="28F35F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710AFD00">
      <w:pPr>
        <w:spacing w:after="0" w:line="240" w:lineRule="auto"/>
        <w:ind w:left="720"/>
        <w:contextualSpacing/>
        <w:jc w:val="both"/>
        <w:rPr>
          <w:rFonts w:ascii="Arial" w:eastAsia="Arial" w:hAnsi="Arial" w:cs="Arial"/>
          <w:b/>
          <w:bCs/>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BFE367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w:t>
      </w:r>
      <w:r w:rsidRPr="3D530260">
        <w:rPr>
          <w:rFonts w:ascii="Arial" w:eastAsia="Arial" w:hAnsi="Arial" w:cs="Arial"/>
          <w:sz w:val="20"/>
          <w:szCs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47DB9F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Cultural Inmaterial: </w:t>
      </w:r>
      <w:r w:rsidRPr="3D530260">
        <w:rPr>
          <w:rFonts w:ascii="Arial" w:eastAsia="Arial" w:hAnsi="Arial" w:cs="Arial"/>
          <w:sz w:val="20"/>
          <w:szCs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08769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 xml:space="preserve">Patrimonio cultural inmueble: </w:t>
      </w:r>
      <w:r w:rsidRPr="3D530260">
        <w:rPr>
          <w:rFonts w:ascii="Arial" w:eastAsia="Arial" w:hAnsi="Arial" w:cs="Arial"/>
          <w:sz w:val="20"/>
          <w:szCs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89476A9"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227984"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 xml:space="preserve"> </w:t>
      </w:r>
    </w:p>
    <w:p w14:paraId="2CB0149F"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militar</w:t>
      </w:r>
    </w:p>
    <w:p w14:paraId="7A13E87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habitacional</w:t>
      </w:r>
    </w:p>
    <w:p w14:paraId="68C9C26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religiosa</w:t>
      </w:r>
    </w:p>
    <w:p w14:paraId="1F337A21"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institucional</w:t>
      </w:r>
    </w:p>
    <w:p w14:paraId="14E10AE0"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para el comercio</w:t>
      </w:r>
    </w:p>
    <w:p w14:paraId="186AE069"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Arquitectura para la industria</w:t>
      </w:r>
    </w:p>
    <w:p w14:paraId="572FD5FD"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 xml:space="preserve">Arquitectura para la recreación y el deporte </w:t>
      </w:r>
    </w:p>
    <w:p w14:paraId="61312D70"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Arquitectura para el transporte</w:t>
      </w:r>
    </w:p>
    <w:p w14:paraId="36A91C6C"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Obras de ingeniería</w:t>
      </w:r>
    </w:p>
    <w:p w14:paraId="10B422F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9AD4AD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Pavimentos Asfálticos y/o Pavimentos de Concreto Hidráulico reforzado:</w:t>
      </w:r>
      <w:r w:rsidRPr="3D530260">
        <w:rPr>
          <w:rFonts w:ascii="Arial" w:eastAsia="Arial" w:hAnsi="Arial" w:cs="Arial"/>
          <w:sz w:val="20"/>
          <w:szCs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AE4BE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Piscinas:</w:t>
      </w:r>
      <w:r w:rsidRPr="3D530260">
        <w:rPr>
          <w:rFonts w:ascii="Arial" w:eastAsia="Arial" w:hAnsi="Arial" w:cs="Arial"/>
          <w:sz w:val="20"/>
          <w:szCs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069CC5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Pistas:</w:t>
      </w:r>
      <w:r w:rsidRPr="3D530260">
        <w:rPr>
          <w:rFonts w:ascii="Arial" w:eastAsia="Arial" w:hAnsi="Arial" w:cs="Arial"/>
          <w:sz w:val="20"/>
          <w:szCs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31137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Plaza:</w:t>
      </w:r>
      <w:r w:rsidRPr="3D530260">
        <w:rPr>
          <w:rFonts w:ascii="Arial" w:eastAsia="Arial" w:hAnsi="Arial" w:cs="Arial"/>
          <w:sz w:val="20"/>
          <w:szCs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AD663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Plazoletas:</w:t>
      </w:r>
      <w:r w:rsidRPr="3D530260">
        <w:rPr>
          <w:rFonts w:ascii="Arial" w:eastAsia="Arial" w:hAnsi="Arial" w:cs="Arial"/>
          <w:sz w:val="20"/>
          <w:szCs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9635C6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Plazuelas:</w:t>
      </w:r>
      <w:r w:rsidRPr="3D530260">
        <w:rPr>
          <w:rFonts w:ascii="Arial" w:eastAsia="Arial" w:hAnsi="Arial" w:cs="Arial"/>
          <w:sz w:val="20"/>
          <w:szCs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25F07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Polideportivo:</w:t>
      </w:r>
      <w:r w:rsidRPr="3D530260">
        <w:rPr>
          <w:rFonts w:ascii="Arial" w:eastAsia="Arial" w:hAnsi="Arial" w:cs="Arial"/>
          <w:sz w:val="20"/>
          <w:szCs w:val="20"/>
        </w:rPr>
        <w:t xml:space="preserve"> Lugar o espacio que cuenta con varias instalaciones deportivas que permite realizar una gran variedad de deportes y ejercicios. </w:t>
      </w:r>
    </w:p>
    <w:p w14:paraId="22A0DA2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FDDABE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RAS: </w:t>
      </w:r>
      <w:r w:rsidRPr="3D530260">
        <w:rPr>
          <w:rFonts w:ascii="Arial" w:eastAsia="Arial" w:hAnsi="Arial" w:cs="Arial"/>
          <w:sz w:val="20"/>
          <w:szCs w:val="20"/>
        </w:rPr>
        <w:t xml:space="preserve">Reglamento Técnico para el Sector de Agua Potable y Saneamiento Básico. </w:t>
      </w:r>
    </w:p>
    <w:p w14:paraId="4617F343"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FDC3C5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Reconstrucción:</w:t>
      </w:r>
      <w:r w:rsidRPr="3D530260">
        <w:rPr>
          <w:rFonts w:ascii="Arial" w:eastAsia="Arial" w:hAnsi="Arial" w:cs="Arial"/>
          <w:sz w:val="20"/>
          <w:szCs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313B8C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Resistencia: </w:t>
      </w:r>
      <w:r w:rsidRPr="3D530260">
        <w:rPr>
          <w:rFonts w:ascii="Arial" w:eastAsia="Arial" w:hAnsi="Arial" w:cs="Arial"/>
          <w:sz w:val="20"/>
          <w:szCs w:val="20"/>
        </w:rPr>
        <w:t>Capacidad útil de una estructura, o de sus miembros, para resistir cargas, dentro de los límites de deformación establecidos en la NSR-10.</w:t>
      </w:r>
    </w:p>
    <w:p w14:paraId="56A390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DE832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Restauración:</w:t>
      </w:r>
      <w:r w:rsidRPr="3D530260">
        <w:rPr>
          <w:rFonts w:ascii="Arial" w:eastAsia="Arial" w:hAnsi="Arial" w:cs="Arial"/>
          <w:sz w:val="20"/>
          <w:szCs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A4EB5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RETIE:</w:t>
      </w:r>
      <w:r w:rsidRPr="3D530260">
        <w:rPr>
          <w:rFonts w:ascii="Arial" w:eastAsia="Arial" w:hAnsi="Arial" w:cs="Arial"/>
          <w:sz w:val="20"/>
          <w:szCs w:val="20"/>
        </w:rPr>
        <w:t xml:space="preserve"> Reglamento Técnico de Instalaciones Eléctricas. </w:t>
      </w:r>
    </w:p>
    <w:p w14:paraId="08A6F33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7CD37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RETILAP:</w:t>
      </w:r>
      <w:r w:rsidRPr="3D530260">
        <w:rPr>
          <w:rFonts w:ascii="Arial" w:eastAsia="Arial" w:hAnsi="Arial" w:cs="Arial"/>
          <w:sz w:val="20"/>
          <w:szCs w:val="20"/>
        </w:rPr>
        <w:t xml:space="preserve"> Reglamento Técnico de Iluminación y Alumbrado Público. </w:t>
      </w:r>
    </w:p>
    <w:p w14:paraId="66D5F7D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99313E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RETIQ:</w:t>
      </w:r>
      <w:r w:rsidRPr="3D530260">
        <w:rPr>
          <w:rFonts w:ascii="Arial" w:eastAsia="Arial" w:hAnsi="Arial" w:cs="Arial"/>
          <w:sz w:val="20"/>
          <w:szCs w:val="20"/>
        </w:rPr>
        <w:t xml:space="preserve"> Reglamento Técnico de Etiquetado. </w:t>
      </w:r>
    </w:p>
    <w:p w14:paraId="5A7021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AB65A8D" w14:textId="7DE35CC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Reforzamiento Estructural:</w:t>
      </w:r>
      <w:r w:rsidRPr="3D530260">
        <w:rPr>
          <w:rFonts w:ascii="Arial" w:eastAsia="Arial" w:hAnsi="Arial" w:cs="Arial"/>
          <w:sz w:val="20"/>
          <w:szCs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w:t>
      </w:r>
      <w:r w:rsidRPr="3D530260">
        <w:rPr>
          <w:rFonts w:ascii="Arial" w:eastAsia="Arial" w:hAnsi="Arial" w:cs="Arial"/>
          <w:sz w:val="20"/>
          <w:szCs w:val="20"/>
        </w:rPr>
        <w:lastRenderedPageBreak/>
        <w:t xml:space="preserve">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CD8A392"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E815CD1"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710AFD00">
      <w:pPr>
        <w:spacing w:after="0" w:line="240" w:lineRule="auto"/>
        <w:ind w:left="708"/>
        <w:jc w:val="both"/>
        <w:rPr>
          <w:rFonts w:ascii="Arial" w:eastAsia="Arial" w:hAnsi="Arial" w:cs="Arial"/>
          <w:sz w:val="20"/>
          <w:szCs w:val="20"/>
        </w:rPr>
      </w:pPr>
    </w:p>
    <w:p w14:paraId="7636B0C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2B2871E0" w14:textId="77777777" w:rsidR="001E4A6A" w:rsidRPr="001E4A6A" w:rsidRDefault="001E4A6A" w:rsidP="710AFD00">
      <w:pPr>
        <w:spacing w:after="0" w:line="240" w:lineRule="auto"/>
        <w:jc w:val="both"/>
        <w:rPr>
          <w:rFonts w:ascii="Arial" w:eastAsia="Arial" w:hAnsi="Arial" w:cs="Arial"/>
          <w:sz w:val="20"/>
          <w:szCs w:val="20"/>
        </w:rPr>
      </w:pPr>
    </w:p>
    <w:p w14:paraId="49A55F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Reparaciones Locativas: </w:t>
      </w:r>
      <w:r w:rsidRPr="710AFD00">
        <w:rPr>
          <w:rFonts w:ascii="Arial" w:eastAsia="Arial" w:hAnsi="Arial" w:cs="Arial"/>
          <w:sz w:val="20"/>
          <w:szCs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710AFD00">
        <w:rPr>
          <w:rFonts w:ascii="Arial" w:eastAsia="Arial" w:hAnsi="Arial" w:cs="Arial"/>
          <w:sz w:val="20"/>
          <w:szCs w:val="20"/>
          <w:vertAlign w:val="superscript"/>
        </w:rPr>
        <w:footnoteReference w:id="6"/>
      </w:r>
      <w:r w:rsidRPr="710AFD00">
        <w:rPr>
          <w:rFonts w:ascii="Arial" w:eastAsia="Arial" w:hAnsi="Arial" w:cs="Arial"/>
          <w:sz w:val="20"/>
          <w:szCs w:val="20"/>
        </w:rPr>
        <w:t xml:space="preserve">. </w:t>
      </w:r>
    </w:p>
    <w:p w14:paraId="683BD3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A1E8FCB"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B0EE89E"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1. Cumplir con los reglamentos establecidos para la propiedad horizontal y las normas que regulan los servicios públicos domiciliarios. </w:t>
      </w:r>
    </w:p>
    <w:p w14:paraId="35FED35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FF41DF"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347FEB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E22AB1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Repotenciación Estructural: </w:t>
      </w:r>
      <w:r w:rsidRPr="3D530260">
        <w:rPr>
          <w:rFonts w:ascii="Arial" w:eastAsia="Arial" w:hAnsi="Arial" w:cs="Arial"/>
          <w:sz w:val="20"/>
          <w:szCs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710AFD00">
      <w:pPr>
        <w:spacing w:after="0" w:line="240" w:lineRule="auto"/>
        <w:ind w:firstLine="708"/>
        <w:jc w:val="both"/>
        <w:rPr>
          <w:rFonts w:ascii="Arial" w:eastAsia="Arial" w:hAnsi="Arial" w:cs="Arial"/>
          <w:sz w:val="20"/>
          <w:szCs w:val="20"/>
        </w:rPr>
      </w:pPr>
    </w:p>
    <w:p w14:paraId="63D5876F" w14:textId="77777777" w:rsidR="001E4A6A" w:rsidRPr="001E4A6A" w:rsidRDefault="001E4A6A" w:rsidP="710AFD00">
      <w:pPr>
        <w:spacing w:after="0" w:line="240" w:lineRule="auto"/>
        <w:ind w:firstLine="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11B99447" w14:textId="77777777" w:rsidR="001E4A6A" w:rsidRPr="001E4A6A" w:rsidRDefault="001E4A6A" w:rsidP="710AFD00">
      <w:pPr>
        <w:spacing w:after="0" w:line="240" w:lineRule="auto"/>
        <w:ind w:firstLine="708"/>
        <w:jc w:val="both"/>
        <w:rPr>
          <w:rFonts w:ascii="Arial" w:eastAsia="Arial" w:hAnsi="Arial" w:cs="Arial"/>
          <w:sz w:val="20"/>
          <w:szCs w:val="20"/>
        </w:rPr>
      </w:pPr>
    </w:p>
    <w:p w14:paraId="177A31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 xml:space="preserve">Sardinel o Bordillo: </w:t>
      </w:r>
      <w:r w:rsidRPr="3D530260">
        <w:rPr>
          <w:rFonts w:ascii="Arial" w:eastAsia="Arial" w:hAnsi="Arial" w:cs="Arial"/>
          <w:sz w:val="20"/>
          <w:szCs w:val="20"/>
        </w:rPr>
        <w:t>Elemento que separa una calzada del andén o del separador de una vía.</w:t>
      </w:r>
    </w:p>
    <w:p w14:paraId="45C211B7" w14:textId="77777777" w:rsidR="001E4A6A" w:rsidRPr="00807517" w:rsidRDefault="001E4A6A" w:rsidP="710AFD00">
      <w:pPr>
        <w:spacing w:after="0" w:line="240" w:lineRule="auto"/>
        <w:jc w:val="both"/>
        <w:rPr>
          <w:rFonts w:ascii="Arial" w:eastAsia="Arial" w:hAnsi="Arial" w:cs="Arial"/>
          <w:b/>
          <w:bCs/>
        </w:rPr>
      </w:pPr>
    </w:p>
    <w:p w14:paraId="412E82E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Sectores de interés cultural: </w:t>
      </w:r>
      <w:r w:rsidRPr="3D530260">
        <w:rPr>
          <w:rFonts w:ascii="Arial" w:eastAsia="Arial" w:hAnsi="Arial" w:cs="Arial"/>
          <w:sz w:val="20"/>
          <w:szCs w:val="20"/>
        </w:rPr>
        <w:t>Son aquellos barrios o áreas que tienen un valor urbano muy especial asociado a la historia de la ciudad, a su calidad urbana y a la calidad arquitectónica de las construcciones y elementos que lo conforman.</w:t>
      </w:r>
    </w:p>
    <w:p w14:paraId="3060C790" w14:textId="77777777" w:rsidR="001E4A6A" w:rsidRPr="001E4A6A" w:rsidRDefault="001E4A6A" w:rsidP="710AFD00">
      <w:pPr>
        <w:spacing w:after="0" w:line="240" w:lineRule="auto"/>
        <w:ind w:firstLine="708"/>
        <w:jc w:val="both"/>
        <w:rPr>
          <w:rFonts w:ascii="Arial" w:eastAsia="Arial" w:hAnsi="Arial" w:cs="Arial"/>
          <w:sz w:val="20"/>
          <w:szCs w:val="20"/>
        </w:rPr>
      </w:pPr>
    </w:p>
    <w:p w14:paraId="0BD4AB8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Señalización:</w:t>
      </w:r>
      <w:r w:rsidRPr="3D530260">
        <w:rPr>
          <w:rFonts w:ascii="Arial" w:eastAsia="Arial" w:hAnsi="Arial" w:cs="Arial"/>
          <w:sz w:val="20"/>
          <w:szCs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D956F6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Señalización Vertical:</w:t>
      </w:r>
      <w:r w:rsidRPr="3D530260">
        <w:rPr>
          <w:rFonts w:ascii="Arial" w:eastAsia="Arial" w:hAnsi="Arial" w:cs="Arial"/>
          <w:sz w:val="20"/>
          <w:szCs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987EB4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Combinado: </w:t>
      </w:r>
      <w:r w:rsidRPr="3D530260">
        <w:rPr>
          <w:rFonts w:ascii="Arial" w:eastAsia="Arial" w:hAnsi="Arial" w:cs="Arial"/>
          <w:sz w:val="20"/>
          <w:szCs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1D7812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Sistema de Arriostramiento Horizontal:</w:t>
      </w:r>
      <w:r w:rsidRPr="3D530260">
        <w:rPr>
          <w:rFonts w:ascii="Arial" w:eastAsia="Arial" w:hAnsi="Arial" w:cs="Arial"/>
          <w:sz w:val="20"/>
          <w:szCs w:val="20"/>
        </w:rPr>
        <w:t xml:space="preserve"> Sistema de cercha o armadura horizontal que cumple las mismas funciones de un diafragma. </w:t>
      </w:r>
    </w:p>
    <w:p w14:paraId="73824DF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8F601B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Muros de Carga: </w:t>
      </w:r>
      <w:r w:rsidRPr="3D530260">
        <w:rPr>
          <w:rFonts w:ascii="Arial" w:eastAsia="Arial" w:hAnsi="Arial" w:cs="Arial"/>
          <w:sz w:val="20"/>
          <w:szCs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A2F0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Pórtico: </w:t>
      </w:r>
      <w:r w:rsidRPr="3D530260">
        <w:rPr>
          <w:rFonts w:ascii="Arial" w:eastAsia="Arial" w:hAnsi="Arial" w:cs="Arial"/>
          <w:sz w:val="20"/>
          <w:szCs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2CE1EA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Resistencia Sísmica: </w:t>
      </w:r>
      <w:r w:rsidRPr="3D530260">
        <w:rPr>
          <w:rFonts w:ascii="Arial" w:eastAsia="Arial" w:hAnsi="Arial" w:cs="Arial"/>
          <w:sz w:val="20"/>
          <w:szCs w:val="20"/>
        </w:rPr>
        <w:t xml:space="preserve">Parte de la estructura que según el diseño aporta la resistencia requerida para soportar los movimientos sísmicos de diseño. </w:t>
      </w:r>
    </w:p>
    <w:p w14:paraId="687A33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31C387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Dual: </w:t>
      </w:r>
      <w:r w:rsidRPr="3D530260">
        <w:rPr>
          <w:rFonts w:ascii="Arial" w:eastAsia="Arial" w:hAnsi="Arial" w:cs="Arial"/>
          <w:sz w:val="20"/>
          <w:szCs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710AFD00">
      <w:pPr>
        <w:spacing w:after="0" w:line="240" w:lineRule="auto"/>
        <w:ind w:left="709"/>
        <w:contextualSpacing/>
        <w:jc w:val="both"/>
        <w:rPr>
          <w:rFonts w:ascii="Arial" w:eastAsia="Arial" w:hAnsi="Arial" w:cs="Arial"/>
          <w:b/>
          <w:bCs/>
        </w:rPr>
      </w:pPr>
    </w:p>
    <w:p w14:paraId="2ECF089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Sistema Nacional de Cultura: </w:t>
      </w:r>
      <w:r w:rsidRPr="710AFD00">
        <w:rPr>
          <w:rFonts w:ascii="Arial" w:eastAsia="Arial" w:hAnsi="Arial" w:cs="Arial"/>
          <w:sz w:val="20"/>
          <w:szCs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710AFD00">
        <w:rPr>
          <w:rFonts w:ascii="Arial" w:eastAsia="Arial" w:hAnsi="Arial" w:cs="Arial"/>
          <w:sz w:val="20"/>
          <w:szCs w:val="20"/>
          <w:vertAlign w:val="superscript"/>
        </w:rPr>
        <w:footnoteReference w:id="7"/>
      </w:r>
      <w:r w:rsidRPr="710AFD00">
        <w:rPr>
          <w:rFonts w:ascii="Arial" w:eastAsia="Arial" w:hAnsi="Arial" w:cs="Arial"/>
          <w:sz w:val="20"/>
          <w:szCs w:val="20"/>
        </w:rPr>
        <w:t>.</w:t>
      </w:r>
    </w:p>
    <w:p w14:paraId="578A11C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6D9CA1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Rural:</w:t>
      </w:r>
      <w:r w:rsidRPr="3D530260">
        <w:rPr>
          <w:rFonts w:ascii="Arial" w:eastAsia="Arial" w:hAnsi="Arial" w:cs="Arial"/>
          <w:sz w:val="20"/>
          <w:szCs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D5562F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Urbano:</w:t>
      </w:r>
      <w:r w:rsidRPr="3D530260">
        <w:rPr>
          <w:rFonts w:ascii="Arial" w:eastAsia="Arial" w:hAnsi="Arial" w:cs="Arial"/>
          <w:sz w:val="20"/>
          <w:szCs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w:t>
      </w:r>
      <w:r w:rsidRPr="3D530260">
        <w:rPr>
          <w:rFonts w:ascii="Arial" w:eastAsia="Arial" w:hAnsi="Arial" w:cs="Arial"/>
          <w:sz w:val="20"/>
          <w:szCs w:val="20"/>
        </w:rPr>
        <w:lastRenderedPageBreak/>
        <w:t xml:space="preserve">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8BD42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Urbanismo: </w:t>
      </w:r>
      <w:r w:rsidRPr="710AFD00">
        <w:rPr>
          <w:rFonts w:ascii="Arial" w:eastAsia="Arial" w:hAnsi="Arial" w:cs="Arial"/>
          <w:sz w:val="20"/>
          <w:szCs w:val="20"/>
          <w:highlight w:val="lightGray"/>
        </w:rPr>
        <w:t>[la Entidad podrá adaptar o modificar esta definición de acuerdo con las nociones de la norma urbana o de urbanismo vigentes aplicables a la región o zona en la cual se desarrolle el proyecto.]</w:t>
      </w:r>
      <w:r w:rsidRPr="710AFD00">
        <w:rPr>
          <w:rFonts w:ascii="Arial" w:eastAsia="Arial" w:hAnsi="Arial" w:cs="Arial"/>
          <w:sz w:val="20"/>
          <w:szCs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710AFD00">
        <w:rPr>
          <w:rFonts w:ascii="Arial" w:eastAsia="Arial" w:hAnsi="Arial" w:cs="Arial"/>
          <w:sz w:val="20"/>
          <w:szCs w:val="20"/>
          <w:vertAlign w:val="superscript"/>
        </w:rPr>
        <w:footnoteReference w:id="8"/>
      </w:r>
      <w:r w:rsidRPr="710AFD00">
        <w:rPr>
          <w:rFonts w:ascii="Arial" w:eastAsia="Arial" w:hAnsi="Arial" w:cs="Arial"/>
          <w:sz w:val="20"/>
          <w:szCs w:val="20"/>
        </w:rPr>
        <w:t xml:space="preserve">.  </w:t>
      </w:r>
    </w:p>
    <w:p w14:paraId="0F56749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C3CD4E"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En los casos de urbanismo para los conjuntos cerrados, el proyecto de urbanismo debe contemplar las vías de acceso, vías interiores, juegos, parqueaderos y jardines, de acuerdo con las normas de la entidad competente</w:t>
      </w:r>
      <w:r w:rsidRPr="710AFD00">
        <w:rPr>
          <w:rFonts w:ascii="Arial" w:eastAsia="Arial" w:hAnsi="Arial" w:cs="Arial"/>
          <w:sz w:val="20"/>
          <w:szCs w:val="20"/>
          <w:vertAlign w:val="superscript"/>
        </w:rPr>
        <w:footnoteReference w:id="9"/>
      </w:r>
      <w:r w:rsidRPr="710AFD00">
        <w:rPr>
          <w:rFonts w:ascii="Arial" w:eastAsia="Arial" w:hAnsi="Arial" w:cs="Arial"/>
          <w:sz w:val="20"/>
          <w:szCs w:val="20"/>
        </w:rPr>
        <w:t xml:space="preserve">. </w:t>
      </w:r>
    </w:p>
    <w:p w14:paraId="2CA7DF6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3214C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Vicio de la Construcción:</w:t>
      </w:r>
      <w:r w:rsidRPr="3D530260">
        <w:rPr>
          <w:rFonts w:ascii="Arial" w:eastAsia="Arial" w:hAnsi="Arial" w:cs="Arial"/>
          <w:sz w:val="20"/>
          <w:szCs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EA252F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 los Materiales: </w:t>
      </w:r>
      <w:r w:rsidRPr="3D530260">
        <w:rPr>
          <w:rFonts w:ascii="Arial" w:eastAsia="Arial" w:hAnsi="Arial" w:cs="Arial"/>
          <w:sz w:val="20"/>
          <w:szCs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BB890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del Suelo: </w:t>
      </w:r>
      <w:r w:rsidRPr="3D530260">
        <w:rPr>
          <w:rFonts w:ascii="Arial" w:eastAsia="Arial" w:hAnsi="Arial" w:cs="Arial"/>
          <w:sz w:val="20"/>
          <w:szCs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2E84EC4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C68F04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Zona de Amenaza Sísmica (baja, intermedia o alta): </w:t>
      </w:r>
      <w:r w:rsidRPr="3D530260">
        <w:rPr>
          <w:rFonts w:ascii="Arial" w:eastAsia="Arial" w:hAnsi="Arial" w:cs="Arial"/>
          <w:sz w:val="20"/>
          <w:szCs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710AFD00">
      <w:pPr>
        <w:spacing w:after="0" w:line="240" w:lineRule="auto"/>
        <w:ind w:left="720"/>
        <w:contextualSpacing/>
        <w:jc w:val="both"/>
        <w:rPr>
          <w:rFonts w:ascii="Arial" w:eastAsia="Arial" w:hAnsi="Arial" w:cs="Arial"/>
          <w:b/>
          <w:bCs/>
        </w:rPr>
      </w:pPr>
    </w:p>
    <w:p w14:paraId="6696741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Zona Verde:</w:t>
      </w:r>
      <w:r w:rsidRPr="3D530260">
        <w:rPr>
          <w:rFonts w:ascii="Arial" w:eastAsia="Arial" w:hAnsi="Arial" w:cs="Arial"/>
          <w:sz w:val="20"/>
          <w:szCs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710AFD00">
      <w:pPr>
        <w:spacing w:after="0" w:line="240" w:lineRule="auto"/>
        <w:ind w:left="709"/>
        <w:contextualSpacing/>
        <w:jc w:val="both"/>
        <w:rPr>
          <w:rFonts w:ascii="Arial" w:eastAsia="Arial" w:hAnsi="Arial" w:cs="Arial"/>
          <w:b/>
          <w:bCs/>
        </w:rPr>
      </w:pPr>
    </w:p>
    <w:p w14:paraId="2494EBB6"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710AFD00">
      <w:pPr>
        <w:spacing w:after="0" w:line="240" w:lineRule="auto"/>
        <w:ind w:left="720"/>
        <w:contextualSpacing/>
        <w:jc w:val="both"/>
        <w:rPr>
          <w:rFonts w:ascii="Arial" w:eastAsia="Arial" w:hAnsi="Arial" w:cs="Arial"/>
          <w:b/>
          <w:bCs/>
        </w:rPr>
      </w:pPr>
    </w:p>
    <w:p w14:paraId="69BC71DA"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lastRenderedPageBreak/>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354A0AC4" w14:textId="086116B1" w:rsidR="3D530260" w:rsidRDefault="3D530260" w:rsidP="3D530260">
      <w:pPr>
        <w:spacing w:after="0" w:line="240" w:lineRule="auto"/>
        <w:contextualSpacing/>
        <w:jc w:val="both"/>
        <w:rPr>
          <w:rFonts w:ascii="Arial" w:eastAsia="Arial" w:hAnsi="Arial" w:cs="Arial"/>
          <w:b/>
          <w:bCs/>
          <w:sz w:val="20"/>
          <w:szCs w:val="20"/>
        </w:rPr>
      </w:pPr>
    </w:p>
    <w:p w14:paraId="2153A49C" w14:textId="4D289E15" w:rsidR="6D21D0D5" w:rsidRDefault="6D21D0D5" w:rsidP="596F2380">
      <w:pPr>
        <w:numPr>
          <w:ilvl w:val="1"/>
          <w:numId w:val="1"/>
        </w:numPr>
        <w:spacing w:after="0" w:line="240" w:lineRule="auto"/>
        <w:ind w:left="709" w:hanging="709"/>
        <w:contextualSpacing/>
        <w:jc w:val="both"/>
        <w:rPr>
          <w:rFonts w:ascii="Arial" w:eastAsia="Arial" w:hAnsi="Arial" w:cs="Arial"/>
          <w:sz w:val="20"/>
          <w:szCs w:val="20"/>
        </w:rPr>
      </w:pPr>
      <w:r w:rsidRPr="7ADB3F25">
        <w:rPr>
          <w:rFonts w:ascii="Arial" w:eastAsia="Arial" w:hAnsi="Arial" w:cs="Arial"/>
          <w:b/>
          <w:bCs/>
          <w:lang w:val="es-ES"/>
        </w:rPr>
        <w:t>Plazas de mercado o similares:</w:t>
      </w:r>
      <w:r w:rsidRPr="7ADB3F25">
        <w:rPr>
          <w:rFonts w:ascii="Arial" w:eastAsia="Arial" w:hAnsi="Arial" w:cs="Arial"/>
          <w:lang w:val="es-ES"/>
        </w:rPr>
        <w:t xml:space="preserve"> Las plazas de mercado se pueden definir como aquel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1BDE7B" w14:textId="089CCF4C" w:rsidR="3D530260" w:rsidRDefault="3D530260" w:rsidP="3D530260">
      <w:pPr>
        <w:spacing w:after="0" w:line="240" w:lineRule="auto"/>
        <w:contextualSpacing/>
        <w:jc w:val="both"/>
        <w:rPr>
          <w:rFonts w:ascii="Arial" w:eastAsia="Arial" w:hAnsi="Arial" w:cs="Arial"/>
          <w:b/>
          <w:bCs/>
          <w:sz w:val="20"/>
          <w:szCs w:val="20"/>
        </w:rPr>
      </w:pPr>
    </w:p>
    <w:p w14:paraId="7D6899FA" w14:textId="77777777" w:rsidR="001E4A6A" w:rsidRPr="006F6629" w:rsidRDefault="001E4A6A" w:rsidP="710AFD00">
      <w:pPr>
        <w:spacing w:after="0" w:line="240" w:lineRule="auto"/>
        <w:ind w:left="720"/>
        <w:contextualSpacing/>
        <w:jc w:val="both"/>
        <w:rPr>
          <w:rFonts w:ascii="Arial" w:eastAsia="Arial" w:hAnsi="Arial" w:cs="Arial"/>
          <w:b/>
          <w:bCs/>
        </w:rPr>
      </w:pPr>
    </w:p>
    <w:p w14:paraId="30E7F59F" w14:textId="77777777" w:rsidR="001E4A6A" w:rsidRPr="006F6629" w:rsidRDefault="001E4A6A" w:rsidP="710AFD00">
      <w:pPr>
        <w:spacing w:after="0" w:line="240" w:lineRule="auto"/>
        <w:ind w:left="709" w:hanging="709"/>
        <w:jc w:val="both"/>
        <w:rPr>
          <w:rFonts w:ascii="Arial" w:eastAsia="Arial" w:hAnsi="Arial" w:cs="Arial"/>
          <w:sz w:val="20"/>
          <w:szCs w:val="20"/>
        </w:rPr>
      </w:pPr>
    </w:p>
    <w:p w14:paraId="4606E73D" w14:textId="77777777" w:rsidR="00296FF8" w:rsidRDefault="00296FF8" w:rsidP="710AFD00">
      <w:pPr>
        <w:rPr>
          <w:rFonts w:ascii="Arial" w:eastAsia="Arial" w:hAnsi="Arial" w:cs="Arial"/>
        </w:rPr>
      </w:pPr>
    </w:p>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79BD6" w14:textId="77777777" w:rsidR="00A543F1" w:rsidRDefault="00A543F1" w:rsidP="001E4A6A">
      <w:pPr>
        <w:spacing w:after="0" w:line="240" w:lineRule="auto"/>
      </w:pPr>
      <w:r>
        <w:separator/>
      </w:r>
    </w:p>
  </w:endnote>
  <w:endnote w:type="continuationSeparator" w:id="0">
    <w:p w14:paraId="33FEF665" w14:textId="77777777" w:rsidR="00A543F1" w:rsidRDefault="00A543F1" w:rsidP="001E4A6A">
      <w:pPr>
        <w:spacing w:after="0" w:line="240" w:lineRule="auto"/>
      </w:pPr>
      <w:r>
        <w:continuationSeparator/>
      </w:r>
    </w:p>
  </w:endnote>
  <w:endnote w:type="continuationNotice" w:id="1">
    <w:p w14:paraId="3464265F" w14:textId="77777777" w:rsidR="00A543F1" w:rsidRDefault="00A543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3FCF262D" w:rsidR="001E4A6A" w:rsidRPr="007C1243" w:rsidRDefault="00E53A71" w:rsidP="001E4A6A">
          <w:pPr>
            <w:spacing w:after="4" w:line="247" w:lineRule="auto"/>
            <w:ind w:left="10" w:hanging="10"/>
            <w:rPr>
              <w:rFonts w:ascii="Arial" w:eastAsia="Arial" w:hAnsi="Arial" w:cs="Arial"/>
              <w:sz w:val="16"/>
              <w:szCs w:val="16"/>
              <w:lang w:eastAsia="es-CO"/>
            </w:rPr>
          </w:pPr>
          <w:r w:rsidRPr="00E53A71">
            <w:rPr>
              <w:rFonts w:ascii="Arial" w:eastAsia="Times New Roman" w:hAnsi="Arial" w:cs="Arial"/>
              <w:sz w:val="16"/>
              <w:szCs w:val="16"/>
            </w:rPr>
            <w:t>CCE-EICP-IDI-52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1CB7E059" w:rsidR="001E4A6A" w:rsidRPr="007C1243" w:rsidRDefault="00B77771" w:rsidP="001E4A6A">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w:t>
          </w:r>
          <w:r w:rsidR="001E4A6A"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B9C20" w14:textId="77777777" w:rsidR="00A543F1" w:rsidRDefault="00A543F1" w:rsidP="001E4A6A">
      <w:pPr>
        <w:spacing w:after="0" w:line="240" w:lineRule="auto"/>
      </w:pPr>
      <w:r>
        <w:separator/>
      </w:r>
    </w:p>
  </w:footnote>
  <w:footnote w:type="continuationSeparator" w:id="0">
    <w:p w14:paraId="3C3B66C9" w14:textId="77777777" w:rsidR="00A543F1" w:rsidRDefault="00A543F1" w:rsidP="001E4A6A">
      <w:pPr>
        <w:spacing w:after="0" w:line="240" w:lineRule="auto"/>
      </w:pPr>
      <w:r>
        <w:continuationSeparator/>
      </w:r>
    </w:p>
  </w:footnote>
  <w:footnote w:type="continuationNotice" w:id="1">
    <w:p w14:paraId="17A80D53" w14:textId="77777777" w:rsidR="00A543F1" w:rsidRDefault="00A543F1">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737C32D3"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 xml:space="preserve">ANEXO </w:t>
          </w:r>
          <w:r w:rsidR="000D0AAD">
            <w:rPr>
              <w:rFonts w:ascii="Arial" w:eastAsia="Arial" w:hAnsi="Arial" w:cs="Arial"/>
              <w:b/>
              <w:sz w:val="16"/>
              <w:szCs w:val="16"/>
              <w:lang w:val="es-ES"/>
            </w:rPr>
            <w:t>3</w:t>
          </w:r>
          <w:r w:rsidRPr="001E4A6A">
            <w:rPr>
              <w:rFonts w:ascii="Arial" w:eastAsia="Arial" w:hAnsi="Arial" w:cs="Arial"/>
              <w:b/>
              <w:sz w:val="16"/>
              <w:szCs w:val="16"/>
              <w:lang w:val="es-ES"/>
            </w:rPr>
            <w:t xml:space="preserve"> GLOSARIO</w:t>
          </w:r>
        </w:p>
        <w:p w14:paraId="2BE4144D" w14:textId="5F0CDF18" w:rsidR="001E4A6A" w:rsidRPr="001E4A6A" w:rsidRDefault="00FB1A14" w:rsidP="001E4A6A">
          <w:pPr>
            <w:tabs>
              <w:tab w:val="center" w:pos="4419"/>
              <w:tab w:val="right" w:pos="8838"/>
            </w:tabs>
            <w:jc w:val="center"/>
            <w:rPr>
              <w:rFonts w:ascii="Arial" w:eastAsia="Arial" w:hAnsi="Arial" w:cs="Arial"/>
              <w:b/>
              <w:sz w:val="16"/>
              <w:szCs w:val="16"/>
              <w:lang w:val="es-ES"/>
            </w:rPr>
          </w:pPr>
          <w:r w:rsidRPr="00C41D41">
            <w:rPr>
              <w:rFonts w:ascii="Arial" w:hAnsi="Arial" w:cs="Arial"/>
              <w:b/>
              <w:sz w:val="16"/>
              <w:szCs w:val="16"/>
            </w:rPr>
            <w:t>INTERVENTORÍA DE OBRA PÚBLICA DE INFRAESTRUCTURA</w:t>
          </w:r>
          <w:r w:rsidR="001E4A6A" w:rsidRPr="001E4A6A">
            <w:rPr>
              <w:rFonts w:ascii="Arial" w:eastAsia="Arial" w:hAnsi="Arial" w:cs="Arial"/>
              <w:b/>
              <w:sz w:val="16"/>
              <w:szCs w:val="16"/>
              <w:lang w:val="es-ES"/>
            </w:rPr>
            <w:t xml:space="preserve"> DEL SECTOR CULTURA, RECREACIÓN Y DEPORTE</w:t>
          </w: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451EB903" w:rsidR="001E4A6A" w:rsidRPr="001E4A6A" w:rsidRDefault="00E53A71" w:rsidP="001E4A6A">
          <w:pPr>
            <w:spacing w:after="4" w:line="249" w:lineRule="auto"/>
            <w:ind w:left="10" w:hanging="10"/>
            <w:jc w:val="both"/>
            <w:rPr>
              <w:rFonts w:ascii="Arial" w:eastAsia="Arial" w:hAnsi="Arial" w:cs="Arial"/>
              <w:sz w:val="18"/>
              <w:szCs w:val="18"/>
              <w:lang w:val="es-ES"/>
            </w:rPr>
          </w:pPr>
          <w:r w:rsidRPr="00E53A71">
            <w:rPr>
              <w:rFonts w:ascii="Arial" w:eastAsia="Times New Roman" w:hAnsi="Arial" w:cs="Arial"/>
              <w:sz w:val="18"/>
              <w:szCs w:val="18"/>
            </w:rPr>
            <w:t>CCE-EICP-IDI-52</w:t>
          </w: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3D7B7816" w:rsidR="001E4A6A" w:rsidRPr="001E4A6A" w:rsidRDefault="00B77771" w:rsidP="001E4A6A">
          <w:pPr>
            <w:spacing w:after="4" w:line="249" w:lineRule="auto"/>
            <w:ind w:left="10" w:hanging="10"/>
            <w:jc w:val="both"/>
            <w:rPr>
              <w:rFonts w:ascii="Arial" w:eastAsia="Arial" w:hAnsi="Arial" w:cs="Arial"/>
              <w:sz w:val="16"/>
              <w:szCs w:val="16"/>
              <w:lang w:val="es-ES"/>
            </w:rPr>
          </w:pPr>
          <w:r>
            <w:rPr>
              <w:rFonts w:ascii="Arial" w:eastAsia="Arial" w:hAnsi="Arial" w:cs="Arial"/>
              <w:sz w:val="16"/>
              <w:szCs w:val="16"/>
              <w:lang w:val="es-ES"/>
            </w:rPr>
            <w:t>01</w:t>
          </w:r>
          <w:r w:rsidR="00AB1ACD">
            <w:rPr>
              <w:rFonts w:ascii="Arial" w:eastAsia="Arial" w:hAnsi="Arial" w:cs="Arial"/>
              <w:sz w:val="16"/>
              <w:szCs w:val="16"/>
              <w:lang w:val="es-ES"/>
            </w:rPr>
            <w:t xml:space="preserve"> </w:t>
          </w:r>
          <w:r w:rsidR="00D03700" w:rsidRPr="00D03700">
            <w:rPr>
              <w:rFonts w:ascii="Arial" w:eastAsia="Arial" w:hAnsi="Arial" w:cs="Arial"/>
              <w:sz w:val="16"/>
              <w:szCs w:val="16"/>
              <w:lang w:val="es-ES"/>
            </w:rPr>
            <w:t>DE 28 DE DICIEMBRE DE 2023</w:t>
          </w:r>
        </w:p>
      </w:tc>
    </w:tr>
  </w:tbl>
  <w:p w14:paraId="0546171B" w14:textId="77777777" w:rsidR="001E4A6A" w:rsidRDefault="001E4A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6A"/>
    <w:rsid w:val="0003406F"/>
    <w:rsid w:val="00064BA3"/>
    <w:rsid w:val="000C76D5"/>
    <w:rsid w:val="000D0AAD"/>
    <w:rsid w:val="000E54F6"/>
    <w:rsid w:val="00103C78"/>
    <w:rsid w:val="00116235"/>
    <w:rsid w:val="0019653E"/>
    <w:rsid w:val="001D1CA7"/>
    <w:rsid w:val="001D77DD"/>
    <w:rsid w:val="001E4A6A"/>
    <w:rsid w:val="001F045A"/>
    <w:rsid w:val="002232A5"/>
    <w:rsid w:val="00236DD5"/>
    <w:rsid w:val="00251102"/>
    <w:rsid w:val="00296FF8"/>
    <w:rsid w:val="002C140D"/>
    <w:rsid w:val="00372811"/>
    <w:rsid w:val="003A36B5"/>
    <w:rsid w:val="003D6A62"/>
    <w:rsid w:val="003E2ED9"/>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814E0"/>
    <w:rsid w:val="006A771D"/>
    <w:rsid w:val="006C5052"/>
    <w:rsid w:val="006F6629"/>
    <w:rsid w:val="00710492"/>
    <w:rsid w:val="007304F1"/>
    <w:rsid w:val="00731DE7"/>
    <w:rsid w:val="00751321"/>
    <w:rsid w:val="007772B1"/>
    <w:rsid w:val="007A167C"/>
    <w:rsid w:val="007C1243"/>
    <w:rsid w:val="007C5D3D"/>
    <w:rsid w:val="007E1061"/>
    <w:rsid w:val="007F0F84"/>
    <w:rsid w:val="007F3F65"/>
    <w:rsid w:val="00807517"/>
    <w:rsid w:val="0088178C"/>
    <w:rsid w:val="00885B15"/>
    <w:rsid w:val="00896F31"/>
    <w:rsid w:val="008E7E64"/>
    <w:rsid w:val="0090656F"/>
    <w:rsid w:val="0094523C"/>
    <w:rsid w:val="00A06596"/>
    <w:rsid w:val="00A24A11"/>
    <w:rsid w:val="00A46A99"/>
    <w:rsid w:val="00A507F7"/>
    <w:rsid w:val="00A543F1"/>
    <w:rsid w:val="00A560F7"/>
    <w:rsid w:val="00A73BCE"/>
    <w:rsid w:val="00A775DC"/>
    <w:rsid w:val="00A93CD9"/>
    <w:rsid w:val="00AB1ACD"/>
    <w:rsid w:val="00AC1402"/>
    <w:rsid w:val="00AD1001"/>
    <w:rsid w:val="00B47D28"/>
    <w:rsid w:val="00B77771"/>
    <w:rsid w:val="00BB383C"/>
    <w:rsid w:val="00BD043C"/>
    <w:rsid w:val="00BE55ED"/>
    <w:rsid w:val="00BE5D4F"/>
    <w:rsid w:val="00C36AA7"/>
    <w:rsid w:val="00C45BB2"/>
    <w:rsid w:val="00C67C8C"/>
    <w:rsid w:val="00C67D95"/>
    <w:rsid w:val="00C75054"/>
    <w:rsid w:val="00C83F74"/>
    <w:rsid w:val="00CB4EC3"/>
    <w:rsid w:val="00CC7085"/>
    <w:rsid w:val="00D03700"/>
    <w:rsid w:val="00D122CC"/>
    <w:rsid w:val="00D518DB"/>
    <w:rsid w:val="00D700C9"/>
    <w:rsid w:val="00D74749"/>
    <w:rsid w:val="00D910CD"/>
    <w:rsid w:val="00DA317E"/>
    <w:rsid w:val="00E53A71"/>
    <w:rsid w:val="00E90DF7"/>
    <w:rsid w:val="00EA6FC9"/>
    <w:rsid w:val="00EC28DE"/>
    <w:rsid w:val="00EF2C83"/>
    <w:rsid w:val="00F36D7D"/>
    <w:rsid w:val="00F906A8"/>
    <w:rsid w:val="00FB1A14"/>
    <w:rsid w:val="00FC3700"/>
    <w:rsid w:val="00FD0261"/>
    <w:rsid w:val="00FD574C"/>
    <w:rsid w:val="093A3BC4"/>
    <w:rsid w:val="0966DF34"/>
    <w:rsid w:val="0EEA4B4B"/>
    <w:rsid w:val="13089882"/>
    <w:rsid w:val="21015106"/>
    <w:rsid w:val="21F5DC7B"/>
    <w:rsid w:val="2EA23133"/>
    <w:rsid w:val="30D1E59D"/>
    <w:rsid w:val="3676CCEF"/>
    <w:rsid w:val="38F0024D"/>
    <w:rsid w:val="3D530260"/>
    <w:rsid w:val="449A72A5"/>
    <w:rsid w:val="487F3046"/>
    <w:rsid w:val="59317091"/>
    <w:rsid w:val="596F2380"/>
    <w:rsid w:val="5A5CA33B"/>
    <w:rsid w:val="68792566"/>
    <w:rsid w:val="6D21D0D5"/>
    <w:rsid w:val="6FB0D15E"/>
    <w:rsid w:val="710AFD00"/>
    <w:rsid w:val="74C555B5"/>
    <w:rsid w:val="7ADB3F25"/>
    <w:rsid w:val="7D91096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A5DF9"/>
  <w15:chartTrackingRefBased/>
  <w15:docId w15:val="{2A860012-0E73-4098-962D-31DF86C0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styleId="Mencinsinresolver">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Tablaconcuadrcu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1362995-C1C7-4246-ADAF-59E97BBBFA15}">
  <ds:schemaRefs>
    <ds:schemaRef ds:uri="http://schemas.openxmlformats.org/officeDocument/2006/bibliography"/>
  </ds:schemaRefs>
</ds:datastoreItem>
</file>

<file path=customXml/itemProps3.xml><?xml version="1.0" encoding="utf-8"?>
<ds:datastoreItem xmlns:ds="http://schemas.openxmlformats.org/officeDocument/2006/customXml" ds:itemID="{712340BA-BF0A-41BD-A5AD-77C12F979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A68DCD-C294-48B5-9DD7-339F2838B3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9357</Words>
  <Characters>51466</Characters>
  <Application>Microsoft Office Word</Application>
  <DocSecurity>0</DocSecurity>
  <Lines>428</Lines>
  <Paragraphs>121</Paragraphs>
  <ScaleCrop>false</ScaleCrop>
  <Company/>
  <LinksUpToDate>false</LinksUpToDate>
  <CharactersWithSpaces>60702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Sergio Luis Lozano Lopez</cp:lastModifiedBy>
  <cp:revision>21</cp:revision>
  <dcterms:created xsi:type="dcterms:W3CDTF">2023-10-20T23:34:00Z</dcterms:created>
  <dcterms:modified xsi:type="dcterms:W3CDTF">2025-12-02T15:30:00Z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