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1147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5BA89F64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sz w:val="22"/>
          <w:szCs w:val="22"/>
        </w:rPr>
      </w:pPr>
      <w:r w:rsidRPr="00CB6E54">
        <w:rPr>
          <w:rFonts w:ascii="Trebuchet MS" w:eastAsia="Trebuchet MS" w:hAnsi="Trebuchet MS" w:cs="Trebuchet MS"/>
          <w:sz w:val="22"/>
          <w:szCs w:val="22"/>
        </w:rPr>
        <w:t>Señores</w:t>
      </w:r>
    </w:p>
    <w:p w14:paraId="6EF7ADEB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b/>
          <w:sz w:val="22"/>
          <w:szCs w:val="22"/>
        </w:rPr>
      </w:pPr>
      <w:bookmarkStart w:id="0" w:name="_Hlk32239239"/>
      <w:r>
        <w:rPr>
          <w:rFonts w:ascii="Trebuchet MS" w:eastAsia="Trebuchet MS" w:hAnsi="Trebuchet MS" w:cs="Trebuchet MS"/>
          <w:b/>
          <w:sz w:val="22"/>
          <w:szCs w:val="22"/>
        </w:rPr>
        <w:t>DIVISIÓN DE CONTRATACIÓN Y ADQUISICIONES</w:t>
      </w:r>
    </w:p>
    <w:bookmarkEnd w:id="0"/>
    <w:p w14:paraId="2ED81479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UNIVERSIDAD MILITAR NUEVA GRANADA</w:t>
      </w:r>
    </w:p>
    <w:p w14:paraId="3296226D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sz w:val="22"/>
          <w:szCs w:val="22"/>
        </w:rPr>
      </w:pPr>
      <w:r w:rsidRPr="00CB6E54">
        <w:rPr>
          <w:rFonts w:ascii="Trebuchet MS" w:eastAsia="Trebuchet MS" w:hAnsi="Trebuchet MS" w:cs="Trebuchet MS"/>
          <w:sz w:val="22"/>
          <w:szCs w:val="22"/>
        </w:rPr>
        <w:t>Bogotá D.C.</w:t>
      </w:r>
    </w:p>
    <w:p w14:paraId="44B3797A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34481AE8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4D3D0B19" w14:textId="77777777" w:rsidR="009009EB" w:rsidRPr="00CB6E54" w:rsidRDefault="009009EB" w:rsidP="009009EB">
      <w:pPr>
        <w:jc w:val="both"/>
        <w:rPr>
          <w:rFonts w:ascii="Trebuchet MS" w:hAnsi="Trebuchet MS"/>
          <w:sz w:val="22"/>
          <w:szCs w:val="22"/>
        </w:rPr>
      </w:pPr>
      <w:r w:rsidRPr="00CB6E54">
        <w:rPr>
          <w:rFonts w:ascii="Trebuchet MS" w:eastAsia="Trebuchet MS" w:hAnsi="Trebuchet MS" w:cs="Trebuchet MS"/>
          <w:sz w:val="22"/>
          <w:szCs w:val="22"/>
        </w:rPr>
        <w:t xml:space="preserve">Referencia: </w:t>
      </w:r>
      <w:r w:rsidRPr="00CB6E54">
        <w:rPr>
          <w:rFonts w:ascii="Trebuchet MS" w:hAnsi="Trebuchet MS"/>
          <w:sz w:val="22"/>
          <w:szCs w:val="22"/>
          <w:highlight w:val="lightGray"/>
        </w:rPr>
        <w:t xml:space="preserve">[Incluir número del proceso de contratación]  </w:t>
      </w:r>
    </w:p>
    <w:p w14:paraId="39DFAF99" w14:textId="77777777" w:rsidR="009009EB" w:rsidRPr="00CB6E54" w:rsidRDefault="009009EB" w:rsidP="009009EB">
      <w:pPr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5560618A" w14:textId="51F7497F" w:rsidR="009009EB" w:rsidRPr="007F4B09" w:rsidRDefault="009009EB" w:rsidP="009009EB">
      <w:pPr>
        <w:pStyle w:val="Capitulo2"/>
      </w:pPr>
      <w:bookmarkStart w:id="1" w:name="_Toc11827173"/>
      <w:bookmarkStart w:id="2" w:name="_Toc11850130"/>
      <w:r w:rsidRPr="006B228C">
        <w:rPr>
          <w:b w:val="0"/>
        </w:rPr>
        <w:t>OBJETO:</w:t>
      </w:r>
      <w:r w:rsidRPr="006B228C">
        <w:t xml:space="preserve"> </w:t>
      </w:r>
      <w:bookmarkEnd w:id="1"/>
      <w:bookmarkEnd w:id="2"/>
      <w:r w:rsidRPr="006B228C">
        <w:rPr>
          <w:rFonts w:eastAsia="Trebuchet MS" w:cs="Trebuchet MS"/>
        </w:rPr>
        <w:t>“</w:t>
      </w:r>
      <w:r w:rsidR="00CF18B0">
        <w:rPr>
          <w:i/>
        </w:rPr>
        <w:t xml:space="preserve">Selección de proveedores que harán parte de la lista de precalificados para la adquisición y/o suministro de </w:t>
      </w:r>
      <w:bookmarkStart w:id="3" w:name="_Hlk214954336"/>
      <w:r w:rsidR="00CF18B0" w:rsidRPr="0029750B">
        <w:rPr>
          <w:i/>
        </w:rPr>
        <w:t>computadores y periféricos (ETP)</w:t>
      </w:r>
      <w:bookmarkEnd w:id="3"/>
      <w:r w:rsidR="00CF18B0">
        <w:rPr>
          <w:i/>
        </w:rPr>
        <w:t xml:space="preserve"> de la Universidad Militar Nueva Granada</w:t>
      </w:r>
      <w:r w:rsidRPr="006B228C">
        <w:rPr>
          <w:rFonts w:eastAsia="Trebuchet MS" w:cs="Trebuchet MS"/>
          <w:i/>
        </w:rPr>
        <w:t>.”</w:t>
      </w:r>
    </w:p>
    <w:p w14:paraId="1493B75F" w14:textId="77777777" w:rsidR="009009EB" w:rsidRPr="009009EB" w:rsidRDefault="009009EB" w:rsidP="000A0CBB">
      <w:pPr>
        <w:jc w:val="both"/>
        <w:rPr>
          <w:rFonts w:ascii="Trebuchet MS" w:eastAsia="Times New Roman" w:hAnsi="Trebuchet MS" w:cs="Trebuchet MS"/>
          <w:sz w:val="22"/>
          <w:szCs w:val="22"/>
          <w:lang w:val="es-CO" w:eastAsia="es-ES"/>
        </w:rPr>
      </w:pPr>
    </w:p>
    <w:p w14:paraId="4097113C" w14:textId="63C841DD" w:rsidR="000A0CBB" w:rsidRPr="000A0CBB" w:rsidRDefault="000A0CBB" w:rsidP="000A0CBB">
      <w:p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Mediante la suscripción de la carta de presentación de la propuesta, el proponente que se presente al proceso de </w:t>
      </w:r>
      <w:r w:rsidR="00F051E6"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t>selección</w:t>
      </w:r>
      <w:r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se compromete a cumplir la Constitución Política Colombiana</w:t>
      </w:r>
      <w:r w:rsidR="0027132F">
        <w:rPr>
          <w:rFonts w:ascii="Trebuchet MS" w:eastAsia="Times New Roman" w:hAnsi="Trebuchet MS" w:cs="Trebuchet MS"/>
          <w:sz w:val="22"/>
          <w:szCs w:val="22"/>
          <w:lang w:val="es-ES" w:eastAsia="es-ES"/>
        </w:rPr>
        <w:t>,</w:t>
      </w:r>
      <w:r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la Ley colombiana y lo siguiente:</w:t>
      </w:r>
    </w:p>
    <w:p w14:paraId="39BDE68C" w14:textId="4542519D" w:rsidR="000A0CBB" w:rsidRPr="000A0CBB" w:rsidRDefault="000A0CBB" w:rsidP="000A0CBB">
      <w:p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</w:p>
    <w:p w14:paraId="16FB8CA7" w14:textId="773C4301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Cumplir estrictamente la Ley </w:t>
      </w:r>
      <w:r w:rsidR="0027132F">
        <w:rPr>
          <w:rFonts w:ascii="Trebuchet MS" w:eastAsia="Times New Roman" w:hAnsi="Trebuchet MS" w:cs="Trebuchet MS"/>
          <w:sz w:val="22"/>
          <w:szCs w:val="22"/>
          <w:lang w:val="es-ES" w:eastAsia="es-ES"/>
        </w:rPr>
        <w:t>ap</w:t>
      </w: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licable. </w:t>
      </w:r>
    </w:p>
    <w:p w14:paraId="5E09469C" w14:textId="0F678A97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Interpretar de buena fe las normas aplicables a los Procesos de Contratación de manera que siempre produzcan los efectos buscados por las mismas. </w:t>
      </w:r>
    </w:p>
    <w:p w14:paraId="302F5747" w14:textId="0F68AFE4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No incurrir en faltas a la verdad o adulteración en los documentos o requisitos exigidos </w:t>
      </w:r>
      <w:r w:rsidR="00680D0D"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en el</w:t>
      </w: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Proceso de Contratación.</w:t>
      </w:r>
    </w:p>
    <w:p w14:paraId="118E387D" w14:textId="29044BAC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Hacer un estudio completo de</w:t>
      </w:r>
      <w:r w:rsidR="009009EB">
        <w:rPr>
          <w:rFonts w:ascii="Trebuchet MS" w:eastAsia="Times New Roman" w:hAnsi="Trebuchet MS" w:cs="Trebuchet MS"/>
          <w:sz w:val="22"/>
          <w:szCs w:val="22"/>
          <w:lang w:val="es-ES" w:eastAsia="es-ES"/>
        </w:rPr>
        <w:t>l documento de condiciones de precalificación</w:t>
      </w:r>
      <w:r w:rsidR="00055CAE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</w:t>
      </w: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251A1B0" w14:textId="24D7E16C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70EFA1B" w14:textId="77777777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F84CE55" w14:textId="08EFC135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Enviar por escrito a la Entidad todas las preguntas o inquietudes que surjan durante el Proceso de Contratación y no hacerlo de manera oral por ningún medio, salvo que se realicen dentro de las audiencias públicas</w:t>
      </w:r>
      <w:r w:rsidR="00585CD4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(Si aplica)</w:t>
      </w: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. </w:t>
      </w:r>
    </w:p>
    <w:p w14:paraId="46542C60" w14:textId="5FDD8408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</w:t>
      </w:r>
      <w:r w:rsidR="009009EB">
        <w:rPr>
          <w:rFonts w:ascii="Trebuchet MS" w:eastAsia="Times New Roman" w:hAnsi="Trebuchet MS" w:cs="Trebuchet MS"/>
          <w:sz w:val="22"/>
          <w:szCs w:val="22"/>
          <w:lang w:val="es-ES" w:eastAsia="es-ES"/>
        </w:rPr>
        <w:t>la presente convocatoria pública</w:t>
      </w:r>
    </w:p>
    <w:p w14:paraId="1382DE09" w14:textId="59D8B32D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Abstenernos de hacer manifestaciones orales o escritas en contra de los demás Proponentes y sus propuestas sin contar con evidencia,</w:t>
      </w:r>
      <w:r w:rsidR="00570EBF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</w:t>
      </w: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 </w:t>
      </w:r>
    </w:p>
    <w:p w14:paraId="0C234CCD" w14:textId="77777777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634DB37" w14:textId="02BEA885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lastRenderedPageBreak/>
        <w:t>En las audiencias guardar compostura, no levantar la voz y hacer uso de la palabra únicamente cuando sea concedida y por el tiempo que sea concedida; y acatar las decisiones de la Entidad. En caso de</w:t>
      </w:r>
      <w:r w:rsidR="00BF3B69"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</w:t>
      </w: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desacuerdo interponer los recursos o acciones que se consideren pertinentes en los términos de la Ley Aplicable.</w:t>
      </w:r>
      <w:r w:rsidR="00027F91" w:rsidRPr="00027F91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</w:t>
      </w:r>
      <w:r w:rsidR="00027F91">
        <w:rPr>
          <w:rFonts w:ascii="Trebuchet MS" w:eastAsia="Times New Roman" w:hAnsi="Trebuchet MS" w:cs="Trebuchet MS"/>
          <w:sz w:val="22"/>
          <w:szCs w:val="22"/>
          <w:lang w:val="es-ES" w:eastAsia="es-ES"/>
        </w:rPr>
        <w:t>(si aplica)</w:t>
      </w:r>
    </w:p>
    <w:p w14:paraId="75F3743A" w14:textId="0DA7CB20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  <w:r w:rsidR="00027F91">
        <w:rPr>
          <w:rFonts w:ascii="Trebuchet MS" w:eastAsia="Times New Roman" w:hAnsi="Trebuchet MS" w:cs="Trebuchet MS"/>
          <w:sz w:val="22"/>
          <w:szCs w:val="22"/>
          <w:lang w:val="es-ES" w:eastAsia="es-ES"/>
        </w:rPr>
        <w:t>. (si aplica)</w:t>
      </w:r>
    </w:p>
    <w:p w14:paraId="28839569" w14:textId="77777777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Solicitar o remitir a la Entidad, o a sus funcionarios y contratistas, cualquier información utilizando solamente los procedimientos y canales previstos en el Proceso de Contratación.</w:t>
      </w:r>
    </w:p>
    <w:p w14:paraId="4B9BA239" w14:textId="77777777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C7FA1C1" w14:textId="2D167E6A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Exigir a nuestros empleados, proveedores y subcontratistas relacionados con el </w:t>
      </w:r>
      <w:r w:rsidR="00C1672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proceso</w:t>
      </w: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, actuaciones de todos los involucrados en la preparación de la propuesta y en la ejecución del contrato. </w:t>
      </w:r>
    </w:p>
    <w:p w14:paraId="7D6FF150" w14:textId="52FC7C34" w:rsidR="00BF3B69" w:rsidRDefault="000A0CBB" w:rsidP="00BF3B69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del contrato.</w:t>
      </w:r>
    </w:p>
    <w:p w14:paraId="75D5B7DC" w14:textId="3B35AC9C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389C1500" w14:textId="77777777" w:rsidR="00BF3B69" w:rsidRDefault="000A0CBB" w:rsidP="000A0CBB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La Entidad siempre se manifestará sobre las inquietudes relacionadas con el proceso de selección por los canales definidos en los documentos del proceso. </w:t>
      </w:r>
    </w:p>
    <w:p w14:paraId="271B9149" w14:textId="77777777" w:rsidR="00BF3B69" w:rsidRDefault="000A0CBB" w:rsidP="00BF3B69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B34579E" w14:textId="77777777" w:rsidR="00BF3B69" w:rsidRDefault="000A0CBB" w:rsidP="00BF3B69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9A36F9E" w14:textId="0968812C" w:rsidR="000A0CBB" w:rsidRPr="00BF3B69" w:rsidRDefault="000A0CBB" w:rsidP="00BF3B69">
      <w:pPr>
        <w:pStyle w:val="ListParagraph"/>
        <w:numPr>
          <w:ilvl w:val="0"/>
          <w:numId w:val="2"/>
        </w:num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50A4F13E" w14:textId="77777777" w:rsidR="00BF3B69" w:rsidRPr="000A0CBB" w:rsidRDefault="00BF3B69" w:rsidP="00BF3B69">
      <w:p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</w:p>
    <w:p w14:paraId="1C41DC30" w14:textId="59B88C87" w:rsidR="000A0CBB" w:rsidRDefault="000A0CBB" w:rsidP="00BF3B69">
      <w:p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  <w:r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Si la </w:t>
      </w:r>
      <w:r w:rsidR="009009EB">
        <w:rPr>
          <w:rFonts w:ascii="Trebuchet MS" w:eastAsia="Times New Roman" w:hAnsi="Trebuchet MS" w:cs="Trebuchet MS"/>
          <w:sz w:val="22"/>
          <w:szCs w:val="22"/>
          <w:lang w:val="es-ES" w:eastAsia="es-ES"/>
        </w:rPr>
        <w:t>UNIVERSIDAD MILITAR NUEVA GRANADA</w:t>
      </w:r>
      <w:r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comprueba el incumplimiento del oferente o de sus representantes o</w:t>
      </w:r>
      <w:r w:rsidR="00BF3B69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 </w:t>
      </w:r>
      <w:r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t xml:space="preserve">empleados, durante el proceso de selección, se rechazará su propuesta. Si esta comprobación se da con posterioridad a la adjudicación, la Entidad podrá dar por terminado de manera anticipada el contrato por causa imputable al contratista, haciendo aplicables todas las consecuencias previstas para esta situación Lo anterior sin perjuicio de las </w:t>
      </w:r>
      <w:r w:rsidRPr="000A0CBB">
        <w:rPr>
          <w:rFonts w:ascii="Trebuchet MS" w:eastAsia="Times New Roman" w:hAnsi="Trebuchet MS" w:cs="Trebuchet MS"/>
          <w:sz w:val="22"/>
          <w:szCs w:val="22"/>
          <w:lang w:val="es-ES" w:eastAsia="es-ES"/>
        </w:rPr>
        <w:lastRenderedPageBreak/>
        <w:t>acciones penales a que haya lugar, para el efecto la entidad denunciaría los hechos ante las autoridades competentes.</w:t>
      </w:r>
    </w:p>
    <w:p w14:paraId="067DC7FB" w14:textId="77777777" w:rsidR="009009EB" w:rsidRDefault="009009EB" w:rsidP="00BF3B69">
      <w:p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</w:p>
    <w:p w14:paraId="54340504" w14:textId="6ABF7D13" w:rsidR="009009EB" w:rsidRPr="000A0CBB" w:rsidRDefault="009009EB" w:rsidP="00695E17">
      <w:pPr>
        <w:jc w:val="both"/>
        <w:rPr>
          <w:rFonts w:ascii="Trebuchet MS" w:eastAsia="Times New Roman" w:hAnsi="Trebuchet MS" w:cs="Trebuchet MS"/>
          <w:sz w:val="22"/>
          <w:szCs w:val="22"/>
          <w:lang w:val="es-ES" w:eastAsia="es-ES"/>
        </w:rPr>
      </w:pPr>
    </w:p>
    <w:sectPr w:rsidR="009009EB" w:rsidRPr="000A0CBB" w:rsidSect="005F0C22">
      <w:headerReference w:type="default" r:id="rId7"/>
      <w:footerReference w:type="default" r:id="rId8"/>
      <w:pgSz w:w="12240" w:h="18720" w:code="14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8C779" w14:textId="77777777" w:rsidR="00BE27C6" w:rsidRDefault="00BE27C6" w:rsidP="000A0CBB">
      <w:r>
        <w:separator/>
      </w:r>
    </w:p>
  </w:endnote>
  <w:endnote w:type="continuationSeparator" w:id="0">
    <w:p w14:paraId="07535576" w14:textId="77777777" w:rsidR="00BE27C6" w:rsidRDefault="00BE27C6" w:rsidP="000A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B0CF5" w14:textId="77777777" w:rsidR="00695E17" w:rsidRPr="000F1D7E" w:rsidRDefault="00A60A80">
    <w:pPr>
      <w:pStyle w:val="Footer"/>
      <w:jc w:val="right"/>
      <w:rPr>
        <w:rFonts w:ascii="Trebuchet MS" w:hAnsi="Trebuchet MS"/>
        <w:sz w:val="16"/>
        <w:szCs w:val="16"/>
      </w:rPr>
    </w:pPr>
    <w:r w:rsidRPr="000F1D7E">
      <w:rPr>
        <w:rFonts w:ascii="Trebuchet MS" w:hAnsi="Trebuchet MS"/>
        <w:sz w:val="16"/>
        <w:szCs w:val="16"/>
        <w:lang w:val="es-ES"/>
      </w:rPr>
      <w:t xml:space="preserve">Página </w:t>
    </w:r>
    <w:r w:rsidRPr="000F1D7E">
      <w:rPr>
        <w:rFonts w:ascii="Trebuchet MS" w:hAnsi="Trebuchet MS"/>
        <w:b/>
        <w:bCs/>
        <w:sz w:val="16"/>
        <w:szCs w:val="16"/>
      </w:rPr>
      <w:fldChar w:fldCharType="begin"/>
    </w:r>
    <w:r w:rsidRPr="000F1D7E">
      <w:rPr>
        <w:rFonts w:ascii="Trebuchet MS" w:hAnsi="Trebuchet MS"/>
        <w:b/>
        <w:bCs/>
        <w:sz w:val="16"/>
        <w:szCs w:val="16"/>
      </w:rPr>
      <w:instrText>PAGE</w:instrText>
    </w:r>
    <w:r w:rsidRPr="000F1D7E">
      <w:rPr>
        <w:rFonts w:ascii="Trebuchet MS" w:hAnsi="Trebuchet MS"/>
        <w:b/>
        <w:bCs/>
        <w:sz w:val="16"/>
        <w:szCs w:val="16"/>
      </w:rPr>
      <w:fldChar w:fldCharType="separate"/>
    </w:r>
    <w:r>
      <w:rPr>
        <w:rFonts w:ascii="Trebuchet MS" w:hAnsi="Trebuchet MS"/>
        <w:b/>
        <w:bCs/>
        <w:noProof/>
        <w:sz w:val="16"/>
        <w:szCs w:val="16"/>
      </w:rPr>
      <w:t>1</w:t>
    </w:r>
    <w:r w:rsidRPr="000F1D7E">
      <w:rPr>
        <w:rFonts w:ascii="Trebuchet MS" w:hAnsi="Trebuchet MS"/>
        <w:b/>
        <w:bCs/>
        <w:sz w:val="16"/>
        <w:szCs w:val="16"/>
      </w:rPr>
      <w:fldChar w:fldCharType="end"/>
    </w:r>
    <w:r w:rsidRPr="000F1D7E">
      <w:rPr>
        <w:rFonts w:ascii="Trebuchet MS" w:hAnsi="Trebuchet MS"/>
        <w:sz w:val="16"/>
        <w:szCs w:val="16"/>
        <w:lang w:val="es-ES"/>
      </w:rPr>
      <w:t xml:space="preserve"> de </w:t>
    </w:r>
    <w:r w:rsidRPr="000F1D7E">
      <w:rPr>
        <w:rFonts w:ascii="Trebuchet MS" w:hAnsi="Trebuchet MS"/>
        <w:b/>
        <w:bCs/>
        <w:sz w:val="16"/>
        <w:szCs w:val="16"/>
      </w:rPr>
      <w:fldChar w:fldCharType="begin"/>
    </w:r>
    <w:r w:rsidRPr="000F1D7E">
      <w:rPr>
        <w:rFonts w:ascii="Trebuchet MS" w:hAnsi="Trebuchet MS"/>
        <w:b/>
        <w:bCs/>
        <w:sz w:val="16"/>
        <w:szCs w:val="16"/>
      </w:rPr>
      <w:instrText>NUMPAGES</w:instrText>
    </w:r>
    <w:r w:rsidRPr="000F1D7E">
      <w:rPr>
        <w:rFonts w:ascii="Trebuchet MS" w:hAnsi="Trebuchet MS"/>
        <w:b/>
        <w:bCs/>
        <w:sz w:val="16"/>
        <w:szCs w:val="16"/>
      </w:rPr>
      <w:fldChar w:fldCharType="separate"/>
    </w:r>
    <w:r>
      <w:rPr>
        <w:rFonts w:ascii="Trebuchet MS" w:hAnsi="Trebuchet MS"/>
        <w:b/>
        <w:bCs/>
        <w:noProof/>
        <w:sz w:val="16"/>
        <w:szCs w:val="16"/>
      </w:rPr>
      <w:t>4</w:t>
    </w:r>
    <w:r w:rsidRPr="000F1D7E">
      <w:rPr>
        <w:rFonts w:ascii="Trebuchet MS" w:hAnsi="Trebuchet MS"/>
        <w:b/>
        <w:bCs/>
        <w:sz w:val="16"/>
        <w:szCs w:val="16"/>
      </w:rPr>
      <w:fldChar w:fldCharType="end"/>
    </w:r>
  </w:p>
  <w:p w14:paraId="0B2CC463" w14:textId="77777777" w:rsidR="00695E17" w:rsidRDefault="00695E17" w:rsidP="003338D5">
    <w:pPr>
      <w:pStyle w:val="Footer"/>
      <w:ind w:firstLin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061F7" w14:textId="77777777" w:rsidR="00BE27C6" w:rsidRDefault="00BE27C6" w:rsidP="000A0CBB">
      <w:r>
        <w:separator/>
      </w:r>
    </w:p>
  </w:footnote>
  <w:footnote w:type="continuationSeparator" w:id="0">
    <w:p w14:paraId="1A0F690E" w14:textId="77777777" w:rsidR="00BE27C6" w:rsidRDefault="00BE27C6" w:rsidP="000A0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04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356"/>
      <w:gridCol w:w="7848"/>
    </w:tblGrid>
    <w:tr w:rsidR="005F0C22" w14:paraId="2281DFF2" w14:textId="77777777" w:rsidTr="009E0144">
      <w:trPr>
        <w:trHeight w:val="937"/>
      </w:trPr>
      <w:tc>
        <w:tcPr>
          <w:tcW w:w="1356" w:type="dxa"/>
          <w:vMerge w:val="restart"/>
        </w:tcPr>
        <w:p w14:paraId="625896D0" w14:textId="77777777" w:rsidR="005F0C22" w:rsidRDefault="005F0C22" w:rsidP="005F0C22">
          <w:pPr>
            <w:pStyle w:val="TableParagraph"/>
            <w:rPr>
              <w:rFonts w:ascii="Times New Roman"/>
            </w:rPr>
          </w:pPr>
        </w:p>
      </w:tc>
      <w:tc>
        <w:tcPr>
          <w:tcW w:w="7848" w:type="dxa"/>
        </w:tcPr>
        <w:p w14:paraId="7B9E9994" w14:textId="77777777" w:rsidR="005F0C22" w:rsidRDefault="005F0C22" w:rsidP="005F0C22">
          <w:pPr>
            <w:pStyle w:val="Header"/>
            <w:tabs>
              <w:tab w:val="left" w:pos="0"/>
            </w:tabs>
            <w:ind w:left="360"/>
            <w:jc w:val="center"/>
            <w:rPr>
              <w:rFonts w:cs="Arial"/>
              <w:b/>
              <w:sz w:val="28"/>
              <w:szCs w:val="28"/>
            </w:rPr>
          </w:pPr>
          <w:r>
            <w:rPr>
              <w:rFonts w:cs="Arial"/>
              <w:b/>
              <w:sz w:val="28"/>
              <w:szCs w:val="28"/>
            </w:rPr>
            <w:t>UNIVERSIDAD MILITAR NUEVA GRANADA</w:t>
          </w:r>
        </w:p>
        <w:p w14:paraId="0E76B1D0" w14:textId="77777777" w:rsidR="005F0C22" w:rsidRPr="00CE09A9" w:rsidRDefault="005F0C22" w:rsidP="005F0C22">
          <w:pPr>
            <w:pStyle w:val="Header"/>
            <w:tabs>
              <w:tab w:val="left" w:pos="0"/>
            </w:tabs>
            <w:ind w:left="360"/>
            <w:jc w:val="center"/>
            <w:rPr>
              <w:rFonts w:cs="Arial"/>
              <w:b/>
              <w:lang w:val="es-CO"/>
            </w:rPr>
          </w:pPr>
          <w:r>
            <w:rPr>
              <w:rFonts w:cs="Arial"/>
              <w:b/>
              <w:noProof/>
              <w:sz w:val="20"/>
              <w:szCs w:val="20"/>
            </w:rPr>
            <w:drawing>
              <wp:inline distT="0" distB="0" distL="0" distR="0" wp14:anchorId="2B187B02" wp14:editId="6533D650">
                <wp:extent cx="733425" cy="676275"/>
                <wp:effectExtent l="0" t="0" r="9525" b="9525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903387" w14:textId="77777777" w:rsidR="005F0C22" w:rsidRDefault="005F0C22" w:rsidP="005F0C22">
          <w:pPr>
            <w:pStyle w:val="Header"/>
            <w:tabs>
              <w:tab w:val="left" w:pos="0"/>
            </w:tabs>
            <w:ind w:left="360"/>
            <w:jc w:val="center"/>
            <w:rPr>
              <w:rFonts w:cs="Arial"/>
            </w:rPr>
          </w:pPr>
          <w:r>
            <w:rPr>
              <w:rFonts w:cs="Arial"/>
              <w:b/>
              <w:noProof/>
              <w:sz w:val="20"/>
              <w:szCs w:val="20"/>
            </w:rPr>
            <w:drawing>
              <wp:inline distT="0" distB="0" distL="0" distR="0" wp14:anchorId="10B1AC0F" wp14:editId="0B226BA2">
                <wp:extent cx="5267325" cy="85725"/>
                <wp:effectExtent l="0" t="0" r="9525" b="952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67325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915C060" w14:textId="77777777" w:rsidR="005F0C22" w:rsidRDefault="005F0C22" w:rsidP="005F0C22">
          <w:pPr>
            <w:pStyle w:val="Header"/>
            <w:tabs>
              <w:tab w:val="left" w:pos="0"/>
            </w:tabs>
            <w:ind w:left="360"/>
            <w:jc w:val="center"/>
            <w:rPr>
              <w:b/>
            </w:rPr>
          </w:pPr>
        </w:p>
      </w:tc>
    </w:tr>
    <w:tr w:rsidR="005F0C22" w14:paraId="558D5C3D" w14:textId="77777777" w:rsidTr="009E0144">
      <w:trPr>
        <w:trHeight w:val="513"/>
      </w:trPr>
      <w:tc>
        <w:tcPr>
          <w:tcW w:w="1356" w:type="dxa"/>
          <w:vMerge/>
        </w:tcPr>
        <w:p w14:paraId="6B78FBD0" w14:textId="77777777" w:rsidR="005F0C22" w:rsidRDefault="005F0C22" w:rsidP="005F0C22">
          <w:pPr>
            <w:rPr>
              <w:sz w:val="2"/>
              <w:szCs w:val="2"/>
            </w:rPr>
          </w:pPr>
        </w:p>
      </w:tc>
      <w:tc>
        <w:tcPr>
          <w:tcW w:w="7848" w:type="dxa"/>
        </w:tcPr>
        <w:p w14:paraId="7C82D562" w14:textId="2FEC044B" w:rsidR="005F0C22" w:rsidRPr="00F05BD6" w:rsidRDefault="005F0C22" w:rsidP="005F0C22">
          <w:pPr>
            <w:widowControl w:val="0"/>
            <w:autoSpaceDE w:val="0"/>
            <w:autoSpaceDN w:val="0"/>
            <w:ind w:right="144"/>
            <w:jc w:val="center"/>
            <w:rPr>
              <w:rFonts w:ascii="Trebuchet MS" w:eastAsia="Times New Roman" w:hAnsi="Trebuchet MS" w:cs="Trebuchet MS"/>
              <w:b/>
              <w:bCs/>
              <w:lang w:val="es-419" w:eastAsia="es-ES"/>
            </w:rPr>
          </w:pPr>
          <w:r>
            <w:rPr>
              <w:rFonts w:ascii="Trebuchet MS"/>
              <w:b/>
            </w:rPr>
            <w:t>ANECO No.2. COMPROMISO ANTICORRUPCI</w:t>
          </w:r>
          <w:r>
            <w:rPr>
              <w:rFonts w:ascii="Trebuchet MS"/>
              <w:b/>
            </w:rPr>
            <w:t>Ó</w:t>
          </w:r>
          <w:r>
            <w:rPr>
              <w:rFonts w:ascii="Trebuchet MS"/>
              <w:b/>
            </w:rPr>
            <w:t>N</w:t>
          </w:r>
        </w:p>
        <w:p w14:paraId="42411347" w14:textId="77777777" w:rsidR="005F0C22" w:rsidRPr="00F05BD6" w:rsidRDefault="005F0C22" w:rsidP="005F0C22">
          <w:pPr>
            <w:pStyle w:val="TableParagraph"/>
            <w:spacing w:line="245" w:lineRule="exact"/>
            <w:jc w:val="center"/>
            <w:rPr>
              <w:rFonts w:ascii="Trebuchet MS" w:hAnsi="Trebuchet MS"/>
              <w:b/>
              <w:lang w:val="es-419"/>
            </w:rPr>
          </w:pPr>
        </w:p>
      </w:tc>
    </w:tr>
  </w:tbl>
  <w:p w14:paraId="67B0271B" w14:textId="77777777" w:rsidR="00695E17" w:rsidRDefault="00695E17" w:rsidP="003338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F054B"/>
    <w:multiLevelType w:val="hybridMultilevel"/>
    <w:tmpl w:val="693EC6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D36BE5"/>
    <w:multiLevelType w:val="hybridMultilevel"/>
    <w:tmpl w:val="194AA10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440180">
    <w:abstractNumId w:val="0"/>
  </w:num>
  <w:num w:numId="2" w16cid:durableId="574510213">
    <w:abstractNumId w:val="2"/>
  </w:num>
  <w:num w:numId="3" w16cid:durableId="666596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CBB"/>
    <w:rsid w:val="00022EB5"/>
    <w:rsid w:val="00027F91"/>
    <w:rsid w:val="00055CAE"/>
    <w:rsid w:val="000A0CBB"/>
    <w:rsid w:val="0017000A"/>
    <w:rsid w:val="0022035A"/>
    <w:rsid w:val="0027132F"/>
    <w:rsid w:val="002724EC"/>
    <w:rsid w:val="00277358"/>
    <w:rsid w:val="00280E82"/>
    <w:rsid w:val="002E16FE"/>
    <w:rsid w:val="0035039C"/>
    <w:rsid w:val="00352A4B"/>
    <w:rsid w:val="00354204"/>
    <w:rsid w:val="00363AB4"/>
    <w:rsid w:val="004D56F8"/>
    <w:rsid w:val="00570EBF"/>
    <w:rsid w:val="00585CD4"/>
    <w:rsid w:val="005F0C22"/>
    <w:rsid w:val="00680D0D"/>
    <w:rsid w:val="00695E17"/>
    <w:rsid w:val="00724C9B"/>
    <w:rsid w:val="00764990"/>
    <w:rsid w:val="007F5D0E"/>
    <w:rsid w:val="008F3AAB"/>
    <w:rsid w:val="009009EB"/>
    <w:rsid w:val="00A60A80"/>
    <w:rsid w:val="00BD5C96"/>
    <w:rsid w:val="00BE27C6"/>
    <w:rsid w:val="00BF3B69"/>
    <w:rsid w:val="00C16729"/>
    <w:rsid w:val="00C659C8"/>
    <w:rsid w:val="00CF18B0"/>
    <w:rsid w:val="00D25081"/>
    <w:rsid w:val="00E7692A"/>
    <w:rsid w:val="00F051E6"/>
    <w:rsid w:val="00FC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3D008E9"/>
  <w15:chartTrackingRefBased/>
  <w15:docId w15:val="{2B409843-FD8A-4E28-9AAB-41A034F1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CB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FooterText,numbered,Paragraphe de liste1,Bulletr List Paragraph,列出段落,列出段落1,List Paragraph2,List Paragraph21,Listeafsnit1,Parágrafo da Lista1,lp1,Fotografía,Scitum normal,HOJA,Bolita,Párrafo de lista4,BOLADEF"/>
    <w:basedOn w:val="Normal"/>
    <w:link w:val="ListParagraphChar"/>
    <w:uiPriority w:val="34"/>
    <w:qFormat/>
    <w:rsid w:val="000A0CBB"/>
    <w:pPr>
      <w:ind w:left="720"/>
      <w:contextualSpacing/>
    </w:pPr>
  </w:style>
  <w:style w:type="paragraph" w:styleId="Header">
    <w:name w:val="header"/>
    <w:aliases w:val="h,h8,h9,h10,h18"/>
    <w:basedOn w:val="Normal"/>
    <w:link w:val="HeaderChar"/>
    <w:unhideWhenUsed/>
    <w:rsid w:val="000A0CBB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rsid w:val="000A0CBB"/>
    <w:rPr>
      <w:rFonts w:ascii="Cambria" w:eastAsia="MS Mincho" w:hAnsi="Cambria" w:cs="Times New Roman"/>
      <w:sz w:val="24"/>
      <w:szCs w:val="24"/>
      <w:lang w:val="es-ES_tradnl"/>
    </w:rPr>
  </w:style>
  <w:style w:type="paragraph" w:styleId="Footer">
    <w:name w:val="footer"/>
    <w:basedOn w:val="Normal"/>
    <w:link w:val="FooterChar"/>
    <w:uiPriority w:val="99"/>
    <w:unhideWhenUsed/>
    <w:rsid w:val="000A0CB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CBB"/>
    <w:rPr>
      <w:rFonts w:ascii="Cambria" w:eastAsia="MS Mincho" w:hAnsi="Cambria" w:cs="Times New Roman"/>
      <w:sz w:val="24"/>
      <w:szCs w:val="24"/>
      <w:lang w:val="es-ES_tradnl"/>
    </w:rPr>
  </w:style>
  <w:style w:type="character" w:customStyle="1" w:styleId="ListParagraphChar">
    <w:name w:val="List Paragraph Char"/>
    <w:aliases w:val="Bullet List Char,FooterText Char,numbered Char,Paragraphe de liste1 Char,Bulletr List Paragraph Char,列出段落 Char,列出段落1 Char,List Paragraph2 Char,List Paragraph21 Char,Listeafsnit1 Char,Parágrafo da Lista1 Char,lp1 Char,Fotografía Char"/>
    <w:link w:val="ListParagraph"/>
    <w:uiPriority w:val="34"/>
    <w:qFormat/>
    <w:locked/>
    <w:rsid w:val="000A0CBB"/>
    <w:rPr>
      <w:rFonts w:ascii="Cambria" w:eastAsia="MS Mincho" w:hAnsi="Cambria" w:cs="Times New Roman"/>
      <w:sz w:val="24"/>
      <w:szCs w:val="24"/>
      <w:lang w:val="es-ES_tradnl"/>
    </w:rPr>
  </w:style>
  <w:style w:type="paragraph" w:customStyle="1" w:styleId="xmsonormal">
    <w:name w:val="x_msonormal"/>
    <w:basedOn w:val="Normal"/>
    <w:rsid w:val="000A0CBB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BodyText">
    <w:name w:val="Body Text"/>
    <w:aliases w:val="bt"/>
    <w:basedOn w:val="Normal"/>
    <w:link w:val="BodyTextChar"/>
    <w:uiPriority w:val="99"/>
    <w:rsid w:val="000A0CBB"/>
    <w:pPr>
      <w:suppressAutoHyphens/>
      <w:spacing w:after="120" w:line="276" w:lineRule="auto"/>
    </w:pPr>
    <w:rPr>
      <w:rFonts w:ascii="Calibri" w:eastAsia="Times New Roman" w:hAnsi="Calibri" w:cs="Calibri"/>
      <w:sz w:val="22"/>
      <w:szCs w:val="22"/>
      <w:lang w:val="es-ES" w:eastAsia="ar-SA"/>
    </w:rPr>
  </w:style>
  <w:style w:type="character" w:customStyle="1" w:styleId="BodyTextChar">
    <w:name w:val="Body Text Char"/>
    <w:aliases w:val="bt Char"/>
    <w:basedOn w:val="DefaultParagraphFont"/>
    <w:link w:val="BodyText"/>
    <w:uiPriority w:val="99"/>
    <w:rsid w:val="000A0CBB"/>
    <w:rPr>
      <w:rFonts w:ascii="Calibri" w:eastAsia="Times New Roman" w:hAnsi="Calibri" w:cs="Calibri"/>
      <w:lang w:val="es-ES" w:eastAsia="ar-SA"/>
    </w:rPr>
  </w:style>
  <w:style w:type="paragraph" w:customStyle="1" w:styleId="TableParagraph">
    <w:name w:val="Table Paragraph"/>
    <w:basedOn w:val="Normal"/>
    <w:uiPriority w:val="1"/>
    <w:qFormat/>
    <w:rsid w:val="000A0CBB"/>
    <w:pPr>
      <w:widowControl w:val="0"/>
    </w:pPr>
    <w:rPr>
      <w:rFonts w:ascii="Calibri" w:eastAsia="Calibri" w:hAnsi="Calibri"/>
      <w:sz w:val="22"/>
      <w:szCs w:val="22"/>
      <w:lang w:val="es-CO"/>
    </w:rPr>
  </w:style>
  <w:style w:type="paragraph" w:customStyle="1" w:styleId="Capitulo2">
    <w:name w:val="Capitulo 2"/>
    <w:basedOn w:val="Normal"/>
    <w:autoRedefine/>
    <w:qFormat/>
    <w:rsid w:val="009009EB"/>
    <w:pPr>
      <w:keepNext/>
      <w:ind w:right="-141"/>
      <w:jc w:val="both"/>
      <w:outlineLvl w:val="1"/>
    </w:pPr>
    <w:rPr>
      <w:rFonts w:ascii="Trebuchet MS" w:eastAsia="Calibri" w:hAnsi="Trebuchet MS" w:cs="Segoe UI"/>
      <w:b/>
      <w:bCs/>
      <w:sz w:val="22"/>
      <w:szCs w:val="22"/>
      <w:lang w:val="es-CO"/>
    </w:rPr>
  </w:style>
  <w:style w:type="paragraph" w:customStyle="1" w:styleId="InviasNormal">
    <w:name w:val="Invias Normal"/>
    <w:basedOn w:val="Normal"/>
    <w:link w:val="InviasNormalCar"/>
    <w:qFormat/>
    <w:rsid w:val="00695E1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/>
      <w:color w:val="3B3838"/>
      <w:lang w:val="x-none" w:eastAsia="es-ES"/>
    </w:rPr>
  </w:style>
  <w:style w:type="character" w:customStyle="1" w:styleId="InviasNormalCar">
    <w:name w:val="Invias Normal Car"/>
    <w:link w:val="InviasNormal"/>
    <w:locked/>
    <w:rsid w:val="00695E17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1155</Words>
  <Characters>6476</Characters>
  <Application>Microsoft Office Word</Application>
  <DocSecurity>0</DocSecurity>
  <Lines>111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Andrea Perico Sanchez</dc:creator>
  <cp:keywords/>
  <dc:description/>
  <cp:lastModifiedBy>Jessica Sabbah </cp:lastModifiedBy>
  <cp:revision>4</cp:revision>
  <dcterms:created xsi:type="dcterms:W3CDTF">2025-11-25T18:01:00Z</dcterms:created>
  <dcterms:modified xsi:type="dcterms:W3CDTF">2025-11-25T18:01:00Z</dcterms:modified>
</cp:coreProperties>
</file>