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4090229A" w:rsidR="002F66D1" w:rsidRDefault="16AAF97D" w:rsidP="00D45DF0">
      <w:pPr>
        <w:jc w:val="both"/>
        <w:rPr>
          <w:rFonts w:ascii="Arial" w:hAnsi="Arial" w:cs="Arial"/>
          <w:sz w:val="20"/>
          <w:szCs w:val="20"/>
          <w:lang w:val="es-ES"/>
        </w:rPr>
      </w:pPr>
      <w:r w:rsidRPr="540FEC18">
        <w:rPr>
          <w:rFonts w:ascii="Arial" w:hAnsi="Arial" w:cs="Arial"/>
          <w:sz w:val="20"/>
          <w:szCs w:val="20"/>
          <w:lang w:val="es-ES"/>
        </w:rPr>
        <w:t>Para efectos de interpretac</w:t>
      </w:r>
      <w:r w:rsidR="00D45DF0">
        <w:rPr>
          <w:rFonts w:ascii="Arial" w:hAnsi="Arial" w:cs="Arial"/>
          <w:sz w:val="20"/>
          <w:szCs w:val="20"/>
          <w:lang w:val="es-ES"/>
        </w:rPr>
        <w:t>ión del pliego de condiciones:</w:t>
      </w:r>
      <w:r w:rsidRPr="540FEC18">
        <w:rPr>
          <w:rFonts w:ascii="Arial" w:hAnsi="Arial" w:cs="Arial"/>
          <w:sz w:val="20"/>
          <w:szCs w:val="20"/>
          <w:lang w:val="es-ES"/>
        </w:rPr>
        <w:t xml:space="preserve"> </w:t>
      </w:r>
    </w:p>
    <w:p w14:paraId="5015A985" w14:textId="77777777" w:rsidR="00C915DF" w:rsidRDefault="00C915DF" w:rsidP="00D45DF0">
      <w:pPr>
        <w:jc w:val="both"/>
        <w:rPr>
          <w:rFonts w:ascii="Arial" w:hAnsi="Arial" w:cs="Arial"/>
          <w:sz w:val="20"/>
          <w:szCs w:val="20"/>
          <w:lang w:val="es-ES"/>
        </w:rPr>
      </w:pPr>
    </w:p>
    <w:p w14:paraId="6067EBDE" w14:textId="31D4CD04"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para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lastRenderedPageBreak/>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los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w:t>
      </w:r>
      <w:r w:rsidR="004A4A54" w:rsidRPr="00FA119E">
        <w:rPr>
          <w:rFonts w:ascii="Arial" w:hAnsi="Arial" w:cs="Arial"/>
          <w:sz w:val="20"/>
          <w:szCs w:val="20"/>
          <w:lang w:val="es-ES"/>
        </w:rPr>
        <w:lastRenderedPageBreak/>
        <w:t xml:space="preserve">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w:t>
      </w:r>
      <w:r w:rsidR="00D104CA" w:rsidRPr="00FA119E">
        <w:rPr>
          <w:rFonts w:ascii="Arial" w:hAnsi="Arial" w:cs="Arial"/>
          <w:sz w:val="20"/>
          <w:szCs w:val="20"/>
          <w:lang w:val="es-ES"/>
        </w:rPr>
        <w:lastRenderedPageBreak/>
        <w:t xml:space="preserve">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(ii) fiducia mercantil de garantía o (iii)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w:t>
      </w:r>
      <w:r w:rsidR="00CE7DBD" w:rsidRPr="00FA119E">
        <w:rPr>
          <w:rFonts w:ascii="Arial" w:hAnsi="Arial" w:cs="Arial"/>
          <w:sz w:val="20"/>
          <w:szCs w:val="20"/>
          <w:lang w:val="es-ES"/>
        </w:rPr>
        <w:lastRenderedPageBreak/>
        <w:t>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r w:rsidRPr="00FA119E">
        <w:rPr>
          <w:rFonts w:ascii="Arial" w:hAnsi="Arial" w:cs="Arial"/>
          <w:b/>
          <w:bCs/>
          <w:sz w:val="20"/>
          <w:szCs w:val="20"/>
        </w:rPr>
        <w:t xml:space="preserve">Pliego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Tipo</w:t>
      </w:r>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Agencia Nacional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r w:rsidR="000605AA" w:rsidRPr="00FA119E">
        <w:rPr>
          <w:rFonts w:ascii="Arial" w:hAnsi="Arial" w:cs="Arial"/>
          <w:sz w:val="20"/>
          <w:szCs w:val="20"/>
        </w:rPr>
        <w:t xml:space="preserve">Pública - </w:t>
      </w:r>
      <w:r w:rsidR="008645CE" w:rsidRPr="00FA119E">
        <w:rPr>
          <w:rFonts w:ascii="Arial" w:hAnsi="Arial" w:cs="Arial"/>
          <w:sz w:val="20"/>
          <w:szCs w:val="20"/>
        </w:rPr>
        <w:t xml:space="preserve">Colombia </w:t>
      </w:r>
      <w:proofErr w:type="spellStart"/>
      <w:r w:rsidR="008645CE" w:rsidRPr="00FA119E">
        <w:rPr>
          <w:rFonts w:ascii="Arial" w:hAnsi="Arial" w:cs="Arial"/>
          <w:sz w:val="20"/>
          <w:szCs w:val="20"/>
        </w:rPr>
        <w:t>Compra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que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las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en</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el</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6530777A" w14:textId="7989007A" w:rsidR="00E6692C" w:rsidRPr="00C52DB0" w:rsidRDefault="00E6692C" w:rsidP="4A4D356B">
      <w:pPr>
        <w:jc w:val="both"/>
        <w:rPr>
          <w:rFonts w:ascii="Arial" w:hAnsi="Arial" w:cs="Arial"/>
          <w:sz w:val="20"/>
          <w:szCs w:val="20"/>
          <w:lang w:val="es-ES"/>
        </w:rPr>
      </w:pPr>
      <w:r w:rsidRPr="00C52DB0">
        <w:rPr>
          <w:rFonts w:ascii="Arial" w:hAnsi="Arial" w:cs="Arial"/>
          <w:sz w:val="20"/>
          <w:szCs w:val="20"/>
          <w:lang w:val="es-ES"/>
        </w:rPr>
        <w:t xml:space="preserve">A continuación, se relaciona las definiciones </w:t>
      </w:r>
      <w:proofErr w:type="spellStart"/>
      <w:r w:rsidRPr="00C52DB0">
        <w:rPr>
          <w:rFonts w:ascii="Arial" w:hAnsi="Arial" w:cs="Arial"/>
          <w:sz w:val="20"/>
          <w:szCs w:val="20"/>
          <w:lang w:val="es-ES"/>
        </w:rPr>
        <w:t>establecidad</w:t>
      </w:r>
      <w:proofErr w:type="spellEnd"/>
      <w:r w:rsidRPr="00C52DB0">
        <w:rPr>
          <w:rFonts w:ascii="Arial" w:hAnsi="Arial" w:cs="Arial"/>
          <w:sz w:val="20"/>
          <w:szCs w:val="20"/>
          <w:lang w:val="es-ES"/>
        </w:rPr>
        <w:t xml:space="preserve"> en el </w:t>
      </w:r>
      <w:proofErr w:type="spellStart"/>
      <w:r w:rsidRPr="00C52DB0">
        <w:rPr>
          <w:rFonts w:ascii="Arial" w:hAnsi="Arial" w:cs="Arial"/>
          <w:sz w:val="20"/>
          <w:szCs w:val="20"/>
          <w:lang w:val="es-ES"/>
        </w:rPr>
        <w:t>Articulo</w:t>
      </w:r>
      <w:proofErr w:type="spellEnd"/>
      <w:r w:rsidRPr="00C52DB0">
        <w:rPr>
          <w:rFonts w:ascii="Arial" w:hAnsi="Arial" w:cs="Arial"/>
          <w:sz w:val="20"/>
          <w:szCs w:val="20"/>
          <w:lang w:val="es-ES"/>
        </w:rPr>
        <w:t xml:space="preserve"> 4 de la </w:t>
      </w:r>
      <w:r w:rsidR="00C52DB0" w:rsidRPr="00C52DB0">
        <w:rPr>
          <w:rFonts w:ascii="Arial" w:hAnsi="Arial" w:cs="Arial"/>
          <w:sz w:val="20"/>
          <w:szCs w:val="20"/>
          <w:lang w:val="es-ES"/>
        </w:rPr>
        <w:t>Ley 1523 de 2012</w:t>
      </w:r>
      <w:r w:rsidR="00C52DB0" w:rsidRPr="00C52DB0">
        <w:rPr>
          <w:rFonts w:ascii="Arial" w:hAnsi="Arial" w:cs="Arial"/>
          <w:sz w:val="20"/>
          <w:szCs w:val="20"/>
          <w:lang w:val="es-ES"/>
        </w:rPr>
        <w:t xml:space="preserve">: </w:t>
      </w:r>
    </w:p>
    <w:p w14:paraId="1B929A53" w14:textId="77777777" w:rsidR="00E6692C" w:rsidRPr="00C52DB0" w:rsidRDefault="00E6692C" w:rsidP="4A4D356B">
      <w:pPr>
        <w:jc w:val="both"/>
        <w:rPr>
          <w:rFonts w:ascii="Arial" w:hAnsi="Arial" w:cs="Arial"/>
          <w:sz w:val="20"/>
          <w:szCs w:val="20"/>
          <w:lang w:val="es-ES"/>
        </w:rPr>
      </w:pPr>
    </w:p>
    <w:p w14:paraId="0B435321"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 Adaptación:</w:t>
      </w:r>
      <w:r w:rsidRPr="00FB02AF">
        <w:rPr>
          <w:rFonts w:ascii="Arial" w:hAnsi="Arial" w:cs="Arial"/>
          <w:sz w:val="20"/>
          <w:szCs w:val="20"/>
          <w:lang w:val="es-419"/>
        </w:rPr>
        <w:t xml:space="preserve"> Comprende el ajuste de los sistemas naturales o humanos a los estímulos climáticos actuales o esperados o a sus efectos, con el fin de moderar perjuicios o explotar oportunidades beneficiosas, En el caso de los eventos hidrometeorológicos la Adaptación al Cambio Climático corresponde a la gestión del riesgo de desastres en la medida en que está encaminada a la reducción </w:t>
      </w:r>
      <w:r w:rsidRPr="00FB02AF">
        <w:rPr>
          <w:rFonts w:ascii="Arial" w:hAnsi="Arial" w:cs="Arial"/>
          <w:sz w:val="20"/>
          <w:szCs w:val="20"/>
          <w:lang w:val="es-419"/>
        </w:rPr>
        <w:lastRenderedPageBreak/>
        <w:t>de la vulnerabilidad o al mejoramiento de la resiliencia en respuesta a los cambios observados o esperados del clima y su variabilidad. </w:t>
      </w:r>
    </w:p>
    <w:p w14:paraId="30D8C6B2"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074B6CDD"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 Alerta:</w:t>
      </w:r>
      <w:r w:rsidRPr="00FB02AF">
        <w:rPr>
          <w:rFonts w:ascii="Arial" w:hAnsi="Arial" w:cs="Arial"/>
          <w:sz w:val="20"/>
          <w:szCs w:val="20"/>
          <w:lang w:val="es-419"/>
        </w:rPr>
        <w:t> Estado que se declara con anterioridad a la manifestación de un evento peligroso, con base en el monitoreo del comportamiento del respectivo fenómeno, con el fin de que las entidades y la población involucrada activen procedimientos de acción previamente establecidos. </w:t>
      </w:r>
    </w:p>
    <w:p w14:paraId="739C17B9"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46471250"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3. Amenaza:</w:t>
      </w:r>
      <w:r w:rsidRPr="00FB02AF">
        <w:rPr>
          <w:rFonts w:ascii="Arial" w:hAnsi="Arial" w:cs="Arial"/>
          <w:sz w:val="20"/>
          <w:szCs w:val="20"/>
          <w:lang w:val="es-419"/>
        </w:rPr>
        <w:t> Peligro latente de que un evento físico de origen natural, o causado, o inducido por la acción humana de manera accidental, se presente con una severidad suficiente para causar pérdida de vidas, lesiones u otros impactos en la salud, así como también daños y pérdidas en los bienes, la infraestructura, los medios de sustento, la prestación de servicios y los recursos ambientales. </w:t>
      </w:r>
    </w:p>
    <w:p w14:paraId="2F965584"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355B6340"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4. Análisis y evaluación del riesgo:</w:t>
      </w:r>
      <w:r w:rsidRPr="00FB02AF">
        <w:rPr>
          <w:rFonts w:ascii="Arial" w:hAnsi="Arial" w:cs="Arial"/>
          <w:sz w:val="20"/>
          <w:szCs w:val="20"/>
          <w:lang w:val="es-419"/>
        </w:rPr>
        <w:t> Implica la consideración de las causas y fuentes del riesgo, sus consecuencias y la probabilidad de que dichas consecuencias puedan ocurrir. Es el modelo mediante el cual se relaciona la amenaza y la vulnerabilidad de los elementos expuestos, con el fin de determinar los posibles efectos sociales, económicos y ambientales y sus probabilidades. Se estima el valor de los daños y las pérdidas potenciales, y se compara con criterios de seguridad establecidos, con el propósito de definir tipos de intervención y alcance de la reducción del riesgo y preparación para la respuesta y recuperación. </w:t>
      </w:r>
    </w:p>
    <w:p w14:paraId="0DFB4DDE"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7CE6F94A"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5. Calamidad pública: </w:t>
      </w:r>
      <w:r w:rsidRPr="00FB02AF">
        <w:rPr>
          <w:rFonts w:ascii="Arial" w:hAnsi="Arial" w:cs="Arial"/>
          <w:sz w:val="20"/>
          <w:szCs w:val="20"/>
          <w:lang w:val="es-419"/>
        </w:rPr>
        <w:t>Es el resultado que se desencadena de la manifestación de uno o varios eventos naturales o antropogénicos no intencionales que al encontrar condiciones propicias de vulnerabilidad en las personas, las personas, los bienes, la infraestructura, los medios de subsistencia, la prestación de servicios; los recursos ambientales, causa daños o pérdidas de vidas humanas o animales, materiales, económicas o ambienta- les, generando una alteración intensa, grave y extendida en las condiciones normales de funcionamiento de la población, en el respectivo territorio, que exige al municipio, distrito o departamento ejecutar acciones de respuesta a la emergencia, rehabilitación y reconstrucción. </w:t>
      </w:r>
    </w:p>
    <w:p w14:paraId="43F67C33"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62079527"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6. Cambio climático:</w:t>
      </w:r>
      <w:r w:rsidRPr="00FB02AF">
        <w:rPr>
          <w:rFonts w:ascii="Arial" w:hAnsi="Arial" w:cs="Arial"/>
          <w:sz w:val="20"/>
          <w:szCs w:val="20"/>
          <w:lang w:val="es-419"/>
        </w:rPr>
        <w:t> Importante variación estadística en el estado medio del clima o en su variabilidad, que persiste durante un período prolongado (normalmente decenios o incluso más). El cambio climático se puede deber a procesos naturales internos o a cambios del forzamiento externo, o bien a cambios persistentes antropogénicos en la composición de la atmósfera o en el uso de las tierras. </w:t>
      </w:r>
    </w:p>
    <w:p w14:paraId="57F1F732"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78A526EE"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7. Conocimiento del riesgo:</w:t>
      </w:r>
      <w:r w:rsidRPr="00FB02AF">
        <w:rPr>
          <w:rFonts w:ascii="Arial" w:hAnsi="Arial" w:cs="Arial"/>
          <w:sz w:val="20"/>
          <w:szCs w:val="20"/>
          <w:lang w:val="es-419"/>
        </w:rPr>
        <w:t xml:space="preserve"> Es el proceso de la gestión del riesgo compuesto por la identificación de escenarios de riesgo, el análisis y evaluación del riesgo, el monitoreo y seguimiento del riesgo y sus componentes y la comunicación para promover una mayor conciencia </w:t>
      </w:r>
      <w:proofErr w:type="gramStart"/>
      <w:r w:rsidRPr="00FB02AF">
        <w:rPr>
          <w:rFonts w:ascii="Arial" w:hAnsi="Arial" w:cs="Arial"/>
          <w:sz w:val="20"/>
          <w:szCs w:val="20"/>
          <w:lang w:val="es-419"/>
        </w:rPr>
        <w:t>del mismo</w:t>
      </w:r>
      <w:proofErr w:type="gramEnd"/>
      <w:r w:rsidRPr="00FB02AF">
        <w:rPr>
          <w:rFonts w:ascii="Arial" w:hAnsi="Arial" w:cs="Arial"/>
          <w:sz w:val="20"/>
          <w:szCs w:val="20"/>
          <w:lang w:val="es-419"/>
        </w:rPr>
        <w:t xml:space="preserve"> que alimenta los procesos de reducción del riesgo y de manejo de desastre. </w:t>
      </w:r>
    </w:p>
    <w:p w14:paraId="72D37CA2"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36613C94"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8. Desastre: </w:t>
      </w:r>
      <w:r w:rsidRPr="00FB02AF">
        <w:rPr>
          <w:rFonts w:ascii="Arial" w:hAnsi="Arial" w:cs="Arial"/>
          <w:sz w:val="20"/>
          <w:szCs w:val="20"/>
          <w:lang w:val="es-419"/>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o los animales, causa daños o pérdidas de vidas humanas o animales,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4B5DB8A1"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6580E189"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9. Emergencia:</w:t>
      </w:r>
      <w:r w:rsidRPr="00FB02AF">
        <w:rPr>
          <w:rFonts w:ascii="Arial" w:hAnsi="Arial" w:cs="Arial"/>
          <w:sz w:val="20"/>
          <w:szCs w:val="20"/>
          <w:lang w:val="es-419"/>
        </w:rPr>
        <w:t xml:space="preserve"> Situación caracterizada por la alteración o interrupción intensa y grave de las condiciones normales de funcionamiento u operación de una comunidad, causada por un evento adverso o por la inminencia </w:t>
      </w:r>
      <w:proofErr w:type="gramStart"/>
      <w:r w:rsidRPr="00FB02AF">
        <w:rPr>
          <w:rFonts w:ascii="Arial" w:hAnsi="Arial" w:cs="Arial"/>
          <w:sz w:val="20"/>
          <w:szCs w:val="20"/>
          <w:lang w:val="es-419"/>
        </w:rPr>
        <w:t>del mismo</w:t>
      </w:r>
      <w:proofErr w:type="gramEnd"/>
      <w:r w:rsidRPr="00FB02AF">
        <w:rPr>
          <w:rFonts w:ascii="Arial" w:hAnsi="Arial" w:cs="Arial"/>
          <w:sz w:val="20"/>
          <w:szCs w:val="20"/>
          <w:lang w:val="es-419"/>
        </w:rPr>
        <w:t>, que obliga a una reacción inmediata y que requiere la respuesta de las instituciones del Estado, los medios de comunicación y de la comunidad en general. </w:t>
      </w:r>
    </w:p>
    <w:p w14:paraId="1C5937F0"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25C3ACA2"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lastRenderedPageBreak/>
        <w:t>10. Exposición (elementos expuestos): </w:t>
      </w:r>
      <w:r w:rsidRPr="00FB02AF">
        <w:rPr>
          <w:rFonts w:ascii="Arial" w:hAnsi="Arial" w:cs="Arial"/>
          <w:sz w:val="20"/>
          <w:szCs w:val="20"/>
          <w:lang w:val="es-419"/>
        </w:rPr>
        <w:t>Se refiere a la presencia de personas; animales, medios de subsistencia, servicios ambientales y recursos económicos y sociales, bienes culturales e infraestructura que por su localización pueden ser afectados por la manifestación de una amenaza. </w:t>
      </w:r>
    </w:p>
    <w:p w14:paraId="5EC29067"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692A992E"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11. Gestión del riesgo: </w:t>
      </w:r>
      <w:r w:rsidRPr="00FB02AF">
        <w:rPr>
          <w:rFonts w:ascii="Arial" w:hAnsi="Arial" w:cs="Arial"/>
          <w:sz w:val="20"/>
          <w:szCs w:val="20"/>
          <w:lang w:val="es-419"/>
        </w:rPr>
        <w:t xml:space="preserve">Es el proceso social de planeación, ejecución, seguimiento y evaluación de políticas y acciones permanentes para el conocimiento del riesgo y promoción de una mayor conciencia </w:t>
      </w:r>
      <w:proofErr w:type="gramStart"/>
      <w:r w:rsidRPr="00FB02AF">
        <w:rPr>
          <w:rFonts w:ascii="Arial" w:hAnsi="Arial" w:cs="Arial"/>
          <w:sz w:val="20"/>
          <w:szCs w:val="20"/>
          <w:lang w:val="es-419"/>
        </w:rPr>
        <w:t>del mismo</w:t>
      </w:r>
      <w:proofErr w:type="gramEnd"/>
      <w:r w:rsidRPr="00FB02AF">
        <w:rPr>
          <w:rFonts w:ascii="Arial" w:hAnsi="Arial" w:cs="Arial"/>
          <w:sz w:val="20"/>
          <w:szCs w:val="20"/>
          <w:lang w:val="es-419"/>
        </w:rPr>
        <w:t>, impedir o evitar que se genere; reducirlo o controlarlo cuando ya existe y para prepararse y manejar las situaciones de desastre, así como para la posterior recuperación, entiéndase: rehabilitación y reconstrucción. Estas acciones tienen el propósito explícito de contribuir a la seguridad, el bienestar y calidad de vida de las personas, la protección y el cuidado de los animales y al desarrollo sostenible. </w:t>
      </w:r>
    </w:p>
    <w:p w14:paraId="22436AC8"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0F6431CF"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12. Intervención:</w:t>
      </w:r>
      <w:r w:rsidRPr="00FB02AF">
        <w:rPr>
          <w:rFonts w:ascii="Arial" w:hAnsi="Arial" w:cs="Arial"/>
          <w:sz w:val="20"/>
          <w:szCs w:val="20"/>
          <w:lang w:val="es-419"/>
        </w:rPr>
        <w:t> Corresponde al tratamiento del riesgo mediante la modificación intencional de las características de un fenómeno con el fin de reducir la amenaza que representa o de modificar las características intrínsecas de un elemento expuesto con el fin de reducir su vulnerabilidad. </w:t>
      </w:r>
    </w:p>
    <w:p w14:paraId="11D779B1"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12642437"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13. Intervención correctiva:</w:t>
      </w:r>
      <w:r w:rsidRPr="00FB02AF">
        <w:rPr>
          <w:rFonts w:ascii="Arial" w:hAnsi="Arial" w:cs="Arial"/>
          <w:sz w:val="20"/>
          <w:szCs w:val="20"/>
          <w:lang w:val="es-419"/>
        </w:rPr>
        <w:t> Proceso cuyo objetivo es reducir el nivel de riesgo existente en la sociedad a través de acciones de mitigación, en el sentido de disminuir o reducir las condiciones de amenaza, cuando sea posible, y la vulnerabilidad de los elementos expuestos. </w:t>
      </w:r>
    </w:p>
    <w:p w14:paraId="26CE0C34"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49B6DF89"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14. Intervención prospectiva:</w:t>
      </w:r>
      <w:r w:rsidRPr="00FB02AF">
        <w:rPr>
          <w:rFonts w:ascii="Arial" w:hAnsi="Arial" w:cs="Arial"/>
          <w:sz w:val="20"/>
          <w:szCs w:val="20"/>
          <w:lang w:val="es-419"/>
        </w:rPr>
        <w:t> Proceso cuyo objetivo es garantizar que no surjan nuevas situaciones de riesgo a través de acciones de prevención, impidiendo que los elementos expuestos sean vulnerables o que lleguen a estar expuestos ante posibles eventos peligrosos. Su objetivo último es evitar nuevo riesgo y la necesidad de intervenciones correctivas en el futuro. La intervención prospectiva se realiza primordialmente a través de la planificación ambiental sostenible, el ordenamiento territorial, la planificación sectorial, la regulación y las especificaciones técnicas, los estudios de prefactibilidad y diseño adecuados, el control y seguimiento y en general todos aquellos mecanismos que contribuyan de manera anticipada a la localización, construcción y funcionamiento seguro de la infraestructura, los bienes y la población. </w:t>
      </w:r>
    </w:p>
    <w:p w14:paraId="07AA70E7"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30B9F123"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15. Manejo de desastres:</w:t>
      </w:r>
      <w:r w:rsidRPr="00FB02AF">
        <w:rPr>
          <w:rFonts w:ascii="Arial" w:hAnsi="Arial" w:cs="Arial"/>
          <w:sz w:val="20"/>
          <w:szCs w:val="20"/>
          <w:lang w:val="es-419"/>
        </w:rPr>
        <w:t xml:space="preserve"> Es el proceso de la gestión del riesgo compuesto por la preparación para la respuesta a emergencias, la preparación para la recuperación </w:t>
      </w:r>
      <w:proofErr w:type="spellStart"/>
      <w:r w:rsidRPr="00FB02AF">
        <w:rPr>
          <w:rFonts w:ascii="Arial" w:hAnsi="Arial" w:cs="Arial"/>
          <w:sz w:val="20"/>
          <w:szCs w:val="20"/>
          <w:lang w:val="es-419"/>
        </w:rPr>
        <w:t>posdesastre</w:t>
      </w:r>
      <w:proofErr w:type="spellEnd"/>
      <w:r w:rsidRPr="00FB02AF">
        <w:rPr>
          <w:rFonts w:ascii="Arial" w:hAnsi="Arial" w:cs="Arial"/>
          <w:sz w:val="20"/>
          <w:szCs w:val="20"/>
          <w:lang w:val="es-419"/>
        </w:rPr>
        <w:t>, la ejecución de dicha respuesta y la ejecución de la respectiva recuperación, entiéndase: rehabilitación y recuperación. </w:t>
      </w:r>
    </w:p>
    <w:p w14:paraId="68648D6D"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749273E6"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16. Mitigación del riesgo:</w:t>
      </w:r>
      <w:r w:rsidRPr="00FB02AF">
        <w:rPr>
          <w:rFonts w:ascii="Arial" w:hAnsi="Arial" w:cs="Arial"/>
          <w:sz w:val="20"/>
          <w:szCs w:val="20"/>
          <w:lang w:val="es-419"/>
        </w:rPr>
        <w:t> Medidas de intervención prescriptiva o correctiva dirigidas a reducir o disminuir los daños y pérdidas que se puedan presentar a través de reglamentos de seguridad y proyectos de inversión pública o privada cuyo objetivo es reducir las condiciones de amenaza, cuando sea posible, y la vulnerabilidad existente. </w:t>
      </w:r>
    </w:p>
    <w:p w14:paraId="31752E93"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77888628"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17. Preparación:</w:t>
      </w:r>
      <w:r w:rsidRPr="00FB02AF">
        <w:rPr>
          <w:rFonts w:ascii="Arial" w:hAnsi="Arial" w:cs="Arial"/>
          <w:sz w:val="20"/>
          <w:szCs w:val="20"/>
          <w:lang w:val="es-419"/>
        </w:rPr>
        <w:t> Es el conjunto de acciones principalmente de coordinación, sistemas de alerta, capacitación, equipamiento, centros de reserva y albergues y entrenamiento, con el propósito de optimizar la ejecución de los diferentes servicios básicos de respuesta, como accesibilidad y transporte, telecomunicaciones, evaluación de daños y análisis de necesidades, salud y saneamiento básico, búsqueda y rescate, extinción de incendios y manejo de materiales peligrosos, albergues y alimentación, servicios públicos, seguridad y convivencia, aspectos financieros y legales, información pública y el manejo general de la respuesta, entre otros. </w:t>
      </w:r>
    </w:p>
    <w:p w14:paraId="4B8F94AE"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5E47C3A1"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18. Prevención de riesgo:</w:t>
      </w:r>
      <w:r w:rsidRPr="00FB02AF">
        <w:rPr>
          <w:rFonts w:ascii="Arial" w:hAnsi="Arial" w:cs="Arial"/>
          <w:sz w:val="20"/>
          <w:szCs w:val="20"/>
          <w:lang w:val="es-419"/>
        </w:rPr>
        <w:t> Medidas y acciones de intervención restrictiva o prospectiva dispuestas con anticipación con el fin de evitar que se genere riesgo. Puede enfocarse a evitar o neutralizar la amenaza o la exposición y la vulnerabilidad ante la misma en forma definitiva para impedir que se genere nuevo riesgo. Los instrumentos esenciales de la prevención son aquellos previstos en la planificación, la inversión pública y el ordenamiento ambiental territorial, que tienen como objetivo reglamentar el uso y la ocupación del suelo de forma segura y sostenible. </w:t>
      </w:r>
    </w:p>
    <w:p w14:paraId="0228F153"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77BEBDF6"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lastRenderedPageBreak/>
        <w:t>19. Protección financiera:</w:t>
      </w:r>
      <w:r w:rsidRPr="00FB02AF">
        <w:rPr>
          <w:rFonts w:ascii="Arial" w:hAnsi="Arial" w:cs="Arial"/>
          <w:sz w:val="20"/>
          <w:szCs w:val="20"/>
          <w:lang w:val="es-419"/>
        </w:rPr>
        <w:t> Mecanismos o instrumentos financieros de retención intencional o transferencia del riesgo que se establecen en forma ex ante con el fin de acceder de manera ex post a recursos económicos oportunos para la atención de emergencias y la recuperación. </w:t>
      </w:r>
    </w:p>
    <w:p w14:paraId="6B8A8B24"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3D08CFE7"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20. Recuperación:</w:t>
      </w:r>
      <w:r w:rsidRPr="00FB02AF">
        <w:rPr>
          <w:rFonts w:ascii="Arial" w:hAnsi="Arial" w:cs="Arial"/>
          <w:sz w:val="20"/>
          <w:szCs w:val="20"/>
          <w:lang w:val="es-419"/>
        </w:rPr>
        <w:t> Son las acciones para el restablecimiento de las condiciones normales de vida mediante la rehabilitación, reparación o reconstrucción del área afectada, los bienes y servicios interrumpidos o deteriorados y el restablecimiento e impulso del desarrollo económico y social de la comunidad. La recuperación tiene como propósito central evitar la reproducción de las condiciones de riesgo preexistentes en el área o sector afectado. </w:t>
      </w:r>
    </w:p>
    <w:p w14:paraId="161C9315"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61434F03"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21. Reducción del riesgo: </w:t>
      </w:r>
      <w:r w:rsidRPr="00FB02AF">
        <w:rPr>
          <w:rFonts w:ascii="Arial" w:hAnsi="Arial" w:cs="Arial"/>
          <w:sz w:val="20"/>
          <w:szCs w:val="20"/>
          <w:lang w:val="es-419"/>
        </w:rPr>
        <w:t>Es el proceso de la gestión del riesgo, está compuesto por la intervención dirigida a modificar o disminuir las condiciones de riesgo existentes, entiéndase: mitigación del riesgo y a evitar nuevo riesgo en el territorio, entiéndase: prevención del riesgo. Son medidas de mitigación y prevención que se adoptan con antelación para reducir la amenaza, la ex- posición y disminuir la vulnerabilidad de las personas, los animales, los medios de subsistencia, los bienes, la infraestructura y los recursos ambientales, para evitar o minimizar los daños y pérdidas en caso de producirse los eventos físicos peligrosos. La reducción del riesgo la componen la intervención correctiva del riesgo existente, la intervención prospectiva de nuevo riesgo y la protección financiera. </w:t>
      </w:r>
    </w:p>
    <w:p w14:paraId="6E3B23BE"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6DD72150"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22. Reglamentación prescriptiva:</w:t>
      </w:r>
      <w:r w:rsidRPr="00FB02AF">
        <w:rPr>
          <w:rFonts w:ascii="Arial" w:hAnsi="Arial" w:cs="Arial"/>
          <w:sz w:val="20"/>
          <w:szCs w:val="20"/>
          <w:lang w:val="es-419"/>
        </w:rPr>
        <w:t> Disposiciones cuyo objetivo es determinar en forma explícita exigencias mínimas de seguridad en elementos que están o van a estar expuestos en áreas propensas a eventos peligrosos con el fin de preestablecer el nivel de riesgo aceptable en dichas áreas. </w:t>
      </w:r>
    </w:p>
    <w:p w14:paraId="7125EC7A"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56EDEC3F"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23. Reglamentación restrictiva:</w:t>
      </w:r>
      <w:r w:rsidRPr="00FB02AF">
        <w:rPr>
          <w:rFonts w:ascii="Arial" w:hAnsi="Arial" w:cs="Arial"/>
          <w:sz w:val="20"/>
          <w:szCs w:val="20"/>
          <w:lang w:val="es-419"/>
        </w:rPr>
        <w:t> Disposiciones cuyo objetivo es evitar la configuración de nuevo riesgo mediante la prohibición taxativa de la ocupación permanente de áreas expuestas y propensas a eventos peligrosos. Es fundamental para la planificación ambiental y territorial sostenible. </w:t>
      </w:r>
    </w:p>
    <w:p w14:paraId="008D0455"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3CEBE362"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24. Respuesta:</w:t>
      </w:r>
      <w:r w:rsidRPr="00FB02AF">
        <w:rPr>
          <w:rFonts w:ascii="Arial" w:hAnsi="Arial" w:cs="Arial"/>
          <w:sz w:val="20"/>
          <w:szCs w:val="20"/>
          <w:lang w:val="es-419"/>
        </w:rPr>
        <w:t> Ejecución de las actividades necesarias para la atención de la emergencia como accesibilidad y transporte, telecomunicaciones, evaluación de daños y análisis de necesidades, salud y saneamiento básico, búsqueda y rescate, extinción de incendios y manejo de materiales peligrosos, albergues y alimentación, servicios públicos, seguridad y convivencia, aspectos financieros y legales, información pública y el manejo general de la respuesta, entre otros. La efectividad de la respuesta depende de la calidad de preparación. </w:t>
      </w:r>
    </w:p>
    <w:p w14:paraId="407EEA6A"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5FF3B235"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25. Riesgo de desastres:</w:t>
      </w:r>
      <w:r w:rsidRPr="00FB02AF">
        <w:rPr>
          <w:rFonts w:ascii="Arial" w:hAnsi="Arial" w:cs="Arial"/>
          <w:sz w:val="20"/>
          <w:szCs w:val="20"/>
          <w:lang w:val="es-419"/>
        </w:rPr>
        <w:t xml:space="preserve"> Corresponde a los daños o pérdidas potenciales que pueden presentarse debido a los eventos físicos peligrosos de origen natural, socio-natural tecnológico, biosanitario o humano no intencional, en un período de tiempo específico y que son determinados por la vulnerabilidad de los elementos expuestos; por </w:t>
      </w:r>
      <w:proofErr w:type="gramStart"/>
      <w:r w:rsidRPr="00FB02AF">
        <w:rPr>
          <w:rFonts w:ascii="Arial" w:hAnsi="Arial" w:cs="Arial"/>
          <w:sz w:val="20"/>
          <w:szCs w:val="20"/>
          <w:lang w:val="es-419"/>
        </w:rPr>
        <w:t>consiguiente</w:t>
      </w:r>
      <w:proofErr w:type="gramEnd"/>
      <w:r w:rsidRPr="00FB02AF">
        <w:rPr>
          <w:rFonts w:ascii="Arial" w:hAnsi="Arial" w:cs="Arial"/>
          <w:sz w:val="20"/>
          <w:szCs w:val="20"/>
          <w:lang w:val="es-419"/>
        </w:rPr>
        <w:t xml:space="preserve"> el riesgo de desastres se deriva de la combinación de la amenaza y la vulnerabilidad. </w:t>
      </w:r>
    </w:p>
    <w:p w14:paraId="230882F5"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1894B378"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26. Seguridad territorial:</w:t>
      </w:r>
      <w:r w:rsidRPr="00FB02AF">
        <w:rPr>
          <w:rFonts w:ascii="Arial" w:hAnsi="Arial" w:cs="Arial"/>
          <w:sz w:val="20"/>
          <w:szCs w:val="20"/>
          <w:lang w:val="es-419"/>
        </w:rPr>
        <w:t> La seguridad territorial se refiere a la sostenibilidad de las relaciones entre la dinámica de la naturaleza y la dinámica de las comunidades en un territorio en particular. Este concepto incluye las nociones de seguridad alimentaria, seguridad jurídica o institucional, seguridad económica, seguridad ecológica y seguridad social. </w:t>
      </w:r>
    </w:p>
    <w:p w14:paraId="1BB5BA7E" w14:textId="77777777" w:rsidR="00FB02AF" w:rsidRPr="00FB02AF" w:rsidRDefault="00FB02AF" w:rsidP="00FB02AF">
      <w:pPr>
        <w:jc w:val="both"/>
        <w:rPr>
          <w:rFonts w:ascii="Arial" w:hAnsi="Arial" w:cs="Arial"/>
          <w:sz w:val="20"/>
          <w:szCs w:val="20"/>
          <w:lang w:val="es-419"/>
        </w:rPr>
      </w:pPr>
      <w:r w:rsidRPr="00FB02AF">
        <w:rPr>
          <w:rFonts w:ascii="Arial" w:hAnsi="Arial" w:cs="Arial"/>
          <w:sz w:val="20"/>
          <w:szCs w:val="20"/>
          <w:lang w:val="es-419"/>
        </w:rPr>
        <w:t>  </w:t>
      </w:r>
    </w:p>
    <w:p w14:paraId="25C03A95" w14:textId="77777777" w:rsidR="00FB02AF" w:rsidRPr="00FB02AF" w:rsidRDefault="00FB02AF" w:rsidP="00FB02AF">
      <w:pPr>
        <w:jc w:val="both"/>
        <w:rPr>
          <w:rFonts w:ascii="Arial" w:hAnsi="Arial" w:cs="Arial"/>
          <w:sz w:val="20"/>
          <w:szCs w:val="20"/>
          <w:lang w:val="es-419"/>
        </w:rPr>
      </w:pPr>
      <w:r w:rsidRPr="00FB02AF">
        <w:rPr>
          <w:rFonts w:ascii="Arial" w:hAnsi="Arial" w:cs="Arial"/>
          <w:b/>
          <w:bCs/>
          <w:sz w:val="20"/>
          <w:szCs w:val="20"/>
          <w:lang w:val="es-419"/>
        </w:rPr>
        <w:t>27. Vulnerabilidad: </w:t>
      </w:r>
      <w:r w:rsidRPr="00FB02AF">
        <w:rPr>
          <w:rFonts w:ascii="Arial" w:hAnsi="Arial" w:cs="Arial"/>
          <w:sz w:val="20"/>
          <w:szCs w:val="20"/>
          <w:lang w:val="es-419"/>
        </w:rPr>
        <w:t>Susceptibilidad o fragilidad física, económica, social, ambiental o institucional que tiene una comunidad de ser afectada o de sufrir efectos adversos en caso de que un evento físico peligroso se presente. Corresponde a la predisposición a sufrir pérdidas o daños de los seres huma- nos y/o animales y sus medios de subsistencia, así como de sus sistemas físicos, sociales, económicos y de apoyo que pueden ser afectados por eventos físicos peligrosos. </w:t>
      </w:r>
    </w:p>
    <w:p w14:paraId="31C052D7" w14:textId="77777777" w:rsidR="006C6042" w:rsidRPr="00FA119E" w:rsidRDefault="006C6042" w:rsidP="006C6042">
      <w:pPr>
        <w:rPr>
          <w:lang w:val="es-ES" w:eastAsia="es-ES"/>
        </w:rPr>
      </w:pPr>
    </w:p>
    <w:sectPr w:rsidR="006C6042" w:rsidRPr="00FA119E"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64CA5" w14:textId="77777777" w:rsidR="009C0350" w:rsidRDefault="009C0350" w:rsidP="004F2C35">
      <w:r>
        <w:separator/>
      </w:r>
    </w:p>
  </w:endnote>
  <w:endnote w:type="continuationSeparator" w:id="0">
    <w:p w14:paraId="15D92C13" w14:textId="77777777" w:rsidR="009C0350" w:rsidRDefault="009C0350" w:rsidP="004F2C35">
      <w:r>
        <w:continuationSeparator/>
      </w:r>
    </w:p>
  </w:endnote>
  <w:endnote w:type="continuationNotice" w:id="1">
    <w:p w14:paraId="10E1B365" w14:textId="77777777" w:rsidR="009C0350" w:rsidRDefault="009C03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248E8" w14:textId="77777777" w:rsidR="009C0350" w:rsidRDefault="009C0350" w:rsidP="004F2C35">
      <w:r>
        <w:separator/>
      </w:r>
    </w:p>
  </w:footnote>
  <w:footnote w:type="continuationSeparator" w:id="0">
    <w:p w14:paraId="6B71959D" w14:textId="77777777" w:rsidR="009C0350" w:rsidRDefault="009C0350" w:rsidP="004F2C35">
      <w:r>
        <w:continuationSeparator/>
      </w:r>
    </w:p>
  </w:footnote>
  <w:footnote w:type="continuationNotice" w:id="1">
    <w:p w14:paraId="44B0E80C" w14:textId="77777777" w:rsidR="009C0350" w:rsidRDefault="009C0350"/>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8379153">
    <w:abstractNumId w:val="15"/>
  </w:num>
  <w:num w:numId="2" w16cid:durableId="38209592">
    <w:abstractNumId w:val="7"/>
  </w:num>
  <w:num w:numId="3" w16cid:durableId="1017972542">
    <w:abstractNumId w:val="0"/>
  </w:num>
  <w:num w:numId="4" w16cid:durableId="1402289678">
    <w:abstractNumId w:val="11"/>
  </w:num>
  <w:num w:numId="5" w16cid:durableId="2049792824">
    <w:abstractNumId w:val="12"/>
  </w:num>
  <w:num w:numId="6" w16cid:durableId="1073552761">
    <w:abstractNumId w:val="10"/>
  </w:num>
  <w:num w:numId="7" w16cid:durableId="855849740">
    <w:abstractNumId w:val="29"/>
  </w:num>
  <w:num w:numId="8" w16cid:durableId="421415531">
    <w:abstractNumId w:val="5"/>
  </w:num>
  <w:num w:numId="9" w16cid:durableId="1494756449">
    <w:abstractNumId w:val="20"/>
  </w:num>
  <w:num w:numId="10" w16cid:durableId="1159231557">
    <w:abstractNumId w:val="6"/>
  </w:num>
  <w:num w:numId="11" w16cid:durableId="1357926010">
    <w:abstractNumId w:val="13"/>
  </w:num>
  <w:num w:numId="12" w16cid:durableId="1973629052">
    <w:abstractNumId w:val="27"/>
  </w:num>
  <w:num w:numId="13" w16cid:durableId="1052508766">
    <w:abstractNumId w:val="14"/>
  </w:num>
  <w:num w:numId="14" w16cid:durableId="457384172">
    <w:abstractNumId w:val="9"/>
  </w:num>
  <w:num w:numId="15" w16cid:durableId="1329869968">
    <w:abstractNumId w:val="23"/>
  </w:num>
  <w:num w:numId="16" w16cid:durableId="1859193626">
    <w:abstractNumId w:val="28"/>
  </w:num>
  <w:num w:numId="17" w16cid:durableId="1229147743">
    <w:abstractNumId w:val="21"/>
  </w:num>
  <w:num w:numId="18" w16cid:durableId="1704086658">
    <w:abstractNumId w:val="22"/>
  </w:num>
  <w:num w:numId="19" w16cid:durableId="1917469306">
    <w:abstractNumId w:val="19"/>
  </w:num>
  <w:num w:numId="20" w16cid:durableId="236984950">
    <w:abstractNumId w:val="24"/>
  </w:num>
  <w:num w:numId="21" w16cid:durableId="2130511887">
    <w:abstractNumId w:val="30"/>
  </w:num>
  <w:num w:numId="22" w16cid:durableId="505948800">
    <w:abstractNumId w:val="25"/>
  </w:num>
  <w:num w:numId="23" w16cid:durableId="1881628718">
    <w:abstractNumId w:val="31"/>
  </w:num>
  <w:num w:numId="24" w16cid:durableId="1312052302">
    <w:abstractNumId w:val="16"/>
  </w:num>
  <w:num w:numId="25" w16cid:durableId="178278133">
    <w:abstractNumId w:val="3"/>
  </w:num>
  <w:num w:numId="26" w16cid:durableId="1800881767">
    <w:abstractNumId w:val="17"/>
  </w:num>
  <w:num w:numId="27" w16cid:durableId="544027476">
    <w:abstractNumId w:val="4"/>
  </w:num>
  <w:num w:numId="28" w16cid:durableId="233321648">
    <w:abstractNumId w:val="1"/>
  </w:num>
  <w:num w:numId="29" w16cid:durableId="819271870">
    <w:abstractNumId w:val="8"/>
  </w:num>
  <w:num w:numId="30" w16cid:durableId="422728348">
    <w:abstractNumId w:val="2"/>
  </w:num>
  <w:num w:numId="31" w16cid:durableId="887910350">
    <w:abstractNumId w:val="26"/>
  </w:num>
  <w:num w:numId="32" w16cid:durableId="444153103">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6E"/>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1A5B"/>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C91"/>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2DB0"/>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15DF"/>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5DF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2C"/>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2AF"/>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Mencinsinresolver2">
    <w:name w:val="Mención sin resolver2"/>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infopath/2007/PartnerControls"/>
    <ds:schemaRef ds:uri="http://purl.org/dc/term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a6cb9e4b-f1d1-4245-83ec-6cad768d538a"/>
    <ds:schemaRef ds:uri="9d85dbaf-23eb-4e57-a637-93dcacc8b1a1"/>
    <ds:schemaRef ds:uri="http://purl.org/dc/dcmitype/"/>
    <ds:schemaRef ds:uri="http://purl.org/dc/elements/1.1/"/>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D0A48FC7-22B7-4837-BC7C-D2E258E7BF68}">
  <ds:schemaRefs>
    <ds:schemaRef ds:uri="http://schemas.openxmlformats.org/officeDocument/2006/bibliography"/>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4701</Words>
  <Characters>25856</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Jefferson Arles Ayala Bohorquez</cp:lastModifiedBy>
  <cp:revision>8</cp:revision>
  <cp:lastPrinted>2022-06-28T19:25:00Z</cp:lastPrinted>
  <dcterms:created xsi:type="dcterms:W3CDTF">2025-09-05T18:42:00Z</dcterms:created>
  <dcterms:modified xsi:type="dcterms:W3CDTF">2025-09-18T15:06:00Z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