
<file path=[Content_Types].xml><?xml version="1.0" encoding="utf-8"?>
<Types xmlns="http://schemas.openxmlformats.org/package/2006/content-types">
  <Default Extension="wmf" ContentType="image/x-w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B9FCC3">
      <w:pPr>
        <w:autoSpaceDE w:val="0"/>
        <w:autoSpaceDN w:val="0"/>
        <w:adjustRightInd w:val="0"/>
        <w:spacing w:after="0" w:line="240" w:lineRule="auto"/>
        <w:jc w:val="center"/>
        <w:rPr>
          <w:rFonts w:ascii="Verdana" w:hAnsi="Verdana" w:cstheme="minorHAnsi"/>
          <w:b/>
          <w:bCs/>
        </w:rPr>
      </w:pPr>
      <w:bookmarkStart w:id="1" w:name="_GoBack"/>
      <w:bookmarkEnd w:id="1"/>
    </w:p>
    <w:p w14:paraId="3822A26D">
      <w:pPr>
        <w:autoSpaceDE w:val="0"/>
        <w:autoSpaceDN w:val="0"/>
        <w:adjustRightInd w:val="0"/>
        <w:spacing w:after="0" w:line="240" w:lineRule="auto"/>
        <w:jc w:val="center"/>
        <w:rPr>
          <w:rFonts w:ascii="Verdana" w:hAnsi="Verdana" w:cstheme="minorHAnsi"/>
          <w:b/>
          <w:bCs/>
        </w:rPr>
      </w:pPr>
    </w:p>
    <w:p w14:paraId="7FAFEF1F">
      <w:pPr>
        <w:jc w:val="both"/>
        <w:rPr>
          <w:rFonts w:ascii="Verdana" w:hAnsi="Verdana"/>
          <w:b/>
        </w:rPr>
      </w:pPr>
    </w:p>
    <w:p w14:paraId="1B756DFA">
      <w:pPr>
        <w:pBdr>
          <w:top w:val="none" w:color="auto" w:sz="0" w:space="0"/>
          <w:left w:val="none" w:color="auto" w:sz="0" w:space="0"/>
          <w:bottom w:val="none" w:color="auto" w:sz="0" w:space="0"/>
          <w:right w:val="none" w:color="auto" w:sz="0" w:space="0"/>
          <w:between w:val="none" w:color="auto" w:sz="0" w:space="0"/>
        </w:pBdr>
        <w:spacing w:after="0" w:line="240" w:lineRule="auto"/>
        <w:ind w:right="-234"/>
        <w:jc w:val="center"/>
        <w:rPr>
          <w:rFonts w:ascii="Verdana" w:hAnsi="Verdana" w:cstheme="majorHAnsi"/>
          <w:b/>
        </w:rPr>
      </w:pPr>
      <w:r>
        <w:rPr>
          <w:rFonts w:ascii="Verdana" w:hAnsi="Verdana" w:cstheme="majorHAnsi"/>
          <w:b/>
        </w:rPr>
        <w:t>FORMATO No. 7</w:t>
      </w:r>
    </w:p>
    <w:p w14:paraId="0308D116">
      <w:pPr>
        <w:pBdr>
          <w:top w:val="none" w:color="auto" w:sz="0" w:space="0"/>
          <w:left w:val="none" w:color="auto" w:sz="0" w:space="0"/>
          <w:bottom w:val="none" w:color="auto" w:sz="0" w:space="0"/>
          <w:right w:val="none" w:color="auto" w:sz="0" w:space="0"/>
          <w:between w:val="none" w:color="auto" w:sz="0" w:space="0"/>
        </w:pBdr>
        <w:spacing w:after="0" w:line="240" w:lineRule="auto"/>
        <w:ind w:right="-234"/>
        <w:jc w:val="center"/>
        <w:rPr>
          <w:rFonts w:ascii="Verdana" w:hAnsi="Verdana" w:cstheme="majorHAnsi"/>
          <w:b/>
        </w:rPr>
      </w:pPr>
      <w:r>
        <w:rPr>
          <w:rFonts w:ascii="Verdana" w:hAnsi="Verdana" w:cstheme="majorHAnsi"/>
          <w:b/>
        </w:rPr>
        <w:t>ACEPTACIÓN DE ESPECIFICACIONES TÉCNICAS MÍNIMAS DEL PROCESO</w:t>
      </w:r>
    </w:p>
    <w:p w14:paraId="0449F47D">
      <w:pPr>
        <w:pBdr>
          <w:top w:val="none" w:color="auto" w:sz="0" w:space="0"/>
          <w:left w:val="none" w:color="auto" w:sz="0" w:space="0"/>
          <w:bottom w:val="none" w:color="auto" w:sz="0" w:space="0"/>
          <w:right w:val="none" w:color="auto" w:sz="0" w:space="0"/>
          <w:between w:val="none" w:color="auto" w:sz="0" w:space="0"/>
        </w:pBdr>
        <w:spacing w:after="0" w:line="240" w:lineRule="auto"/>
        <w:ind w:right="-234"/>
        <w:jc w:val="both"/>
        <w:rPr>
          <w:rFonts w:ascii="Verdana" w:hAnsi="Verdana" w:cstheme="majorHAnsi"/>
          <w:b/>
        </w:rPr>
      </w:pPr>
    </w:p>
    <w:p w14:paraId="24351B6F">
      <w:pPr>
        <w:pBdr>
          <w:top w:val="none" w:color="auto" w:sz="0" w:space="0"/>
          <w:left w:val="none" w:color="auto" w:sz="0" w:space="0"/>
          <w:bottom w:val="none" w:color="auto" w:sz="0" w:space="0"/>
          <w:right w:val="none" w:color="auto" w:sz="0" w:space="0"/>
          <w:between w:val="none" w:color="auto" w:sz="0" w:space="0"/>
        </w:pBdr>
        <w:spacing w:after="0" w:line="240" w:lineRule="auto"/>
        <w:ind w:right="-234"/>
        <w:jc w:val="both"/>
        <w:rPr>
          <w:rFonts w:ascii="Verdana" w:hAnsi="Verdana" w:cstheme="majorHAnsi"/>
          <w:bCs/>
        </w:rPr>
      </w:pPr>
      <w:r>
        <w:rPr>
          <w:rFonts w:ascii="Verdana" w:hAnsi="Verdana" w:cstheme="majorHAnsi"/>
          <w:bCs/>
        </w:rPr>
        <w:t xml:space="preserve">Bogotá, </w:t>
      </w:r>
    </w:p>
    <w:p w14:paraId="246A2864">
      <w:pPr>
        <w:pBdr>
          <w:top w:val="none" w:color="auto" w:sz="0" w:space="0"/>
          <w:left w:val="none" w:color="auto" w:sz="0" w:space="0"/>
          <w:bottom w:val="none" w:color="auto" w:sz="0" w:space="0"/>
          <w:right w:val="none" w:color="auto" w:sz="0" w:space="0"/>
          <w:between w:val="none" w:color="auto" w:sz="0" w:space="0"/>
        </w:pBdr>
        <w:spacing w:after="0" w:line="240" w:lineRule="auto"/>
        <w:ind w:right="-234"/>
        <w:jc w:val="both"/>
        <w:rPr>
          <w:rFonts w:ascii="Verdana" w:hAnsi="Verdana" w:cstheme="majorHAnsi"/>
          <w:bCs/>
        </w:rPr>
      </w:pPr>
      <w:r>
        <w:rPr>
          <w:rFonts w:ascii="Verdana" w:hAnsi="Verdana" w:cstheme="majorHAnsi"/>
          <w:bCs/>
        </w:rPr>
        <w:t xml:space="preserve"> </w:t>
      </w:r>
    </w:p>
    <w:p w14:paraId="179C3BF7">
      <w:pPr>
        <w:pBdr>
          <w:top w:val="none" w:color="auto" w:sz="0" w:space="0"/>
          <w:left w:val="none" w:color="auto" w:sz="0" w:space="0"/>
          <w:bottom w:val="none" w:color="auto" w:sz="0" w:space="0"/>
          <w:right w:val="none" w:color="auto" w:sz="0" w:space="0"/>
          <w:between w:val="none" w:color="auto" w:sz="0" w:space="0"/>
        </w:pBdr>
        <w:spacing w:after="0" w:line="240" w:lineRule="auto"/>
        <w:ind w:right="-234"/>
        <w:jc w:val="both"/>
        <w:rPr>
          <w:rFonts w:ascii="Verdana" w:hAnsi="Verdana" w:cstheme="majorHAnsi"/>
          <w:bCs/>
        </w:rPr>
      </w:pPr>
      <w:r>
        <w:rPr>
          <w:rFonts w:ascii="Verdana" w:hAnsi="Verdana" w:cstheme="majorHAnsi"/>
          <w:bCs/>
        </w:rPr>
        <w:t>Señores</w:t>
      </w:r>
    </w:p>
    <w:p w14:paraId="5FB53454">
      <w:pPr>
        <w:pBdr>
          <w:top w:val="none" w:color="auto" w:sz="0" w:space="0"/>
          <w:left w:val="none" w:color="auto" w:sz="0" w:space="0"/>
          <w:bottom w:val="none" w:color="auto" w:sz="0" w:space="0"/>
          <w:right w:val="none" w:color="auto" w:sz="0" w:space="0"/>
          <w:between w:val="none" w:color="auto" w:sz="0" w:space="0"/>
        </w:pBdr>
        <w:spacing w:after="0" w:line="240" w:lineRule="auto"/>
        <w:ind w:right="-234"/>
        <w:jc w:val="both"/>
        <w:rPr>
          <w:rFonts w:ascii="Verdana" w:hAnsi="Verdana" w:cstheme="majorHAnsi"/>
          <w:b/>
        </w:rPr>
      </w:pPr>
      <w:r>
        <w:rPr>
          <w:rFonts w:ascii="Verdana" w:hAnsi="Verdana" w:cstheme="majorHAnsi"/>
          <w:b/>
        </w:rPr>
        <w:t>SERVICIO GEOLOGICO COLOMBIANO – SGC</w:t>
      </w:r>
    </w:p>
    <w:p w14:paraId="45A5688C">
      <w:pPr>
        <w:pBdr>
          <w:top w:val="none" w:color="auto" w:sz="0" w:space="0"/>
          <w:left w:val="none" w:color="auto" w:sz="0" w:space="0"/>
          <w:bottom w:val="none" w:color="auto" w:sz="0" w:space="0"/>
          <w:right w:val="none" w:color="auto" w:sz="0" w:space="0"/>
          <w:between w:val="none" w:color="auto" w:sz="0" w:space="0"/>
        </w:pBdr>
        <w:spacing w:after="0" w:line="240" w:lineRule="auto"/>
        <w:ind w:right="-234"/>
        <w:jc w:val="both"/>
        <w:rPr>
          <w:rFonts w:ascii="Verdana" w:hAnsi="Verdana" w:cstheme="majorHAnsi"/>
          <w:bCs/>
        </w:rPr>
      </w:pPr>
      <w:r>
        <w:rPr>
          <w:rFonts w:ascii="Verdana" w:hAnsi="Verdana" w:cstheme="majorHAnsi"/>
          <w:bCs/>
        </w:rPr>
        <w:t>Diagonal 53 #34-53, Bogotá</w:t>
      </w:r>
    </w:p>
    <w:p w14:paraId="75A8A5E9">
      <w:pPr>
        <w:pBdr>
          <w:top w:val="none" w:color="auto" w:sz="0" w:space="0"/>
          <w:left w:val="none" w:color="auto" w:sz="0" w:space="0"/>
          <w:bottom w:val="none" w:color="auto" w:sz="0" w:space="0"/>
          <w:right w:val="none" w:color="auto" w:sz="0" w:space="0"/>
          <w:between w:val="none" w:color="auto" w:sz="0" w:space="0"/>
        </w:pBdr>
        <w:spacing w:after="0" w:line="240" w:lineRule="auto"/>
        <w:ind w:right="-234"/>
        <w:jc w:val="both"/>
        <w:rPr>
          <w:rFonts w:ascii="Verdana" w:hAnsi="Verdana" w:cstheme="majorHAnsi"/>
          <w:bCs/>
        </w:rPr>
      </w:pPr>
    </w:p>
    <w:p w14:paraId="61F1E0CA">
      <w:pPr>
        <w:pBdr>
          <w:top w:val="none" w:color="auto" w:sz="0" w:space="0"/>
          <w:left w:val="none" w:color="auto" w:sz="0" w:space="0"/>
          <w:bottom w:val="none" w:color="auto" w:sz="0" w:space="0"/>
          <w:right w:val="none" w:color="auto" w:sz="0" w:space="0"/>
          <w:between w:val="none" w:color="auto" w:sz="0" w:space="0"/>
        </w:pBdr>
        <w:spacing w:after="0" w:line="240" w:lineRule="auto"/>
        <w:ind w:right="-234"/>
        <w:jc w:val="both"/>
        <w:rPr>
          <w:rFonts w:ascii="Verdana" w:hAnsi="Verdana" w:cstheme="majorHAnsi"/>
          <w:b/>
        </w:rPr>
      </w:pPr>
      <w:r>
        <w:rPr>
          <w:rFonts w:ascii="Verdana" w:hAnsi="Verdana" w:cstheme="majorHAnsi"/>
          <w:b/>
        </w:rPr>
        <w:t>Referencia: Proceso de selección de MÍNIMA CUANTÍA No. SGC-MC-</w:t>
      </w:r>
      <w:r>
        <w:rPr>
          <w:rFonts w:hint="default" w:ascii="Verdana" w:hAnsi="Verdana" w:cstheme="majorHAnsi"/>
          <w:b/>
          <w:lang w:val="es-CO"/>
        </w:rPr>
        <w:t>xxx</w:t>
      </w:r>
      <w:r>
        <w:rPr>
          <w:rFonts w:ascii="Verdana" w:hAnsi="Verdana" w:cstheme="majorHAnsi"/>
          <w:b/>
          <w:highlight w:val="yellow"/>
        </w:rPr>
        <w:t>-2025.</w:t>
      </w:r>
    </w:p>
    <w:p w14:paraId="17499D0C">
      <w:pPr>
        <w:pBdr>
          <w:top w:val="none" w:color="auto" w:sz="0" w:space="0"/>
          <w:left w:val="none" w:color="auto" w:sz="0" w:space="0"/>
          <w:bottom w:val="none" w:color="auto" w:sz="0" w:space="0"/>
          <w:right w:val="none" w:color="auto" w:sz="0" w:space="0"/>
          <w:between w:val="none" w:color="auto" w:sz="0" w:space="0"/>
        </w:pBdr>
        <w:spacing w:after="0" w:line="240" w:lineRule="auto"/>
        <w:ind w:right="-234"/>
        <w:jc w:val="both"/>
        <w:rPr>
          <w:rFonts w:ascii="Verdana" w:hAnsi="Verdana" w:cstheme="majorHAnsi"/>
          <w:bCs/>
        </w:rPr>
      </w:pPr>
    </w:p>
    <w:p w14:paraId="1123EF24">
      <w:pPr>
        <w:autoSpaceDE w:val="0"/>
        <w:autoSpaceDN w:val="0"/>
        <w:adjustRightInd w:val="0"/>
        <w:spacing w:after="0" w:line="240" w:lineRule="auto"/>
        <w:jc w:val="both"/>
        <w:rPr>
          <w:rFonts w:ascii="Verdana" w:hAnsi="Verdana" w:cstheme="minorHAnsi"/>
          <w:b/>
          <w:bCs/>
        </w:rPr>
      </w:pPr>
      <w:r>
        <w:rPr>
          <w:rFonts w:ascii="Verdana" w:hAnsi="Verdana" w:cstheme="majorHAnsi"/>
          <w:bCs/>
        </w:rPr>
        <w:t xml:space="preserve">Con el ánimo de aplicar en la </w:t>
      </w:r>
      <w:r>
        <w:rPr>
          <w:rFonts w:ascii="Verdana" w:hAnsi="Verdana" w:cstheme="majorHAnsi"/>
          <w:bCs/>
          <w:u w:val="single"/>
        </w:rPr>
        <w:t>habilitación del factor de técnico</w:t>
      </w:r>
      <w:r>
        <w:rPr>
          <w:rFonts w:ascii="Verdana" w:hAnsi="Verdana" w:cstheme="majorHAnsi"/>
          <w:bCs/>
        </w:rPr>
        <w:t xml:space="preserve">, manifiesto bajo la gravedad de juramento que se entiende prestado con la firma de este documento, como Representante Legal de </w:t>
      </w:r>
      <w:r>
        <w:rPr>
          <w:rFonts w:ascii="Verdana" w:hAnsi="Verdana" w:cstheme="majorHAnsi"/>
          <w:bCs/>
          <w:i/>
          <w:iCs/>
          <w:highlight w:val="yellow"/>
        </w:rPr>
        <w:t>(persona jurídica o persona natural)</w:t>
      </w:r>
      <w:r>
        <w:rPr>
          <w:rFonts w:ascii="Verdana" w:hAnsi="Verdana" w:cstheme="majorHAnsi"/>
          <w:bCs/>
          <w:highlight w:val="yellow"/>
        </w:rPr>
        <w:t>,</w:t>
      </w:r>
      <w:r>
        <w:rPr>
          <w:rFonts w:ascii="Verdana" w:hAnsi="Verdana" w:cstheme="majorHAnsi"/>
          <w:bCs/>
        </w:rPr>
        <w:t xml:space="preserve"> en caso de resultar adjudicatario dentro de este proceso, me comprometo a cumplir con las siguientes especificaciones técnicas exigidas en el proceso:</w:t>
      </w:r>
    </w:p>
    <w:p w14:paraId="2A99ED34">
      <w:pPr>
        <w:autoSpaceDE w:val="0"/>
        <w:autoSpaceDN w:val="0"/>
        <w:adjustRightInd w:val="0"/>
        <w:spacing w:after="0" w:line="240" w:lineRule="auto"/>
        <w:jc w:val="both"/>
        <w:rPr>
          <w:rFonts w:ascii="Verdana" w:hAnsi="Verdana" w:eastAsia="Times New Roman" w:cstheme="minorHAnsi"/>
          <w:lang w:eastAsia="es-ES"/>
        </w:rPr>
      </w:pPr>
    </w:p>
    <w:p w14:paraId="6E2DB569">
      <w:pPr>
        <w:autoSpaceDE w:val="0"/>
        <w:autoSpaceDN w:val="0"/>
        <w:adjustRightInd w:val="0"/>
        <w:spacing w:after="0" w:line="240" w:lineRule="auto"/>
        <w:jc w:val="both"/>
        <w:rPr>
          <w:rFonts w:ascii="Verdana" w:hAnsi="Verdana" w:eastAsia="Times New Roman" w:cstheme="minorHAnsi"/>
          <w:lang w:eastAsia="es-ES"/>
        </w:rPr>
      </w:pPr>
      <w:r>
        <w:rPr>
          <w:rFonts w:ascii="Verdana" w:hAnsi="Verdana" w:eastAsia="Times New Roman" w:cstheme="minorHAnsi"/>
          <w:lang w:eastAsia="es-ES"/>
        </w:rPr>
        <w:t>El insumo a adquirir debe ser de primera calidad y entregarse de acuerdo a las condiciones técnicas exigidas.</w:t>
      </w:r>
    </w:p>
    <w:p w14:paraId="6A956EF5">
      <w:pPr>
        <w:autoSpaceDE w:val="0"/>
        <w:autoSpaceDN w:val="0"/>
        <w:adjustRightInd w:val="0"/>
        <w:spacing w:after="0" w:line="240" w:lineRule="auto"/>
        <w:jc w:val="both"/>
        <w:rPr>
          <w:rFonts w:ascii="Verdana" w:hAnsi="Verdana" w:eastAsia="Times New Roman" w:cstheme="minorHAnsi"/>
          <w:lang w:eastAsia="es-ES"/>
        </w:rPr>
      </w:pPr>
    </w:p>
    <w:p w14:paraId="01CEA9EA">
      <w:pPr>
        <w:autoSpaceDE w:val="0"/>
        <w:autoSpaceDN w:val="0"/>
        <w:adjustRightInd w:val="0"/>
        <w:spacing w:after="0" w:line="240" w:lineRule="auto"/>
        <w:jc w:val="both"/>
        <w:rPr>
          <w:rFonts w:ascii="Verdana" w:hAnsi="Verdana" w:eastAsia="Times New Roman" w:cstheme="minorHAnsi"/>
          <w:lang w:eastAsia="es-ES"/>
        </w:rPr>
      </w:pPr>
      <w:r>
        <w:rPr>
          <w:rFonts w:ascii="Verdana" w:hAnsi="Verdana" w:eastAsia="Times New Roman" w:cstheme="minorHAnsi"/>
          <w:lang w:eastAsia="es-ES"/>
        </w:rPr>
        <w:t xml:space="preserve">El proponente manifestará de manera expresa en la carta de presentación de la oferta que dará cumplimiento a los siguientes requisitos mínimos, el cumplimiento de estos se calificará con la denominación </w:t>
      </w:r>
      <w:r>
        <w:rPr>
          <w:rFonts w:ascii="Verdana" w:hAnsi="Verdana" w:eastAsia="Times New Roman" w:cstheme="minorHAnsi"/>
          <w:b/>
          <w:bCs/>
          <w:lang w:eastAsia="es-ES"/>
        </w:rPr>
        <w:t>CUMPLE / NO CUMPLE</w:t>
      </w:r>
      <w:r>
        <w:rPr>
          <w:rFonts w:ascii="Verdana" w:hAnsi="Verdana" w:eastAsia="Times New Roman" w:cstheme="minorHAnsi"/>
          <w:lang w:eastAsia="es-ES"/>
        </w:rPr>
        <w:t>, por lo tanto, no otorgan puntaje.</w:t>
      </w:r>
    </w:p>
    <w:p w14:paraId="7059219D">
      <w:pPr>
        <w:autoSpaceDE w:val="0"/>
        <w:autoSpaceDN w:val="0"/>
        <w:adjustRightInd w:val="0"/>
        <w:spacing w:after="0" w:line="240" w:lineRule="auto"/>
        <w:jc w:val="both"/>
        <w:rPr>
          <w:rFonts w:ascii="Verdana" w:hAnsi="Verdana" w:eastAsia="Times New Roman" w:cstheme="minorHAnsi"/>
          <w:lang w:eastAsia="es-ES"/>
        </w:rPr>
      </w:pPr>
    </w:p>
    <w:p w14:paraId="266B794D">
      <w:pPr>
        <w:autoSpaceDE w:val="0"/>
        <w:autoSpaceDN w:val="0"/>
        <w:adjustRightInd w:val="0"/>
        <w:spacing w:after="0" w:line="240" w:lineRule="auto"/>
        <w:jc w:val="both"/>
        <w:rPr>
          <w:rFonts w:ascii="Verdana" w:hAnsi="Verdana" w:eastAsia="Times New Roman" w:cstheme="minorHAnsi"/>
          <w:lang w:eastAsia="es-ES"/>
        </w:rPr>
      </w:pPr>
    </w:p>
    <w:p w14:paraId="041953B8">
      <w:pPr>
        <w:pStyle w:val="7"/>
        <w:numPr>
          <w:ilvl w:val="0"/>
          <w:numId w:val="1"/>
        </w:numPr>
        <w:autoSpaceDE w:val="0"/>
        <w:autoSpaceDN w:val="0"/>
        <w:adjustRightInd w:val="0"/>
        <w:spacing w:before="0" w:beforeAutospacing="0" w:line="240" w:lineRule="exact"/>
        <w:jc w:val="both"/>
        <w:rPr>
          <w:rFonts w:ascii="Verdana" w:hAnsi="Verdana" w:cstheme="minorHAnsi"/>
          <w:b/>
          <w:bCs/>
          <w:sz w:val="22"/>
          <w:szCs w:val="22"/>
        </w:rPr>
      </w:pPr>
      <w:r>
        <w:rPr>
          <w:rFonts w:ascii="Verdana" w:hAnsi="Verdana" w:cstheme="minorHAnsi"/>
          <w:b/>
          <w:sz w:val="22"/>
          <w:szCs w:val="22"/>
        </w:rPr>
        <w:t>CLASIFICACIÓN DE BIENES Y SERVICIOS UNSPSC</w:t>
      </w:r>
    </w:p>
    <w:p w14:paraId="5AAD7E07">
      <w:pPr>
        <w:autoSpaceDE w:val="0"/>
        <w:autoSpaceDN w:val="0"/>
        <w:adjustRightInd w:val="0"/>
        <w:spacing w:after="0" w:line="240" w:lineRule="auto"/>
        <w:jc w:val="both"/>
        <w:rPr>
          <w:rFonts w:ascii="Verdana" w:hAnsi="Verdana" w:eastAsia="Times New Roman" w:cstheme="minorHAnsi"/>
          <w:lang w:eastAsia="es-ES"/>
        </w:rPr>
      </w:pPr>
      <w:r>
        <w:rPr>
          <w:rFonts w:ascii="Verdana" w:hAnsi="Verdana" w:eastAsia="Times New Roman" w:cstheme="minorHAnsi"/>
          <w:lang w:eastAsia="es-ES"/>
        </w:rPr>
        <w:t xml:space="preserve">Según el clasificador de bienes y servicios (UNSPSC) contenido en la dirección </w:t>
      </w:r>
      <w:r>
        <w:rPr>
          <w:rFonts w:ascii="Verdana" w:hAnsi="Verdana" w:eastAsia="Times New Roman" w:cstheme="minorHAnsi"/>
          <w:i/>
          <w:iCs/>
          <w:lang w:eastAsia="es-ES"/>
        </w:rPr>
        <w:t xml:space="preserve">http://www.colombiacompra.gov.co/es/Clasificación </w:t>
      </w:r>
      <w:r>
        <w:rPr>
          <w:rFonts w:ascii="Verdana" w:hAnsi="Verdana" w:eastAsia="Times New Roman" w:cstheme="minorHAnsi"/>
          <w:lang w:eastAsia="es-ES"/>
        </w:rPr>
        <w:t>el objeto contractual se enmarca en los siguientes códigos.</w:t>
      </w:r>
    </w:p>
    <w:p w14:paraId="4CC8B79F">
      <w:pPr>
        <w:autoSpaceDE w:val="0"/>
        <w:autoSpaceDN w:val="0"/>
        <w:adjustRightInd w:val="0"/>
        <w:spacing w:after="0" w:line="240" w:lineRule="auto"/>
        <w:jc w:val="both"/>
        <w:rPr>
          <w:rFonts w:ascii="Verdana" w:hAnsi="Verdana" w:eastAsia="Times New Roman" w:cstheme="minorHAnsi"/>
          <w:lang w:eastAsia="es-ES"/>
        </w:rPr>
      </w:pPr>
    </w:p>
    <w:p w14:paraId="4B3929E0">
      <w:pPr>
        <w:autoSpaceDE w:val="0"/>
        <w:autoSpaceDN w:val="0"/>
        <w:adjustRightInd w:val="0"/>
        <w:spacing w:after="0" w:line="240" w:lineRule="auto"/>
        <w:rPr>
          <w:rFonts w:ascii="Verdana" w:hAnsi="Verdana" w:eastAsia="Times New Roman" w:cstheme="minorHAnsi"/>
          <w:lang w:eastAsia="es-ES"/>
        </w:rPr>
      </w:pPr>
    </w:p>
    <w:tbl>
      <w:tblPr>
        <w:tblStyle w:val="3"/>
        <w:tblW w:w="0" w:type="auto"/>
        <w:tblInd w:w="-6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71"/>
        <w:gridCol w:w="2752"/>
        <w:gridCol w:w="1681"/>
        <w:gridCol w:w="961"/>
        <w:gridCol w:w="1461"/>
      </w:tblGrid>
      <w:tr w14:paraId="2EC33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0" w:hRule="atLeast"/>
        </w:trPr>
        <w:tc>
          <w:tcPr>
            <w:tcW w:w="0" w:type="auto"/>
            <w:tcBorders>
              <w:top w:val="single" w:color="000000" w:sz="2" w:space="0"/>
              <w:left w:val="single" w:color="000000" w:sz="2" w:space="0"/>
              <w:bottom w:val="single" w:color="000000" w:sz="2" w:space="0"/>
              <w:right w:val="single" w:color="000000" w:sz="2" w:space="0"/>
            </w:tcBorders>
            <w:shd w:val="clear" w:color="auto" w:fill="A6A6A6"/>
            <w:tcMar>
              <w:top w:w="0" w:type="dxa"/>
              <w:left w:w="60" w:type="dxa"/>
              <w:bottom w:w="0" w:type="dxa"/>
              <w:right w:w="60" w:type="dxa"/>
            </w:tcMar>
            <w:vAlign w:val="center"/>
          </w:tcPr>
          <w:p w14:paraId="4AA9701C">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jc w:val="center"/>
            </w:pPr>
            <w:r>
              <w:rPr>
                <w:rFonts w:ascii="Arial" w:hAnsi="Arial" w:cs="Arial"/>
                <w:b/>
                <w:bCs/>
                <w:i w:val="0"/>
                <w:iCs w:val="0"/>
                <w:color w:val="000000"/>
                <w:sz w:val="18"/>
                <w:szCs w:val="18"/>
                <w:u w:val="none"/>
                <w:vertAlign w:val="baseline"/>
              </w:rPr>
              <w:t>Clasificación</w:t>
            </w:r>
          </w:p>
        </w:tc>
        <w:tc>
          <w:tcPr>
            <w:tcW w:w="0" w:type="auto"/>
            <w:tcBorders>
              <w:top w:val="single" w:color="000000" w:sz="2" w:space="0"/>
              <w:left w:val="single" w:color="000000" w:sz="2" w:space="0"/>
              <w:bottom w:val="single" w:color="000000" w:sz="2" w:space="0"/>
              <w:right w:val="single" w:color="000000" w:sz="2" w:space="0"/>
            </w:tcBorders>
            <w:shd w:val="clear" w:color="auto" w:fill="A6A6A6"/>
            <w:tcMar>
              <w:top w:w="0" w:type="dxa"/>
              <w:left w:w="60" w:type="dxa"/>
              <w:bottom w:w="0" w:type="dxa"/>
              <w:right w:w="60" w:type="dxa"/>
            </w:tcMar>
            <w:vAlign w:val="center"/>
          </w:tcPr>
          <w:p w14:paraId="56266910">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jc w:val="center"/>
            </w:pPr>
            <w:r>
              <w:rPr>
                <w:rFonts w:hint="default" w:ascii="Arial" w:hAnsi="Arial" w:cs="Arial"/>
                <w:b/>
                <w:bCs/>
                <w:i w:val="0"/>
                <w:iCs w:val="0"/>
                <w:color w:val="000000"/>
                <w:sz w:val="18"/>
                <w:szCs w:val="18"/>
                <w:u w:val="none"/>
                <w:vertAlign w:val="baseline"/>
              </w:rPr>
              <w:t>Segmento</w:t>
            </w:r>
          </w:p>
        </w:tc>
        <w:tc>
          <w:tcPr>
            <w:tcW w:w="0" w:type="auto"/>
            <w:tcBorders>
              <w:top w:val="single" w:color="000000" w:sz="2" w:space="0"/>
              <w:left w:val="single" w:color="000000" w:sz="2" w:space="0"/>
              <w:bottom w:val="single" w:color="000000" w:sz="2" w:space="0"/>
              <w:right w:val="single" w:color="000000" w:sz="2" w:space="0"/>
            </w:tcBorders>
            <w:shd w:val="clear" w:color="auto" w:fill="A6A6A6"/>
            <w:tcMar>
              <w:top w:w="0" w:type="dxa"/>
              <w:left w:w="60" w:type="dxa"/>
              <w:bottom w:w="0" w:type="dxa"/>
              <w:right w:w="60" w:type="dxa"/>
            </w:tcMar>
            <w:vAlign w:val="center"/>
          </w:tcPr>
          <w:p w14:paraId="331B94E3">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jc w:val="center"/>
            </w:pPr>
            <w:r>
              <w:rPr>
                <w:rFonts w:hint="default" w:ascii="Arial" w:hAnsi="Arial" w:cs="Arial"/>
                <w:b/>
                <w:bCs/>
                <w:i w:val="0"/>
                <w:iCs w:val="0"/>
                <w:color w:val="000000"/>
                <w:sz w:val="18"/>
                <w:szCs w:val="18"/>
                <w:u w:val="none"/>
                <w:vertAlign w:val="baseline"/>
              </w:rPr>
              <w:t>Familia</w:t>
            </w:r>
          </w:p>
        </w:tc>
        <w:tc>
          <w:tcPr>
            <w:tcW w:w="0" w:type="auto"/>
            <w:tcBorders>
              <w:top w:val="single" w:color="000000" w:sz="2" w:space="0"/>
              <w:left w:val="single" w:color="000000" w:sz="2" w:space="0"/>
              <w:bottom w:val="single" w:color="000000" w:sz="2" w:space="0"/>
              <w:right w:val="single" w:color="000000" w:sz="2" w:space="0"/>
            </w:tcBorders>
            <w:shd w:val="clear" w:color="auto" w:fill="A6A6A6"/>
            <w:tcMar>
              <w:top w:w="0" w:type="dxa"/>
              <w:left w:w="60" w:type="dxa"/>
              <w:bottom w:w="0" w:type="dxa"/>
              <w:right w:w="60" w:type="dxa"/>
            </w:tcMar>
            <w:vAlign w:val="center"/>
          </w:tcPr>
          <w:p w14:paraId="0E84FDE0">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jc w:val="center"/>
            </w:pPr>
            <w:r>
              <w:rPr>
                <w:rFonts w:hint="default" w:ascii="Arial" w:hAnsi="Arial" w:cs="Arial"/>
                <w:b/>
                <w:bCs/>
                <w:i w:val="0"/>
                <w:iCs w:val="0"/>
                <w:color w:val="000000"/>
                <w:sz w:val="18"/>
                <w:szCs w:val="18"/>
                <w:u w:val="none"/>
                <w:vertAlign w:val="baseline"/>
              </w:rPr>
              <w:t>Clase</w:t>
            </w:r>
          </w:p>
        </w:tc>
        <w:tc>
          <w:tcPr>
            <w:tcW w:w="0" w:type="auto"/>
            <w:tcBorders>
              <w:top w:val="single" w:color="000000" w:sz="2" w:space="0"/>
              <w:left w:val="single" w:color="000000" w:sz="2" w:space="0"/>
              <w:bottom w:val="single" w:color="000000" w:sz="2" w:space="0"/>
              <w:right w:val="single" w:color="000000" w:sz="2" w:space="0"/>
            </w:tcBorders>
            <w:shd w:val="clear" w:color="auto" w:fill="A6A6A6"/>
            <w:tcMar>
              <w:top w:w="0" w:type="dxa"/>
              <w:left w:w="60" w:type="dxa"/>
              <w:bottom w:w="0" w:type="dxa"/>
              <w:right w:w="60" w:type="dxa"/>
            </w:tcMar>
            <w:vAlign w:val="center"/>
          </w:tcPr>
          <w:p w14:paraId="3435F2FA">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jc w:val="center"/>
            </w:pPr>
            <w:r>
              <w:rPr>
                <w:rFonts w:hint="default" w:ascii="Arial" w:hAnsi="Arial" w:cs="Arial"/>
                <w:b/>
                <w:bCs/>
                <w:i w:val="0"/>
                <w:iCs w:val="0"/>
                <w:color w:val="000000"/>
                <w:sz w:val="18"/>
                <w:szCs w:val="18"/>
                <w:u w:val="none"/>
                <w:vertAlign w:val="baseline"/>
              </w:rPr>
              <w:t>Producto</w:t>
            </w:r>
          </w:p>
        </w:tc>
      </w:tr>
      <w:tr w14:paraId="4F3BC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0" w:hRule="atLeast"/>
        </w:trPr>
        <w:tc>
          <w:tcPr>
            <w:tcW w:w="0" w:type="auto"/>
            <w:tcBorders>
              <w:top w:val="single" w:color="000000" w:sz="2" w:space="0"/>
              <w:left w:val="single" w:color="000000" w:sz="2" w:space="0"/>
              <w:bottom w:val="single" w:color="000000" w:sz="2" w:space="0"/>
              <w:right w:val="single" w:color="000000" w:sz="2" w:space="0"/>
            </w:tcBorders>
            <w:shd w:val="clear" w:color="auto" w:fill="A6A6A6"/>
            <w:tcMar>
              <w:top w:w="0" w:type="dxa"/>
              <w:left w:w="60" w:type="dxa"/>
              <w:bottom w:w="0" w:type="dxa"/>
              <w:right w:w="60" w:type="dxa"/>
            </w:tcMar>
            <w:vAlign w:val="center"/>
          </w:tcPr>
          <w:p w14:paraId="5484534F">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jc w:val="center"/>
            </w:pPr>
            <w:r>
              <w:rPr>
                <w:rFonts w:hint="default" w:ascii="Arial" w:hAnsi="Arial" w:cs="Arial"/>
                <w:b/>
                <w:bCs/>
                <w:i w:val="0"/>
                <w:iCs w:val="0"/>
                <w:color w:val="000000"/>
                <w:sz w:val="18"/>
                <w:szCs w:val="18"/>
                <w:u w:val="none"/>
                <w:vertAlign w:val="baseline"/>
              </w:rPr>
              <w:t>Código</w:t>
            </w:r>
          </w:p>
        </w:tc>
        <w:tc>
          <w:tcPr>
            <w:tcW w:w="0" w:type="auto"/>
            <w:tcBorders>
              <w:top w:val="single" w:color="000000" w:sz="2" w:space="0"/>
              <w:left w:val="single" w:color="000000" w:sz="2" w:space="0"/>
              <w:bottom w:val="single" w:color="000000" w:sz="2" w:space="0"/>
              <w:right w:val="single" w:color="000000" w:sz="2" w:space="0"/>
            </w:tcBorders>
            <w:shd w:val="clear" w:color="auto" w:fill="D9D9D9"/>
            <w:tcMar>
              <w:top w:w="0" w:type="dxa"/>
              <w:left w:w="60" w:type="dxa"/>
              <w:bottom w:w="0" w:type="dxa"/>
              <w:right w:w="60" w:type="dxa"/>
            </w:tcMar>
            <w:vAlign w:val="center"/>
          </w:tcPr>
          <w:p w14:paraId="2DBBAB18">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jc w:val="center"/>
            </w:pPr>
            <w:r>
              <w:rPr>
                <w:rFonts w:hint="default" w:ascii="Arial" w:hAnsi="Arial" w:cs="Arial"/>
                <w:b/>
                <w:bCs/>
                <w:i w:val="0"/>
                <w:iCs w:val="0"/>
                <w:color w:val="000000"/>
                <w:sz w:val="18"/>
                <w:szCs w:val="18"/>
                <w:u w:val="none"/>
                <w:vertAlign w:val="baseline"/>
              </w:rPr>
              <w:t>12000000</w:t>
            </w:r>
          </w:p>
        </w:tc>
        <w:tc>
          <w:tcPr>
            <w:tcW w:w="0" w:type="auto"/>
            <w:tcBorders>
              <w:top w:val="single" w:color="000000" w:sz="2" w:space="0"/>
              <w:left w:val="single" w:color="000000" w:sz="2" w:space="0"/>
              <w:bottom w:val="single" w:color="000000" w:sz="2" w:space="0"/>
              <w:right w:val="single" w:color="000000" w:sz="2" w:space="0"/>
            </w:tcBorders>
            <w:shd w:val="clear" w:color="auto" w:fill="D9D9D9"/>
            <w:tcMar>
              <w:top w:w="0" w:type="dxa"/>
              <w:left w:w="60" w:type="dxa"/>
              <w:bottom w:w="0" w:type="dxa"/>
              <w:right w:w="60" w:type="dxa"/>
            </w:tcMar>
            <w:vAlign w:val="center"/>
          </w:tcPr>
          <w:p w14:paraId="53E80120">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jc w:val="center"/>
            </w:pPr>
            <w:r>
              <w:rPr>
                <w:rFonts w:hint="default" w:ascii="Arial" w:hAnsi="Arial" w:cs="Arial"/>
                <w:b/>
                <w:bCs/>
                <w:i w:val="0"/>
                <w:iCs w:val="0"/>
                <w:color w:val="000000"/>
                <w:sz w:val="18"/>
                <w:szCs w:val="18"/>
                <w:u w:val="none"/>
                <w:vertAlign w:val="baseline"/>
              </w:rPr>
              <w:t>12140000</w:t>
            </w:r>
          </w:p>
        </w:tc>
        <w:tc>
          <w:tcPr>
            <w:tcW w:w="0" w:type="auto"/>
            <w:tcBorders>
              <w:top w:val="single" w:color="000000" w:sz="2" w:space="0"/>
              <w:left w:val="single" w:color="000000" w:sz="2" w:space="0"/>
              <w:bottom w:val="single" w:color="000000" w:sz="2" w:space="0"/>
              <w:right w:val="single" w:color="000000" w:sz="2" w:space="0"/>
            </w:tcBorders>
            <w:shd w:val="clear" w:color="auto" w:fill="D9D9D9"/>
            <w:tcMar>
              <w:top w:w="0" w:type="dxa"/>
              <w:left w:w="60" w:type="dxa"/>
              <w:bottom w:w="0" w:type="dxa"/>
              <w:right w:w="60" w:type="dxa"/>
            </w:tcMar>
            <w:vAlign w:val="center"/>
          </w:tcPr>
          <w:p w14:paraId="244302CF">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jc w:val="center"/>
            </w:pPr>
            <w:r>
              <w:rPr>
                <w:rFonts w:hint="default" w:ascii="Arial" w:hAnsi="Arial" w:cs="Arial"/>
                <w:b/>
                <w:bCs/>
                <w:i w:val="0"/>
                <w:iCs w:val="0"/>
                <w:color w:val="000000"/>
                <w:sz w:val="18"/>
                <w:szCs w:val="18"/>
                <w:u w:val="none"/>
                <w:vertAlign w:val="baseline"/>
              </w:rPr>
              <w:t>12142200</w:t>
            </w:r>
          </w:p>
        </w:tc>
        <w:tc>
          <w:tcPr>
            <w:tcW w:w="0" w:type="auto"/>
            <w:tcBorders>
              <w:top w:val="single" w:color="000000" w:sz="2" w:space="0"/>
              <w:left w:val="single" w:color="000000" w:sz="2" w:space="0"/>
              <w:bottom w:val="single" w:color="000000" w:sz="2" w:space="0"/>
              <w:right w:val="single" w:color="000000" w:sz="2" w:space="0"/>
            </w:tcBorders>
            <w:shd w:val="clear" w:color="auto" w:fill="D9D9D9"/>
            <w:tcMar>
              <w:top w:w="0" w:type="dxa"/>
              <w:left w:w="60" w:type="dxa"/>
              <w:bottom w:w="0" w:type="dxa"/>
              <w:right w:w="60" w:type="dxa"/>
            </w:tcMar>
            <w:vAlign w:val="center"/>
          </w:tcPr>
          <w:p w14:paraId="6912B7FB">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jc w:val="center"/>
            </w:pPr>
            <w:r>
              <w:rPr>
                <w:rFonts w:hint="default" w:ascii="Arial" w:hAnsi="Arial" w:cs="Arial"/>
                <w:b/>
                <w:bCs/>
                <w:i w:val="0"/>
                <w:iCs w:val="0"/>
                <w:color w:val="000000"/>
                <w:sz w:val="18"/>
                <w:szCs w:val="18"/>
                <w:u w:val="none"/>
                <w:vertAlign w:val="baseline"/>
              </w:rPr>
              <w:t>12142206</w:t>
            </w:r>
          </w:p>
        </w:tc>
      </w:tr>
      <w:tr w14:paraId="1D057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20" w:hRule="atLeast"/>
        </w:trPr>
        <w:tc>
          <w:tcPr>
            <w:tcW w:w="0" w:type="auto"/>
            <w:tcBorders>
              <w:top w:val="single" w:color="000000" w:sz="2" w:space="0"/>
              <w:left w:val="single" w:color="000000" w:sz="2" w:space="0"/>
              <w:bottom w:val="single" w:color="000000" w:sz="2" w:space="0"/>
              <w:right w:val="single" w:color="000000" w:sz="2" w:space="0"/>
            </w:tcBorders>
            <w:shd w:val="clear" w:color="auto" w:fill="A6A6A6"/>
            <w:tcMar>
              <w:top w:w="0" w:type="dxa"/>
              <w:left w:w="60" w:type="dxa"/>
              <w:bottom w:w="0" w:type="dxa"/>
              <w:right w:w="60" w:type="dxa"/>
            </w:tcMar>
            <w:vAlign w:val="center"/>
          </w:tcPr>
          <w:p w14:paraId="142D67DA">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jc w:val="center"/>
            </w:pPr>
            <w:r>
              <w:rPr>
                <w:rFonts w:hint="default" w:ascii="Arial" w:hAnsi="Arial" w:cs="Arial"/>
                <w:b/>
                <w:bCs/>
                <w:i w:val="0"/>
                <w:iCs w:val="0"/>
                <w:color w:val="000000"/>
                <w:sz w:val="18"/>
                <w:szCs w:val="18"/>
                <w:u w:val="none"/>
                <w:vertAlign w:val="baseline"/>
              </w:rPr>
              <w:t>Nombre</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0" w:type="dxa"/>
              <w:left w:w="60" w:type="dxa"/>
              <w:bottom w:w="0" w:type="dxa"/>
              <w:right w:w="60" w:type="dxa"/>
            </w:tcMar>
            <w:vAlign w:val="center"/>
          </w:tcPr>
          <w:p w14:paraId="32E3D680">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jc w:val="center"/>
            </w:pPr>
            <w:r>
              <w:rPr>
                <w:rFonts w:hint="default" w:ascii="Arial" w:hAnsi="Arial" w:cs="Arial"/>
                <w:i w:val="0"/>
                <w:iCs w:val="0"/>
                <w:color w:val="000000"/>
                <w:sz w:val="18"/>
                <w:szCs w:val="18"/>
                <w:u w:val="none"/>
                <w:vertAlign w:val="baseline"/>
              </w:rPr>
              <w:t>Material Químico incluyendo</w:t>
            </w:r>
          </w:p>
          <w:p w14:paraId="717A4F18">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jc w:val="center"/>
            </w:pPr>
            <w:r>
              <w:rPr>
                <w:rFonts w:hint="default" w:ascii="Arial" w:hAnsi="Arial" w:cs="Arial"/>
                <w:i w:val="0"/>
                <w:iCs w:val="0"/>
                <w:color w:val="000000"/>
                <w:sz w:val="18"/>
                <w:szCs w:val="18"/>
                <w:u w:val="none"/>
                <w:vertAlign w:val="baseline"/>
              </w:rPr>
              <w:t>Bioquímicos y Materiales de gas</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0" w:type="dxa"/>
              <w:left w:w="60" w:type="dxa"/>
              <w:bottom w:w="0" w:type="dxa"/>
              <w:right w:w="60" w:type="dxa"/>
            </w:tcMar>
            <w:vAlign w:val="center"/>
          </w:tcPr>
          <w:p w14:paraId="68BC51C0">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jc w:val="center"/>
            </w:pPr>
            <w:r>
              <w:rPr>
                <w:rFonts w:hint="default" w:ascii="Arial" w:hAnsi="Arial" w:cs="Arial"/>
                <w:i w:val="0"/>
                <w:iCs w:val="0"/>
                <w:color w:val="000000"/>
                <w:sz w:val="18"/>
                <w:szCs w:val="18"/>
                <w:u w:val="none"/>
                <w:vertAlign w:val="baseline"/>
              </w:rPr>
              <w:t>Elementos y gases</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0" w:type="dxa"/>
              <w:left w:w="60" w:type="dxa"/>
              <w:bottom w:w="0" w:type="dxa"/>
              <w:right w:w="60" w:type="dxa"/>
            </w:tcMar>
            <w:vAlign w:val="center"/>
          </w:tcPr>
          <w:p w14:paraId="1A1CD27A">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jc w:val="center"/>
            </w:pPr>
            <w:r>
              <w:rPr>
                <w:rFonts w:hint="default" w:ascii="Arial" w:hAnsi="Arial" w:cs="Arial"/>
                <w:i w:val="0"/>
                <w:iCs w:val="0"/>
                <w:color w:val="000000"/>
                <w:sz w:val="18"/>
                <w:szCs w:val="18"/>
                <w:u w:val="none"/>
                <w:vertAlign w:val="baseline"/>
              </w:rPr>
              <w:t>Isótopos</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0" w:type="dxa"/>
              <w:left w:w="60" w:type="dxa"/>
              <w:bottom w:w="0" w:type="dxa"/>
              <w:right w:w="60" w:type="dxa"/>
            </w:tcMar>
            <w:vAlign w:val="center"/>
          </w:tcPr>
          <w:p w14:paraId="038AF883">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jc w:val="center"/>
            </w:pPr>
            <w:r>
              <w:rPr>
                <w:rFonts w:hint="default" w:ascii="Arial" w:hAnsi="Arial" w:cs="Arial"/>
                <w:i w:val="0"/>
                <w:iCs w:val="0"/>
                <w:color w:val="000000"/>
                <w:sz w:val="18"/>
                <w:szCs w:val="18"/>
                <w:u w:val="none"/>
                <w:vertAlign w:val="baseline"/>
              </w:rPr>
              <w:t>Fuentes gamma</w:t>
            </w:r>
          </w:p>
        </w:tc>
      </w:tr>
    </w:tbl>
    <w:p w14:paraId="0520FAB6">
      <w:pPr>
        <w:autoSpaceDE w:val="0"/>
        <w:autoSpaceDN w:val="0"/>
        <w:adjustRightInd w:val="0"/>
        <w:spacing w:after="0" w:line="240" w:lineRule="auto"/>
        <w:jc w:val="both"/>
        <w:rPr>
          <w:rFonts w:ascii="Verdana" w:hAnsi="Verdana" w:eastAsia="Times New Roman" w:cstheme="minorHAnsi"/>
          <w:lang w:eastAsia="es-ES"/>
        </w:rPr>
      </w:pPr>
    </w:p>
    <w:p w14:paraId="2AB15AF7">
      <w:pPr>
        <w:autoSpaceDE w:val="0"/>
        <w:autoSpaceDN w:val="0"/>
        <w:adjustRightInd w:val="0"/>
        <w:spacing w:after="0" w:line="240" w:lineRule="auto"/>
        <w:jc w:val="both"/>
        <w:rPr>
          <w:rFonts w:ascii="Verdana" w:hAnsi="Verdana" w:eastAsia="Times New Roman" w:cstheme="minorHAnsi"/>
          <w:lang w:eastAsia="es-ES"/>
        </w:rPr>
      </w:pPr>
    </w:p>
    <w:p w14:paraId="26837E10">
      <w:pPr>
        <w:autoSpaceDE w:val="0"/>
        <w:autoSpaceDN w:val="0"/>
        <w:adjustRightInd w:val="0"/>
        <w:spacing w:after="0" w:line="240" w:lineRule="auto"/>
        <w:jc w:val="both"/>
        <w:rPr>
          <w:rFonts w:ascii="Verdana" w:hAnsi="Verdana" w:cstheme="minorHAnsi"/>
        </w:rPr>
      </w:pPr>
      <w:bookmarkStart w:id="0" w:name="_Hlk196396421"/>
      <w:r>
        <w:rPr>
          <w:rFonts w:ascii="Verdana" w:hAnsi="Verdana" w:cstheme="minorHAnsi"/>
          <w:b/>
        </w:rPr>
        <w:t xml:space="preserve">Nota 1: </w:t>
      </w:r>
      <w:r>
        <w:rPr>
          <w:rFonts w:ascii="Verdana" w:hAnsi="Verdana" w:cstheme="minorHAnsi"/>
        </w:rPr>
        <w:t>El valor debe incluir IVA</w:t>
      </w:r>
    </w:p>
    <w:p w14:paraId="1D880295">
      <w:pPr>
        <w:autoSpaceDE w:val="0"/>
        <w:autoSpaceDN w:val="0"/>
        <w:adjustRightInd w:val="0"/>
        <w:spacing w:after="0" w:line="240" w:lineRule="auto"/>
        <w:jc w:val="both"/>
        <w:rPr>
          <w:rFonts w:ascii="Verdana" w:hAnsi="Verdana" w:cstheme="minorHAnsi"/>
        </w:rPr>
      </w:pPr>
    </w:p>
    <w:p w14:paraId="062369CA">
      <w:pPr>
        <w:autoSpaceDE w:val="0"/>
        <w:autoSpaceDN w:val="0"/>
        <w:adjustRightInd w:val="0"/>
        <w:spacing w:after="0" w:line="240" w:lineRule="auto"/>
        <w:jc w:val="both"/>
        <w:rPr>
          <w:rFonts w:ascii="Verdana" w:hAnsi="Verdana" w:cstheme="minorHAnsi"/>
        </w:rPr>
      </w:pPr>
      <w:r>
        <w:rPr>
          <w:rFonts w:ascii="Verdana" w:hAnsi="Verdana" w:cstheme="minorHAnsi"/>
          <w:b/>
        </w:rPr>
        <w:t>Nota 3:</w:t>
      </w:r>
      <w:r>
        <w:rPr>
          <w:rFonts w:ascii="Verdana" w:hAnsi="Verdana" w:cstheme="minorHAnsi"/>
        </w:rPr>
        <w:t xml:space="preserve"> El Servicio Geológico Colombiano (SGC) podrá incluir o retirar ítems del listado solicitado según sea el caso</w:t>
      </w:r>
    </w:p>
    <w:p w14:paraId="43FF5498">
      <w:pPr>
        <w:autoSpaceDE w:val="0"/>
        <w:autoSpaceDN w:val="0"/>
        <w:adjustRightInd w:val="0"/>
        <w:spacing w:after="0" w:line="240" w:lineRule="auto"/>
        <w:jc w:val="both"/>
        <w:rPr>
          <w:rFonts w:ascii="Verdana" w:hAnsi="Verdana" w:cstheme="minorHAnsi"/>
        </w:rPr>
      </w:pPr>
    </w:p>
    <w:p w14:paraId="355D2B34">
      <w:pPr>
        <w:autoSpaceDE w:val="0"/>
        <w:autoSpaceDN w:val="0"/>
        <w:adjustRightInd w:val="0"/>
        <w:spacing w:after="0" w:line="240" w:lineRule="auto"/>
        <w:jc w:val="both"/>
        <w:rPr>
          <w:rFonts w:ascii="Verdana" w:hAnsi="Verdana" w:cstheme="minorHAnsi"/>
        </w:rPr>
      </w:pPr>
    </w:p>
    <w:bookmarkEnd w:id="0"/>
    <w:p w14:paraId="3BFD3088">
      <w:pPr>
        <w:pStyle w:val="7"/>
        <w:numPr>
          <w:ilvl w:val="0"/>
          <w:numId w:val="2"/>
        </w:numPr>
        <w:jc w:val="both"/>
        <w:rPr>
          <w:rFonts w:ascii="Arial" w:hAnsi="Arial" w:cs="Arial"/>
          <w:b/>
          <w:bCs/>
          <w:sz w:val="20"/>
          <w:szCs w:val="20"/>
        </w:rPr>
      </w:pPr>
      <w:r>
        <w:rPr>
          <w:rFonts w:ascii="Arial" w:hAnsi="Arial" w:cs="Arial"/>
          <w:b/>
          <w:bCs/>
          <w:sz w:val="20"/>
          <w:szCs w:val="20"/>
        </w:rPr>
        <w:t>ESPECIFICACIONES TÉCNICAS DEL SERVICIO A ADQUIRIR</w:t>
      </w:r>
    </w:p>
    <w:p w14:paraId="7B3B9776">
      <w:pPr>
        <w:pStyle w:val="62"/>
        <w:ind w:left="720"/>
        <w:jc w:val="both"/>
        <w:rPr>
          <w:rFonts w:ascii="Arial" w:hAnsi="Arial" w:cs="Arial"/>
          <w:sz w:val="18"/>
          <w:szCs w:val="18"/>
        </w:rPr>
      </w:pPr>
    </w:p>
    <w:p w14:paraId="558E7BB9">
      <w:pPr>
        <w:spacing w:line="240" w:lineRule="auto"/>
        <w:jc w:val="both"/>
        <w:rPr>
          <w:rFonts w:ascii="Arial" w:hAnsi="Arial" w:cs="Arial"/>
          <w:sz w:val="20"/>
          <w:szCs w:val="20"/>
        </w:rPr>
      </w:pPr>
      <w:r>
        <w:rPr>
          <w:rFonts w:ascii="Arial" w:hAnsi="Arial" w:cs="Arial"/>
          <w:sz w:val="20"/>
          <w:szCs w:val="20"/>
        </w:rPr>
        <w:t>En el marco de las actividades de investigación</w:t>
      </w:r>
      <w:r>
        <w:rPr>
          <w:rFonts w:hint="default" w:ascii="Arial" w:hAnsi="Arial" w:cs="Arial"/>
          <w:sz w:val="20"/>
          <w:szCs w:val="20"/>
          <w:lang w:val="es-CO"/>
        </w:rPr>
        <w:t>, e</w:t>
      </w:r>
      <w:r>
        <w:rPr>
          <w:rFonts w:ascii="Arial" w:hAnsi="Arial" w:cs="Arial"/>
          <w:sz w:val="20"/>
          <w:szCs w:val="20"/>
        </w:rPr>
        <w:t xml:space="preserve">l Laboratorio de Radiometría Ambiental del SGC requiere fortalecer su capacidad técnica para realizar calibraciones en radioterapia según los protocolos OIEA TRS-469 y TRS-398. Para ello, necesita adquirir materiales de referencia certificados que garanticen la trazabilidad metrológica, la confiabilidad de las mediciones y la adecuada calibración y verificación de los detectores de espectrometría gamma, asegurando así la precisión y comparabilidad de los resultados. </w:t>
      </w:r>
    </w:p>
    <w:p w14:paraId="355223C2">
      <w:pPr>
        <w:spacing w:line="240" w:lineRule="auto"/>
        <w:jc w:val="both"/>
        <w:rPr>
          <w:rFonts w:hint="default" w:ascii="Arial" w:hAnsi="Arial" w:cs="Arial"/>
          <w:sz w:val="20"/>
          <w:szCs w:val="20"/>
          <w:lang w:val="es-CO"/>
        </w:rPr>
      </w:pPr>
      <w:r>
        <w:rPr>
          <w:rFonts w:hint="default" w:ascii="Arial" w:hAnsi="Arial" w:cs="Arial"/>
          <w:sz w:val="20"/>
          <w:szCs w:val="20"/>
          <w:lang w:val="es-CO"/>
        </w:rPr>
        <w:t xml:space="preserve">Por lo anterior se requiere los siguientes </w:t>
      </w:r>
      <w:r>
        <w:rPr>
          <w:rFonts w:ascii="Arial" w:hAnsi="Arial" w:cs="Arial"/>
          <w:sz w:val="20"/>
          <w:szCs w:val="20"/>
        </w:rPr>
        <w:t>material</w:t>
      </w:r>
      <w:r>
        <w:rPr>
          <w:rFonts w:hint="default" w:ascii="Arial" w:hAnsi="Arial" w:cs="Arial"/>
          <w:sz w:val="20"/>
          <w:szCs w:val="20"/>
          <w:lang w:val="es-CO"/>
        </w:rPr>
        <w:t>es</w:t>
      </w:r>
      <w:r>
        <w:rPr>
          <w:rFonts w:ascii="Arial" w:hAnsi="Arial" w:cs="Arial"/>
          <w:sz w:val="20"/>
          <w:szCs w:val="20"/>
        </w:rPr>
        <w:t xml:space="preserve"> de referencia certificado radiactivo, clasificado como exento de riesgo para la salud humana, conforme a lo</w:t>
      </w:r>
      <w:r>
        <w:rPr>
          <w:rFonts w:hint="default" w:ascii="Arial" w:hAnsi="Arial" w:cs="Arial"/>
          <w:sz w:val="20"/>
          <w:szCs w:val="20"/>
          <w:lang w:val="es-CO"/>
        </w:rPr>
        <w:t xml:space="preserve"> </w:t>
      </w:r>
      <w:r>
        <w:rPr>
          <w:rFonts w:hint="default" w:ascii="Arial" w:hAnsi="Arial" w:cs="Arial"/>
          <w:sz w:val="20"/>
          <w:szCs w:val="20"/>
        </w:rPr>
        <w:t>establecido en la Resolución 180052 de 2008 del Ministerio de Minas y Energía de Colombia</w:t>
      </w:r>
      <w:r>
        <w:rPr>
          <w:rFonts w:hint="default" w:ascii="Arial" w:hAnsi="Arial" w:cs="Arial"/>
          <w:sz w:val="20"/>
          <w:szCs w:val="20"/>
          <w:lang w:val="es-CO"/>
        </w:rPr>
        <w:t xml:space="preserve">, </w:t>
      </w:r>
    </w:p>
    <w:p w14:paraId="382E83B4">
      <w:pPr>
        <w:pStyle w:val="62"/>
        <w:ind w:left="720"/>
        <w:jc w:val="both"/>
        <w:rPr>
          <w:rFonts w:ascii="Arial" w:hAnsi="Arial" w:cs="Arial"/>
          <w:sz w:val="20"/>
          <w:szCs w:val="20"/>
        </w:rPr>
      </w:pPr>
      <w:r>
        <w:rPr>
          <w:rFonts w:ascii="Arial" w:hAnsi="Arial" w:cs="Arial"/>
          <w:sz w:val="20"/>
          <w:szCs w:val="20"/>
        </w:rPr>
        <w:t>.</w:t>
      </w:r>
    </w:p>
    <w:tbl>
      <w:tblPr>
        <w:tblStyle w:val="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29"/>
        <w:gridCol w:w="7690"/>
        <w:gridCol w:w="719"/>
      </w:tblGrid>
      <w:tr w14:paraId="4985D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40" w:hRule="atLeast"/>
        </w:trPr>
        <w:tc>
          <w:tcPr>
            <w:tcW w:w="0" w:type="auto"/>
            <w:tcBorders>
              <w:top w:val="single" w:color="000000" w:sz="2" w:space="0"/>
              <w:left w:val="single" w:color="000000" w:sz="2" w:space="0"/>
              <w:bottom w:val="single" w:color="000000" w:sz="2" w:space="0"/>
              <w:right w:val="single" w:color="000000" w:sz="2" w:space="0"/>
            </w:tcBorders>
            <w:shd w:val="clear" w:color="auto" w:fill="auto"/>
            <w:tcMar>
              <w:top w:w="0" w:type="dxa"/>
              <w:left w:w="100" w:type="dxa"/>
              <w:bottom w:w="0" w:type="dxa"/>
              <w:right w:w="100" w:type="dxa"/>
            </w:tcMar>
            <w:vAlign w:val="center"/>
          </w:tcPr>
          <w:p w14:paraId="2CF27686">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pPr>
            <w:r>
              <w:rPr>
                <w:rFonts w:ascii="Arial" w:hAnsi="Arial" w:cs="Arial"/>
                <w:i w:val="0"/>
                <w:iCs w:val="0"/>
                <w:color w:val="000000"/>
                <w:sz w:val="20"/>
                <w:szCs w:val="20"/>
                <w:u w:val="none"/>
                <w:vertAlign w:val="baseline"/>
              </w:rPr>
              <w:t>Ítem</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0" w:type="dxa"/>
              <w:left w:w="100" w:type="dxa"/>
              <w:bottom w:w="0" w:type="dxa"/>
              <w:right w:w="100" w:type="dxa"/>
            </w:tcMar>
            <w:vAlign w:val="center"/>
          </w:tcPr>
          <w:p w14:paraId="64CED6CF">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pPr>
            <w:r>
              <w:rPr>
                <w:rFonts w:hint="default" w:ascii="Arial" w:hAnsi="Arial" w:cs="Arial"/>
                <w:i w:val="0"/>
                <w:iCs w:val="0"/>
                <w:color w:val="000000"/>
                <w:sz w:val="20"/>
                <w:szCs w:val="20"/>
                <w:u w:val="none"/>
                <w:vertAlign w:val="baseline"/>
              </w:rPr>
              <w:t>Descripción </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0" w:type="dxa"/>
              <w:left w:w="100" w:type="dxa"/>
              <w:bottom w:w="0" w:type="dxa"/>
              <w:right w:w="100" w:type="dxa"/>
            </w:tcMar>
            <w:vAlign w:val="center"/>
          </w:tcPr>
          <w:p w14:paraId="66C42BF7">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pPr>
            <w:r>
              <w:rPr>
                <w:rFonts w:hint="default" w:ascii="Arial" w:hAnsi="Arial" w:cs="Arial"/>
                <w:i w:val="0"/>
                <w:iCs w:val="0"/>
                <w:color w:val="000000"/>
                <w:sz w:val="20"/>
                <w:szCs w:val="20"/>
                <w:u w:val="none"/>
                <w:vertAlign w:val="baseline"/>
              </w:rPr>
              <w:t>Cant.</w:t>
            </w:r>
          </w:p>
        </w:tc>
      </w:tr>
      <w:tr w14:paraId="4EA12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trPr>
        <w:tc>
          <w:tcPr>
            <w:tcW w:w="0" w:type="auto"/>
            <w:tcBorders>
              <w:top w:val="single" w:color="000000" w:sz="2" w:space="0"/>
              <w:left w:val="single" w:color="000000" w:sz="2" w:space="0"/>
              <w:bottom w:val="single" w:color="000000" w:sz="2" w:space="0"/>
              <w:right w:val="single" w:color="000000" w:sz="2" w:space="0"/>
            </w:tcBorders>
            <w:shd w:val="clear" w:color="auto" w:fill="auto"/>
            <w:tcMar>
              <w:top w:w="0" w:type="dxa"/>
              <w:left w:w="100" w:type="dxa"/>
              <w:bottom w:w="0" w:type="dxa"/>
              <w:right w:w="100" w:type="dxa"/>
            </w:tcMar>
            <w:vAlign w:val="center"/>
          </w:tcPr>
          <w:p w14:paraId="6FBDD423">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pPr>
            <w:r>
              <w:rPr>
                <w:rFonts w:hint="default" w:ascii="Arial" w:hAnsi="Arial" w:cs="Arial"/>
                <w:i w:val="0"/>
                <w:iCs w:val="0"/>
                <w:color w:val="000000"/>
                <w:sz w:val="20"/>
                <w:szCs w:val="20"/>
                <w:u w:val="none"/>
                <w:vertAlign w:val="baseline"/>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0" w:type="dxa"/>
              <w:left w:w="100" w:type="dxa"/>
              <w:bottom w:w="0" w:type="dxa"/>
              <w:right w:w="100" w:type="dxa"/>
            </w:tcMar>
            <w:vAlign w:val="center"/>
          </w:tcPr>
          <w:p w14:paraId="5DD5D452">
            <w:pPr>
              <w:pStyle w:val="7"/>
              <w:keepNext w:val="0"/>
              <w:keepLines w:val="0"/>
              <w:widowControl/>
              <w:numPr>
                <w:ilvl w:val="0"/>
                <w:numId w:val="0"/>
              </w:numPr>
              <w:suppressLineNumbers w:val="0"/>
              <w:bidi w:val="0"/>
              <w:spacing w:before="0" w:beforeAutospacing="0" w:after="0" w:afterAutospacing="0" w:line="10" w:lineRule="atLeast"/>
              <w:ind w:leftChars="0" w:right="40" w:rightChars="0"/>
            </w:pPr>
            <w:r>
              <w:rPr>
                <w:rFonts w:hint="default" w:ascii="Arial" w:hAnsi="Arial" w:cs="Arial"/>
                <w:i w:val="0"/>
                <w:iCs w:val="0"/>
                <w:color w:val="000000"/>
                <w:sz w:val="20"/>
                <w:szCs w:val="20"/>
                <w:u w:val="none"/>
                <w:vertAlign w:val="baseline"/>
              </w:rPr>
              <w:t>Material radiactivo líquido multigamma con los siguientes radioisótopos: cadmio-109 (Cd-109), cobalto 57 (Co-57), telurio-123 (Te-123), cromo-51 (Cr-51), estaño-113 (Sn-113), estroncio-85 (Sr-85), cesio-137 (Cs-137), cobalto-60 (Co-60), itrio-88 (Y-88), americio-241 (Am-241). </w:t>
            </w:r>
          </w:p>
          <w:p w14:paraId="3EDCC8C4">
            <w:pPr>
              <w:pStyle w:val="7"/>
              <w:keepNext w:val="0"/>
              <w:keepLines w:val="0"/>
              <w:widowControl/>
              <w:suppressLineNumbers w:val="0"/>
              <w:bidi w:val="0"/>
              <w:spacing w:before="0" w:beforeAutospacing="0" w:after="0" w:afterAutospacing="0" w:line="10" w:lineRule="atLeast"/>
              <w:ind w:right="40"/>
              <w:rPr>
                <w:rFonts w:hint="default" w:ascii="Arial" w:hAnsi="Arial" w:cs="Arial"/>
                <w:i w:val="0"/>
                <w:iCs w:val="0"/>
                <w:color w:val="000000"/>
                <w:sz w:val="20"/>
                <w:szCs w:val="20"/>
                <w:u w:val="none"/>
                <w:vertAlign w:val="baseline"/>
              </w:rPr>
            </w:pPr>
          </w:p>
          <w:p w14:paraId="3E6FC732">
            <w:pPr>
              <w:pStyle w:val="7"/>
              <w:keepNext w:val="0"/>
              <w:keepLines w:val="0"/>
              <w:widowControl/>
              <w:suppressLineNumbers w:val="0"/>
              <w:bidi w:val="0"/>
              <w:spacing w:before="0" w:beforeAutospacing="0" w:after="0" w:afterAutospacing="0" w:line="10" w:lineRule="atLeast"/>
              <w:ind w:right="40"/>
            </w:pPr>
            <w:r>
              <w:rPr>
                <w:rFonts w:hint="default" w:ascii="Arial" w:hAnsi="Arial" w:cs="Arial"/>
                <w:i w:val="0"/>
                <w:iCs w:val="0"/>
                <w:color w:val="000000"/>
                <w:sz w:val="20"/>
                <w:szCs w:val="20"/>
                <w:u w:val="none"/>
                <w:vertAlign w:val="baseline"/>
              </w:rPr>
              <w:t>Solvente: ácido clorhídrico (HCl) 2 M.</w:t>
            </w:r>
          </w:p>
          <w:p w14:paraId="25E08DBB">
            <w:pPr>
              <w:pStyle w:val="7"/>
              <w:keepNext w:val="0"/>
              <w:keepLines w:val="0"/>
              <w:widowControl/>
              <w:suppressLineNumbers w:val="0"/>
              <w:bidi w:val="0"/>
              <w:spacing w:before="0" w:beforeAutospacing="0" w:after="0" w:afterAutospacing="0" w:line="10" w:lineRule="atLeast"/>
              <w:ind w:right="40"/>
              <w:rPr>
                <w:rFonts w:hint="default" w:ascii="Arial" w:hAnsi="Arial" w:cs="Arial"/>
                <w:i w:val="0"/>
                <w:iCs w:val="0"/>
                <w:color w:val="000000"/>
                <w:sz w:val="20"/>
                <w:szCs w:val="20"/>
                <w:u w:val="none"/>
                <w:vertAlign w:val="baseline"/>
              </w:rPr>
            </w:pPr>
          </w:p>
          <w:p w14:paraId="54953EA5">
            <w:pPr>
              <w:pStyle w:val="7"/>
              <w:keepNext w:val="0"/>
              <w:keepLines w:val="0"/>
              <w:widowControl/>
              <w:suppressLineNumbers w:val="0"/>
              <w:bidi w:val="0"/>
              <w:spacing w:before="0" w:beforeAutospacing="0" w:after="0" w:afterAutospacing="0" w:line="10" w:lineRule="atLeast"/>
              <w:ind w:right="40"/>
            </w:pPr>
            <w:r>
              <w:rPr>
                <w:rFonts w:hint="default" w:ascii="Arial" w:hAnsi="Arial" w:cs="Arial"/>
                <w:i w:val="0"/>
                <w:iCs w:val="0"/>
                <w:color w:val="000000"/>
                <w:sz w:val="20"/>
                <w:szCs w:val="20"/>
                <w:u w:val="none"/>
                <w:vertAlign w:val="baseline"/>
              </w:rPr>
              <w:t>Actividad total: 38.11 kBq (1.03 uCi).</w:t>
            </w:r>
          </w:p>
          <w:p w14:paraId="65D3D9C2">
            <w:pPr>
              <w:pStyle w:val="7"/>
              <w:keepNext w:val="0"/>
              <w:keepLines w:val="0"/>
              <w:widowControl/>
              <w:suppressLineNumbers w:val="0"/>
              <w:bidi w:val="0"/>
              <w:spacing w:before="0" w:beforeAutospacing="0" w:after="0" w:afterAutospacing="0" w:line="10" w:lineRule="atLeast"/>
              <w:ind w:right="40"/>
              <w:rPr>
                <w:rFonts w:hint="default" w:ascii="Arial" w:hAnsi="Arial" w:cs="Arial"/>
                <w:i w:val="0"/>
                <w:iCs w:val="0"/>
                <w:color w:val="000000"/>
                <w:sz w:val="20"/>
                <w:szCs w:val="20"/>
                <w:u w:val="none"/>
                <w:vertAlign w:val="baseline"/>
              </w:rPr>
            </w:pPr>
          </w:p>
          <w:p w14:paraId="25283CD1">
            <w:pPr>
              <w:pStyle w:val="7"/>
              <w:keepNext w:val="0"/>
              <w:keepLines w:val="0"/>
              <w:widowControl/>
              <w:suppressLineNumbers w:val="0"/>
              <w:bidi w:val="0"/>
              <w:spacing w:before="0" w:beforeAutospacing="0" w:after="0" w:afterAutospacing="0" w:line="10" w:lineRule="atLeast"/>
              <w:ind w:right="40"/>
            </w:pPr>
            <w:r>
              <w:rPr>
                <w:rFonts w:hint="default" w:ascii="Arial" w:hAnsi="Arial" w:cs="Arial"/>
                <w:i w:val="0"/>
                <w:iCs w:val="0"/>
                <w:color w:val="000000"/>
                <w:sz w:val="20"/>
                <w:szCs w:val="20"/>
                <w:u w:val="none"/>
                <w:vertAlign w:val="baseline"/>
              </w:rPr>
              <w:t>Volumen: 5 mL en vial de vidrio.</w:t>
            </w:r>
          </w:p>
          <w:p w14:paraId="38829C4D">
            <w:pPr>
              <w:pStyle w:val="7"/>
              <w:keepNext w:val="0"/>
              <w:keepLines w:val="0"/>
              <w:widowControl/>
              <w:suppressLineNumbers w:val="0"/>
              <w:bidi w:val="0"/>
              <w:spacing w:before="0" w:beforeAutospacing="0" w:after="0" w:afterAutospacing="0" w:line="10" w:lineRule="atLeast"/>
              <w:ind w:right="40"/>
              <w:rPr>
                <w:rFonts w:hint="default" w:ascii="Arial" w:hAnsi="Arial" w:cs="Arial"/>
                <w:i w:val="0"/>
                <w:iCs w:val="0"/>
                <w:color w:val="000000"/>
                <w:sz w:val="20"/>
                <w:szCs w:val="20"/>
                <w:u w:val="none"/>
                <w:vertAlign w:val="baseline"/>
              </w:rPr>
            </w:pPr>
          </w:p>
          <w:p w14:paraId="3DAC57BF">
            <w:pPr>
              <w:pStyle w:val="7"/>
              <w:keepNext w:val="0"/>
              <w:keepLines w:val="0"/>
              <w:widowControl/>
              <w:suppressLineNumbers w:val="0"/>
              <w:bidi w:val="0"/>
              <w:spacing w:before="0" w:beforeAutospacing="0" w:after="0" w:afterAutospacing="0" w:line="10" w:lineRule="atLeast"/>
              <w:ind w:right="40"/>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vertAlign w:val="baseline"/>
              </w:rPr>
              <w:t>Certificado que esté acreditado bajo la norma ISO 17034:2016 o que cuente con un certificado de referencia trazable al Instituto Nacional de Estándares y Tecnología (NIST), disponible en inglés o español.</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0" w:type="dxa"/>
              <w:left w:w="100" w:type="dxa"/>
              <w:bottom w:w="0" w:type="dxa"/>
              <w:right w:w="100" w:type="dxa"/>
            </w:tcMar>
            <w:vAlign w:val="center"/>
          </w:tcPr>
          <w:p w14:paraId="02CD0D69">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pPr>
            <w:r>
              <w:rPr>
                <w:rFonts w:hint="default" w:ascii="Arial" w:hAnsi="Arial" w:cs="Arial"/>
                <w:i w:val="0"/>
                <w:iCs w:val="0"/>
                <w:color w:val="000000"/>
                <w:sz w:val="20"/>
                <w:szCs w:val="20"/>
                <w:u w:val="none"/>
                <w:vertAlign w:val="baseline"/>
              </w:rPr>
              <w:t>1</w:t>
            </w:r>
          </w:p>
        </w:tc>
      </w:tr>
    </w:tbl>
    <w:p w14:paraId="0418E0DC">
      <w:pPr>
        <w:pStyle w:val="7"/>
        <w:ind w:left="720"/>
        <w:jc w:val="both"/>
        <w:rPr>
          <w:rFonts w:ascii="Arial" w:hAnsi="Arial" w:cs="Arial"/>
          <w:sz w:val="20"/>
          <w:szCs w:val="20"/>
        </w:rPr>
      </w:pPr>
    </w:p>
    <w:p w14:paraId="6973DD74">
      <w:pPr>
        <w:pStyle w:val="7"/>
        <w:numPr>
          <w:ilvl w:val="1"/>
          <w:numId w:val="2"/>
        </w:numPr>
        <w:jc w:val="both"/>
        <w:rPr>
          <w:rFonts w:ascii="Arial" w:hAnsi="Arial" w:cs="Arial"/>
          <w:b/>
          <w:bCs/>
          <w:sz w:val="20"/>
          <w:szCs w:val="20"/>
        </w:rPr>
      </w:pPr>
      <w:r>
        <w:rPr>
          <w:rFonts w:ascii="Arial" w:hAnsi="Arial" w:eastAsia="SimSun" w:cs="Arial"/>
          <w:b/>
          <w:bCs/>
          <w:i w:val="0"/>
          <w:iCs w:val="0"/>
          <w:color w:val="000000"/>
          <w:sz w:val="20"/>
          <w:szCs w:val="20"/>
          <w:u w:val="none"/>
          <w:vertAlign w:val="baseline"/>
        </w:rPr>
        <w:t>Documentos técnicos que debe proporcionar el contratista</w:t>
      </w:r>
      <w:r>
        <w:rPr>
          <w:rFonts w:ascii="Arial" w:hAnsi="Arial" w:cs="Arial"/>
          <w:b/>
          <w:bCs/>
          <w:sz w:val="20"/>
          <w:szCs w:val="20"/>
        </w:rPr>
        <w:t xml:space="preserve"> </w:t>
      </w:r>
    </w:p>
    <w:p w14:paraId="69F96B80">
      <w:pPr>
        <w:pStyle w:val="7"/>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10" w:lineRule="atLeast"/>
        <w:ind w:left="0" w:right="40" w:firstLine="0"/>
        <w:jc w:val="both"/>
      </w:pPr>
      <w:r>
        <w:rPr>
          <w:rFonts w:ascii="Arial" w:hAnsi="Arial" w:cs="Arial"/>
          <w:i w:val="0"/>
          <w:iCs w:val="0"/>
          <w:color w:val="000000"/>
          <w:sz w:val="20"/>
          <w:szCs w:val="20"/>
          <w:u w:val="none"/>
          <w:vertAlign w:val="baseline"/>
        </w:rPr>
        <w:t>El contratista deberá entregar los siguientes documentos: certificado de origen del material radiactivo importado, copia de la declaración de importación expedida por la Autoridad Aduanera Nacional, copia de la declaración del remitente (Shipper’s declaration for dangerous goods), ficha de seguridad de los reactivos químicos y documento de aduanas.</w:t>
      </w:r>
    </w:p>
    <w:p w14:paraId="02FCF0DB">
      <w:pPr>
        <w:pStyle w:val="7"/>
        <w:numPr>
          <w:ilvl w:val="0"/>
          <w:numId w:val="2"/>
        </w:numPr>
        <w:jc w:val="both"/>
        <w:rPr>
          <w:rFonts w:ascii="Arial" w:hAnsi="Arial" w:cs="Arial"/>
          <w:b/>
          <w:bCs/>
          <w:sz w:val="20"/>
          <w:szCs w:val="20"/>
        </w:rPr>
      </w:pPr>
      <w:r>
        <w:rPr>
          <w:rFonts w:ascii="Arial" w:hAnsi="Arial" w:cs="Arial"/>
          <w:b/>
          <w:bCs/>
          <w:sz w:val="20"/>
          <w:szCs w:val="20"/>
        </w:rPr>
        <w:t>LUGAR</w:t>
      </w:r>
    </w:p>
    <w:p w14:paraId="3C4B1C99">
      <w:pPr>
        <w:pStyle w:val="7"/>
        <w:keepNext w:val="0"/>
        <w:keepLines w:val="0"/>
        <w:widowControl/>
        <w:suppressLineNumbers w:val="0"/>
        <w:bidi w:val="0"/>
        <w:spacing w:before="0" w:beforeAutospacing="0" w:after="0" w:afterAutospacing="0" w:line="10" w:lineRule="atLeast"/>
        <w:ind w:right="40"/>
        <w:jc w:val="both"/>
      </w:pPr>
      <w:r>
        <w:rPr>
          <w:rFonts w:ascii="Arial" w:hAnsi="Arial" w:cs="Arial"/>
          <w:i w:val="0"/>
          <w:iCs w:val="0"/>
          <w:color w:val="000000"/>
          <w:sz w:val="20"/>
          <w:szCs w:val="20"/>
          <w:u w:val="none"/>
          <w:vertAlign w:val="baseline"/>
        </w:rPr>
        <w:t>La entrega deberá efectuarse en las instalaciones del Servicio Geológico Colombiano – Sede CAN, ubicada en la Carrera 50 N.° 26-20, Bogotá D.C., en el área designada por la entidad contratante para tal fin.</w:t>
      </w:r>
    </w:p>
    <w:p w14:paraId="5F94492B">
      <w:pPr>
        <w:pStyle w:val="7"/>
        <w:numPr>
          <w:ilvl w:val="0"/>
          <w:numId w:val="2"/>
        </w:numPr>
        <w:jc w:val="both"/>
        <w:rPr>
          <w:rFonts w:ascii="Arial" w:hAnsi="Arial" w:cs="Arial"/>
          <w:b/>
          <w:bCs/>
          <w:sz w:val="20"/>
          <w:szCs w:val="20"/>
        </w:rPr>
      </w:pPr>
      <w:r>
        <w:rPr>
          <w:rFonts w:ascii="Arial" w:hAnsi="Arial" w:cs="Arial"/>
          <w:b/>
          <w:bCs/>
          <w:sz w:val="20"/>
          <w:szCs w:val="20"/>
        </w:rPr>
        <w:t>PLAZO DE ENTREGA</w:t>
      </w:r>
    </w:p>
    <w:p w14:paraId="676A0BCA">
      <w:pPr>
        <w:autoSpaceDE w:val="0"/>
        <w:autoSpaceDN w:val="0"/>
        <w:adjustRightInd w:val="0"/>
        <w:spacing w:after="0" w:line="240" w:lineRule="auto"/>
        <w:ind w:right="42"/>
        <w:jc w:val="both"/>
        <w:rPr>
          <w:rFonts w:ascii="Verdana" w:hAnsi="Verdana" w:cstheme="minorHAnsi"/>
          <w:bCs/>
        </w:rPr>
      </w:pPr>
      <w:r>
        <w:rPr>
          <w:rFonts w:ascii="Arial" w:hAnsi="Arial" w:cs="Arial"/>
          <w:i w:val="0"/>
          <w:iCs w:val="0"/>
          <w:color w:val="000000"/>
          <w:sz w:val="20"/>
          <w:szCs w:val="20"/>
          <w:u w:val="none"/>
          <w:vertAlign w:val="baseline"/>
        </w:rPr>
        <w:t xml:space="preserve">El contratista se compromete a realizar la entrega del material objeto del presente contrato en un plazo máximo de hasta 2 meses, contados a partir de la firma del contrato y/o la emisión de la orden de compra. </w:t>
      </w:r>
    </w:p>
    <w:p w14:paraId="2C440E9F">
      <w:pPr>
        <w:pStyle w:val="61"/>
        <w:ind w:right="-234"/>
        <w:jc w:val="both"/>
        <w:rPr>
          <w:rFonts w:ascii="Verdana" w:hAnsi="Verdana" w:cstheme="majorHAnsi"/>
        </w:rPr>
      </w:pPr>
      <w:r>
        <w:rPr>
          <w:rFonts w:ascii="Verdana" w:hAnsi="Verdana" w:cstheme="majorHAnsi"/>
        </w:rPr>
        <w:t>Atentamente,</w:t>
      </w:r>
    </w:p>
    <w:p w14:paraId="49F1AFD2">
      <w:pPr>
        <w:pStyle w:val="61"/>
        <w:ind w:right="-234"/>
        <w:jc w:val="both"/>
        <w:rPr>
          <w:rFonts w:ascii="Verdana" w:hAnsi="Verdana" w:cstheme="majorHAnsi"/>
        </w:rPr>
      </w:pPr>
    </w:p>
    <w:p w14:paraId="57F2DEC2">
      <w:pPr>
        <w:pStyle w:val="61"/>
        <w:ind w:right="-234"/>
        <w:jc w:val="both"/>
        <w:rPr>
          <w:rFonts w:ascii="Verdana" w:hAnsi="Verdana" w:cstheme="majorHAnsi"/>
          <w:highlight w:val="yellow"/>
        </w:rPr>
      </w:pPr>
      <w:r>
        <w:rPr>
          <w:rFonts w:ascii="Verdana" w:hAnsi="Verdana" w:cstheme="majorHAnsi"/>
          <w:highlight w:val="yellow"/>
        </w:rPr>
        <w:t>Nombre o Razón Social del Proponente: __________________</w:t>
      </w:r>
      <w:r>
        <w:rPr>
          <w:rFonts w:ascii="Verdana" w:hAnsi="Verdana" w:cstheme="majorHAnsi"/>
          <w:highlight w:val="yellow"/>
        </w:rPr>
        <w:tab/>
      </w:r>
    </w:p>
    <w:p w14:paraId="1B589FA8">
      <w:pPr>
        <w:pStyle w:val="61"/>
        <w:ind w:right="-234"/>
        <w:jc w:val="both"/>
        <w:rPr>
          <w:rFonts w:ascii="Verdana" w:hAnsi="Verdana" w:cstheme="majorHAnsi"/>
          <w:highlight w:val="yellow"/>
        </w:rPr>
      </w:pPr>
    </w:p>
    <w:p w14:paraId="31F1A814">
      <w:pPr>
        <w:pStyle w:val="61"/>
        <w:ind w:right="-234"/>
        <w:jc w:val="both"/>
        <w:rPr>
          <w:rFonts w:ascii="Verdana" w:hAnsi="Verdana" w:cstheme="majorHAnsi"/>
          <w:highlight w:val="yellow"/>
        </w:rPr>
      </w:pPr>
      <w:r>
        <w:rPr>
          <w:rFonts w:ascii="Verdana" w:hAnsi="Verdana" w:cstheme="majorHAnsi"/>
          <w:highlight w:val="yellow"/>
        </w:rPr>
        <w:t xml:space="preserve">NIT. ____________________________ </w:t>
      </w:r>
      <w:r>
        <w:rPr>
          <w:rFonts w:ascii="Verdana" w:hAnsi="Verdana" w:cstheme="majorHAnsi"/>
          <w:highlight w:val="yellow"/>
        </w:rPr>
        <w:tab/>
      </w:r>
    </w:p>
    <w:p w14:paraId="1EC9DC03">
      <w:pPr>
        <w:pStyle w:val="61"/>
        <w:ind w:right="-234"/>
        <w:jc w:val="both"/>
        <w:rPr>
          <w:rFonts w:ascii="Verdana" w:hAnsi="Verdana" w:cstheme="majorHAnsi"/>
          <w:highlight w:val="yellow"/>
        </w:rPr>
      </w:pPr>
    </w:p>
    <w:p w14:paraId="410A2346">
      <w:pPr>
        <w:pStyle w:val="61"/>
        <w:ind w:right="-234"/>
        <w:jc w:val="both"/>
        <w:rPr>
          <w:rFonts w:ascii="Verdana" w:hAnsi="Verdana" w:cstheme="majorHAnsi"/>
          <w:highlight w:val="yellow"/>
        </w:rPr>
      </w:pPr>
      <w:r>
        <w:rPr>
          <w:rFonts w:ascii="Verdana" w:hAnsi="Verdana" w:cstheme="majorHAnsi"/>
          <w:highlight w:val="yellow"/>
        </w:rPr>
        <w:t>Nombre del Representante Legal: _______________________</w:t>
      </w:r>
    </w:p>
    <w:p w14:paraId="3CF81982">
      <w:pPr>
        <w:pStyle w:val="61"/>
        <w:ind w:right="-234"/>
        <w:jc w:val="both"/>
        <w:rPr>
          <w:rFonts w:ascii="Verdana" w:hAnsi="Verdana" w:cstheme="majorHAnsi"/>
          <w:highlight w:val="yellow"/>
        </w:rPr>
      </w:pPr>
    </w:p>
    <w:p w14:paraId="14F76B58">
      <w:pPr>
        <w:pStyle w:val="61"/>
        <w:ind w:right="-234"/>
        <w:jc w:val="both"/>
        <w:rPr>
          <w:rFonts w:ascii="Verdana" w:hAnsi="Verdana" w:cstheme="majorHAnsi"/>
          <w:highlight w:val="yellow"/>
        </w:rPr>
      </w:pPr>
      <w:r>
        <w:rPr>
          <w:rFonts w:ascii="Verdana" w:hAnsi="Verdana" w:cstheme="majorHAnsi"/>
          <w:highlight w:val="yellow"/>
        </w:rPr>
        <w:t xml:space="preserve">C.C. No. ___________________ de _____________________  </w:t>
      </w:r>
      <w:r>
        <w:rPr>
          <w:rFonts w:ascii="Verdana" w:hAnsi="Verdana" w:cstheme="majorHAnsi"/>
          <w:highlight w:val="yellow"/>
        </w:rPr>
        <w:tab/>
      </w:r>
    </w:p>
    <w:p w14:paraId="72DDBDA5">
      <w:pPr>
        <w:pStyle w:val="61"/>
        <w:ind w:right="-234"/>
        <w:jc w:val="both"/>
        <w:rPr>
          <w:rFonts w:ascii="Verdana" w:hAnsi="Verdana" w:cstheme="majorHAnsi"/>
          <w:highlight w:val="yellow"/>
        </w:rPr>
      </w:pPr>
    </w:p>
    <w:p w14:paraId="3FC1695D">
      <w:pPr>
        <w:pStyle w:val="61"/>
        <w:ind w:right="-234"/>
        <w:jc w:val="both"/>
        <w:rPr>
          <w:rFonts w:ascii="Verdana" w:hAnsi="Verdana" w:cstheme="majorHAnsi"/>
          <w:highlight w:val="yellow"/>
        </w:rPr>
      </w:pPr>
      <w:r>
        <w:rPr>
          <w:rFonts w:ascii="Verdana" w:hAnsi="Verdana" w:cstheme="majorHAnsi"/>
          <w:highlight w:val="yellow"/>
        </w:rPr>
        <w:t xml:space="preserve">Dirección Comercial del Proponente: _____________________ </w:t>
      </w:r>
      <w:r>
        <w:rPr>
          <w:rFonts w:ascii="Verdana" w:hAnsi="Verdana" w:cstheme="majorHAnsi"/>
          <w:highlight w:val="yellow"/>
        </w:rPr>
        <w:tab/>
      </w:r>
    </w:p>
    <w:p w14:paraId="79F3E987">
      <w:pPr>
        <w:pStyle w:val="61"/>
        <w:ind w:right="-234"/>
        <w:jc w:val="both"/>
        <w:rPr>
          <w:rFonts w:ascii="Verdana" w:hAnsi="Verdana" w:cstheme="majorHAnsi"/>
          <w:highlight w:val="yellow"/>
        </w:rPr>
      </w:pPr>
    </w:p>
    <w:p w14:paraId="1D52CA98">
      <w:pPr>
        <w:pStyle w:val="61"/>
        <w:ind w:right="-234"/>
        <w:jc w:val="both"/>
        <w:rPr>
          <w:rFonts w:ascii="Verdana" w:hAnsi="Verdana" w:cstheme="majorHAnsi"/>
          <w:highlight w:val="yellow"/>
        </w:rPr>
      </w:pPr>
      <w:r>
        <w:rPr>
          <w:rFonts w:ascii="Verdana" w:hAnsi="Verdana" w:cstheme="majorHAnsi"/>
          <w:highlight w:val="yellow"/>
        </w:rPr>
        <w:t>Correo electrónico: ___________________________________</w:t>
      </w:r>
    </w:p>
    <w:p w14:paraId="0C32E816">
      <w:pPr>
        <w:pStyle w:val="61"/>
        <w:ind w:right="-234"/>
        <w:jc w:val="both"/>
        <w:rPr>
          <w:rFonts w:ascii="Verdana" w:hAnsi="Verdana" w:cstheme="majorHAnsi"/>
          <w:highlight w:val="yellow"/>
        </w:rPr>
      </w:pPr>
    </w:p>
    <w:p w14:paraId="17FE56AE">
      <w:pPr>
        <w:pStyle w:val="61"/>
        <w:ind w:right="-234"/>
        <w:jc w:val="both"/>
        <w:rPr>
          <w:rFonts w:ascii="Verdana" w:hAnsi="Verdana" w:cstheme="majorHAnsi"/>
          <w:highlight w:val="yellow"/>
        </w:rPr>
      </w:pPr>
      <w:r>
        <w:rPr>
          <w:rFonts w:ascii="Verdana" w:hAnsi="Verdana" w:cstheme="majorHAnsi"/>
          <w:highlight w:val="yellow"/>
        </w:rPr>
        <w:t>Teléfono: ________________________</w:t>
      </w:r>
    </w:p>
    <w:p w14:paraId="13501E04">
      <w:pPr>
        <w:pStyle w:val="61"/>
        <w:ind w:right="-234"/>
        <w:jc w:val="both"/>
        <w:rPr>
          <w:rFonts w:ascii="Verdana" w:hAnsi="Verdana" w:cstheme="majorHAnsi"/>
          <w:highlight w:val="yellow"/>
        </w:rPr>
      </w:pPr>
    </w:p>
    <w:p w14:paraId="039C39E7">
      <w:pPr>
        <w:pStyle w:val="61"/>
        <w:ind w:right="-234"/>
        <w:jc w:val="both"/>
        <w:rPr>
          <w:rFonts w:ascii="Verdana" w:hAnsi="Verdana" w:cstheme="majorHAnsi"/>
          <w:highlight w:val="yellow"/>
        </w:rPr>
      </w:pPr>
      <w:r>
        <w:rPr>
          <w:rFonts w:ascii="Verdana" w:hAnsi="Verdana" w:cstheme="majorHAnsi"/>
          <w:highlight w:val="yellow"/>
        </w:rPr>
        <w:t>Ciudad: _________________________</w:t>
      </w:r>
    </w:p>
    <w:p w14:paraId="1B65FA1C">
      <w:pPr>
        <w:pStyle w:val="61"/>
        <w:ind w:right="-234"/>
        <w:jc w:val="both"/>
        <w:rPr>
          <w:rFonts w:ascii="Verdana" w:hAnsi="Verdana" w:cstheme="majorHAnsi"/>
          <w:highlight w:val="yellow"/>
        </w:rPr>
      </w:pPr>
    </w:p>
    <w:p w14:paraId="3238B793">
      <w:pPr>
        <w:pStyle w:val="61"/>
        <w:ind w:right="-234"/>
        <w:jc w:val="both"/>
        <w:rPr>
          <w:rFonts w:ascii="Verdana" w:hAnsi="Verdana" w:cstheme="majorHAnsi"/>
          <w:highlight w:val="yellow"/>
        </w:rPr>
      </w:pPr>
      <w:r>
        <w:rPr>
          <w:rFonts w:ascii="Verdana" w:hAnsi="Verdana" w:cstheme="majorHAnsi"/>
          <w:highlight w:val="yellow"/>
        </w:rPr>
        <w:t xml:space="preserve">FIRMA: </w:t>
      </w:r>
      <w:r>
        <w:rPr>
          <w:rFonts w:ascii="Verdana" w:hAnsi="Verdana" w:cstheme="majorHAnsi"/>
          <w:highlight w:val="yellow"/>
        </w:rPr>
        <w:softHyphen/>
      </w:r>
      <w:r>
        <w:rPr>
          <w:rFonts w:ascii="Verdana" w:hAnsi="Verdana" w:cstheme="majorHAnsi"/>
          <w:highlight w:val="yellow"/>
        </w:rPr>
        <w:softHyphen/>
      </w:r>
      <w:r>
        <w:rPr>
          <w:rFonts w:ascii="Verdana" w:hAnsi="Verdana" w:cstheme="majorHAnsi"/>
          <w:highlight w:val="yellow"/>
        </w:rPr>
        <w:softHyphen/>
      </w:r>
      <w:r>
        <w:rPr>
          <w:rFonts w:ascii="Verdana" w:hAnsi="Verdana" w:cstheme="majorHAnsi"/>
          <w:highlight w:val="yellow"/>
        </w:rPr>
        <w:softHyphen/>
      </w:r>
      <w:r>
        <w:rPr>
          <w:rFonts w:ascii="Verdana" w:hAnsi="Verdana" w:cstheme="majorHAnsi"/>
          <w:highlight w:val="yellow"/>
        </w:rPr>
        <w:softHyphen/>
      </w:r>
      <w:r>
        <w:rPr>
          <w:rFonts w:ascii="Verdana" w:hAnsi="Verdana" w:cstheme="majorHAnsi"/>
          <w:highlight w:val="yellow"/>
        </w:rPr>
        <w:softHyphen/>
      </w:r>
      <w:r>
        <w:rPr>
          <w:rFonts w:ascii="Verdana" w:hAnsi="Verdana" w:cstheme="majorHAnsi"/>
          <w:highlight w:val="yellow"/>
        </w:rPr>
        <w:softHyphen/>
      </w:r>
      <w:r>
        <w:rPr>
          <w:rFonts w:ascii="Verdana" w:hAnsi="Verdana" w:cstheme="majorHAnsi"/>
          <w:highlight w:val="yellow"/>
        </w:rPr>
        <w:softHyphen/>
      </w:r>
      <w:r>
        <w:rPr>
          <w:rFonts w:ascii="Verdana" w:hAnsi="Verdana" w:cstheme="majorHAnsi"/>
          <w:highlight w:val="yellow"/>
        </w:rPr>
        <w:softHyphen/>
      </w:r>
      <w:r>
        <w:rPr>
          <w:rFonts w:ascii="Verdana" w:hAnsi="Verdana" w:cstheme="majorHAnsi"/>
          <w:highlight w:val="yellow"/>
        </w:rPr>
        <w:softHyphen/>
      </w:r>
      <w:r>
        <w:rPr>
          <w:rFonts w:ascii="Verdana" w:hAnsi="Verdana" w:cstheme="majorHAnsi"/>
          <w:highlight w:val="yellow"/>
        </w:rPr>
        <w:softHyphen/>
      </w:r>
      <w:r>
        <w:rPr>
          <w:rFonts w:ascii="Verdana" w:hAnsi="Verdana" w:cstheme="majorHAnsi"/>
          <w:highlight w:val="yellow"/>
        </w:rPr>
        <w:softHyphen/>
      </w:r>
      <w:r>
        <w:rPr>
          <w:rFonts w:ascii="Verdana" w:hAnsi="Verdana" w:cstheme="majorHAnsi"/>
          <w:highlight w:val="yellow"/>
        </w:rPr>
        <w:softHyphen/>
      </w:r>
      <w:r>
        <w:rPr>
          <w:rFonts w:ascii="Verdana" w:hAnsi="Verdana" w:cstheme="majorHAnsi"/>
          <w:highlight w:val="yellow"/>
        </w:rPr>
        <w:softHyphen/>
      </w:r>
      <w:r>
        <w:rPr>
          <w:rFonts w:ascii="Verdana" w:hAnsi="Verdana" w:cstheme="majorHAnsi"/>
          <w:highlight w:val="yellow"/>
        </w:rPr>
        <w:softHyphen/>
      </w:r>
      <w:r>
        <w:rPr>
          <w:rFonts w:ascii="Verdana" w:hAnsi="Verdana" w:cstheme="majorHAnsi"/>
          <w:highlight w:val="yellow"/>
        </w:rPr>
        <w:softHyphen/>
      </w:r>
      <w:r>
        <w:rPr>
          <w:rFonts w:ascii="Verdana" w:hAnsi="Verdana" w:cstheme="majorHAnsi"/>
          <w:highlight w:val="yellow"/>
        </w:rPr>
        <w:softHyphen/>
      </w:r>
      <w:r>
        <w:rPr>
          <w:rFonts w:ascii="Verdana" w:hAnsi="Verdana" w:cstheme="majorHAnsi"/>
          <w:highlight w:val="yellow"/>
        </w:rPr>
        <w:softHyphen/>
      </w:r>
      <w:r>
        <w:rPr>
          <w:rFonts w:ascii="Verdana" w:hAnsi="Verdana" w:cstheme="majorHAnsi"/>
          <w:highlight w:val="yellow"/>
        </w:rPr>
        <w:softHyphen/>
      </w:r>
      <w:r>
        <w:rPr>
          <w:rFonts w:ascii="Verdana" w:hAnsi="Verdana" w:cstheme="majorHAnsi"/>
          <w:highlight w:val="yellow"/>
        </w:rPr>
        <w:t>_________________________</w:t>
      </w:r>
      <w:r>
        <w:rPr>
          <w:rFonts w:ascii="Verdana" w:hAnsi="Verdana" w:cstheme="majorHAnsi"/>
          <w:highlight w:val="yellow"/>
        </w:rPr>
        <w:tab/>
      </w:r>
    </w:p>
    <w:p w14:paraId="44E74D1B">
      <w:pPr>
        <w:pStyle w:val="61"/>
        <w:ind w:right="-234"/>
        <w:jc w:val="both"/>
        <w:rPr>
          <w:rFonts w:ascii="Verdana" w:hAnsi="Verdana" w:cstheme="majorHAnsi"/>
          <w:highlight w:val="yellow"/>
        </w:rPr>
      </w:pPr>
    </w:p>
    <w:p w14:paraId="7885E251">
      <w:pPr>
        <w:pStyle w:val="61"/>
        <w:ind w:right="-234"/>
        <w:jc w:val="both"/>
        <w:rPr>
          <w:rFonts w:ascii="Verdana" w:hAnsi="Verdana" w:cstheme="majorHAnsi"/>
        </w:rPr>
      </w:pPr>
      <w:r>
        <w:rPr>
          <w:rFonts w:ascii="Verdana" w:hAnsi="Verdana" w:cstheme="majorHAnsi"/>
          <w:highlight w:val="yellow"/>
        </w:rPr>
        <w:t>NOMBRE DE QUIEN FIRMA: ___________________________</w:t>
      </w:r>
    </w:p>
    <w:p w14:paraId="434831A4">
      <w:pPr>
        <w:pStyle w:val="61"/>
        <w:ind w:right="-234"/>
        <w:jc w:val="both"/>
        <w:rPr>
          <w:rFonts w:ascii="Verdana" w:hAnsi="Verdana" w:cstheme="majorHAnsi"/>
        </w:rPr>
      </w:pPr>
    </w:p>
    <w:p w14:paraId="43A52FED">
      <w:pPr>
        <w:pStyle w:val="61"/>
        <w:ind w:right="-234"/>
        <w:jc w:val="both"/>
        <w:rPr>
          <w:rFonts w:ascii="Verdana" w:hAnsi="Verdana" w:cstheme="majorHAnsi"/>
        </w:rPr>
      </w:pPr>
    </w:p>
    <w:p w14:paraId="332C7EA6">
      <w:pPr>
        <w:pStyle w:val="61"/>
        <w:ind w:right="-234"/>
        <w:jc w:val="both"/>
        <w:rPr>
          <w:rFonts w:ascii="Verdana" w:hAnsi="Verdana" w:cstheme="majorHAnsi"/>
          <w:b/>
          <w:bCs/>
        </w:rPr>
      </w:pPr>
      <w:r>
        <w:rPr>
          <w:rFonts w:ascii="Verdana" w:hAnsi="Verdana" w:cstheme="majorHAnsi"/>
          <w:b/>
          <w:bCs/>
        </w:rPr>
        <w:t>PARA TENER EN CUENTA:</w:t>
      </w:r>
    </w:p>
    <w:p w14:paraId="4D038131">
      <w:pPr>
        <w:pStyle w:val="61"/>
        <w:ind w:right="-234"/>
        <w:jc w:val="both"/>
        <w:rPr>
          <w:rFonts w:ascii="Verdana" w:hAnsi="Verdana" w:cstheme="majorHAnsi"/>
        </w:rPr>
      </w:pPr>
    </w:p>
    <w:p w14:paraId="1A801B4E">
      <w:pPr>
        <w:pStyle w:val="61"/>
        <w:ind w:right="-234"/>
        <w:jc w:val="both"/>
        <w:rPr>
          <w:rFonts w:ascii="Verdana" w:hAnsi="Verdana" w:cstheme="majorHAnsi"/>
        </w:rPr>
      </w:pPr>
      <w:r>
        <w:rPr>
          <w:rFonts w:ascii="Verdana" w:hAnsi="Verdana" w:cstheme="majorHAnsi"/>
          <w:b/>
          <w:bCs/>
        </w:rPr>
        <w:t>NOTA 1:</w:t>
      </w:r>
      <w:r>
        <w:rPr>
          <w:rFonts w:ascii="Verdana" w:hAnsi="Verdana" w:cstheme="majorHAnsi"/>
        </w:rPr>
        <w:t xml:space="preserve"> Los anteriores requerimientos son de obligatorio cumplimiento y deberán tenerse en cuenta al momento de que el proponente elabore su oferta económica.</w:t>
      </w:r>
    </w:p>
    <w:p w14:paraId="3FA44565">
      <w:pPr>
        <w:pStyle w:val="61"/>
        <w:ind w:right="-234"/>
        <w:jc w:val="both"/>
        <w:rPr>
          <w:rFonts w:ascii="Verdana" w:hAnsi="Verdana" w:cstheme="majorHAnsi"/>
        </w:rPr>
      </w:pPr>
    </w:p>
    <w:p w14:paraId="1C07072A">
      <w:pPr>
        <w:pStyle w:val="61"/>
        <w:ind w:right="-234"/>
        <w:jc w:val="both"/>
        <w:rPr>
          <w:rFonts w:ascii="Verdana" w:hAnsi="Verdana" w:cstheme="majorHAnsi"/>
        </w:rPr>
      </w:pPr>
      <w:r>
        <w:rPr>
          <w:rFonts w:ascii="Verdana" w:hAnsi="Verdana" w:cstheme="majorHAnsi"/>
          <w:b/>
          <w:bCs/>
        </w:rPr>
        <w:t>NOTA 2:</w:t>
      </w:r>
      <w:r>
        <w:rPr>
          <w:rFonts w:ascii="Verdana" w:hAnsi="Verdana" w:cstheme="majorHAnsi"/>
        </w:rPr>
        <w:t xml:space="preserve"> Todos los requisitos mencionados anteriormente se entienden que son cumplidos y aceptados por el proponente con la suscripción del presente formato.</w:t>
      </w:r>
    </w:p>
    <w:p w14:paraId="54AA9712">
      <w:pPr>
        <w:pStyle w:val="61"/>
        <w:ind w:right="-234"/>
        <w:jc w:val="both"/>
        <w:rPr>
          <w:rFonts w:ascii="Verdana" w:hAnsi="Verdana" w:cstheme="majorHAnsi"/>
        </w:rPr>
      </w:pPr>
    </w:p>
    <w:p w14:paraId="2F726BF3">
      <w:pPr>
        <w:pStyle w:val="61"/>
        <w:ind w:right="-234"/>
        <w:jc w:val="both"/>
        <w:rPr>
          <w:rFonts w:ascii="Verdana" w:hAnsi="Verdana" w:cstheme="majorHAnsi"/>
        </w:rPr>
      </w:pPr>
      <w:r>
        <w:rPr>
          <w:rFonts w:ascii="Verdana" w:hAnsi="Verdana" w:cstheme="majorHAnsi"/>
          <w:b/>
          <w:bCs/>
        </w:rPr>
        <w:t>NOTA 3:</w:t>
      </w:r>
      <w:r>
        <w:rPr>
          <w:rFonts w:ascii="Verdana" w:hAnsi="Verdana" w:cstheme="majorHAnsi"/>
        </w:rPr>
        <w:t xml:space="preserve"> En caso de que el proponente no presente el anexo técnico diligenciado o este se presente sin la firma del representante legal, la propuesta será rechazada. Lo anterior teniendo en cuenta que lo plasmado en dicho anexo son requerimientos técnicos mínimos de obligatorio cumplimiento.</w:t>
      </w:r>
    </w:p>
    <w:p w14:paraId="53A41E05">
      <w:pPr>
        <w:pStyle w:val="61"/>
        <w:ind w:right="-234"/>
        <w:jc w:val="both"/>
        <w:rPr>
          <w:rFonts w:ascii="Verdana" w:hAnsi="Verdana" w:cstheme="majorHAnsi"/>
        </w:rPr>
      </w:pPr>
    </w:p>
    <w:p w14:paraId="330A7DC7">
      <w:pPr>
        <w:pStyle w:val="61"/>
        <w:ind w:right="-234"/>
        <w:jc w:val="both"/>
        <w:rPr>
          <w:rFonts w:ascii="Verdana" w:hAnsi="Verdana" w:cstheme="minorHAnsi"/>
          <w:bCs/>
        </w:rPr>
      </w:pPr>
      <w:r>
        <w:rPr>
          <w:rFonts w:ascii="Verdana" w:hAnsi="Verdana" w:cstheme="majorHAnsi"/>
          <w:b/>
          <w:bCs/>
        </w:rPr>
        <w:t>NOTA 4:</w:t>
      </w:r>
      <w:r>
        <w:rPr>
          <w:rFonts w:ascii="Verdana" w:hAnsi="Verdana" w:cstheme="majorHAnsi"/>
        </w:rPr>
        <w:t xml:space="preserve"> Este anexo no debe ser modificado en su contenido, so pena de ser rechazada la propuesta, únicamente puede ser diligenciado en los espacios dispuestos por la entidad, con la respectiva firma del Representante legal.</w:t>
      </w:r>
    </w:p>
    <w:sectPr>
      <w:headerReference r:id="rId5" w:type="default"/>
      <w:pgSz w:w="12240" w:h="15840"/>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59838">
    <w:pPr>
      <w:pStyle w:val="6"/>
      <w:jc w:val="center"/>
    </w:pPr>
    <w:r>
      <w:rPr>
        <w:lang w:eastAsia="es-CO"/>
      </w:rPr>
      <w:drawing>
        <wp:inline distT="0" distB="0" distL="0" distR="0">
          <wp:extent cx="1653540" cy="775335"/>
          <wp:effectExtent l="0" t="0" r="0" b="0"/>
          <wp:docPr id="1" name="Imagen 2"/>
          <wp:cNvGraphicFramePr/>
          <a:graphic xmlns:a="http://schemas.openxmlformats.org/drawingml/2006/main">
            <a:graphicData uri="http://schemas.openxmlformats.org/drawingml/2006/picture">
              <pic:pic xmlns:pic="http://schemas.openxmlformats.org/drawingml/2006/picture">
                <pic:nvPicPr>
                  <pic:cNvPr id="1" name="Imagen 2"/>
                  <pic:cNvPicPr/>
                </pic:nvPicPr>
                <pic:blipFill>
                  <a:blip r:embed="rId1"/>
                  <a:srcRect r="61795"/>
                  <a:stretch>
                    <a:fillRect/>
                  </a:stretch>
                </pic:blipFill>
                <pic:spPr>
                  <a:xfrm>
                    <a:off x="0" y="0"/>
                    <a:ext cx="1654735" cy="77574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C36E23"/>
    <w:multiLevelType w:val="multilevel"/>
    <w:tmpl w:val="0FC36E23"/>
    <w:lvl w:ilvl="0" w:tentative="0">
      <w:start w:val="1"/>
      <w:numFmt w:val="bullet"/>
      <w:lvlText w:val=""/>
      <w:lvlJc w:val="left"/>
      <w:pPr>
        <w:ind w:left="360" w:hanging="360"/>
      </w:pPr>
      <w:rPr>
        <w:rFonts w:hint="default" w:ascii="Symbol" w:hAnsi="Symbol"/>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25266D13"/>
    <w:multiLevelType w:val="multilevel"/>
    <w:tmpl w:val="25266D13"/>
    <w:lvl w:ilvl="0" w:tentative="0">
      <w:start w:val="1"/>
      <w:numFmt w:val="decimal"/>
      <w:lvlText w:val="%1."/>
      <w:lvlJc w:val="left"/>
      <w:pPr>
        <w:ind w:left="720" w:hanging="360"/>
      </w:pPr>
      <w:rPr>
        <w:rFonts w:hint="default"/>
      </w:rPr>
    </w:lvl>
    <w:lvl w:ilvl="1" w:tentative="0">
      <w:start w:val="1"/>
      <w:numFmt w:val="decimal"/>
      <w:isLgl/>
      <w:lvlText w:val="%1.%2"/>
      <w:lvlJc w:val="left"/>
      <w:pPr>
        <w:ind w:left="1068" w:hanging="360"/>
      </w:pPr>
      <w:rPr>
        <w:rFonts w:hint="default"/>
      </w:rPr>
    </w:lvl>
    <w:lvl w:ilvl="2" w:tentative="0">
      <w:start w:val="1"/>
      <w:numFmt w:val="decimal"/>
      <w:isLgl/>
      <w:lvlText w:val="%1.%2.%3"/>
      <w:lvlJc w:val="left"/>
      <w:pPr>
        <w:ind w:left="1776" w:hanging="720"/>
      </w:pPr>
      <w:rPr>
        <w:rFonts w:hint="default"/>
      </w:rPr>
    </w:lvl>
    <w:lvl w:ilvl="3" w:tentative="0">
      <w:start w:val="1"/>
      <w:numFmt w:val="decimal"/>
      <w:isLgl/>
      <w:lvlText w:val="%1.%2.%3.%4"/>
      <w:lvlJc w:val="left"/>
      <w:pPr>
        <w:ind w:left="2124" w:hanging="720"/>
      </w:pPr>
      <w:rPr>
        <w:rFonts w:hint="default"/>
      </w:rPr>
    </w:lvl>
    <w:lvl w:ilvl="4" w:tentative="0">
      <w:start w:val="1"/>
      <w:numFmt w:val="decimal"/>
      <w:isLgl/>
      <w:lvlText w:val="%1.%2.%3.%4.%5"/>
      <w:lvlJc w:val="left"/>
      <w:pPr>
        <w:ind w:left="2832" w:hanging="1080"/>
      </w:pPr>
      <w:rPr>
        <w:rFonts w:hint="default"/>
      </w:rPr>
    </w:lvl>
    <w:lvl w:ilvl="5" w:tentative="0">
      <w:start w:val="1"/>
      <w:numFmt w:val="decimal"/>
      <w:isLgl/>
      <w:lvlText w:val="%1.%2.%3.%4.%5.%6"/>
      <w:lvlJc w:val="left"/>
      <w:pPr>
        <w:ind w:left="3180" w:hanging="1080"/>
      </w:pPr>
      <w:rPr>
        <w:rFonts w:hint="default"/>
      </w:rPr>
    </w:lvl>
    <w:lvl w:ilvl="6" w:tentative="0">
      <w:start w:val="1"/>
      <w:numFmt w:val="decimal"/>
      <w:isLgl/>
      <w:lvlText w:val="%1.%2.%3.%4.%5.%6.%7"/>
      <w:lvlJc w:val="left"/>
      <w:pPr>
        <w:ind w:left="3888" w:hanging="1440"/>
      </w:pPr>
      <w:rPr>
        <w:rFonts w:hint="default"/>
      </w:rPr>
    </w:lvl>
    <w:lvl w:ilvl="7" w:tentative="0">
      <w:start w:val="1"/>
      <w:numFmt w:val="decimal"/>
      <w:isLgl/>
      <w:lvlText w:val="%1.%2.%3.%4.%5.%6.%7.%8"/>
      <w:lvlJc w:val="left"/>
      <w:pPr>
        <w:ind w:left="4236" w:hanging="1440"/>
      </w:pPr>
      <w:rPr>
        <w:rFonts w:hint="default"/>
      </w:rPr>
    </w:lvl>
    <w:lvl w:ilvl="8" w:tentative="0">
      <w:start w:val="1"/>
      <w:numFmt w:val="decimal"/>
      <w:isLgl/>
      <w:lvlText w:val="%1.%2.%3.%4.%5.%6.%7.%8.%9"/>
      <w:lvlJc w:val="left"/>
      <w:pPr>
        <w:ind w:left="4944"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B8E"/>
    <w:rsid w:val="000071C8"/>
    <w:rsid w:val="000115C3"/>
    <w:rsid w:val="00022FFB"/>
    <w:rsid w:val="00034A28"/>
    <w:rsid w:val="00042058"/>
    <w:rsid w:val="000570F8"/>
    <w:rsid w:val="00062515"/>
    <w:rsid w:val="00064EB5"/>
    <w:rsid w:val="000758DA"/>
    <w:rsid w:val="000772C6"/>
    <w:rsid w:val="00082B8E"/>
    <w:rsid w:val="00087895"/>
    <w:rsid w:val="000A2031"/>
    <w:rsid w:val="000A3CA6"/>
    <w:rsid w:val="000B5E90"/>
    <w:rsid w:val="000B7F28"/>
    <w:rsid w:val="000D06B4"/>
    <w:rsid w:val="000E1A1A"/>
    <w:rsid w:val="000E55A5"/>
    <w:rsid w:val="000E79EE"/>
    <w:rsid w:val="000F1CA0"/>
    <w:rsid w:val="00107D27"/>
    <w:rsid w:val="001119AC"/>
    <w:rsid w:val="001254BB"/>
    <w:rsid w:val="00125A9C"/>
    <w:rsid w:val="00141E84"/>
    <w:rsid w:val="00144E6C"/>
    <w:rsid w:val="00153D0F"/>
    <w:rsid w:val="001557BB"/>
    <w:rsid w:val="001646F4"/>
    <w:rsid w:val="00166F1F"/>
    <w:rsid w:val="00174B9E"/>
    <w:rsid w:val="001873D3"/>
    <w:rsid w:val="001907A9"/>
    <w:rsid w:val="00195F3D"/>
    <w:rsid w:val="001960C0"/>
    <w:rsid w:val="001A3E01"/>
    <w:rsid w:val="001A4BA7"/>
    <w:rsid w:val="001C4E14"/>
    <w:rsid w:val="001E21FF"/>
    <w:rsid w:val="001F7C72"/>
    <w:rsid w:val="00204AEF"/>
    <w:rsid w:val="00213114"/>
    <w:rsid w:val="00224AC2"/>
    <w:rsid w:val="00226A25"/>
    <w:rsid w:val="00232D37"/>
    <w:rsid w:val="002366FA"/>
    <w:rsid w:val="00240D8F"/>
    <w:rsid w:val="00242ECA"/>
    <w:rsid w:val="00243FC9"/>
    <w:rsid w:val="00245BE1"/>
    <w:rsid w:val="00250374"/>
    <w:rsid w:val="00252ACE"/>
    <w:rsid w:val="00273501"/>
    <w:rsid w:val="0027406B"/>
    <w:rsid w:val="00276F2E"/>
    <w:rsid w:val="00277107"/>
    <w:rsid w:val="00280550"/>
    <w:rsid w:val="00284BC0"/>
    <w:rsid w:val="002853BA"/>
    <w:rsid w:val="00293C7E"/>
    <w:rsid w:val="002A045A"/>
    <w:rsid w:val="002A06A1"/>
    <w:rsid w:val="002B3077"/>
    <w:rsid w:val="002C42E5"/>
    <w:rsid w:val="002C4E32"/>
    <w:rsid w:val="002E00D3"/>
    <w:rsid w:val="002E0AEF"/>
    <w:rsid w:val="002E1F8C"/>
    <w:rsid w:val="002E49C8"/>
    <w:rsid w:val="002E4F01"/>
    <w:rsid w:val="002F0B5E"/>
    <w:rsid w:val="00300562"/>
    <w:rsid w:val="0030529B"/>
    <w:rsid w:val="00307E68"/>
    <w:rsid w:val="00317DC8"/>
    <w:rsid w:val="003237B7"/>
    <w:rsid w:val="00330DB2"/>
    <w:rsid w:val="00331CB0"/>
    <w:rsid w:val="00331E74"/>
    <w:rsid w:val="003345D6"/>
    <w:rsid w:val="00342BB1"/>
    <w:rsid w:val="0034340D"/>
    <w:rsid w:val="0034455D"/>
    <w:rsid w:val="00350DC1"/>
    <w:rsid w:val="00352CFA"/>
    <w:rsid w:val="0036294C"/>
    <w:rsid w:val="003716E7"/>
    <w:rsid w:val="0037414E"/>
    <w:rsid w:val="00382916"/>
    <w:rsid w:val="0038298F"/>
    <w:rsid w:val="00382BC3"/>
    <w:rsid w:val="00383BA1"/>
    <w:rsid w:val="00390C24"/>
    <w:rsid w:val="00397450"/>
    <w:rsid w:val="003A207A"/>
    <w:rsid w:val="003A2390"/>
    <w:rsid w:val="003A4B40"/>
    <w:rsid w:val="003A67FE"/>
    <w:rsid w:val="003B7AD7"/>
    <w:rsid w:val="003C416B"/>
    <w:rsid w:val="003C538A"/>
    <w:rsid w:val="003D217B"/>
    <w:rsid w:val="003F37BF"/>
    <w:rsid w:val="003F3DA8"/>
    <w:rsid w:val="004061EE"/>
    <w:rsid w:val="00407325"/>
    <w:rsid w:val="00420E61"/>
    <w:rsid w:val="0043195E"/>
    <w:rsid w:val="004376A2"/>
    <w:rsid w:val="004436C6"/>
    <w:rsid w:val="004465B3"/>
    <w:rsid w:val="0044702F"/>
    <w:rsid w:val="0044749A"/>
    <w:rsid w:val="00454D31"/>
    <w:rsid w:val="00463B08"/>
    <w:rsid w:val="00473329"/>
    <w:rsid w:val="00485C67"/>
    <w:rsid w:val="004A2CED"/>
    <w:rsid w:val="004A5834"/>
    <w:rsid w:val="004B0A2F"/>
    <w:rsid w:val="004B6EDE"/>
    <w:rsid w:val="004C1037"/>
    <w:rsid w:val="004C4BF9"/>
    <w:rsid w:val="004C7134"/>
    <w:rsid w:val="004D0111"/>
    <w:rsid w:val="004D12ED"/>
    <w:rsid w:val="004D19B4"/>
    <w:rsid w:val="004D376B"/>
    <w:rsid w:val="004D6104"/>
    <w:rsid w:val="004E2CC2"/>
    <w:rsid w:val="004F540E"/>
    <w:rsid w:val="004F6D83"/>
    <w:rsid w:val="00511147"/>
    <w:rsid w:val="005118C5"/>
    <w:rsid w:val="00524080"/>
    <w:rsid w:val="005244B3"/>
    <w:rsid w:val="005317B6"/>
    <w:rsid w:val="00532517"/>
    <w:rsid w:val="00534395"/>
    <w:rsid w:val="00554E84"/>
    <w:rsid w:val="00555033"/>
    <w:rsid w:val="00562177"/>
    <w:rsid w:val="005757DF"/>
    <w:rsid w:val="00581679"/>
    <w:rsid w:val="00597132"/>
    <w:rsid w:val="005A0553"/>
    <w:rsid w:val="005A2EAC"/>
    <w:rsid w:val="005B01F7"/>
    <w:rsid w:val="005B3656"/>
    <w:rsid w:val="005B7FD0"/>
    <w:rsid w:val="005C2050"/>
    <w:rsid w:val="005C3BCD"/>
    <w:rsid w:val="005C6919"/>
    <w:rsid w:val="005E0B71"/>
    <w:rsid w:val="005E1A9C"/>
    <w:rsid w:val="005E73CB"/>
    <w:rsid w:val="00610CAE"/>
    <w:rsid w:val="00615F7B"/>
    <w:rsid w:val="00616DE9"/>
    <w:rsid w:val="00627404"/>
    <w:rsid w:val="00644BB4"/>
    <w:rsid w:val="006519A2"/>
    <w:rsid w:val="00664763"/>
    <w:rsid w:val="0067224F"/>
    <w:rsid w:val="00674A6B"/>
    <w:rsid w:val="006846A7"/>
    <w:rsid w:val="00684707"/>
    <w:rsid w:val="006A0098"/>
    <w:rsid w:val="006A21A5"/>
    <w:rsid w:val="006A5743"/>
    <w:rsid w:val="006B0762"/>
    <w:rsid w:val="006B7757"/>
    <w:rsid w:val="006C2562"/>
    <w:rsid w:val="006C296D"/>
    <w:rsid w:val="006C4773"/>
    <w:rsid w:val="006C51EF"/>
    <w:rsid w:val="006D58CE"/>
    <w:rsid w:val="006D79CB"/>
    <w:rsid w:val="006E34AB"/>
    <w:rsid w:val="006E66C6"/>
    <w:rsid w:val="006F6731"/>
    <w:rsid w:val="00702ED8"/>
    <w:rsid w:val="007031F1"/>
    <w:rsid w:val="00705947"/>
    <w:rsid w:val="00707206"/>
    <w:rsid w:val="00715D5F"/>
    <w:rsid w:val="0071743B"/>
    <w:rsid w:val="007240BC"/>
    <w:rsid w:val="0073341C"/>
    <w:rsid w:val="00745B41"/>
    <w:rsid w:val="00753EAC"/>
    <w:rsid w:val="00763888"/>
    <w:rsid w:val="007669D6"/>
    <w:rsid w:val="00774504"/>
    <w:rsid w:val="00775D02"/>
    <w:rsid w:val="00784717"/>
    <w:rsid w:val="00784B11"/>
    <w:rsid w:val="007924E8"/>
    <w:rsid w:val="00793A6B"/>
    <w:rsid w:val="007A0921"/>
    <w:rsid w:val="007A09B7"/>
    <w:rsid w:val="007A1963"/>
    <w:rsid w:val="007A7AF0"/>
    <w:rsid w:val="007B187B"/>
    <w:rsid w:val="007B5986"/>
    <w:rsid w:val="007C1706"/>
    <w:rsid w:val="007D2DB8"/>
    <w:rsid w:val="007D4EC4"/>
    <w:rsid w:val="007D7CF8"/>
    <w:rsid w:val="007E01A6"/>
    <w:rsid w:val="007E0F32"/>
    <w:rsid w:val="007E7B49"/>
    <w:rsid w:val="00800053"/>
    <w:rsid w:val="008012AA"/>
    <w:rsid w:val="00805469"/>
    <w:rsid w:val="00814F10"/>
    <w:rsid w:val="008176D5"/>
    <w:rsid w:val="008200BC"/>
    <w:rsid w:val="008217B7"/>
    <w:rsid w:val="00825B31"/>
    <w:rsid w:val="00830ADD"/>
    <w:rsid w:val="00830B9C"/>
    <w:rsid w:val="00844030"/>
    <w:rsid w:val="00844B75"/>
    <w:rsid w:val="00844CAF"/>
    <w:rsid w:val="00860D81"/>
    <w:rsid w:val="008719D9"/>
    <w:rsid w:val="00895D26"/>
    <w:rsid w:val="008A5F47"/>
    <w:rsid w:val="008A6ABE"/>
    <w:rsid w:val="008A7927"/>
    <w:rsid w:val="008C0B7A"/>
    <w:rsid w:val="008C3AC4"/>
    <w:rsid w:val="008C3C9A"/>
    <w:rsid w:val="008D30AC"/>
    <w:rsid w:val="008D6705"/>
    <w:rsid w:val="008E3EAD"/>
    <w:rsid w:val="008E45F3"/>
    <w:rsid w:val="008E6715"/>
    <w:rsid w:val="008F0D6A"/>
    <w:rsid w:val="008F3950"/>
    <w:rsid w:val="008F4AAF"/>
    <w:rsid w:val="0090047B"/>
    <w:rsid w:val="00907B55"/>
    <w:rsid w:val="00916370"/>
    <w:rsid w:val="00920204"/>
    <w:rsid w:val="00924D97"/>
    <w:rsid w:val="0093544A"/>
    <w:rsid w:val="00945B8A"/>
    <w:rsid w:val="00947D47"/>
    <w:rsid w:val="0095669D"/>
    <w:rsid w:val="0096182E"/>
    <w:rsid w:val="00974E7E"/>
    <w:rsid w:val="00981433"/>
    <w:rsid w:val="00984273"/>
    <w:rsid w:val="00992EF9"/>
    <w:rsid w:val="00993EFC"/>
    <w:rsid w:val="0099751C"/>
    <w:rsid w:val="009B441C"/>
    <w:rsid w:val="009C09FD"/>
    <w:rsid w:val="009C32F9"/>
    <w:rsid w:val="009C3528"/>
    <w:rsid w:val="009C47E7"/>
    <w:rsid w:val="009C749F"/>
    <w:rsid w:val="009D6DD3"/>
    <w:rsid w:val="009F2DDC"/>
    <w:rsid w:val="009F3E18"/>
    <w:rsid w:val="009F5B72"/>
    <w:rsid w:val="00A017C3"/>
    <w:rsid w:val="00A07B98"/>
    <w:rsid w:val="00A11B45"/>
    <w:rsid w:val="00A12214"/>
    <w:rsid w:val="00A14BD3"/>
    <w:rsid w:val="00A156D7"/>
    <w:rsid w:val="00A17680"/>
    <w:rsid w:val="00A33174"/>
    <w:rsid w:val="00A34A13"/>
    <w:rsid w:val="00A41D4E"/>
    <w:rsid w:val="00A42D15"/>
    <w:rsid w:val="00A46E15"/>
    <w:rsid w:val="00A51776"/>
    <w:rsid w:val="00A54BF9"/>
    <w:rsid w:val="00A54FEF"/>
    <w:rsid w:val="00A570EA"/>
    <w:rsid w:val="00A6322A"/>
    <w:rsid w:val="00A66332"/>
    <w:rsid w:val="00A67ABB"/>
    <w:rsid w:val="00A8265F"/>
    <w:rsid w:val="00A82BED"/>
    <w:rsid w:val="00A96F97"/>
    <w:rsid w:val="00AA6B05"/>
    <w:rsid w:val="00AA713C"/>
    <w:rsid w:val="00AC33D3"/>
    <w:rsid w:val="00AD0AFF"/>
    <w:rsid w:val="00AD2C81"/>
    <w:rsid w:val="00AD3619"/>
    <w:rsid w:val="00AE1CD5"/>
    <w:rsid w:val="00AE2612"/>
    <w:rsid w:val="00AF36B0"/>
    <w:rsid w:val="00AF64B8"/>
    <w:rsid w:val="00B05580"/>
    <w:rsid w:val="00B15680"/>
    <w:rsid w:val="00B31C67"/>
    <w:rsid w:val="00B33B84"/>
    <w:rsid w:val="00B364E5"/>
    <w:rsid w:val="00B461FF"/>
    <w:rsid w:val="00B54BCE"/>
    <w:rsid w:val="00B60168"/>
    <w:rsid w:val="00B61718"/>
    <w:rsid w:val="00B723DF"/>
    <w:rsid w:val="00B755D5"/>
    <w:rsid w:val="00B77599"/>
    <w:rsid w:val="00B80241"/>
    <w:rsid w:val="00B8476A"/>
    <w:rsid w:val="00B85EA4"/>
    <w:rsid w:val="00B8745E"/>
    <w:rsid w:val="00B95FD6"/>
    <w:rsid w:val="00BA1181"/>
    <w:rsid w:val="00BA58B8"/>
    <w:rsid w:val="00BA7178"/>
    <w:rsid w:val="00BB23E5"/>
    <w:rsid w:val="00BB2DF0"/>
    <w:rsid w:val="00BB5807"/>
    <w:rsid w:val="00BB7A52"/>
    <w:rsid w:val="00BC1C9E"/>
    <w:rsid w:val="00BC3BBC"/>
    <w:rsid w:val="00BC3F97"/>
    <w:rsid w:val="00BC5861"/>
    <w:rsid w:val="00BC5B32"/>
    <w:rsid w:val="00BD20C7"/>
    <w:rsid w:val="00BD49D0"/>
    <w:rsid w:val="00BD4AA3"/>
    <w:rsid w:val="00BD513C"/>
    <w:rsid w:val="00BD5242"/>
    <w:rsid w:val="00C0150F"/>
    <w:rsid w:val="00C04D6D"/>
    <w:rsid w:val="00C115A8"/>
    <w:rsid w:val="00C116FE"/>
    <w:rsid w:val="00C12417"/>
    <w:rsid w:val="00C12525"/>
    <w:rsid w:val="00C2381D"/>
    <w:rsid w:val="00C314AF"/>
    <w:rsid w:val="00C323F2"/>
    <w:rsid w:val="00C35ABB"/>
    <w:rsid w:val="00C36E9E"/>
    <w:rsid w:val="00C43273"/>
    <w:rsid w:val="00C466ED"/>
    <w:rsid w:val="00C5237B"/>
    <w:rsid w:val="00C6089A"/>
    <w:rsid w:val="00C70AA3"/>
    <w:rsid w:val="00C746DC"/>
    <w:rsid w:val="00C85FD2"/>
    <w:rsid w:val="00C86603"/>
    <w:rsid w:val="00C9176A"/>
    <w:rsid w:val="00C93DC8"/>
    <w:rsid w:val="00CA7B61"/>
    <w:rsid w:val="00CB2E4D"/>
    <w:rsid w:val="00CB4B71"/>
    <w:rsid w:val="00CC1A1F"/>
    <w:rsid w:val="00CC4773"/>
    <w:rsid w:val="00CC4B13"/>
    <w:rsid w:val="00CC5D7B"/>
    <w:rsid w:val="00CD0435"/>
    <w:rsid w:val="00CD631A"/>
    <w:rsid w:val="00CE0C86"/>
    <w:rsid w:val="00CE69D3"/>
    <w:rsid w:val="00CF3F29"/>
    <w:rsid w:val="00CF6859"/>
    <w:rsid w:val="00D002AC"/>
    <w:rsid w:val="00D06DEC"/>
    <w:rsid w:val="00D11ECC"/>
    <w:rsid w:val="00D20F07"/>
    <w:rsid w:val="00D2601C"/>
    <w:rsid w:val="00D27D0F"/>
    <w:rsid w:val="00D30853"/>
    <w:rsid w:val="00D411BF"/>
    <w:rsid w:val="00D54459"/>
    <w:rsid w:val="00D607C9"/>
    <w:rsid w:val="00D7069B"/>
    <w:rsid w:val="00D72BEF"/>
    <w:rsid w:val="00D77E58"/>
    <w:rsid w:val="00D83D0D"/>
    <w:rsid w:val="00D854D2"/>
    <w:rsid w:val="00D86BD7"/>
    <w:rsid w:val="00D91252"/>
    <w:rsid w:val="00D920AE"/>
    <w:rsid w:val="00DA7AE6"/>
    <w:rsid w:val="00DB1E74"/>
    <w:rsid w:val="00DB4C8F"/>
    <w:rsid w:val="00DB73F9"/>
    <w:rsid w:val="00DC06D9"/>
    <w:rsid w:val="00DC2266"/>
    <w:rsid w:val="00DD0EB5"/>
    <w:rsid w:val="00DD4808"/>
    <w:rsid w:val="00DE5EB2"/>
    <w:rsid w:val="00DF0A45"/>
    <w:rsid w:val="00DF62DA"/>
    <w:rsid w:val="00E01758"/>
    <w:rsid w:val="00E062EB"/>
    <w:rsid w:val="00E21189"/>
    <w:rsid w:val="00E2263F"/>
    <w:rsid w:val="00E248CD"/>
    <w:rsid w:val="00E25EBF"/>
    <w:rsid w:val="00E3231D"/>
    <w:rsid w:val="00E346C4"/>
    <w:rsid w:val="00E36D83"/>
    <w:rsid w:val="00E41E45"/>
    <w:rsid w:val="00E43746"/>
    <w:rsid w:val="00E50493"/>
    <w:rsid w:val="00E56AEB"/>
    <w:rsid w:val="00E67103"/>
    <w:rsid w:val="00E73CBE"/>
    <w:rsid w:val="00E744EE"/>
    <w:rsid w:val="00E81C68"/>
    <w:rsid w:val="00E81D64"/>
    <w:rsid w:val="00E8342B"/>
    <w:rsid w:val="00E95EA3"/>
    <w:rsid w:val="00EA10F1"/>
    <w:rsid w:val="00EA5B11"/>
    <w:rsid w:val="00EB4431"/>
    <w:rsid w:val="00EC6751"/>
    <w:rsid w:val="00EE1B39"/>
    <w:rsid w:val="00EE365E"/>
    <w:rsid w:val="00EF41B5"/>
    <w:rsid w:val="00F025DF"/>
    <w:rsid w:val="00F074F5"/>
    <w:rsid w:val="00F07FBD"/>
    <w:rsid w:val="00F10DDF"/>
    <w:rsid w:val="00F12F1D"/>
    <w:rsid w:val="00F172F9"/>
    <w:rsid w:val="00F17843"/>
    <w:rsid w:val="00F3149F"/>
    <w:rsid w:val="00F315A6"/>
    <w:rsid w:val="00F32BC1"/>
    <w:rsid w:val="00F46AC5"/>
    <w:rsid w:val="00F570C0"/>
    <w:rsid w:val="00F627E7"/>
    <w:rsid w:val="00F72864"/>
    <w:rsid w:val="00F77187"/>
    <w:rsid w:val="00F87186"/>
    <w:rsid w:val="00F90291"/>
    <w:rsid w:val="00F94B2D"/>
    <w:rsid w:val="00F97154"/>
    <w:rsid w:val="00F97BAC"/>
    <w:rsid w:val="00FA5A54"/>
    <w:rsid w:val="00FD174B"/>
    <w:rsid w:val="00FD41A3"/>
    <w:rsid w:val="00FE7A4A"/>
    <w:rsid w:val="00FF04BE"/>
    <w:rsid w:val="00FF17D7"/>
    <w:rsid w:val="00FF725B"/>
    <w:rsid w:val="2CB56276"/>
    <w:rsid w:val="69A648B9"/>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s-CO"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semiHidden/>
    <w:unhideWhenUsed/>
    <w:qFormat/>
    <w:uiPriority w:val="99"/>
    <w:rPr>
      <w:color w:val="0563C1"/>
      <w:u w:val="single"/>
    </w:rPr>
  </w:style>
  <w:style w:type="character" w:styleId="5">
    <w:name w:val="FollowedHyperlink"/>
    <w:basedOn w:val="2"/>
    <w:semiHidden/>
    <w:unhideWhenUsed/>
    <w:qFormat/>
    <w:uiPriority w:val="99"/>
    <w:rPr>
      <w:color w:val="954F72"/>
      <w:u w:val="single"/>
    </w:rPr>
  </w:style>
  <w:style w:type="paragraph" w:styleId="6">
    <w:name w:val="header"/>
    <w:basedOn w:val="1"/>
    <w:link w:val="16"/>
    <w:unhideWhenUsed/>
    <w:qFormat/>
    <w:uiPriority w:val="99"/>
    <w:pPr>
      <w:tabs>
        <w:tab w:val="center" w:pos="4419"/>
        <w:tab w:val="right" w:pos="8838"/>
      </w:tabs>
      <w:spacing w:after="0" w:line="240" w:lineRule="auto"/>
    </w:pPr>
  </w:style>
  <w:style w:type="paragraph" w:styleId="7">
    <w:name w:val="Normal (Web)"/>
    <w:basedOn w:val="1"/>
    <w:link w:val="1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s-ES" w:eastAsia="es-ES"/>
    </w:rPr>
  </w:style>
  <w:style w:type="paragraph" w:styleId="8">
    <w:name w:val="footer"/>
    <w:basedOn w:val="1"/>
    <w:link w:val="17"/>
    <w:unhideWhenUsed/>
    <w:qFormat/>
    <w:uiPriority w:val="99"/>
    <w:pPr>
      <w:tabs>
        <w:tab w:val="center" w:pos="4419"/>
        <w:tab w:val="right" w:pos="8838"/>
      </w:tabs>
      <w:spacing w:after="0" w:line="240" w:lineRule="auto"/>
    </w:pPr>
  </w:style>
  <w:style w:type="table" w:styleId="9">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
    <w:name w:val="Style6"/>
    <w:basedOn w:val="1"/>
    <w:qFormat/>
    <w:uiPriority w:val="99"/>
    <w:pPr>
      <w:widowControl w:val="0"/>
      <w:autoSpaceDE w:val="0"/>
      <w:autoSpaceDN w:val="0"/>
      <w:adjustRightInd w:val="0"/>
      <w:spacing w:after="0" w:line="252" w:lineRule="exact"/>
      <w:jc w:val="both"/>
    </w:pPr>
    <w:rPr>
      <w:rFonts w:ascii="Arial" w:hAnsi="Arial" w:cs="Arial" w:eastAsiaTheme="minorEastAsia"/>
      <w:sz w:val="24"/>
      <w:szCs w:val="24"/>
      <w:lang w:val="es-ES" w:eastAsia="es-ES"/>
    </w:rPr>
  </w:style>
  <w:style w:type="character" w:customStyle="1" w:styleId="11">
    <w:name w:val="Normal (Web) Car"/>
    <w:link w:val="7"/>
    <w:qFormat/>
    <w:uiPriority w:val="99"/>
    <w:rPr>
      <w:rFonts w:ascii="Times New Roman" w:hAnsi="Times New Roman" w:eastAsia="Times New Roman" w:cs="Times New Roman"/>
      <w:sz w:val="24"/>
      <w:szCs w:val="24"/>
      <w:lang w:val="es-ES" w:eastAsia="es-ES"/>
    </w:rPr>
  </w:style>
  <w:style w:type="paragraph" w:styleId="12">
    <w:name w:val="List Paragraph"/>
    <w:basedOn w:val="1"/>
    <w:qFormat/>
    <w:uiPriority w:val="34"/>
    <w:pPr>
      <w:ind w:left="720"/>
      <w:contextualSpacing/>
    </w:pPr>
  </w:style>
  <w:style w:type="paragraph" w:customStyle="1" w:styleId="13">
    <w:name w:val="Default"/>
    <w:qFormat/>
    <w:uiPriority w:val="0"/>
    <w:pPr>
      <w:autoSpaceDE w:val="0"/>
      <w:autoSpaceDN w:val="0"/>
      <w:adjustRightInd w:val="0"/>
      <w:spacing w:after="0" w:line="240" w:lineRule="auto"/>
    </w:pPr>
    <w:rPr>
      <w:rFonts w:ascii="Arial" w:hAnsi="Arial" w:eastAsia="Times New Roman" w:cs="Arial"/>
      <w:color w:val="000000"/>
      <w:sz w:val="24"/>
      <w:szCs w:val="24"/>
      <w:lang w:val="es-ES" w:eastAsia="es-CO" w:bidi="ar-SA"/>
    </w:rPr>
  </w:style>
  <w:style w:type="paragraph" w:customStyle="1" w:styleId="14">
    <w:name w:val="western"/>
    <w:basedOn w:val="1"/>
    <w:qFormat/>
    <w:uiPriority w:val="0"/>
    <w:pPr>
      <w:spacing w:before="100" w:beforeAutospacing="1" w:after="0" w:line="240" w:lineRule="auto"/>
    </w:pPr>
    <w:rPr>
      <w:rFonts w:ascii="Arial" w:hAnsi="Arial" w:eastAsia="Times New Roman" w:cs="Arial"/>
      <w:b/>
      <w:bCs/>
      <w:sz w:val="24"/>
      <w:szCs w:val="24"/>
      <w:lang w:eastAsia="es-CO"/>
    </w:rPr>
  </w:style>
  <w:style w:type="character" w:customStyle="1" w:styleId="15">
    <w:name w:val="gmail-m_7872870302829161317m_-5935947519030555260gmail-m_3371649065562648647gmail-m_2054666137775217895gmail-il"/>
    <w:basedOn w:val="2"/>
    <w:qFormat/>
    <w:uiPriority w:val="0"/>
  </w:style>
  <w:style w:type="character" w:customStyle="1" w:styleId="16">
    <w:name w:val="Encabezado Car"/>
    <w:basedOn w:val="2"/>
    <w:link w:val="6"/>
    <w:qFormat/>
    <w:uiPriority w:val="99"/>
  </w:style>
  <w:style w:type="character" w:customStyle="1" w:styleId="17">
    <w:name w:val="Pie de página Car"/>
    <w:basedOn w:val="2"/>
    <w:link w:val="8"/>
    <w:qFormat/>
    <w:uiPriority w:val="99"/>
  </w:style>
  <w:style w:type="paragraph" w:customStyle="1" w:styleId="18">
    <w:name w:val="msonormal"/>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customStyle="1" w:styleId="19">
    <w:name w:val="font5"/>
    <w:basedOn w:val="1"/>
    <w:qFormat/>
    <w:uiPriority w:val="0"/>
    <w:pPr>
      <w:spacing w:before="100" w:beforeAutospacing="1" w:after="100" w:afterAutospacing="1" w:line="240" w:lineRule="auto"/>
    </w:pPr>
    <w:rPr>
      <w:rFonts w:ascii="Calibri" w:hAnsi="Calibri" w:eastAsia="Times New Roman" w:cs="Calibri"/>
      <w:b/>
      <w:bCs/>
      <w:color w:val="000000"/>
      <w:sz w:val="24"/>
      <w:szCs w:val="24"/>
      <w:lang w:eastAsia="es-CO"/>
    </w:rPr>
  </w:style>
  <w:style w:type="paragraph" w:customStyle="1" w:styleId="20">
    <w:name w:val="font6"/>
    <w:basedOn w:val="1"/>
    <w:qFormat/>
    <w:uiPriority w:val="0"/>
    <w:pPr>
      <w:spacing w:before="100" w:beforeAutospacing="1" w:after="100" w:afterAutospacing="1" w:line="240" w:lineRule="auto"/>
    </w:pPr>
    <w:rPr>
      <w:rFonts w:ascii="Calibri" w:hAnsi="Calibri" w:eastAsia="Times New Roman" w:cs="Calibri"/>
      <w:b/>
      <w:bCs/>
      <w:color w:val="000000"/>
      <w:sz w:val="24"/>
      <w:szCs w:val="24"/>
      <w:lang w:eastAsia="es-CO"/>
    </w:rPr>
  </w:style>
  <w:style w:type="paragraph" w:customStyle="1" w:styleId="21">
    <w:name w:val="font7"/>
    <w:basedOn w:val="1"/>
    <w:qFormat/>
    <w:uiPriority w:val="0"/>
    <w:pPr>
      <w:spacing w:before="100" w:beforeAutospacing="1" w:after="100" w:afterAutospacing="1" w:line="240" w:lineRule="auto"/>
    </w:pPr>
    <w:rPr>
      <w:rFonts w:ascii="Calibri" w:hAnsi="Calibri" w:eastAsia="Times New Roman" w:cs="Calibri"/>
      <w:color w:val="FF0000"/>
      <w:sz w:val="24"/>
      <w:szCs w:val="24"/>
      <w:lang w:eastAsia="es-CO"/>
    </w:rPr>
  </w:style>
  <w:style w:type="paragraph" w:customStyle="1" w:styleId="22">
    <w:name w:val="xl65"/>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customStyle="1" w:styleId="23">
    <w:name w:val="xl66"/>
    <w:basedOn w:val="1"/>
    <w:qFormat/>
    <w:uiPriority w:val="0"/>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color w:val="000000"/>
      <w:sz w:val="24"/>
      <w:szCs w:val="24"/>
      <w:lang w:eastAsia="es-CO"/>
    </w:rPr>
  </w:style>
  <w:style w:type="paragraph" w:customStyle="1" w:styleId="24">
    <w:name w:val="xl67"/>
    <w:basedOn w:val="1"/>
    <w:qFormat/>
    <w:uiPriority w:val="0"/>
    <w:pPr>
      <w:pBdr>
        <w:bottom w:val="single" w:color="auto" w:sz="8" w:space="0"/>
        <w:right w:val="single" w:color="auto" w:sz="8" w:space="0"/>
      </w:pBdr>
      <w:spacing w:before="100" w:beforeAutospacing="1" w:after="100" w:afterAutospacing="1" w:line="240" w:lineRule="auto"/>
      <w:textAlignment w:val="center"/>
    </w:pPr>
    <w:rPr>
      <w:rFonts w:ascii="Times New Roman" w:hAnsi="Times New Roman" w:eastAsia="Times New Roman" w:cs="Times New Roman"/>
      <w:color w:val="000000"/>
      <w:sz w:val="24"/>
      <w:szCs w:val="24"/>
      <w:lang w:eastAsia="es-CO"/>
    </w:rPr>
  </w:style>
  <w:style w:type="paragraph" w:customStyle="1" w:styleId="25">
    <w:name w:val="xl68"/>
    <w:basedOn w:val="1"/>
    <w:qFormat/>
    <w:uiPriority w:val="0"/>
    <w:pPr>
      <w:pBdr>
        <w:bottom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color w:val="000000"/>
      <w:sz w:val="24"/>
      <w:szCs w:val="24"/>
      <w:lang w:eastAsia="es-CO"/>
    </w:rPr>
  </w:style>
  <w:style w:type="paragraph" w:customStyle="1" w:styleId="26">
    <w:name w:val="xl69"/>
    <w:basedOn w:val="1"/>
    <w:qFormat/>
    <w:uiPriority w:val="0"/>
    <w:pPr>
      <w:pBdr>
        <w:right w:val="single" w:color="auto" w:sz="8" w:space="0"/>
      </w:pBdr>
      <w:spacing w:before="100" w:beforeAutospacing="1" w:after="100" w:afterAutospacing="1" w:line="240" w:lineRule="auto"/>
      <w:textAlignment w:val="center"/>
    </w:pPr>
    <w:rPr>
      <w:rFonts w:ascii="Times New Roman" w:hAnsi="Times New Roman" w:eastAsia="Times New Roman" w:cs="Times New Roman"/>
      <w:color w:val="000000"/>
      <w:sz w:val="24"/>
      <w:szCs w:val="24"/>
      <w:lang w:eastAsia="es-CO"/>
    </w:rPr>
  </w:style>
  <w:style w:type="paragraph" w:customStyle="1" w:styleId="27">
    <w:name w:val="xl70"/>
    <w:basedOn w:val="1"/>
    <w:qFormat/>
    <w:uiPriority w:val="0"/>
    <w:pPr>
      <w:pBdr>
        <w:top w:val="single" w:color="auto" w:sz="8" w:space="0"/>
        <w:right w:val="single" w:color="auto" w:sz="8" w:space="0"/>
      </w:pBdr>
      <w:spacing w:before="100" w:beforeAutospacing="1" w:after="100" w:afterAutospacing="1" w:line="240" w:lineRule="auto"/>
      <w:textAlignment w:val="center"/>
    </w:pPr>
    <w:rPr>
      <w:rFonts w:ascii="Times New Roman" w:hAnsi="Times New Roman" w:eastAsia="Times New Roman" w:cs="Times New Roman"/>
      <w:color w:val="000000"/>
      <w:sz w:val="24"/>
      <w:szCs w:val="24"/>
      <w:lang w:eastAsia="es-CO"/>
    </w:rPr>
  </w:style>
  <w:style w:type="paragraph" w:customStyle="1" w:styleId="28">
    <w:name w:val="xl71"/>
    <w:basedOn w:val="1"/>
    <w:qFormat/>
    <w:uiPriority w:val="0"/>
    <w:pPr>
      <w:pBdr>
        <w:top w:val="single" w:color="auto" w:sz="8" w:space="0"/>
        <w:bottom w:val="single" w:color="auto" w:sz="8" w:space="0"/>
        <w:right w:val="single" w:color="auto" w:sz="8" w:space="0"/>
      </w:pBdr>
      <w:spacing w:before="100" w:beforeAutospacing="1" w:after="100" w:afterAutospacing="1" w:line="240" w:lineRule="auto"/>
      <w:textAlignment w:val="center"/>
    </w:pPr>
    <w:rPr>
      <w:rFonts w:ascii="Times New Roman" w:hAnsi="Times New Roman" w:eastAsia="Times New Roman" w:cs="Times New Roman"/>
      <w:color w:val="000000"/>
      <w:sz w:val="24"/>
      <w:szCs w:val="24"/>
      <w:lang w:eastAsia="es-CO"/>
    </w:rPr>
  </w:style>
  <w:style w:type="paragraph" w:customStyle="1" w:styleId="29">
    <w:name w:val="xl72"/>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color w:val="000000"/>
      <w:sz w:val="24"/>
      <w:szCs w:val="24"/>
      <w:lang w:eastAsia="es-CO"/>
    </w:rPr>
  </w:style>
  <w:style w:type="paragraph" w:customStyle="1" w:styleId="30">
    <w:name w:val="xl73"/>
    <w:basedOn w:val="1"/>
    <w:qFormat/>
    <w:uiPriority w:val="0"/>
    <w:pPr>
      <w:pBdr>
        <w:top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color w:val="000000"/>
      <w:sz w:val="24"/>
      <w:szCs w:val="24"/>
      <w:lang w:eastAsia="es-CO"/>
    </w:rPr>
  </w:style>
  <w:style w:type="paragraph" w:customStyle="1" w:styleId="31">
    <w:name w:val="xl74"/>
    <w:basedOn w:val="1"/>
    <w:qFormat/>
    <w:uiPriority w:val="0"/>
    <w:pPr>
      <w:pBdr>
        <w:left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color w:val="000000"/>
      <w:sz w:val="24"/>
      <w:szCs w:val="24"/>
      <w:lang w:eastAsia="es-CO"/>
    </w:rPr>
  </w:style>
  <w:style w:type="paragraph" w:customStyle="1" w:styleId="32">
    <w:name w:val="xl75"/>
    <w:basedOn w:val="1"/>
    <w:qFormat/>
    <w:uiPriority w:val="0"/>
    <w:pPr>
      <w:pBdr>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color w:val="000000"/>
      <w:sz w:val="24"/>
      <w:szCs w:val="24"/>
      <w:lang w:eastAsia="es-CO"/>
    </w:rPr>
  </w:style>
  <w:style w:type="paragraph" w:customStyle="1" w:styleId="33">
    <w:name w:val="xl76"/>
    <w:basedOn w:val="1"/>
    <w:qFormat/>
    <w:uiPriority w:val="0"/>
    <w:pPr>
      <w:pBdr>
        <w:top w:val="single" w:color="auto" w:sz="8" w:space="0"/>
        <w:bottom w:val="single" w:color="auto" w:sz="8" w:space="0"/>
        <w:right w:val="single" w:color="auto" w:sz="8" w:space="0"/>
      </w:pBdr>
      <w:spacing w:before="100" w:beforeAutospacing="1" w:after="100" w:afterAutospacing="1" w:line="240" w:lineRule="auto"/>
      <w:textAlignment w:val="center"/>
    </w:pPr>
    <w:rPr>
      <w:rFonts w:ascii="Times New Roman" w:hAnsi="Times New Roman" w:eastAsia="Times New Roman" w:cs="Times New Roman"/>
      <w:sz w:val="24"/>
      <w:szCs w:val="24"/>
      <w:lang w:eastAsia="es-CO"/>
    </w:rPr>
  </w:style>
  <w:style w:type="paragraph" w:customStyle="1" w:styleId="34">
    <w:name w:val="xl77"/>
    <w:basedOn w:val="1"/>
    <w:qFormat/>
    <w:uiPriority w:val="0"/>
    <w:pPr>
      <w:pBdr>
        <w:bottom w:val="single" w:color="auto" w:sz="8" w:space="0"/>
        <w:right w:val="single" w:color="auto" w:sz="8" w:space="0"/>
      </w:pBdr>
      <w:spacing w:before="100" w:beforeAutospacing="1" w:after="100" w:afterAutospacing="1" w:line="240" w:lineRule="auto"/>
      <w:textAlignment w:val="center"/>
    </w:pPr>
    <w:rPr>
      <w:rFonts w:ascii="Times New Roman" w:hAnsi="Times New Roman" w:eastAsia="Times New Roman" w:cs="Times New Roman"/>
      <w:color w:val="000000"/>
      <w:sz w:val="24"/>
      <w:szCs w:val="24"/>
      <w:lang w:eastAsia="es-CO"/>
    </w:rPr>
  </w:style>
  <w:style w:type="paragraph" w:customStyle="1" w:styleId="35">
    <w:name w:val="xl78"/>
    <w:basedOn w:val="1"/>
    <w:qFormat/>
    <w:uiPriority w:val="0"/>
    <w:pPr>
      <w:pBdr>
        <w:right w:val="single" w:color="auto" w:sz="8" w:space="0"/>
      </w:pBdr>
      <w:spacing w:before="100" w:beforeAutospacing="1" w:after="100" w:afterAutospacing="1" w:line="240" w:lineRule="auto"/>
      <w:textAlignment w:val="center"/>
    </w:pPr>
    <w:rPr>
      <w:rFonts w:ascii="Times New Roman" w:hAnsi="Times New Roman" w:eastAsia="Times New Roman" w:cs="Times New Roman"/>
      <w:color w:val="000000"/>
      <w:sz w:val="24"/>
      <w:szCs w:val="24"/>
      <w:lang w:eastAsia="es-CO"/>
    </w:rPr>
  </w:style>
  <w:style w:type="paragraph" w:customStyle="1" w:styleId="36">
    <w:name w:val="xl79"/>
    <w:basedOn w:val="1"/>
    <w:qFormat/>
    <w:uiPriority w:val="0"/>
    <w:pPr>
      <w:pBdr>
        <w:top w:val="single" w:color="auto" w:sz="8" w:space="0"/>
        <w:right w:val="single" w:color="auto" w:sz="8" w:space="0"/>
      </w:pBdr>
      <w:spacing w:before="100" w:beforeAutospacing="1" w:after="100" w:afterAutospacing="1" w:line="240" w:lineRule="auto"/>
      <w:textAlignment w:val="center"/>
    </w:pPr>
    <w:rPr>
      <w:rFonts w:ascii="Times New Roman" w:hAnsi="Times New Roman" w:eastAsia="Times New Roman" w:cs="Times New Roman"/>
      <w:color w:val="000000"/>
      <w:sz w:val="24"/>
      <w:szCs w:val="24"/>
      <w:lang w:eastAsia="es-CO"/>
    </w:rPr>
  </w:style>
  <w:style w:type="paragraph" w:customStyle="1" w:styleId="37">
    <w:name w:val="xl80"/>
    <w:basedOn w:val="1"/>
    <w:qFormat/>
    <w:uiPriority w:val="0"/>
    <w:pPr>
      <w:pBdr>
        <w:top w:val="single" w:color="auto" w:sz="8" w:space="0"/>
        <w:bottom w:val="single" w:color="auto" w:sz="8" w:space="0"/>
        <w:right w:val="single" w:color="auto" w:sz="8" w:space="0"/>
      </w:pBdr>
      <w:spacing w:before="100" w:beforeAutospacing="1" w:after="100" w:afterAutospacing="1" w:line="240" w:lineRule="auto"/>
      <w:textAlignment w:val="center"/>
    </w:pPr>
    <w:rPr>
      <w:rFonts w:ascii="Times New Roman" w:hAnsi="Times New Roman" w:eastAsia="Times New Roman" w:cs="Times New Roman"/>
      <w:color w:val="000000"/>
      <w:sz w:val="24"/>
      <w:szCs w:val="24"/>
      <w:lang w:eastAsia="es-CO"/>
    </w:rPr>
  </w:style>
  <w:style w:type="paragraph" w:customStyle="1" w:styleId="38">
    <w:name w:val="xl81"/>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line="240" w:lineRule="auto"/>
      <w:textAlignment w:val="center"/>
    </w:pPr>
    <w:rPr>
      <w:rFonts w:ascii="Times New Roman" w:hAnsi="Times New Roman" w:eastAsia="Times New Roman" w:cs="Times New Roman"/>
      <w:color w:val="000000"/>
      <w:sz w:val="24"/>
      <w:szCs w:val="24"/>
      <w:lang w:eastAsia="es-CO"/>
    </w:rPr>
  </w:style>
  <w:style w:type="paragraph" w:customStyle="1" w:styleId="39">
    <w:name w:val="xl82"/>
    <w:basedOn w:val="1"/>
    <w:qFormat/>
    <w:uiPriority w:val="0"/>
    <w:pPr>
      <w:pBdr>
        <w:bottom w:val="single" w:color="auto" w:sz="8" w:space="0"/>
        <w:right w:val="single" w:color="auto" w:sz="8" w:space="0"/>
      </w:pBdr>
      <w:spacing w:before="100" w:beforeAutospacing="1" w:after="100" w:afterAutospacing="1" w:line="240" w:lineRule="auto"/>
      <w:textAlignment w:val="center"/>
    </w:pPr>
    <w:rPr>
      <w:rFonts w:ascii="Times New Roman" w:hAnsi="Times New Roman" w:eastAsia="Times New Roman" w:cs="Times New Roman"/>
      <w:b/>
      <w:bCs/>
      <w:color w:val="000000"/>
      <w:sz w:val="24"/>
      <w:szCs w:val="24"/>
      <w:lang w:eastAsia="es-CO"/>
    </w:rPr>
  </w:style>
  <w:style w:type="paragraph" w:customStyle="1" w:styleId="40">
    <w:name w:val="xl83"/>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customStyle="1" w:styleId="41">
    <w:name w:val="xl84"/>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line="240" w:lineRule="auto"/>
    </w:pPr>
    <w:rPr>
      <w:rFonts w:ascii="Times New Roman" w:hAnsi="Times New Roman" w:eastAsia="Times New Roman" w:cs="Times New Roman"/>
      <w:sz w:val="24"/>
      <w:szCs w:val="24"/>
      <w:lang w:eastAsia="es-CO"/>
    </w:rPr>
  </w:style>
  <w:style w:type="paragraph" w:customStyle="1" w:styleId="42">
    <w:name w:val="xl85"/>
    <w:basedOn w:val="1"/>
    <w:qFormat/>
    <w:uiPriority w:val="0"/>
    <w:pPr>
      <w:pBdr>
        <w:left w:val="single" w:color="auto" w:sz="8" w:space="0"/>
        <w:bottom w:val="single" w:color="auto" w:sz="8" w:space="0"/>
        <w:right w:val="single" w:color="auto" w:sz="8" w:space="0"/>
      </w:pBdr>
      <w:shd w:val="clear" w:color="000000" w:fill="CCCCF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eastAsia="es-CO"/>
    </w:rPr>
  </w:style>
  <w:style w:type="paragraph" w:customStyle="1" w:styleId="43">
    <w:name w:val="xl86"/>
    <w:basedOn w:val="1"/>
    <w:qFormat/>
    <w:uiPriority w:val="0"/>
    <w:pPr>
      <w:pBdr>
        <w:bottom w:val="single" w:color="auto" w:sz="8" w:space="0"/>
        <w:right w:val="single" w:color="auto" w:sz="8" w:space="0"/>
      </w:pBdr>
      <w:shd w:val="clear" w:color="000000" w:fill="CCCCF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eastAsia="es-CO"/>
    </w:rPr>
  </w:style>
  <w:style w:type="paragraph" w:customStyle="1" w:styleId="44">
    <w:name w:val="xl87"/>
    <w:basedOn w:val="1"/>
    <w:qFormat/>
    <w:uiPriority w:val="0"/>
    <w:pPr>
      <w:pBdr>
        <w:bottom w:val="single" w:color="auto" w:sz="8" w:space="0"/>
        <w:right w:val="single" w:color="auto" w:sz="8" w:space="0"/>
      </w:pBdr>
      <w:shd w:val="clear" w:color="000000" w:fill="CCCCF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eastAsia="es-CO"/>
    </w:rPr>
  </w:style>
  <w:style w:type="paragraph" w:customStyle="1" w:styleId="45">
    <w:name w:val="xl88"/>
    <w:basedOn w:val="1"/>
    <w:qFormat/>
    <w:uiPriority w:val="0"/>
    <w:pPr>
      <w:pBdr>
        <w:bottom w:val="single" w:color="auto" w:sz="8" w:space="0"/>
        <w:right w:val="single" w:color="auto" w:sz="8" w:space="0"/>
      </w:pBdr>
      <w:shd w:val="clear" w:color="000000" w:fill="CCCCF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eastAsia="es-CO"/>
    </w:rPr>
  </w:style>
  <w:style w:type="paragraph" w:customStyle="1" w:styleId="46">
    <w:name w:val="xl89"/>
    <w:basedOn w:val="1"/>
    <w:qFormat/>
    <w:uiPriority w:val="0"/>
    <w:pPr>
      <w:pBdr>
        <w:left w:val="single" w:color="auto" w:sz="8" w:space="0"/>
        <w:right w:val="single" w:color="auto" w:sz="8" w:space="0"/>
      </w:pBdr>
      <w:shd w:val="clear" w:color="000000" w:fill="CCCCF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eastAsia="es-CO"/>
    </w:rPr>
  </w:style>
  <w:style w:type="paragraph" w:customStyle="1" w:styleId="47">
    <w:name w:val="xl90"/>
    <w:basedOn w:val="1"/>
    <w:qFormat/>
    <w:uiPriority w:val="0"/>
    <w:pPr>
      <w:pBdr>
        <w:right w:val="single" w:color="auto" w:sz="8" w:space="0"/>
      </w:pBdr>
      <w:shd w:val="clear" w:color="000000" w:fill="CCCCF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eastAsia="es-CO"/>
    </w:rPr>
  </w:style>
  <w:style w:type="paragraph" w:customStyle="1" w:styleId="48">
    <w:name w:val="xl91"/>
    <w:basedOn w:val="1"/>
    <w:qFormat/>
    <w:uiPriority w:val="0"/>
    <w:pPr>
      <w:pBdr>
        <w:right w:val="single" w:color="auto" w:sz="8" w:space="0"/>
      </w:pBdr>
      <w:shd w:val="clear" w:color="000000" w:fill="CCCCF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eastAsia="es-CO"/>
    </w:rPr>
  </w:style>
  <w:style w:type="paragraph" w:customStyle="1" w:styleId="49">
    <w:name w:val="xl92"/>
    <w:basedOn w:val="1"/>
    <w:qFormat/>
    <w:uiPriority w:val="0"/>
    <w:pPr>
      <w:pBdr>
        <w:right w:val="single" w:color="auto" w:sz="8" w:space="0"/>
      </w:pBdr>
      <w:shd w:val="clear" w:color="000000" w:fill="CCCCF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eastAsia="es-CO"/>
    </w:rPr>
  </w:style>
  <w:style w:type="paragraph" w:customStyle="1" w:styleId="50">
    <w:name w:val="xl93"/>
    <w:basedOn w:val="1"/>
    <w:qFormat/>
    <w:uiPriority w:val="0"/>
    <w:pPr>
      <w:pBdr>
        <w:top w:val="single" w:color="auto" w:sz="8" w:space="0"/>
        <w:left w:val="single" w:color="auto" w:sz="8" w:space="0"/>
        <w:bottom w:val="single" w:color="auto" w:sz="8" w:space="0"/>
      </w:pBdr>
      <w:shd w:val="clear" w:color="000000" w:fill="CCCCF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eastAsia="es-CO"/>
    </w:rPr>
  </w:style>
  <w:style w:type="paragraph" w:customStyle="1" w:styleId="51">
    <w:name w:val="xl94"/>
    <w:basedOn w:val="1"/>
    <w:qFormat/>
    <w:uiPriority w:val="0"/>
    <w:pPr>
      <w:pBdr>
        <w:top w:val="single" w:color="auto" w:sz="8" w:space="0"/>
        <w:bottom w:val="single" w:color="auto" w:sz="8" w:space="0"/>
      </w:pBdr>
      <w:shd w:val="clear" w:color="000000" w:fill="CCCCF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eastAsia="es-CO"/>
    </w:rPr>
  </w:style>
  <w:style w:type="paragraph" w:customStyle="1" w:styleId="52">
    <w:name w:val="xl95"/>
    <w:basedOn w:val="1"/>
    <w:qFormat/>
    <w:uiPriority w:val="0"/>
    <w:pPr>
      <w:pBdr>
        <w:top w:val="single" w:color="auto" w:sz="8" w:space="0"/>
        <w:bottom w:val="single" w:color="auto" w:sz="8" w:space="0"/>
        <w:right w:val="single" w:color="000000" w:sz="8" w:space="0"/>
      </w:pBdr>
      <w:shd w:val="clear" w:color="000000" w:fill="CCCCF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eastAsia="es-CO"/>
    </w:rPr>
  </w:style>
  <w:style w:type="paragraph" w:customStyle="1" w:styleId="53">
    <w:name w:val="xl96"/>
    <w:basedOn w:val="1"/>
    <w:qFormat/>
    <w:uiPriority w:val="0"/>
    <w:pPr>
      <w:pBdr>
        <w:left w:val="single" w:color="auto" w:sz="8" w:space="0"/>
        <w:bottom w:val="single" w:color="auto" w:sz="8" w:space="0"/>
      </w:pBdr>
      <w:shd w:val="clear" w:color="000000" w:fill="CCCCF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eastAsia="es-CO"/>
    </w:rPr>
  </w:style>
  <w:style w:type="paragraph" w:customStyle="1" w:styleId="54">
    <w:name w:val="xl97"/>
    <w:basedOn w:val="1"/>
    <w:qFormat/>
    <w:uiPriority w:val="0"/>
    <w:pPr>
      <w:pBdr>
        <w:bottom w:val="single" w:color="auto" w:sz="8" w:space="0"/>
      </w:pBdr>
      <w:shd w:val="clear" w:color="000000" w:fill="CCCCF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eastAsia="es-CO"/>
    </w:rPr>
  </w:style>
  <w:style w:type="paragraph" w:customStyle="1" w:styleId="55">
    <w:name w:val="xl98"/>
    <w:basedOn w:val="1"/>
    <w:qFormat/>
    <w:uiPriority w:val="0"/>
    <w:pPr>
      <w:pBdr>
        <w:bottom w:val="single" w:color="auto" w:sz="8" w:space="0"/>
        <w:right w:val="single" w:color="000000" w:sz="8" w:space="0"/>
      </w:pBdr>
      <w:shd w:val="clear" w:color="000000" w:fill="CCCCF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eastAsia="es-CO"/>
    </w:rPr>
  </w:style>
  <w:style w:type="paragraph" w:customStyle="1" w:styleId="56">
    <w:name w:val="xl99"/>
    <w:basedOn w:val="1"/>
    <w:qFormat/>
    <w:uiPriority w:val="0"/>
    <w:pPr>
      <w:pBdr>
        <w:top w:val="single" w:color="auto" w:sz="8" w:space="0"/>
        <w:bottom w:val="single" w:color="auto" w:sz="8" w:space="0"/>
        <w:right w:val="single" w:color="auto" w:sz="8" w:space="0"/>
      </w:pBdr>
      <w:shd w:val="clear" w:color="000000" w:fill="CCCCF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eastAsia="es-CO"/>
    </w:rPr>
  </w:style>
  <w:style w:type="paragraph" w:customStyle="1" w:styleId="57">
    <w:name w:val="xl100"/>
    <w:basedOn w:val="1"/>
    <w:qFormat/>
    <w:uiPriority w:val="0"/>
    <w:pPr>
      <w:pBdr>
        <w:top w:val="single" w:color="auto" w:sz="8" w:space="0"/>
        <w:left w:val="single" w:color="auto" w:sz="8" w:space="0"/>
        <w:bottom w:val="single" w:color="auto" w:sz="8" w:space="0"/>
      </w:pBdr>
      <w:shd w:val="clear" w:color="000000" w:fill="CCCCF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eastAsia="es-CO"/>
    </w:rPr>
  </w:style>
  <w:style w:type="paragraph" w:customStyle="1" w:styleId="58">
    <w:name w:val="xl101"/>
    <w:basedOn w:val="1"/>
    <w:qFormat/>
    <w:uiPriority w:val="0"/>
    <w:pPr>
      <w:pBdr>
        <w:top w:val="single" w:color="auto" w:sz="8" w:space="0"/>
        <w:bottom w:val="single" w:color="auto" w:sz="8" w:space="0"/>
      </w:pBdr>
      <w:shd w:val="clear" w:color="000000" w:fill="CCCCF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eastAsia="es-CO"/>
    </w:rPr>
  </w:style>
  <w:style w:type="paragraph" w:customStyle="1" w:styleId="59">
    <w:name w:val="xl102"/>
    <w:basedOn w:val="1"/>
    <w:qFormat/>
    <w:uiPriority w:val="0"/>
    <w:pPr>
      <w:pBdr>
        <w:top w:val="single" w:color="auto" w:sz="8" w:space="0"/>
        <w:bottom w:val="single" w:color="auto" w:sz="8" w:space="0"/>
        <w:right w:val="single" w:color="000000" w:sz="8" w:space="0"/>
      </w:pBdr>
      <w:shd w:val="clear" w:color="000000" w:fill="CCCCF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eastAsia="es-CO"/>
    </w:rPr>
  </w:style>
  <w:style w:type="paragraph" w:customStyle="1" w:styleId="60">
    <w:name w:val="xl103"/>
    <w:basedOn w:val="1"/>
    <w:qFormat/>
    <w:uiPriority w:val="0"/>
    <w:pPr>
      <w:pBdr>
        <w:top w:val="single" w:color="auto" w:sz="8" w:space="0"/>
        <w:bottom w:val="single" w:color="auto" w:sz="8" w:space="0"/>
        <w:right w:val="single" w:color="auto" w:sz="8" w:space="0"/>
      </w:pBdr>
      <w:shd w:val="clear" w:color="000000" w:fill="CCCCF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eastAsia="es-CO"/>
    </w:rPr>
  </w:style>
  <w:style w:type="paragraph" w:styleId="61">
    <w:name w:val="No Spacing"/>
    <w:qFormat/>
    <w:uiPriority w:val="1"/>
    <w:pPr>
      <w:spacing w:after="0" w:line="240" w:lineRule="auto"/>
    </w:pPr>
    <w:rPr>
      <w:rFonts w:ascii="Calibri" w:hAnsi="Calibri" w:eastAsia="Calibri" w:cs="Calibri"/>
      <w:sz w:val="22"/>
      <w:szCs w:val="22"/>
      <w:lang w:val="es-CO" w:eastAsia="es-MX" w:bidi="ar-SA"/>
    </w:rPr>
  </w:style>
  <w:style w:type="paragraph" w:customStyle="1" w:styleId="62">
    <w:name w:val="Table Paragraph"/>
    <w:basedOn w:val="1"/>
    <w:qFormat/>
    <w:uiPriority w:val="1"/>
    <w:pPr>
      <w:widowControl w:val="0"/>
      <w:autoSpaceDE w:val="0"/>
      <w:autoSpaceDN w:val="0"/>
      <w:spacing w:after="0" w:line="240" w:lineRule="auto"/>
    </w:pPr>
    <w:rPr>
      <w:rFonts w:ascii="Times New Roman" w:hAnsi="Times New Roman" w:eastAsia="Times New Roman" w:cs="Times New Roman"/>
      <w:lang w:val="es-E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3</Pages>
  <Words>668</Words>
  <Characters>3680</Characters>
  <Lines>30</Lines>
  <Paragraphs>8</Paragraphs>
  <TotalTime>5</TotalTime>
  <ScaleCrop>false</ScaleCrop>
  <LinksUpToDate>false</LinksUpToDate>
  <CharactersWithSpaces>4340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2025-09-16T23:57:00Z</dcterms:created>
  <dc:creator>Adrián Corrales Valencia</dc:creator>
  <cp:lastModifiedBy>ucamelo</cp:lastModifiedBy>
  <dcterms:modified xsi:type="dcterms:W3CDTF">2025-11-27T15:15:23Z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2058-12.2.0.23155</vt:lpwstr>
  </property>
  <property fmtid="{D5CDD505-2E9C-101B-9397-08002B2CF9AE}" pid="3" name="ICV">
    <vt:lpwstr>C5DBF1E7E3824A19B9B3528323B7C66D_12</vt:lpwstr>
  </property>
</Properties>
</file>