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50B54" w14:textId="7D0BC9B7" w:rsidR="00BA7C28" w:rsidRPr="007D0166" w:rsidRDefault="00BA7C28" w:rsidP="00BA7C28">
      <w:pPr>
        <w:jc w:val="center"/>
        <w:rPr>
          <w:rFonts w:ascii="Arial" w:hAnsi="Arial" w:cs="Arial"/>
          <w:b/>
          <w:bCs/>
          <w:iCs/>
          <w:sz w:val="22"/>
          <w:szCs w:val="22"/>
          <w:lang w:val="es-CO" w:eastAsia="es-CO"/>
        </w:rPr>
      </w:pPr>
      <w:r>
        <w:rPr>
          <w:rFonts w:ascii="Arial" w:hAnsi="Arial" w:cs="Arial"/>
          <w:b/>
          <w:sz w:val="22"/>
          <w:szCs w:val="22"/>
          <w:lang w:val="es-CO"/>
        </w:rPr>
        <w:t xml:space="preserve">FORMATO </w:t>
      </w:r>
      <w:r w:rsidR="00255B30">
        <w:rPr>
          <w:rFonts w:ascii="Arial" w:hAnsi="Arial" w:cs="Arial"/>
          <w:b/>
          <w:sz w:val="22"/>
          <w:szCs w:val="22"/>
          <w:lang w:val="es-CO"/>
        </w:rPr>
        <w:t>6</w:t>
      </w:r>
      <w:r>
        <w:rPr>
          <w:rFonts w:ascii="Arial" w:hAnsi="Arial" w:cs="Arial"/>
          <w:b/>
          <w:sz w:val="22"/>
          <w:szCs w:val="22"/>
          <w:lang w:val="es-CO"/>
        </w:rPr>
        <w:t xml:space="preserve"> - </w:t>
      </w:r>
      <w:r w:rsidRPr="007D0166">
        <w:rPr>
          <w:rFonts w:ascii="Arial" w:hAnsi="Arial" w:cs="Arial"/>
          <w:b/>
          <w:iCs/>
          <w:sz w:val="22"/>
          <w:szCs w:val="22"/>
          <w:lang w:val="es-CO"/>
        </w:rPr>
        <w:t>COMPROMISO - CUMPLIMIENTO A LAS ESPECIFICACIONES TECNICAS DEL OBJETO CONTRACTUAL</w:t>
      </w:r>
    </w:p>
    <w:p w14:paraId="62D061F1" w14:textId="77777777" w:rsidR="00BA7C28" w:rsidRPr="007D0166" w:rsidRDefault="00BA7C28" w:rsidP="00BA7C28">
      <w:pPr>
        <w:autoSpaceDE w:val="0"/>
        <w:autoSpaceDN w:val="0"/>
        <w:adjustRightInd w:val="0"/>
        <w:rPr>
          <w:rFonts w:ascii="Arial" w:hAnsi="Arial" w:cs="Arial"/>
          <w:b/>
          <w:bCs/>
          <w:sz w:val="22"/>
          <w:szCs w:val="22"/>
          <w:lang w:val="es-CO" w:eastAsia="es-CO"/>
        </w:rPr>
      </w:pPr>
    </w:p>
    <w:p w14:paraId="6F4A3EE1" w14:textId="77777777" w:rsidR="00BA7C28" w:rsidRPr="007D0166" w:rsidRDefault="00BA7C28" w:rsidP="00BA7C28">
      <w:pPr>
        <w:autoSpaceDE w:val="0"/>
        <w:autoSpaceDN w:val="0"/>
        <w:adjustRightInd w:val="0"/>
        <w:rPr>
          <w:rFonts w:ascii="Arial" w:hAnsi="Arial" w:cs="Arial"/>
          <w:b/>
          <w:bCs/>
          <w:sz w:val="22"/>
          <w:szCs w:val="22"/>
          <w:lang w:val="es-CO" w:eastAsia="es-CO"/>
        </w:rPr>
      </w:pPr>
    </w:p>
    <w:p w14:paraId="30679A7C" w14:textId="658584F2" w:rsidR="00BA7C28" w:rsidRDefault="00BA7C28" w:rsidP="00BA7C28">
      <w:pPr>
        <w:pStyle w:val="Textoindependiente"/>
        <w:spacing w:before="94"/>
        <w:ind w:left="119" w:right="-21"/>
      </w:pPr>
      <w:r>
        <w:t>[</w:t>
      </w:r>
      <w:r w:rsidRPr="00DA1A9E">
        <w:rPr>
          <w:highlight w:val="lightGray"/>
        </w:rPr>
        <w:t>Lugar</w:t>
      </w:r>
      <w:r>
        <w:t>],</w:t>
      </w:r>
      <w:r>
        <w:rPr>
          <w:spacing w:val="-2"/>
        </w:rPr>
        <w:t xml:space="preserve"> [</w:t>
      </w:r>
      <w:r w:rsidRPr="00DA1A9E">
        <w:rPr>
          <w:spacing w:val="-2"/>
          <w:highlight w:val="lightGray"/>
        </w:rPr>
        <w:t>día</w:t>
      </w:r>
      <w:r>
        <w:t>] de [</w:t>
      </w:r>
      <w:r w:rsidRPr="00DA1A9E">
        <w:rPr>
          <w:highlight w:val="lightGray"/>
        </w:rPr>
        <w:t>Mes</w:t>
      </w:r>
      <w:r>
        <w:t>] del 202</w:t>
      </w:r>
      <w:r w:rsidR="00D5739C">
        <w:t>5</w:t>
      </w:r>
    </w:p>
    <w:p w14:paraId="119E4145" w14:textId="77777777" w:rsidR="00BA7C28" w:rsidRDefault="00BA7C28" w:rsidP="00BA7C28">
      <w:pPr>
        <w:pStyle w:val="Textoindependiente"/>
        <w:spacing w:before="6"/>
        <w:ind w:right="-21"/>
        <w:rPr>
          <w:sz w:val="21"/>
        </w:rPr>
      </w:pPr>
    </w:p>
    <w:p w14:paraId="7F3AACB5" w14:textId="77777777" w:rsidR="00BA7C28" w:rsidRDefault="00BA7C28" w:rsidP="00BA7C28">
      <w:pPr>
        <w:pStyle w:val="Textoindependiente"/>
        <w:spacing w:before="1"/>
        <w:ind w:left="119" w:right="-21"/>
      </w:pPr>
      <w:r>
        <w:t>Señores</w:t>
      </w:r>
    </w:p>
    <w:p w14:paraId="0900A840" w14:textId="77777777" w:rsidR="00BA7C28" w:rsidRDefault="00BA7C28" w:rsidP="00BA7C28">
      <w:pPr>
        <w:pStyle w:val="Textoindependiente"/>
        <w:spacing w:before="3"/>
        <w:ind w:left="119" w:right="-21"/>
      </w:pPr>
      <w:r>
        <w:t>Dirección Seccional de Administración Judicial de Neiva</w:t>
      </w:r>
      <w:r>
        <w:br/>
      </w:r>
      <w:proofErr w:type="spellStart"/>
      <w:r>
        <w:t>Cra</w:t>
      </w:r>
      <w:proofErr w:type="spellEnd"/>
      <w:r>
        <w:t xml:space="preserve"> 4 No.6 – 99 </w:t>
      </w:r>
    </w:p>
    <w:p w14:paraId="7943428A" w14:textId="77777777" w:rsidR="00BA7C28" w:rsidRDefault="00BA7C28" w:rsidP="00BA7C28">
      <w:pPr>
        <w:pStyle w:val="Textoindependiente"/>
        <w:ind w:left="119" w:right="-21"/>
      </w:pPr>
      <w:r>
        <w:t>Neiva - Huila</w:t>
      </w:r>
    </w:p>
    <w:p w14:paraId="38FCC020" w14:textId="77777777" w:rsidR="00BA7C28" w:rsidRDefault="00BA7C28" w:rsidP="00BA7C28">
      <w:pPr>
        <w:pStyle w:val="Textoindependiente"/>
        <w:tabs>
          <w:tab w:val="left" w:pos="5498"/>
        </w:tabs>
        <w:ind w:left="119" w:right="-21"/>
      </w:pPr>
    </w:p>
    <w:p w14:paraId="0F207AAF" w14:textId="6113A7E2" w:rsidR="00BA7C28" w:rsidRDefault="00BA7C28" w:rsidP="00BA7C28">
      <w:pPr>
        <w:pStyle w:val="Textoindependiente"/>
        <w:tabs>
          <w:tab w:val="left" w:pos="5498"/>
        </w:tabs>
        <w:ind w:left="119" w:right="-21"/>
      </w:pPr>
      <w:r>
        <w:t>Referencia:</w:t>
      </w:r>
      <w:r w:rsidRPr="00AD0412">
        <w:t xml:space="preserve"> </w:t>
      </w:r>
      <w:r>
        <w:t>Proceso</w:t>
      </w:r>
      <w:r w:rsidRPr="00AD0412">
        <w:t xml:space="preserve"> </w:t>
      </w:r>
      <w:r>
        <w:t>de</w:t>
      </w:r>
      <w:r w:rsidRPr="00AD0412">
        <w:t xml:space="preserve"> </w:t>
      </w:r>
      <w:r w:rsidR="008E5AD3">
        <w:t xml:space="preserve">Mínima Cuantía </w:t>
      </w:r>
      <w:proofErr w:type="gramStart"/>
      <w:r>
        <w:t>No.</w:t>
      </w:r>
      <w:r w:rsidR="006D3F98">
        <w:t>I</w:t>
      </w:r>
      <w:r w:rsidR="008E5AD3">
        <w:t>P</w:t>
      </w:r>
      <w:proofErr w:type="gramEnd"/>
      <w:r w:rsidR="006D3F98">
        <w:t>-</w:t>
      </w:r>
      <w:r w:rsidR="008E5AD3">
        <w:t>XX</w:t>
      </w:r>
      <w:r w:rsidR="00D5739C">
        <w:t>-2025</w:t>
      </w:r>
    </w:p>
    <w:p w14:paraId="42147ACB" w14:textId="77777777" w:rsidR="007C1111" w:rsidRDefault="007C1111" w:rsidP="00BA7C28">
      <w:pPr>
        <w:pStyle w:val="Textoindependiente"/>
        <w:tabs>
          <w:tab w:val="left" w:pos="5498"/>
        </w:tabs>
        <w:ind w:left="119" w:right="-21"/>
      </w:pPr>
    </w:p>
    <w:p w14:paraId="27C81170" w14:textId="4151C0D7" w:rsidR="00BA7C28" w:rsidRDefault="00BA7C28" w:rsidP="00BA7C28">
      <w:pPr>
        <w:pStyle w:val="Textoindependiente"/>
        <w:tabs>
          <w:tab w:val="left" w:pos="5498"/>
        </w:tabs>
        <w:ind w:left="119" w:right="-21"/>
      </w:pPr>
    </w:p>
    <w:p w14:paraId="16AC8EED" w14:textId="77777777" w:rsidR="007C1111" w:rsidRPr="00DD19F0" w:rsidRDefault="007C1111" w:rsidP="007C1111">
      <w:pPr>
        <w:autoSpaceDE w:val="0"/>
        <w:autoSpaceDN w:val="0"/>
        <w:adjustRightInd w:val="0"/>
        <w:jc w:val="both"/>
        <w:rPr>
          <w:rFonts w:ascii="Arial" w:hAnsi="Arial" w:cs="Arial"/>
          <w:sz w:val="22"/>
          <w:szCs w:val="22"/>
          <w:lang w:val="es-CO" w:eastAsia="es-CO"/>
        </w:rPr>
      </w:pPr>
      <w:r w:rsidRPr="00DD19F0">
        <w:rPr>
          <w:rFonts w:ascii="Arial" w:hAnsi="Arial" w:cs="Arial"/>
          <w:sz w:val="22"/>
          <w:szCs w:val="22"/>
          <w:lang w:val="es-CO" w:eastAsia="es-CO"/>
        </w:rPr>
        <w:t xml:space="preserve">El suscrito ______________________________________________, identificado con Cédula de Ciudadanía No. ____________________________________ en mi calidad de ______________________________________ </w:t>
      </w:r>
      <w:proofErr w:type="spellStart"/>
      <w:r w:rsidRPr="00DD19F0">
        <w:rPr>
          <w:rFonts w:ascii="Arial" w:hAnsi="Arial" w:cs="Arial"/>
          <w:sz w:val="22"/>
          <w:szCs w:val="22"/>
          <w:lang w:val="es-CO" w:eastAsia="es-CO"/>
        </w:rPr>
        <w:t>de</w:t>
      </w:r>
      <w:proofErr w:type="spellEnd"/>
      <w:r w:rsidRPr="00DD19F0">
        <w:rPr>
          <w:rFonts w:ascii="Arial" w:hAnsi="Arial" w:cs="Arial"/>
          <w:sz w:val="22"/>
          <w:szCs w:val="22"/>
          <w:lang w:val="es-CO" w:eastAsia="es-CO"/>
        </w:rPr>
        <w:t xml:space="preserve"> la empresa ____________________ con NIT. _________________________ declaro bajo la gravedad de juramento que he leído, comprendido el contenido y conozco a plenitud, las Especificaciones técnicas del objeto contractual, las cuales me comprometo a cumplir y se encuentran plasmadas en los documentos del proceso y publicadas en el proceso SECOP II.</w:t>
      </w:r>
    </w:p>
    <w:p w14:paraId="28C3C29A" w14:textId="2517732F" w:rsidR="007D6A64" w:rsidRDefault="007D6A64" w:rsidP="00BA7C28">
      <w:pPr>
        <w:autoSpaceDE w:val="0"/>
        <w:autoSpaceDN w:val="0"/>
        <w:adjustRightInd w:val="0"/>
        <w:jc w:val="both"/>
        <w:rPr>
          <w:rFonts w:ascii="Arial" w:hAnsi="Arial" w:cs="Arial"/>
          <w:sz w:val="22"/>
          <w:szCs w:val="22"/>
          <w:lang w:val="es-CO" w:eastAsia="es-CO"/>
        </w:rPr>
      </w:pPr>
    </w:p>
    <w:p w14:paraId="4090A487" w14:textId="62114DDE" w:rsidR="00BD5611" w:rsidRPr="00D43C82" w:rsidRDefault="00D43C82" w:rsidP="00D43C82">
      <w:pPr>
        <w:pStyle w:val="Ttulo"/>
      </w:pPr>
      <w:r w:rsidRPr="00D43C82">
        <w:t>ESPECIFICACIONES TECNICAS</w:t>
      </w:r>
    </w:p>
    <w:p w14:paraId="107751E6" w14:textId="77777777" w:rsidR="00D43C82" w:rsidRDefault="00D43C82" w:rsidP="00AA25ED">
      <w:pPr>
        <w:pStyle w:val="Ttulo"/>
        <w:jc w:val="both"/>
        <w:rPr>
          <w:highlight w:val="yellow"/>
        </w:rPr>
      </w:pPr>
    </w:p>
    <w:tbl>
      <w:tblPr>
        <w:tblW w:w="0" w:type="auto"/>
        <w:tblLayout w:type="fixed"/>
        <w:tblLook w:val="06A0" w:firstRow="1" w:lastRow="0" w:firstColumn="1" w:lastColumn="0" w:noHBand="1" w:noVBand="1"/>
      </w:tblPr>
      <w:tblGrid>
        <w:gridCol w:w="8835"/>
      </w:tblGrid>
      <w:tr w:rsidR="00D43C82" w14:paraId="524B8790" w14:textId="77777777" w:rsidTr="0089027C">
        <w:trPr>
          <w:trHeight w:val="300"/>
        </w:trPr>
        <w:tc>
          <w:tcPr>
            <w:tcW w:w="8835" w:type="dxa"/>
            <w:tcMar>
              <w:left w:w="141" w:type="dxa"/>
              <w:right w:w="141" w:type="dxa"/>
            </w:tcMar>
          </w:tcPr>
          <w:p w14:paraId="4B6E6A41"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La Dirección Seccional de Administración Judicial de Neiva, como instancia administrativa y cuerpo técnico – administrativo de los despachos judiciales adscritos a ella, le corresponde brindar el apoyo logístico necesario para el cumplimiento de sus funciones teniendo a su cargo los despachos judiciales y sedes administrativas en el departamento del Huila y en el departamento de Caquetá.</w:t>
            </w:r>
          </w:p>
          <w:p w14:paraId="65EF1195"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 xml:space="preserve"> </w:t>
            </w:r>
          </w:p>
          <w:p w14:paraId="1F827665"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La Dirección Seccional de Administración Judicial de Neiva, en el desarrollo de sus funciones requiere de manera urgente adelantar proceso de contratación de Prestación de Servicios de:</w:t>
            </w:r>
          </w:p>
          <w:p w14:paraId="6B04BE6E"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 xml:space="preserve"> </w:t>
            </w:r>
          </w:p>
          <w:p w14:paraId="300A7594" w14:textId="77777777" w:rsidR="00D43C82" w:rsidRPr="00CC467F" w:rsidRDefault="00D43C82" w:rsidP="00D43C82">
            <w:pPr>
              <w:pStyle w:val="Prrafodelista"/>
              <w:numPr>
                <w:ilvl w:val="0"/>
                <w:numId w:val="3"/>
              </w:numPr>
              <w:spacing w:before="32"/>
              <w:ind w:right="40"/>
              <w:jc w:val="both"/>
              <w:rPr>
                <w:rFonts w:ascii="Arial" w:hAnsi="Arial" w:cs="Arial"/>
                <w:sz w:val="22"/>
                <w:szCs w:val="22"/>
              </w:rPr>
            </w:pPr>
            <w:r w:rsidRPr="00CC467F">
              <w:rPr>
                <w:rFonts w:ascii="Arial" w:hAnsi="Arial" w:cs="Arial"/>
                <w:sz w:val="22"/>
                <w:szCs w:val="22"/>
              </w:rPr>
              <w:t>Mantenimiento preventivo y correctivo en sitio de los extintores en operación pertenecientes a los Distritos Judiciales de Neiva y Florencia.</w:t>
            </w:r>
          </w:p>
          <w:p w14:paraId="1C4D6CBC"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 xml:space="preserve"> </w:t>
            </w:r>
          </w:p>
          <w:p w14:paraId="61512417" w14:textId="77777777" w:rsidR="00D43C82" w:rsidRPr="00CC467F" w:rsidRDefault="00D43C82" w:rsidP="0089027C">
            <w:pPr>
              <w:spacing w:before="32"/>
              <w:ind w:right="40"/>
              <w:jc w:val="both"/>
              <w:rPr>
                <w:rFonts w:ascii="Arial" w:eastAsia="Arial" w:hAnsi="Arial" w:cs="Arial"/>
                <w:sz w:val="22"/>
                <w:szCs w:val="22"/>
              </w:rPr>
            </w:pPr>
            <w:r w:rsidRPr="00CC467F">
              <w:rPr>
                <w:rFonts w:ascii="Arial" w:eastAsia="Arial" w:hAnsi="Arial" w:cs="Arial"/>
                <w:sz w:val="22"/>
                <w:szCs w:val="22"/>
              </w:rPr>
              <w:t>Dichas actividades que se realizarían en los despachos judiciales a cargo de la Dirección Seccional de Administración Judicial de Neiva y el Distrito Judicial de Florencia, para evaluar el estado de los equipos de emergencia instalados y establecer las necesidades prioritarias que permitan mantener ambientes laborales seguros y funcionales para servidores, usuarios y visitantes.</w:t>
            </w:r>
          </w:p>
          <w:p w14:paraId="00E25E40"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 xml:space="preserve"> </w:t>
            </w:r>
          </w:p>
          <w:p w14:paraId="07467334" w14:textId="77777777" w:rsidR="00D43C82" w:rsidRPr="00CC467F" w:rsidRDefault="00D43C82" w:rsidP="0089027C">
            <w:pPr>
              <w:spacing w:before="32"/>
              <w:ind w:right="40"/>
              <w:jc w:val="both"/>
              <w:rPr>
                <w:rFonts w:ascii="Arial" w:eastAsia="Arial" w:hAnsi="Arial" w:cs="Arial"/>
                <w:sz w:val="22"/>
                <w:szCs w:val="22"/>
              </w:rPr>
            </w:pPr>
            <w:r w:rsidRPr="00CC467F">
              <w:rPr>
                <w:rFonts w:ascii="Arial" w:eastAsia="Arial" w:hAnsi="Arial" w:cs="Arial"/>
                <w:sz w:val="22"/>
                <w:szCs w:val="22"/>
              </w:rPr>
              <w:t xml:space="preserve">Como resultado de este proceso de verificación, se identificó una necesidad prioritaria relacionada con el fortalecimiento del sistema de protección contra incendios, específicamente en la recarga, mantenimiento preventivo y mantenimiento correctivo de extintores. En varias sedes de los distritos judiciales de Neiva y Florencia se evidenció que los extintores existentes presentan fecha de vencimiento correspondiente a </w:t>
            </w:r>
            <w:r w:rsidRPr="00CC467F">
              <w:rPr>
                <w:rFonts w:ascii="Arial" w:eastAsia="Arial" w:hAnsi="Arial" w:cs="Arial"/>
                <w:sz w:val="22"/>
                <w:szCs w:val="22"/>
              </w:rPr>
              <w:lastRenderedPageBreak/>
              <w:t>diciembre de 2025, lo cual implica la pérdida de su capacidad operativa y, por tanto, un riesgo crítico ante la eventual ocurrencia de incendios o conatos que requieran una respuesta inmediata.</w:t>
            </w:r>
          </w:p>
          <w:p w14:paraId="34BE3CFA" w14:textId="77777777" w:rsidR="00D43C82" w:rsidRPr="00CC467F" w:rsidRDefault="00D43C82" w:rsidP="0089027C">
            <w:pPr>
              <w:spacing w:before="32"/>
              <w:ind w:right="40"/>
              <w:jc w:val="both"/>
              <w:rPr>
                <w:rFonts w:ascii="Arial" w:hAnsi="Arial" w:cs="Arial"/>
                <w:sz w:val="22"/>
                <w:szCs w:val="22"/>
              </w:rPr>
            </w:pPr>
            <w:r w:rsidRPr="00CC467F">
              <w:rPr>
                <w:rFonts w:ascii="Arial" w:eastAsia="Arial" w:hAnsi="Arial" w:cs="Arial"/>
                <w:sz w:val="22"/>
                <w:szCs w:val="22"/>
                <w:lang w:val="es"/>
              </w:rPr>
              <w:t xml:space="preserve"> </w:t>
            </w:r>
          </w:p>
          <w:p w14:paraId="013612CF" w14:textId="77777777" w:rsidR="00D43C82" w:rsidRPr="00CC467F" w:rsidRDefault="00D43C82" w:rsidP="0089027C">
            <w:pPr>
              <w:spacing w:before="32"/>
              <w:ind w:right="40"/>
              <w:jc w:val="both"/>
              <w:rPr>
                <w:rFonts w:ascii="Arial" w:hAnsi="Arial" w:cs="Arial"/>
                <w:sz w:val="22"/>
                <w:szCs w:val="22"/>
              </w:rPr>
            </w:pPr>
            <w:r w:rsidRPr="00CC467F">
              <w:rPr>
                <w:rFonts w:ascii="Arial" w:hAnsi="Arial" w:cs="Arial"/>
                <w:sz w:val="22"/>
                <w:szCs w:val="22"/>
              </w:rPr>
              <w:t>De igual forma, en los circuitos judiciales de Neiva, Pitalito, Garzón y La Plata se identificó la necesidad de complementar y reforzar la dotación con extintores de CO</w:t>
            </w:r>
            <w:r w:rsidRPr="00CC467F">
              <w:rPr>
                <w:rFonts w:ascii="Cambria Math" w:hAnsi="Cambria Math" w:cs="Cambria Math"/>
                <w:sz w:val="22"/>
                <w:szCs w:val="22"/>
              </w:rPr>
              <w:t>₂</w:t>
            </w:r>
            <w:r w:rsidRPr="00CC467F">
              <w:rPr>
                <w:rFonts w:ascii="Arial" w:hAnsi="Arial" w:cs="Arial"/>
                <w:sz w:val="22"/>
                <w:szCs w:val="22"/>
              </w:rPr>
              <w:t xml:space="preserve">, especialmente en el Palacio de Justicia de Neiva. Este tipo de agente es indispensable para el control inicial de incendios de clase BC, frecuentes en espacios donde hay equipos de cómputo, tableros eléctricos, UPS, cable energizado. </w:t>
            </w:r>
          </w:p>
          <w:p w14:paraId="127C5213" w14:textId="77777777" w:rsidR="00D43C82" w:rsidRPr="00CC467F" w:rsidRDefault="00D43C82" w:rsidP="0089027C">
            <w:pPr>
              <w:spacing w:before="32"/>
              <w:ind w:right="40"/>
              <w:jc w:val="both"/>
              <w:rPr>
                <w:rFonts w:ascii="Arial" w:hAnsi="Arial" w:cs="Arial"/>
                <w:sz w:val="22"/>
                <w:szCs w:val="22"/>
              </w:rPr>
            </w:pPr>
          </w:p>
          <w:p w14:paraId="46656DF2" w14:textId="77777777" w:rsidR="00D43C82" w:rsidRPr="00CC467F" w:rsidRDefault="00D43C82" w:rsidP="0089027C">
            <w:pPr>
              <w:spacing w:before="32"/>
              <w:ind w:right="40"/>
              <w:jc w:val="both"/>
              <w:rPr>
                <w:rFonts w:ascii="Arial" w:hAnsi="Arial" w:cs="Arial"/>
                <w:sz w:val="22"/>
                <w:szCs w:val="22"/>
              </w:rPr>
            </w:pPr>
            <w:r w:rsidRPr="00CC467F">
              <w:rPr>
                <w:rFonts w:ascii="Arial" w:hAnsi="Arial" w:cs="Arial"/>
                <w:sz w:val="22"/>
                <w:szCs w:val="22"/>
              </w:rPr>
              <w:t xml:space="preserve">Durante el año anterior y la presente vigencia se han realizado inversiones significativas en la renovación y actualización de equipos tecnológicos y mobiliario institucional, especialmente en áreas administrativas, despachos judiciales y salas de sistemas. Estos activos entre ellos computadores, servidores, equipos de comunicaciones, escáneres, impresoras, UPS y otros dispositivos electrónicos representan un valor económico considerable y son esenciales para garantizar la continuidad del servicio de administración de justicia. </w:t>
            </w:r>
          </w:p>
          <w:p w14:paraId="3C37ABBD" w14:textId="77777777" w:rsidR="00D43C82" w:rsidRPr="00CC467F" w:rsidRDefault="00D43C82" w:rsidP="0089027C">
            <w:pPr>
              <w:spacing w:before="32"/>
              <w:ind w:right="40"/>
              <w:jc w:val="both"/>
              <w:rPr>
                <w:rFonts w:ascii="Arial" w:hAnsi="Arial" w:cs="Arial"/>
                <w:sz w:val="22"/>
                <w:szCs w:val="22"/>
              </w:rPr>
            </w:pPr>
          </w:p>
          <w:p w14:paraId="3EC44ECC" w14:textId="77777777" w:rsidR="00D43C82" w:rsidRPr="00CC467F" w:rsidRDefault="00D43C82" w:rsidP="0089027C">
            <w:pPr>
              <w:spacing w:before="32"/>
              <w:ind w:right="40"/>
              <w:jc w:val="both"/>
              <w:rPr>
                <w:rFonts w:ascii="Arial" w:hAnsi="Arial" w:cs="Arial"/>
                <w:sz w:val="22"/>
                <w:szCs w:val="22"/>
              </w:rPr>
            </w:pPr>
            <w:r w:rsidRPr="00CC467F">
              <w:rPr>
                <w:rFonts w:ascii="Arial" w:hAnsi="Arial" w:cs="Arial"/>
                <w:sz w:val="22"/>
                <w:szCs w:val="22"/>
              </w:rPr>
              <w:t>La recarga de extintores, particularmente los de dióxido de carbono (CO</w:t>
            </w:r>
            <w:r w:rsidRPr="00CC467F">
              <w:rPr>
                <w:rFonts w:ascii="Cambria Math" w:hAnsi="Cambria Math" w:cs="Cambria Math"/>
                <w:sz w:val="22"/>
                <w:szCs w:val="22"/>
              </w:rPr>
              <w:t>₂</w:t>
            </w:r>
            <w:r w:rsidRPr="00CC467F">
              <w:rPr>
                <w:rFonts w:ascii="Arial" w:hAnsi="Arial" w:cs="Arial"/>
                <w:sz w:val="22"/>
                <w:szCs w:val="22"/>
              </w:rPr>
              <w:t xml:space="preserve">) para la atención de incendios de clase BC, constituye una medida preventiva indispensable para proteger estos equipos recientemente renovados frente a eventuales conatos de incendio de origen eléctrico. El uso del agente </w:t>
            </w:r>
            <w:r>
              <w:rPr>
                <w:rFonts w:ascii="Arial" w:hAnsi="Arial" w:cs="Arial"/>
                <w:sz w:val="22"/>
                <w:szCs w:val="22"/>
              </w:rPr>
              <w:t>(</w:t>
            </w:r>
            <w:r w:rsidRPr="00CC467F">
              <w:rPr>
                <w:rFonts w:ascii="Arial" w:hAnsi="Arial" w:cs="Arial"/>
                <w:sz w:val="22"/>
                <w:szCs w:val="22"/>
              </w:rPr>
              <w:t>CO</w:t>
            </w:r>
            <w:r w:rsidRPr="00CC467F">
              <w:rPr>
                <w:rFonts w:ascii="Cambria Math" w:hAnsi="Cambria Math" w:cs="Cambria Math"/>
                <w:sz w:val="22"/>
                <w:szCs w:val="22"/>
              </w:rPr>
              <w:t>₂</w:t>
            </w:r>
            <w:r>
              <w:rPr>
                <w:rFonts w:ascii="Cambria Math" w:hAnsi="Cambria Math" w:cs="Cambria Math"/>
                <w:sz w:val="22"/>
                <w:szCs w:val="22"/>
              </w:rPr>
              <w:t>)</w:t>
            </w:r>
            <w:r w:rsidRPr="00CC467F">
              <w:rPr>
                <w:rFonts w:ascii="Arial" w:hAnsi="Arial" w:cs="Arial"/>
                <w:sz w:val="22"/>
                <w:szCs w:val="22"/>
              </w:rPr>
              <w:t xml:space="preserve"> evita daños colaterales sobre los equipos, ya que no deja residuos, no es conductor y permite controlar rápida y eficazmente incendios eléctricos incipientes, asegurando así la preservación de la inversión institucional y la continuidad operativa de los servicios judiciales.</w:t>
            </w:r>
          </w:p>
          <w:p w14:paraId="0C0FB97C" w14:textId="77777777" w:rsidR="00D43C82" w:rsidRPr="00CC467F" w:rsidRDefault="00D43C82" w:rsidP="0089027C">
            <w:pPr>
              <w:spacing w:before="32"/>
              <w:ind w:right="40"/>
              <w:jc w:val="both"/>
              <w:rPr>
                <w:rFonts w:ascii="Arial" w:hAnsi="Arial" w:cs="Arial"/>
                <w:sz w:val="22"/>
                <w:szCs w:val="22"/>
              </w:rPr>
            </w:pPr>
          </w:p>
        </w:tc>
      </w:tr>
    </w:tbl>
    <w:p w14:paraId="369C7E06" w14:textId="77777777" w:rsidR="00D43C82" w:rsidRPr="007A3D60" w:rsidRDefault="00D43C82" w:rsidP="00D43C82">
      <w:pPr>
        <w:rPr>
          <w:rFonts w:ascii="Arial" w:hAnsi="Arial" w:cs="Arial"/>
          <w:color w:val="FF0000"/>
          <w:sz w:val="22"/>
          <w:szCs w:val="22"/>
          <w:lang w:val="es-CO"/>
        </w:rPr>
      </w:pPr>
    </w:p>
    <w:tbl>
      <w:tblPr>
        <w:tblW w:w="0" w:type="auto"/>
        <w:tblLayout w:type="fixed"/>
        <w:tblLook w:val="06A0" w:firstRow="1" w:lastRow="0" w:firstColumn="1" w:lastColumn="0" w:noHBand="1" w:noVBand="1"/>
      </w:tblPr>
      <w:tblGrid>
        <w:gridCol w:w="8835"/>
      </w:tblGrid>
      <w:tr w:rsidR="00D43C82" w14:paraId="78BD638C" w14:textId="77777777" w:rsidTr="0089027C">
        <w:trPr>
          <w:trHeight w:val="300"/>
        </w:trPr>
        <w:tc>
          <w:tcPr>
            <w:tcW w:w="8835" w:type="dxa"/>
            <w:tcMar>
              <w:left w:w="141" w:type="dxa"/>
              <w:right w:w="141" w:type="dxa"/>
            </w:tcMar>
          </w:tcPr>
          <w:p w14:paraId="2C9B766F" w14:textId="77777777" w:rsidR="00D43C82" w:rsidRPr="00E66E8D" w:rsidRDefault="00D43C82" w:rsidP="0089027C">
            <w:pPr>
              <w:spacing w:before="32"/>
              <w:ind w:right="40"/>
              <w:jc w:val="center"/>
              <w:rPr>
                <w:b/>
                <w:bCs/>
              </w:rPr>
            </w:pPr>
            <w:r w:rsidRPr="00E66E8D">
              <w:rPr>
                <w:rFonts w:ascii="Arial" w:eastAsia="Arial" w:hAnsi="Arial" w:cs="Arial"/>
                <w:b/>
                <w:bCs/>
                <w:sz w:val="22"/>
                <w:szCs w:val="22"/>
              </w:rPr>
              <w:t>ASPECTOS GENERALES A TENER EN CUENTA EN EL TRABAJO TÉCNICO A REALIZAR:</w:t>
            </w:r>
          </w:p>
          <w:p w14:paraId="631B5A63" w14:textId="77777777" w:rsidR="00D43C82" w:rsidRDefault="00D43C82" w:rsidP="0089027C">
            <w:pPr>
              <w:spacing w:before="32"/>
              <w:ind w:right="40"/>
              <w:jc w:val="both"/>
            </w:pPr>
            <w:r w:rsidRPr="7CC0EE4F">
              <w:rPr>
                <w:rFonts w:ascii="Arial" w:eastAsia="Arial" w:hAnsi="Arial" w:cs="Arial"/>
                <w:sz w:val="22"/>
                <w:szCs w:val="22"/>
                <w:lang w:val="es"/>
              </w:rPr>
              <w:t xml:space="preserve"> </w:t>
            </w:r>
          </w:p>
          <w:p w14:paraId="2B676E8B" w14:textId="77777777" w:rsidR="00D43C82" w:rsidRPr="00D15D86" w:rsidRDefault="00D43C82" w:rsidP="0089027C">
            <w:pPr>
              <w:spacing w:before="32"/>
              <w:ind w:right="40"/>
              <w:jc w:val="both"/>
            </w:pPr>
            <w:r w:rsidRPr="00D15D86">
              <w:rPr>
                <w:rFonts w:ascii="Arial" w:eastAsia="Arial" w:hAnsi="Arial" w:cs="Arial"/>
                <w:b/>
                <w:bCs/>
                <w:sz w:val="22"/>
                <w:szCs w:val="22"/>
                <w:lang w:val="es"/>
              </w:rPr>
              <w:t>Objetivo:</w:t>
            </w:r>
            <w:r w:rsidRPr="00D15D86">
              <w:rPr>
                <w:rFonts w:ascii="Arial" w:eastAsia="Arial" w:hAnsi="Arial" w:cs="Arial"/>
                <w:sz w:val="22"/>
                <w:szCs w:val="22"/>
                <w:lang w:val="es"/>
              </w:rPr>
              <w:t xml:space="preserve"> </w:t>
            </w:r>
            <w:r w:rsidRPr="00D15D86">
              <w:rPr>
                <w:rFonts w:ascii="Arial" w:eastAsia="Arial" w:hAnsi="Arial" w:cs="Arial"/>
                <w:sz w:val="22"/>
                <w:szCs w:val="22"/>
              </w:rPr>
              <w:t>Contratar la ejecución del mantenimiento preventivo y correctivo en sitio de los extintores en operación pertenecientes a los Distritos Judiciales de Neiva y Florencia, con el fin de garantizar la operatividad, confiabilidad y disponibilidad permanente de los equipos de protección contra incendios, asegurando condiciones adecuadas de seguridad para servidores judiciales, contratistas, usuarios y visitantes, la protección de los bienes y activos institucionales, y el cumplimiento de la normatividad legal vigente en materia de Seguridad y Salud en el Trabajo, gestión del riesgo y prevención de emergencias</w:t>
            </w:r>
          </w:p>
          <w:p w14:paraId="3A089786" w14:textId="77777777" w:rsidR="00D43C82" w:rsidRDefault="00D43C82" w:rsidP="0089027C">
            <w:pPr>
              <w:spacing w:before="32"/>
              <w:ind w:left="841"/>
              <w:jc w:val="both"/>
            </w:pPr>
            <w:r w:rsidRPr="7CC0EE4F">
              <w:rPr>
                <w:rFonts w:ascii="Arial" w:eastAsia="Arial" w:hAnsi="Arial" w:cs="Arial"/>
                <w:b/>
                <w:bCs/>
                <w:sz w:val="22"/>
                <w:szCs w:val="22"/>
                <w:lang w:val="es"/>
              </w:rPr>
              <w:t xml:space="preserve"> </w:t>
            </w:r>
          </w:p>
          <w:p w14:paraId="76A9BF07" w14:textId="77777777" w:rsidR="00D43C82" w:rsidRPr="00C22FA8" w:rsidRDefault="00D43C82" w:rsidP="0089027C">
            <w:pPr>
              <w:spacing w:before="32"/>
              <w:ind w:right="-2"/>
              <w:jc w:val="both"/>
            </w:pPr>
            <w:r w:rsidRPr="7CC0EE4F">
              <w:rPr>
                <w:rFonts w:ascii="Arial" w:eastAsia="Arial" w:hAnsi="Arial" w:cs="Arial"/>
                <w:b/>
                <w:bCs/>
                <w:sz w:val="22"/>
                <w:szCs w:val="22"/>
                <w:lang w:val="es"/>
              </w:rPr>
              <w:t xml:space="preserve">Condiciones generales: </w:t>
            </w:r>
            <w:r w:rsidRPr="00C22FA8">
              <w:rPr>
                <w:rFonts w:ascii="Arial" w:eastAsia="Arial" w:hAnsi="Arial" w:cs="Arial"/>
                <w:sz w:val="22"/>
                <w:szCs w:val="22"/>
              </w:rPr>
              <w:t xml:space="preserve">El contrato tendrá como finalidad exclusiva la ejecución del objeto definido en los estudios previos, el cual deberá desarrollarse directamente en las sedes judiciales de los Distritos Judiciales de Neiva y Florencia, garantizando la continuidad operativa y la disponibilidad permanente de los equipos de protección contra incendios; el contratista deberá cumplir de manera estricta con la normatividad legal y técnica vigente aplicable, en especial la relacionada con Seguridad y Salud en el Trabajo, gestión del riesgo y mantenimiento de extintores, así como con las especificaciones técnicas y lineamientos institucionales establecidos por la Dirección Ejecutiva Seccional de Administración Judicial de Neiva; todos los costos directos e indirectos necesarios </w:t>
            </w:r>
            <w:r w:rsidRPr="00C22FA8">
              <w:rPr>
                <w:rFonts w:ascii="Arial" w:eastAsia="Arial" w:hAnsi="Arial" w:cs="Arial"/>
                <w:sz w:val="22"/>
                <w:szCs w:val="22"/>
              </w:rPr>
              <w:lastRenderedPageBreak/>
              <w:t>para la ejecución del contrato se entenderán incluidos en el valor total contratado; la ejecución estará sujeta a la supervisión designada por la Entidad, quien verificará el cumplimiento del objeto, la calidad del servicio y la entrega de informes y certificaciones exigidas; el contrato no generará vínculo laboral alguno entre la Nación – Consejo Superior de la Judicatura y el personal dispuesto por el contratista, siendo este último el único responsable de las obligaciones laborales, de seguridad social y parafiscales, y el pago se realizará previa verificación del cumplimiento contractual y conforme a la disponibilidad de recursos</w:t>
            </w:r>
            <w:r>
              <w:rPr>
                <w:rFonts w:ascii="Arial" w:eastAsia="Arial" w:hAnsi="Arial" w:cs="Arial"/>
                <w:sz w:val="22"/>
                <w:szCs w:val="22"/>
              </w:rPr>
              <w:t>.</w:t>
            </w:r>
          </w:p>
          <w:p w14:paraId="69125717" w14:textId="77777777" w:rsidR="00D43C82" w:rsidRDefault="00D43C82" w:rsidP="0089027C">
            <w:pPr>
              <w:jc w:val="both"/>
            </w:pPr>
            <w:r w:rsidRPr="7CC0EE4F">
              <w:rPr>
                <w:rFonts w:ascii="Arial" w:eastAsia="Arial" w:hAnsi="Arial" w:cs="Arial"/>
                <w:b/>
                <w:bCs/>
                <w:color w:val="000000" w:themeColor="text1"/>
                <w:sz w:val="22"/>
                <w:szCs w:val="22"/>
              </w:rPr>
              <w:t xml:space="preserve"> </w:t>
            </w:r>
          </w:p>
          <w:p w14:paraId="7FA40EC1" w14:textId="77777777" w:rsidR="00D43C82" w:rsidRPr="00C22FA8" w:rsidRDefault="00D43C82" w:rsidP="0089027C">
            <w:pPr>
              <w:jc w:val="both"/>
              <w:rPr>
                <w:rFonts w:ascii="Arial" w:hAnsi="Arial" w:cs="Arial"/>
                <w:sz w:val="22"/>
                <w:szCs w:val="22"/>
              </w:rPr>
            </w:pPr>
            <w:r w:rsidRPr="00C22FA8">
              <w:rPr>
                <w:rFonts w:ascii="Arial" w:hAnsi="Arial" w:cs="Arial"/>
                <w:sz w:val="22"/>
                <w:szCs w:val="22"/>
              </w:rPr>
              <w:t>A continuación, se relacionan los servicios a contratar:</w:t>
            </w:r>
          </w:p>
          <w:p w14:paraId="53D6F68D" w14:textId="77777777" w:rsidR="00D43C82" w:rsidRDefault="00D43C82" w:rsidP="0089027C">
            <w:pPr>
              <w:jc w:val="center"/>
            </w:pPr>
          </w:p>
        </w:tc>
      </w:tr>
      <w:tr w:rsidR="00D43C82" w:rsidRPr="00DA59EC" w14:paraId="7EBA16A6" w14:textId="77777777" w:rsidTr="0089027C">
        <w:trPr>
          <w:trHeight w:val="300"/>
        </w:trPr>
        <w:tc>
          <w:tcPr>
            <w:tcW w:w="8835" w:type="dxa"/>
            <w:shd w:val="clear" w:color="auto" w:fill="auto"/>
            <w:tcMar>
              <w:left w:w="141" w:type="dxa"/>
              <w:right w:w="141" w:type="dxa"/>
            </w:tcMar>
          </w:tcPr>
          <w:p w14:paraId="14A0FA62" w14:textId="77777777" w:rsidR="00D43C82" w:rsidRPr="00C22FA8" w:rsidRDefault="00D43C82" w:rsidP="0089027C">
            <w:pPr>
              <w:spacing w:before="32"/>
              <w:ind w:right="-2"/>
              <w:jc w:val="both"/>
              <w:rPr>
                <w:rFonts w:ascii="Arial" w:eastAsia="Arial" w:hAnsi="Arial" w:cs="Arial"/>
                <w:sz w:val="22"/>
                <w:szCs w:val="22"/>
                <w:lang w:val="es"/>
              </w:rPr>
            </w:pPr>
            <w:bookmarkStart w:id="0" w:name="_Hlk90281546"/>
            <w:r w:rsidRPr="02D7FEF1">
              <w:rPr>
                <w:rFonts w:ascii="Arial" w:eastAsia="Arial" w:hAnsi="Arial" w:cs="Arial"/>
                <w:sz w:val="22"/>
                <w:szCs w:val="22"/>
                <w:lang w:val="es"/>
              </w:rPr>
              <w:lastRenderedPageBreak/>
              <w:t xml:space="preserve">La Dirección Ejecutiva de Administración Judicial tiene la necesidad de Contratar el servicio de mantenimiento y recarga de los diferentes tipos de extintores de propiedad del Consejo Superior de la Judicatura ubicados en los Palacios de Justicia y sedes judiciales del Huila y Caquetá, el cual debe contar con las siguientes especificaciones técnicas y características. La clase y cantidad de unidades de extintores para mantenimiento y recarga requeridos para el Distrito Judicial de Neiva, el cual está conformado por 37 municipios, se relaciona en el siguiente cuadro: </w:t>
            </w:r>
          </w:p>
          <w:p w14:paraId="7EB23347" w14:textId="77777777" w:rsidR="00D43C82" w:rsidRDefault="00D43C82" w:rsidP="0089027C">
            <w:pPr>
              <w:spacing w:before="32"/>
              <w:ind w:right="40"/>
              <w:jc w:val="center"/>
              <w:rPr>
                <w:rFonts w:ascii="Arial" w:eastAsia="Arial" w:hAnsi="Arial" w:cs="Arial"/>
                <w:b/>
                <w:bCs/>
                <w:sz w:val="22"/>
                <w:szCs w:val="22"/>
              </w:rPr>
            </w:pPr>
          </w:p>
          <w:p w14:paraId="1566150B" w14:textId="77777777" w:rsidR="00D43C82" w:rsidRPr="00C22FA8" w:rsidRDefault="00D43C82" w:rsidP="0089027C">
            <w:pPr>
              <w:spacing w:before="32"/>
              <w:ind w:right="40"/>
              <w:jc w:val="center"/>
              <w:rPr>
                <w:rFonts w:ascii="Arial" w:eastAsia="Arial" w:hAnsi="Arial" w:cs="Arial"/>
                <w:b/>
                <w:bCs/>
                <w:sz w:val="22"/>
                <w:szCs w:val="22"/>
              </w:rPr>
            </w:pPr>
          </w:p>
          <w:p w14:paraId="0842105B" w14:textId="77777777" w:rsidR="00D43C82" w:rsidRPr="00C22FA8" w:rsidRDefault="00D43C82" w:rsidP="0089027C">
            <w:pPr>
              <w:spacing w:before="32"/>
              <w:ind w:right="40"/>
              <w:rPr>
                <w:rFonts w:ascii="Arial" w:eastAsia="Arial" w:hAnsi="Arial" w:cs="Arial"/>
                <w:b/>
                <w:bCs/>
                <w:sz w:val="22"/>
                <w:szCs w:val="22"/>
                <w:u w:val="single"/>
              </w:rPr>
            </w:pPr>
            <w:r w:rsidRPr="00C22FA8">
              <w:rPr>
                <w:rFonts w:ascii="Arial" w:eastAsia="Arial" w:hAnsi="Arial" w:cs="Arial"/>
                <w:b/>
                <w:bCs/>
                <w:sz w:val="22"/>
                <w:szCs w:val="22"/>
                <w:u w:val="single"/>
              </w:rPr>
              <w:t>DISTRITO JUDICIAL DE NEIVA:</w:t>
            </w:r>
          </w:p>
          <w:p w14:paraId="697A1FDD" w14:textId="77777777" w:rsidR="00D43C82" w:rsidRPr="00C22FA8" w:rsidRDefault="00D43C82" w:rsidP="0089027C">
            <w:pPr>
              <w:spacing w:before="32"/>
              <w:ind w:right="40"/>
              <w:jc w:val="center"/>
              <w:rPr>
                <w:rFonts w:ascii="Arial" w:eastAsia="Arial" w:hAnsi="Arial" w:cs="Arial"/>
                <w:b/>
                <w:bCs/>
                <w:sz w:val="22"/>
                <w:szCs w:val="22"/>
              </w:rPr>
            </w:pPr>
          </w:p>
          <w:p w14:paraId="0D2552F4" w14:textId="77777777" w:rsidR="00D43C82" w:rsidRPr="00C22FA8" w:rsidRDefault="00D43C82" w:rsidP="00D43C82">
            <w:pPr>
              <w:pStyle w:val="Textoindependiente"/>
              <w:widowControl/>
              <w:numPr>
                <w:ilvl w:val="0"/>
                <w:numId w:val="4"/>
              </w:numPr>
              <w:suppressAutoHyphens/>
              <w:autoSpaceDE/>
              <w:autoSpaceDN/>
              <w:ind w:right="-374"/>
              <w:jc w:val="both"/>
              <w:rPr>
                <w:rFonts w:ascii="Arial" w:eastAsia="Arial" w:hAnsi="Arial" w:cs="Arial"/>
                <w:b/>
                <w:bCs/>
                <w:lang w:eastAsia="es-ES"/>
              </w:rPr>
            </w:pPr>
            <w:r w:rsidRPr="00C22FA8">
              <w:rPr>
                <w:rFonts w:ascii="Arial" w:eastAsia="Arial" w:hAnsi="Arial" w:cs="Arial"/>
                <w:b/>
                <w:bCs/>
                <w:lang w:eastAsia="es-ES"/>
              </w:rPr>
              <w:t xml:space="preserve">RECARGA Y MANTENIMIENTO PREVENTIVO: </w:t>
            </w:r>
          </w:p>
          <w:p w14:paraId="6BEC232B" w14:textId="77777777" w:rsidR="00D43C82" w:rsidRPr="00C22FA8" w:rsidRDefault="00D43C82" w:rsidP="0089027C">
            <w:pPr>
              <w:spacing w:before="32"/>
              <w:ind w:right="40"/>
              <w:jc w:val="center"/>
              <w:rPr>
                <w:rFonts w:ascii="Arial" w:eastAsia="Arial" w:hAnsi="Arial" w:cs="Arial"/>
                <w:b/>
                <w:bCs/>
                <w:sz w:val="22"/>
                <w:szCs w:val="22"/>
              </w:rPr>
            </w:pPr>
          </w:p>
          <w:p w14:paraId="5D0E223A"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El contratista deberá realizar la recarga total, mantenimiento preventivo y correctivo de los extintores portátiles ubicados en las sedes judiciales de Neiva, Pitalito, Garzón y La Plata; garantizando que todos los equipos queden certificados y en óptimas condiciones para su funcionamiento. Los servicios mencionados deberán realizarse en cada sede judicial para evitar traslados y salidas de los elementos de cada sede.</w:t>
            </w:r>
          </w:p>
          <w:p w14:paraId="024403C9" w14:textId="77777777" w:rsidR="00D43C82" w:rsidRPr="00C22FA8" w:rsidRDefault="00D43C82" w:rsidP="0089027C">
            <w:pPr>
              <w:spacing w:before="32"/>
              <w:ind w:right="40"/>
              <w:jc w:val="center"/>
              <w:rPr>
                <w:rFonts w:ascii="Arial" w:eastAsia="Arial" w:hAnsi="Arial" w:cs="Arial"/>
                <w:b/>
                <w:bCs/>
                <w:sz w:val="22"/>
                <w:szCs w:val="22"/>
              </w:rPr>
            </w:pPr>
          </w:p>
          <w:p w14:paraId="0651DB0A"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4403E600" wp14:editId="649B660A">
                  <wp:extent cx="5305348" cy="24765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9073" cy="2478239"/>
                          </a:xfrm>
                          <a:prstGeom prst="rect">
                            <a:avLst/>
                          </a:prstGeom>
                          <a:noFill/>
                          <a:ln>
                            <a:noFill/>
                          </a:ln>
                        </pic:spPr>
                      </pic:pic>
                    </a:graphicData>
                  </a:graphic>
                </wp:inline>
              </w:drawing>
            </w:r>
          </w:p>
          <w:p w14:paraId="0D4CB7C6"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lastRenderedPageBreak/>
              <w:drawing>
                <wp:inline distT="0" distB="0" distL="0" distR="0" wp14:anchorId="38A677E2" wp14:editId="6551E24E">
                  <wp:extent cx="5324475" cy="2914650"/>
                  <wp:effectExtent l="0" t="0" r="952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b="35169"/>
                          <a:stretch/>
                        </pic:blipFill>
                        <pic:spPr bwMode="auto">
                          <a:xfrm>
                            <a:off x="0" y="0"/>
                            <a:ext cx="5324475" cy="2914650"/>
                          </a:xfrm>
                          <a:prstGeom prst="rect">
                            <a:avLst/>
                          </a:prstGeom>
                          <a:noFill/>
                          <a:ln>
                            <a:noFill/>
                          </a:ln>
                          <a:extLst>
                            <a:ext uri="{53640926-AAD7-44D8-BBD7-CCE9431645EC}">
                              <a14:shadowObscured xmlns:a14="http://schemas.microsoft.com/office/drawing/2010/main"/>
                            </a:ext>
                          </a:extLst>
                        </pic:spPr>
                      </pic:pic>
                    </a:graphicData>
                  </a:graphic>
                </wp:inline>
              </w:drawing>
            </w:r>
          </w:p>
          <w:p w14:paraId="5332E6AF" w14:textId="77777777" w:rsidR="00D43C82" w:rsidRPr="00C22FA8" w:rsidRDefault="00D43C82" w:rsidP="0089027C">
            <w:pPr>
              <w:spacing w:before="32"/>
              <w:ind w:right="40"/>
              <w:jc w:val="center"/>
              <w:rPr>
                <w:rFonts w:ascii="Arial" w:eastAsia="Arial" w:hAnsi="Arial" w:cs="Arial"/>
                <w:b/>
                <w:bCs/>
                <w:sz w:val="22"/>
                <w:szCs w:val="22"/>
              </w:rPr>
            </w:pPr>
          </w:p>
          <w:p w14:paraId="62C8A842" w14:textId="77777777" w:rsidR="00D43C82" w:rsidRDefault="00D43C82" w:rsidP="0089027C">
            <w:pPr>
              <w:spacing w:before="32"/>
              <w:ind w:right="40"/>
              <w:jc w:val="center"/>
              <w:rPr>
                <w:rFonts w:ascii="Arial" w:eastAsia="Arial" w:hAnsi="Arial" w:cs="Arial"/>
                <w:b/>
                <w:bCs/>
                <w:sz w:val="22"/>
                <w:szCs w:val="22"/>
              </w:rPr>
            </w:pPr>
          </w:p>
          <w:p w14:paraId="46EBD95F" w14:textId="77777777" w:rsidR="00D43C82" w:rsidRDefault="00D43C82" w:rsidP="0089027C">
            <w:pPr>
              <w:spacing w:before="32"/>
              <w:ind w:right="40"/>
              <w:jc w:val="center"/>
              <w:rPr>
                <w:rFonts w:ascii="Arial" w:eastAsia="Arial" w:hAnsi="Arial" w:cs="Arial"/>
                <w:b/>
                <w:bCs/>
                <w:sz w:val="22"/>
                <w:szCs w:val="22"/>
              </w:rPr>
            </w:pPr>
          </w:p>
          <w:p w14:paraId="60FEF2D8" w14:textId="77777777" w:rsidR="00D43C82" w:rsidRDefault="00D43C82" w:rsidP="0089027C">
            <w:pPr>
              <w:spacing w:before="32"/>
              <w:ind w:right="40"/>
              <w:jc w:val="center"/>
              <w:rPr>
                <w:rFonts w:ascii="Arial" w:eastAsia="Arial" w:hAnsi="Arial" w:cs="Arial"/>
                <w:b/>
                <w:bCs/>
                <w:sz w:val="22"/>
                <w:szCs w:val="22"/>
              </w:rPr>
            </w:pPr>
          </w:p>
          <w:p w14:paraId="2FB72070" w14:textId="77777777" w:rsidR="00D43C82"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1163B5F0" wp14:editId="3947655F">
                  <wp:extent cx="5324475" cy="164782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63772" b="-425"/>
                          <a:stretch/>
                        </pic:blipFill>
                        <pic:spPr bwMode="auto">
                          <a:xfrm>
                            <a:off x="0" y="0"/>
                            <a:ext cx="5324475" cy="1647825"/>
                          </a:xfrm>
                          <a:prstGeom prst="rect">
                            <a:avLst/>
                          </a:prstGeom>
                          <a:noFill/>
                          <a:ln>
                            <a:noFill/>
                          </a:ln>
                          <a:extLst>
                            <a:ext uri="{53640926-AAD7-44D8-BBD7-CCE9431645EC}">
                              <a14:shadowObscured xmlns:a14="http://schemas.microsoft.com/office/drawing/2010/main"/>
                            </a:ext>
                          </a:extLst>
                        </pic:spPr>
                      </pic:pic>
                    </a:graphicData>
                  </a:graphic>
                </wp:inline>
              </w:drawing>
            </w:r>
          </w:p>
          <w:p w14:paraId="1F64259B" w14:textId="77777777" w:rsidR="00D43C82" w:rsidRPr="00C22FA8" w:rsidRDefault="00D43C82" w:rsidP="0089027C">
            <w:pPr>
              <w:spacing w:before="32"/>
              <w:ind w:right="40"/>
              <w:jc w:val="center"/>
              <w:rPr>
                <w:rFonts w:ascii="Arial" w:eastAsia="Arial" w:hAnsi="Arial" w:cs="Arial"/>
                <w:b/>
                <w:bCs/>
                <w:sz w:val="22"/>
                <w:szCs w:val="22"/>
              </w:rPr>
            </w:pPr>
          </w:p>
          <w:p w14:paraId="600378A2" w14:textId="77777777" w:rsidR="00D43C82" w:rsidRPr="00C22FA8" w:rsidRDefault="00D43C82" w:rsidP="00D43C82">
            <w:pPr>
              <w:pStyle w:val="Textoindependiente"/>
              <w:widowControl/>
              <w:numPr>
                <w:ilvl w:val="0"/>
                <w:numId w:val="4"/>
              </w:numPr>
              <w:suppressAutoHyphens/>
              <w:autoSpaceDE/>
              <w:autoSpaceDN/>
              <w:ind w:right="-374"/>
              <w:jc w:val="both"/>
              <w:rPr>
                <w:rFonts w:ascii="Arial" w:eastAsia="Arial" w:hAnsi="Arial" w:cs="Arial"/>
                <w:b/>
                <w:bCs/>
                <w:lang w:eastAsia="es-ES"/>
              </w:rPr>
            </w:pPr>
            <w:r w:rsidRPr="00C22FA8">
              <w:rPr>
                <w:rFonts w:ascii="Arial" w:eastAsia="Arial" w:hAnsi="Arial" w:cs="Arial"/>
                <w:b/>
                <w:bCs/>
                <w:lang w:eastAsia="es-ES"/>
              </w:rPr>
              <w:t xml:space="preserve">INSPECCIÓN GENERAL CERTIFICADA: </w:t>
            </w:r>
          </w:p>
          <w:p w14:paraId="0037CA14" w14:textId="77777777" w:rsidR="00D43C82" w:rsidRPr="00C22FA8" w:rsidRDefault="00D43C82" w:rsidP="0089027C">
            <w:pPr>
              <w:spacing w:before="32"/>
              <w:ind w:right="40"/>
              <w:jc w:val="center"/>
              <w:rPr>
                <w:rFonts w:ascii="Arial" w:eastAsia="Arial" w:hAnsi="Arial" w:cs="Arial"/>
                <w:b/>
                <w:bCs/>
                <w:sz w:val="22"/>
                <w:szCs w:val="22"/>
              </w:rPr>
            </w:pPr>
          </w:p>
          <w:p w14:paraId="775011F7"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La revisión y mantenimiento de los extintores de dióxido de carbono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se debe realizar en sitio, en cada sede donde se encuentren ubicados; debe ser ejecutada exclusivamente por un proveedor debidamente calificado, certificado y autorizado, conforme a los lineamientos de la NTC 2885, NFPA 10 y las especificaciones del fabricante. Este proceso garantiza la operatividad, confiabilidad y vida útil del equipo.</w:t>
            </w:r>
          </w:p>
          <w:p w14:paraId="55CE337B" w14:textId="77777777" w:rsidR="00D43C82" w:rsidRPr="00C22FA8" w:rsidRDefault="00D43C82" w:rsidP="0089027C">
            <w:pPr>
              <w:spacing w:before="32"/>
              <w:ind w:right="-2"/>
              <w:jc w:val="both"/>
              <w:rPr>
                <w:rFonts w:ascii="Arial" w:eastAsia="Arial" w:hAnsi="Arial" w:cs="Arial"/>
                <w:sz w:val="22"/>
                <w:szCs w:val="22"/>
                <w:lang w:val="es"/>
              </w:rPr>
            </w:pPr>
          </w:p>
          <w:p w14:paraId="6299DC8F"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El proveedor especializado ejecuta una inspección técnica completa que incluye el pesaje del cilindro, la verificación de la integridad estructural, la revisión de la válvula, mecanismos de activación, difusor y boquilla, así como la comprobación de ausencia de corrosión, fisuras o pérdidas de contenido. En caso de observarse una pérdida superior al 10% del peso nominal, obstrucciones o daños funcionales, el extintor debe ser recargado utilizando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xml:space="preserve"> certificado y siguiendo procesos controlados.</w:t>
            </w:r>
          </w:p>
          <w:p w14:paraId="43AF42D9"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lastRenderedPageBreak/>
              <w:t>Adicionalmente, el proveedor verifica el estado del precinto, pin de seguridad, rotulado, soporte de montaje y reemplaza empaques o partes críticas cuando es necesario.</w:t>
            </w:r>
          </w:p>
          <w:p w14:paraId="35A46410" w14:textId="77777777" w:rsidR="00D43C82" w:rsidRPr="00C22FA8" w:rsidRDefault="00D43C82" w:rsidP="0089027C">
            <w:pPr>
              <w:spacing w:before="32"/>
              <w:ind w:right="40"/>
              <w:jc w:val="center"/>
              <w:rPr>
                <w:rFonts w:ascii="Arial" w:eastAsia="Arial" w:hAnsi="Arial" w:cs="Arial"/>
                <w:b/>
                <w:bCs/>
                <w:sz w:val="22"/>
                <w:szCs w:val="22"/>
              </w:rPr>
            </w:pPr>
          </w:p>
          <w:p w14:paraId="7E9F7C7F"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0308B54C" wp14:editId="001FD88A">
                  <wp:extent cx="5334000" cy="23050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34000" cy="2305050"/>
                          </a:xfrm>
                          <a:prstGeom prst="rect">
                            <a:avLst/>
                          </a:prstGeom>
                          <a:noFill/>
                          <a:ln>
                            <a:noFill/>
                          </a:ln>
                        </pic:spPr>
                      </pic:pic>
                    </a:graphicData>
                  </a:graphic>
                </wp:inline>
              </w:drawing>
            </w:r>
          </w:p>
          <w:p w14:paraId="4778074D" w14:textId="77777777" w:rsidR="00D43C82" w:rsidRPr="00C22FA8" w:rsidRDefault="00D43C82" w:rsidP="0089027C">
            <w:pPr>
              <w:spacing w:before="32"/>
              <w:ind w:right="40"/>
              <w:jc w:val="center"/>
              <w:rPr>
                <w:rFonts w:ascii="Arial" w:eastAsia="Arial" w:hAnsi="Arial" w:cs="Arial"/>
                <w:b/>
                <w:bCs/>
                <w:sz w:val="22"/>
                <w:szCs w:val="22"/>
              </w:rPr>
            </w:pPr>
          </w:p>
          <w:p w14:paraId="62BCF5DA" w14:textId="77777777" w:rsidR="00D43C82" w:rsidRPr="00C22FA8" w:rsidRDefault="00D43C82" w:rsidP="00D43C82">
            <w:pPr>
              <w:pStyle w:val="Textoindependiente"/>
              <w:widowControl/>
              <w:numPr>
                <w:ilvl w:val="0"/>
                <w:numId w:val="4"/>
              </w:numPr>
              <w:suppressAutoHyphens/>
              <w:autoSpaceDE/>
              <w:autoSpaceDN/>
              <w:ind w:right="-374"/>
              <w:jc w:val="both"/>
              <w:rPr>
                <w:rFonts w:ascii="Arial" w:eastAsia="Arial" w:hAnsi="Arial" w:cs="Arial"/>
                <w:b/>
                <w:bCs/>
                <w:lang w:eastAsia="es-ES"/>
              </w:rPr>
            </w:pPr>
            <w:bookmarkStart w:id="1" w:name="_Hlk191459273"/>
            <w:r w:rsidRPr="00C22FA8">
              <w:rPr>
                <w:rFonts w:ascii="Arial" w:eastAsia="Arial" w:hAnsi="Arial" w:cs="Arial"/>
                <w:b/>
                <w:bCs/>
                <w:lang w:eastAsia="es-ES"/>
              </w:rPr>
              <w:t xml:space="preserve">MANTENIMIENTO CORRECTIVO: </w:t>
            </w:r>
          </w:p>
          <w:p w14:paraId="0630A715" w14:textId="77777777" w:rsidR="00D43C82" w:rsidRPr="00C22FA8" w:rsidRDefault="00D43C82" w:rsidP="0089027C">
            <w:pPr>
              <w:spacing w:before="32"/>
              <w:ind w:right="40"/>
              <w:jc w:val="center"/>
              <w:rPr>
                <w:rFonts w:ascii="Arial" w:eastAsia="Arial" w:hAnsi="Arial" w:cs="Arial"/>
                <w:b/>
                <w:bCs/>
                <w:sz w:val="22"/>
                <w:szCs w:val="22"/>
              </w:rPr>
            </w:pPr>
          </w:p>
          <w:p w14:paraId="13867FE9"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Adicionalmente, se requiere la inspección y mantenimiento correctivo de veintiséis (26) extintores de dióxido de carbono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de 15 libras, destinados a complementar la cobertura de protección contra incendios en los 11 pisos y demás áreas del Palacio de Justicia de Neiva, donde actualmente se cuenta únicamente con extintores de tipo ABC y H</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O. Estos agentes extintores, al ser descargados, pueden generar daños irreversibles en equipos de cómputo, redes, sistemas de comunicación, servidores, escáneres, archivadores electrónicos y demás dispositivos sensibles, comprometiendo la integridad de la información institucional. El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xml:space="preserve">, al ser un agente limpio, no conductor y libre de residuos, permite extinguir de forma segura incendios de origen eléctrico (clase C), evitando afectaciones a los activos tecnológicos y garantizando la continuidad operativa, la protección del patrimonio público y el cumplimiento de las obligaciones establecidas en el Decreto 1072 de 2015, la Resolución 0312 de 2019 y la NTC 2885, que exigen a las entidades adoptar medidas para la prevención, control y atención de emergencias. </w:t>
            </w:r>
          </w:p>
          <w:p w14:paraId="29E5D8B9" w14:textId="77777777" w:rsidR="00D43C82" w:rsidRPr="00C22FA8" w:rsidRDefault="00D43C82" w:rsidP="0089027C">
            <w:pPr>
              <w:spacing w:before="32"/>
              <w:ind w:right="-2"/>
              <w:jc w:val="both"/>
              <w:rPr>
                <w:rFonts w:ascii="Arial" w:eastAsia="Arial" w:hAnsi="Arial" w:cs="Arial"/>
                <w:sz w:val="22"/>
                <w:szCs w:val="22"/>
                <w:lang w:val="es"/>
              </w:rPr>
            </w:pPr>
          </w:p>
          <w:p w14:paraId="71B80B31"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Esta dotación adicional asegura una respuesta más adecuada ante conatos de incendio en áreas críticas, reduce el riesgo de pérdida de información judicial y fortalece la capacidad institucional de salvaguardar los bienes y recursos públicos bajo su custodia.</w:t>
            </w:r>
          </w:p>
          <w:p w14:paraId="3C925CC6" w14:textId="77777777" w:rsidR="00D43C82" w:rsidRPr="00C22FA8" w:rsidRDefault="00D43C82" w:rsidP="0089027C">
            <w:pPr>
              <w:spacing w:before="32"/>
              <w:ind w:right="40"/>
              <w:jc w:val="center"/>
              <w:rPr>
                <w:rFonts w:ascii="Arial" w:eastAsia="Arial" w:hAnsi="Arial" w:cs="Arial"/>
                <w:b/>
                <w:bCs/>
                <w:sz w:val="22"/>
                <w:szCs w:val="22"/>
              </w:rPr>
            </w:pPr>
          </w:p>
          <w:p w14:paraId="55FDE913"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60C2D4E4" wp14:editId="2D6E067D">
                  <wp:extent cx="5248275" cy="1209675"/>
                  <wp:effectExtent l="0" t="0" r="9525"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8275" cy="1209675"/>
                          </a:xfrm>
                          <a:prstGeom prst="rect">
                            <a:avLst/>
                          </a:prstGeom>
                          <a:noFill/>
                          <a:ln>
                            <a:noFill/>
                          </a:ln>
                        </pic:spPr>
                      </pic:pic>
                    </a:graphicData>
                  </a:graphic>
                </wp:inline>
              </w:drawing>
            </w:r>
          </w:p>
          <w:p w14:paraId="08E3733E" w14:textId="77777777" w:rsidR="00D43C82" w:rsidRPr="00C22FA8" w:rsidRDefault="00D43C82" w:rsidP="0089027C">
            <w:pPr>
              <w:spacing w:before="32"/>
              <w:ind w:right="40"/>
              <w:jc w:val="center"/>
              <w:rPr>
                <w:rFonts w:ascii="Arial" w:eastAsia="Arial" w:hAnsi="Arial" w:cs="Arial"/>
                <w:b/>
                <w:bCs/>
                <w:sz w:val="22"/>
                <w:szCs w:val="22"/>
              </w:rPr>
            </w:pPr>
          </w:p>
          <w:p w14:paraId="18C8D63C" w14:textId="77777777" w:rsidR="00D43C82" w:rsidRPr="00C22FA8" w:rsidRDefault="00D43C82" w:rsidP="0089027C">
            <w:pPr>
              <w:spacing w:before="32"/>
              <w:ind w:right="40"/>
              <w:rPr>
                <w:rFonts w:ascii="Arial" w:eastAsia="Arial" w:hAnsi="Arial" w:cs="Arial"/>
                <w:b/>
                <w:bCs/>
                <w:sz w:val="22"/>
                <w:szCs w:val="22"/>
                <w:u w:val="single"/>
              </w:rPr>
            </w:pPr>
            <w:r w:rsidRPr="00C22FA8">
              <w:rPr>
                <w:rFonts w:ascii="Arial" w:eastAsia="Arial" w:hAnsi="Arial" w:cs="Arial"/>
                <w:b/>
                <w:bCs/>
                <w:sz w:val="22"/>
                <w:szCs w:val="22"/>
                <w:u w:val="single"/>
              </w:rPr>
              <w:t>DISTRITO JUDICIAL DE FLORENCIA:</w:t>
            </w:r>
          </w:p>
          <w:p w14:paraId="6BCF84ED" w14:textId="77777777" w:rsidR="00D43C82" w:rsidRPr="00C22FA8" w:rsidRDefault="00D43C82" w:rsidP="0089027C">
            <w:pPr>
              <w:spacing w:before="32"/>
              <w:ind w:right="40"/>
              <w:jc w:val="center"/>
              <w:rPr>
                <w:rFonts w:ascii="Arial" w:eastAsia="Arial" w:hAnsi="Arial" w:cs="Arial"/>
                <w:b/>
                <w:bCs/>
                <w:sz w:val="22"/>
                <w:szCs w:val="22"/>
              </w:rPr>
            </w:pPr>
          </w:p>
          <w:p w14:paraId="132B5CBB" w14:textId="77777777" w:rsidR="00D43C82" w:rsidRPr="00C22FA8" w:rsidRDefault="00D43C82" w:rsidP="00D43C82">
            <w:pPr>
              <w:pStyle w:val="Textoindependiente"/>
              <w:widowControl/>
              <w:numPr>
                <w:ilvl w:val="0"/>
                <w:numId w:val="4"/>
              </w:numPr>
              <w:suppressAutoHyphens/>
              <w:autoSpaceDE/>
              <w:autoSpaceDN/>
              <w:ind w:right="-374"/>
              <w:jc w:val="both"/>
              <w:rPr>
                <w:rFonts w:ascii="Arial" w:eastAsia="Arial" w:hAnsi="Arial" w:cs="Arial"/>
                <w:b/>
                <w:bCs/>
                <w:lang w:eastAsia="es-ES"/>
              </w:rPr>
            </w:pPr>
            <w:r w:rsidRPr="00C22FA8">
              <w:rPr>
                <w:rFonts w:ascii="Arial" w:eastAsia="Arial" w:hAnsi="Arial" w:cs="Arial"/>
                <w:b/>
                <w:bCs/>
                <w:lang w:eastAsia="es-ES"/>
              </w:rPr>
              <w:t xml:space="preserve">RECARGA Y MANTENIMIENTO PREVENTIVO: </w:t>
            </w:r>
          </w:p>
          <w:p w14:paraId="01912351" w14:textId="77777777" w:rsidR="00D43C82" w:rsidRPr="00C22FA8" w:rsidRDefault="00D43C82" w:rsidP="0089027C">
            <w:pPr>
              <w:spacing w:before="32"/>
              <w:ind w:right="40"/>
              <w:jc w:val="center"/>
              <w:rPr>
                <w:rFonts w:ascii="Arial" w:eastAsia="Arial" w:hAnsi="Arial" w:cs="Arial"/>
                <w:b/>
                <w:bCs/>
                <w:sz w:val="22"/>
                <w:szCs w:val="22"/>
              </w:rPr>
            </w:pPr>
          </w:p>
          <w:p w14:paraId="38048270"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Con respecto a la clase y cantidad de unidades de extintores requeridos para del Distrito Judicial de Florencia y Administrativo del Caquetá, los servicios mencionados deberán realizarse en cada sede judicial para evitar traslados y salidas de los elementos.</w:t>
            </w:r>
          </w:p>
          <w:p w14:paraId="200CDC61" w14:textId="77777777" w:rsidR="00D43C82" w:rsidRPr="00C22FA8" w:rsidRDefault="00D43C82" w:rsidP="0089027C">
            <w:pPr>
              <w:spacing w:before="32"/>
              <w:ind w:right="-2"/>
              <w:jc w:val="both"/>
              <w:rPr>
                <w:rFonts w:ascii="Arial" w:eastAsia="Arial" w:hAnsi="Arial" w:cs="Arial"/>
                <w:sz w:val="22"/>
                <w:szCs w:val="22"/>
                <w:lang w:val="es"/>
              </w:rPr>
            </w:pPr>
          </w:p>
          <w:p w14:paraId="286F4470"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En el siguiente cuadro se relaciona el detalle de los extintores para mantenimiento y recarga según lo mencionado:</w:t>
            </w:r>
          </w:p>
          <w:bookmarkEnd w:id="1"/>
          <w:p w14:paraId="4FA1564D" w14:textId="77777777" w:rsidR="00D43C82" w:rsidRPr="00C22FA8" w:rsidRDefault="00D43C82" w:rsidP="0089027C">
            <w:pPr>
              <w:spacing w:before="32"/>
              <w:ind w:right="40"/>
              <w:jc w:val="center"/>
              <w:rPr>
                <w:rFonts w:ascii="Arial" w:eastAsia="Arial" w:hAnsi="Arial" w:cs="Arial"/>
                <w:b/>
                <w:bCs/>
                <w:sz w:val="22"/>
                <w:szCs w:val="22"/>
              </w:rPr>
            </w:pPr>
          </w:p>
          <w:p w14:paraId="7B78AB19"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70FBC6EB" wp14:editId="060B1997">
                  <wp:extent cx="5457825" cy="40195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57825" cy="4019550"/>
                          </a:xfrm>
                          <a:prstGeom prst="rect">
                            <a:avLst/>
                          </a:prstGeom>
                          <a:noFill/>
                          <a:ln>
                            <a:noFill/>
                          </a:ln>
                        </pic:spPr>
                      </pic:pic>
                    </a:graphicData>
                  </a:graphic>
                </wp:inline>
              </w:drawing>
            </w:r>
          </w:p>
          <w:p w14:paraId="5F48EA32" w14:textId="77777777" w:rsidR="00D43C82" w:rsidRPr="00C22FA8" w:rsidRDefault="00D43C82" w:rsidP="0089027C">
            <w:pPr>
              <w:spacing w:before="32"/>
              <w:ind w:right="40"/>
              <w:jc w:val="center"/>
              <w:rPr>
                <w:rFonts w:ascii="Arial" w:eastAsia="Arial" w:hAnsi="Arial" w:cs="Arial"/>
                <w:b/>
                <w:bCs/>
                <w:sz w:val="22"/>
                <w:szCs w:val="22"/>
              </w:rPr>
            </w:pPr>
          </w:p>
          <w:p w14:paraId="0B4D73C8" w14:textId="77777777" w:rsidR="00D43C82" w:rsidRPr="00C22FA8" w:rsidRDefault="00D43C82" w:rsidP="0089027C">
            <w:pPr>
              <w:spacing w:before="32"/>
              <w:ind w:right="40"/>
              <w:jc w:val="center"/>
              <w:rPr>
                <w:rFonts w:ascii="Arial" w:eastAsia="Arial" w:hAnsi="Arial" w:cs="Arial"/>
                <w:b/>
                <w:bCs/>
                <w:sz w:val="22"/>
                <w:szCs w:val="22"/>
              </w:rPr>
            </w:pPr>
          </w:p>
          <w:p w14:paraId="355F7D8C" w14:textId="77777777" w:rsidR="00D43C82" w:rsidRPr="00C22FA8" w:rsidRDefault="00D43C82" w:rsidP="00D43C82">
            <w:pPr>
              <w:pStyle w:val="Textoindependiente"/>
              <w:widowControl/>
              <w:numPr>
                <w:ilvl w:val="0"/>
                <w:numId w:val="4"/>
              </w:numPr>
              <w:suppressAutoHyphens/>
              <w:autoSpaceDE/>
              <w:autoSpaceDN/>
              <w:ind w:right="-374"/>
              <w:jc w:val="both"/>
              <w:rPr>
                <w:rFonts w:ascii="Arial" w:eastAsia="Arial" w:hAnsi="Arial" w:cs="Arial"/>
                <w:b/>
                <w:bCs/>
                <w:lang w:eastAsia="es-ES"/>
              </w:rPr>
            </w:pPr>
            <w:r w:rsidRPr="00C22FA8">
              <w:rPr>
                <w:rFonts w:ascii="Arial" w:eastAsia="Arial" w:hAnsi="Arial" w:cs="Arial"/>
                <w:b/>
                <w:bCs/>
                <w:lang w:eastAsia="es-ES"/>
              </w:rPr>
              <w:t xml:space="preserve">INSPECCIÓN GENERAL CERTIFICADA: </w:t>
            </w:r>
          </w:p>
          <w:p w14:paraId="2B603F0C" w14:textId="77777777" w:rsidR="00D43C82" w:rsidRPr="00C22FA8" w:rsidRDefault="00D43C82" w:rsidP="0089027C">
            <w:pPr>
              <w:spacing w:before="32"/>
              <w:ind w:right="-2"/>
              <w:jc w:val="both"/>
              <w:rPr>
                <w:rFonts w:ascii="Arial" w:eastAsia="Arial" w:hAnsi="Arial" w:cs="Arial"/>
                <w:sz w:val="22"/>
                <w:szCs w:val="22"/>
                <w:lang w:val="es"/>
              </w:rPr>
            </w:pPr>
          </w:p>
          <w:p w14:paraId="265F8B60"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La revisión y mantenimiento de los extintores de dióxido de carbono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deberán efectuarse directamente en cada una de las sedes judiciales donde estos equipos se encuentran instalados. Esta modalidad de intervención in situ permite garantizar la continuidad operativa del servicio, optimizar los tiempos de ejecución del contrato y asegurar que no sea necesario trasladar los equipos entre sedes, evitando así riesgos de pérdida, extravío o desactualización del inventario institucional.</w:t>
            </w:r>
          </w:p>
          <w:p w14:paraId="3A729773" w14:textId="77777777" w:rsidR="00D43C82" w:rsidRPr="00C22FA8" w:rsidRDefault="00D43C82" w:rsidP="0089027C">
            <w:pPr>
              <w:spacing w:before="32"/>
              <w:ind w:right="-2"/>
              <w:jc w:val="both"/>
              <w:rPr>
                <w:rFonts w:ascii="Arial" w:eastAsia="Arial" w:hAnsi="Arial" w:cs="Arial"/>
                <w:sz w:val="22"/>
                <w:szCs w:val="22"/>
                <w:lang w:val="es"/>
              </w:rPr>
            </w:pPr>
            <w:r w:rsidRPr="00C22FA8">
              <w:rPr>
                <w:rFonts w:ascii="Arial" w:eastAsia="Arial" w:hAnsi="Arial" w:cs="Arial"/>
                <w:sz w:val="22"/>
                <w:szCs w:val="22"/>
                <w:lang w:val="es"/>
              </w:rPr>
              <w:t xml:space="preserve">Este procedimiento fortalece la gestión preventiva en materia de protección contra incendios, asegura la trazabilidad del mantenimiento, contribuye al cumplimiento normativo y mantiene actualizado el inventario de equipos contra fuego en todas las </w:t>
            </w:r>
            <w:r w:rsidRPr="00C22FA8">
              <w:rPr>
                <w:rFonts w:ascii="Arial" w:eastAsia="Arial" w:hAnsi="Arial" w:cs="Arial"/>
                <w:sz w:val="22"/>
                <w:szCs w:val="22"/>
                <w:lang w:val="es"/>
              </w:rPr>
              <w:lastRenderedPageBreak/>
              <w:t>sedes de los Distritos Judiciales de Neiva y Florencia. A continuación, se relaciona el listado de extintores (CO</w:t>
            </w:r>
            <w:r w:rsidRPr="00C22FA8">
              <w:rPr>
                <w:rFonts w:ascii="Cambria Math" w:eastAsia="Arial" w:hAnsi="Cambria Math" w:cs="Cambria Math"/>
                <w:sz w:val="22"/>
                <w:szCs w:val="22"/>
                <w:lang w:val="es"/>
              </w:rPr>
              <w:t>₂</w:t>
            </w:r>
            <w:r w:rsidRPr="00C22FA8">
              <w:rPr>
                <w:rFonts w:ascii="Arial" w:eastAsia="Arial" w:hAnsi="Arial" w:cs="Arial"/>
                <w:sz w:val="22"/>
                <w:szCs w:val="22"/>
                <w:lang w:val="es"/>
              </w:rPr>
              <w:t>) para realizar la revisión y mantenimiento:</w:t>
            </w:r>
          </w:p>
          <w:p w14:paraId="5928EBBF" w14:textId="77777777" w:rsidR="00D43C82" w:rsidRPr="00C22FA8" w:rsidRDefault="00D43C82" w:rsidP="0089027C">
            <w:pPr>
              <w:spacing w:before="32"/>
              <w:ind w:right="40"/>
              <w:jc w:val="center"/>
              <w:rPr>
                <w:rFonts w:ascii="Arial" w:eastAsia="Arial" w:hAnsi="Arial" w:cs="Arial"/>
                <w:b/>
                <w:bCs/>
                <w:sz w:val="22"/>
                <w:szCs w:val="22"/>
              </w:rPr>
            </w:pPr>
          </w:p>
          <w:p w14:paraId="11E8D77B"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drawing>
                <wp:inline distT="0" distB="0" distL="0" distR="0" wp14:anchorId="72E15ED7" wp14:editId="4B0045A8">
                  <wp:extent cx="5534025" cy="153352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4025" cy="1533525"/>
                          </a:xfrm>
                          <a:prstGeom prst="rect">
                            <a:avLst/>
                          </a:prstGeom>
                          <a:noFill/>
                          <a:ln>
                            <a:noFill/>
                          </a:ln>
                        </pic:spPr>
                      </pic:pic>
                    </a:graphicData>
                  </a:graphic>
                </wp:inline>
              </w:drawing>
            </w:r>
          </w:p>
          <w:p w14:paraId="2C9F3C09" w14:textId="77777777" w:rsidR="00D43C82" w:rsidRPr="00C22FA8" w:rsidRDefault="00D43C82" w:rsidP="0089027C">
            <w:pPr>
              <w:spacing w:before="32"/>
              <w:ind w:right="40"/>
              <w:jc w:val="center"/>
              <w:rPr>
                <w:rFonts w:ascii="Arial" w:eastAsia="Arial" w:hAnsi="Arial" w:cs="Arial"/>
                <w:b/>
                <w:bCs/>
                <w:sz w:val="22"/>
                <w:szCs w:val="22"/>
              </w:rPr>
            </w:pPr>
          </w:p>
          <w:p w14:paraId="73CF0181"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REQUISITOS TÉCNICOS MÍNIMOS:</w:t>
            </w:r>
          </w:p>
          <w:p w14:paraId="6779A2B4" w14:textId="77777777" w:rsidR="00D43C82" w:rsidRPr="00C22FA8" w:rsidRDefault="00D43C82" w:rsidP="0089027C">
            <w:pPr>
              <w:spacing w:before="32"/>
              <w:ind w:right="40"/>
              <w:jc w:val="center"/>
              <w:rPr>
                <w:rFonts w:ascii="Arial" w:eastAsia="Arial" w:hAnsi="Arial" w:cs="Arial"/>
                <w:b/>
                <w:bCs/>
                <w:sz w:val="22"/>
                <w:szCs w:val="22"/>
              </w:rPr>
            </w:pPr>
          </w:p>
          <w:p w14:paraId="4063C282"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ÍTEM 1: RECARGA Y MANTENIMIENTO PREVENTIVO DE EXTINTORES PORTÁTILES</w:t>
            </w:r>
          </w:p>
          <w:p w14:paraId="4E29DD60"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Cumplimiento estricto de la NTC 2885 – Extintores portátiles y la NTC 3808 – Mantenimiento de extintores.</w:t>
            </w:r>
          </w:p>
          <w:p w14:paraId="371E9826"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Inspección general del cilindro, mangueras, válvulas, o-</w:t>
            </w:r>
            <w:proofErr w:type="spellStart"/>
            <w:r w:rsidRPr="00C22FA8">
              <w:rPr>
                <w:rFonts w:ascii="Arial" w:eastAsia="Arial" w:hAnsi="Arial" w:cs="Arial"/>
                <w:sz w:val="22"/>
                <w:szCs w:val="22"/>
              </w:rPr>
              <w:t>rings</w:t>
            </w:r>
            <w:proofErr w:type="spellEnd"/>
            <w:r w:rsidRPr="00C22FA8">
              <w:rPr>
                <w:rFonts w:ascii="Arial" w:eastAsia="Arial" w:hAnsi="Arial" w:cs="Arial"/>
                <w:sz w:val="22"/>
                <w:szCs w:val="22"/>
              </w:rPr>
              <w:t>, manómetro, boquilla, seguros y etiquetado.</w:t>
            </w:r>
          </w:p>
          <w:p w14:paraId="2BBFAF57"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Reposición obligatoria de partes desgastadas, vencidas o deterioradas.</w:t>
            </w:r>
          </w:p>
          <w:p w14:paraId="73B665A8"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Verificación de fugas mediante pruebas de hermeticidad.</w:t>
            </w:r>
          </w:p>
          <w:p w14:paraId="3766E20E"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Prueba hidrostática en extintores que lo requieran según la vida útil del cilindro.</w:t>
            </w:r>
          </w:p>
          <w:p w14:paraId="00FB0F07"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Recarga con agente extintor original y certificado (CO</w:t>
            </w:r>
            <w:r w:rsidRPr="00C22FA8">
              <w:rPr>
                <w:rFonts w:ascii="Cambria Math" w:eastAsia="Arial" w:hAnsi="Cambria Math" w:cs="Cambria Math"/>
                <w:sz w:val="22"/>
                <w:szCs w:val="22"/>
              </w:rPr>
              <w:t>₂</w:t>
            </w:r>
            <w:r w:rsidRPr="00C22FA8">
              <w:rPr>
                <w:rFonts w:ascii="Arial" w:eastAsia="Arial" w:hAnsi="Arial" w:cs="Arial"/>
                <w:sz w:val="22"/>
                <w:szCs w:val="22"/>
              </w:rPr>
              <w:t>, H</w:t>
            </w:r>
            <w:r w:rsidRPr="00C22FA8">
              <w:rPr>
                <w:rFonts w:ascii="Cambria Math" w:eastAsia="Arial" w:hAnsi="Cambria Math" w:cs="Cambria Math"/>
                <w:sz w:val="22"/>
                <w:szCs w:val="22"/>
              </w:rPr>
              <w:t>₂</w:t>
            </w:r>
            <w:r w:rsidRPr="00C22FA8">
              <w:rPr>
                <w:rFonts w:ascii="Arial" w:eastAsia="Arial" w:hAnsi="Arial" w:cs="Arial"/>
                <w:sz w:val="22"/>
                <w:szCs w:val="22"/>
              </w:rPr>
              <w:t>O, PQS, según el tipo de extintor).</w:t>
            </w:r>
          </w:p>
          <w:p w14:paraId="3A7C2E26"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Limpieza y pintura del cilindro cuando presente corrosión o deterioro superficial.</w:t>
            </w:r>
          </w:p>
          <w:p w14:paraId="490340E5"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Instalación del extintor en su punto original con soporte adecuado (proveer soporte con sistema de sujeción a pared metálico (chazo) nuevo si se encuentra deteriorado).</w:t>
            </w:r>
          </w:p>
          <w:p w14:paraId="1CDD755F"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Etiqueta de recarga con: Fecha de recarga; Fecha de próxima recarga; Lote; Empresa certificadora; Nombre del técnico responsable.</w:t>
            </w:r>
          </w:p>
          <w:p w14:paraId="76EC91BA"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Entrega del certificado de mantenimiento por cada equipo intervenido.</w:t>
            </w:r>
          </w:p>
          <w:p w14:paraId="6C9F9310" w14:textId="77777777" w:rsidR="00D43C82" w:rsidRPr="00C22FA8" w:rsidRDefault="00D43C82" w:rsidP="00D43C82">
            <w:pPr>
              <w:numPr>
                <w:ilvl w:val="0"/>
                <w:numId w:val="4"/>
              </w:numPr>
              <w:ind w:right="53"/>
              <w:jc w:val="both"/>
              <w:rPr>
                <w:rFonts w:ascii="Arial" w:eastAsia="Arial" w:hAnsi="Arial" w:cs="Arial"/>
                <w:sz w:val="22"/>
                <w:szCs w:val="22"/>
              </w:rPr>
            </w:pPr>
            <w:r w:rsidRPr="00C22FA8">
              <w:rPr>
                <w:rFonts w:ascii="Arial" w:eastAsia="Arial" w:hAnsi="Arial" w:cs="Arial"/>
                <w:sz w:val="22"/>
                <w:szCs w:val="22"/>
              </w:rPr>
              <w:t xml:space="preserve">Recargar los extintores con la cantidad de agente químico indicado. </w:t>
            </w:r>
          </w:p>
          <w:p w14:paraId="40D9CED0" w14:textId="77777777" w:rsidR="00D43C82" w:rsidRPr="00C22FA8" w:rsidRDefault="00D43C82" w:rsidP="00D43C82">
            <w:pPr>
              <w:numPr>
                <w:ilvl w:val="0"/>
                <w:numId w:val="4"/>
              </w:numPr>
              <w:ind w:right="53"/>
              <w:jc w:val="both"/>
              <w:rPr>
                <w:rFonts w:ascii="Arial" w:eastAsia="Arial" w:hAnsi="Arial" w:cs="Arial"/>
                <w:sz w:val="22"/>
                <w:szCs w:val="22"/>
              </w:rPr>
            </w:pPr>
            <w:r w:rsidRPr="00C22FA8">
              <w:rPr>
                <w:rFonts w:ascii="Arial" w:eastAsia="Arial" w:hAnsi="Arial" w:cs="Arial"/>
                <w:sz w:val="22"/>
                <w:szCs w:val="22"/>
              </w:rPr>
              <w:t>Revisar en forma minuciosa los tres componentes básicos del extintor ajustado a la norma NTC 1446 y NFPA 10 (Partes mecánicas, Agente Extintor y Medios Expelentes), que permita establecer la funcionalidad y/o estado de cada una de las partes de los cilindros.</w:t>
            </w:r>
          </w:p>
          <w:p w14:paraId="7EDFE118" w14:textId="77777777" w:rsidR="00D43C82" w:rsidRPr="00C22FA8" w:rsidRDefault="00D43C82" w:rsidP="00D43C82">
            <w:pPr>
              <w:numPr>
                <w:ilvl w:val="0"/>
                <w:numId w:val="4"/>
              </w:numPr>
              <w:ind w:right="53"/>
              <w:jc w:val="both"/>
              <w:rPr>
                <w:rFonts w:ascii="Arial" w:eastAsia="Arial" w:hAnsi="Arial" w:cs="Arial"/>
                <w:sz w:val="22"/>
                <w:szCs w:val="22"/>
              </w:rPr>
            </w:pPr>
            <w:r w:rsidRPr="00C22FA8">
              <w:rPr>
                <w:rFonts w:ascii="Arial" w:eastAsia="Arial" w:hAnsi="Arial" w:cs="Arial"/>
                <w:sz w:val="22"/>
                <w:szCs w:val="22"/>
              </w:rPr>
              <w:t>Efectuar el mantenimiento de acuerdo con la norma técnica colombiana NTC 3808, NTC 2885 y NFPA 10, garantizando el óptimo estado y operatividad de los extintores.</w:t>
            </w:r>
          </w:p>
          <w:p w14:paraId="6DCB4642"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 xml:space="preserve">Instalar en cada extintor recargado, el anillo de verificación, una etiqueta en la que figure su número de autorización, nombre, dirección y fecha en la que se ha realizado la operación, entregando además un certificado en el que conste el agente extintor, el gas propelente y las observaciones que estime oportunas; </w:t>
            </w:r>
            <w:r w:rsidRPr="00C22FA8">
              <w:rPr>
                <w:rFonts w:ascii="Arial" w:eastAsia="Arial" w:hAnsi="Arial" w:cs="Arial"/>
                <w:sz w:val="22"/>
                <w:szCs w:val="22"/>
              </w:rPr>
              <w:lastRenderedPageBreak/>
              <w:t>dicha etiqueta no cubrirá ni total ni en forma</w:t>
            </w:r>
            <w:r w:rsidRPr="00C22FA8">
              <w:rPr>
                <w:rFonts w:ascii="Arial" w:eastAsia="Arial" w:hAnsi="Arial" w:cs="Arial"/>
                <w:b/>
                <w:bCs/>
                <w:sz w:val="22"/>
                <w:szCs w:val="22"/>
              </w:rPr>
              <w:t xml:space="preserve"> </w:t>
            </w:r>
            <w:r w:rsidRPr="00C22FA8">
              <w:rPr>
                <w:rFonts w:ascii="Arial" w:eastAsia="Arial" w:hAnsi="Arial" w:cs="Arial"/>
                <w:sz w:val="22"/>
                <w:szCs w:val="22"/>
              </w:rPr>
              <w:t>parcial, la etiqueta original del extintor.</w:t>
            </w:r>
          </w:p>
          <w:p w14:paraId="2A534B96" w14:textId="77777777" w:rsidR="00D43C82" w:rsidRPr="00C22FA8" w:rsidRDefault="00D43C82" w:rsidP="00D43C82">
            <w:pPr>
              <w:numPr>
                <w:ilvl w:val="0"/>
                <w:numId w:val="4"/>
              </w:numPr>
              <w:ind w:right="53"/>
              <w:jc w:val="both"/>
              <w:rPr>
                <w:rFonts w:ascii="Arial" w:eastAsia="Arial" w:hAnsi="Arial" w:cs="Arial"/>
                <w:sz w:val="22"/>
                <w:szCs w:val="22"/>
              </w:rPr>
            </w:pPr>
            <w:r w:rsidRPr="00C22FA8">
              <w:rPr>
                <w:rFonts w:ascii="Arial" w:eastAsia="Arial" w:hAnsi="Arial" w:cs="Arial"/>
                <w:sz w:val="22"/>
                <w:szCs w:val="22"/>
              </w:rPr>
              <w:t xml:space="preserve">Presentar los soportes de la instalación de sellos nuevos y etiquetas de recarga con la fecha de realización del mantenimiento. </w:t>
            </w:r>
          </w:p>
          <w:p w14:paraId="58878BD6" w14:textId="77777777" w:rsidR="00D43C82" w:rsidRPr="00C22FA8" w:rsidRDefault="00D43C82" w:rsidP="0089027C">
            <w:pPr>
              <w:spacing w:before="32"/>
              <w:ind w:right="40"/>
              <w:jc w:val="center"/>
              <w:rPr>
                <w:rFonts w:ascii="Arial" w:eastAsia="Arial" w:hAnsi="Arial" w:cs="Arial"/>
                <w:b/>
                <w:bCs/>
                <w:sz w:val="22"/>
                <w:szCs w:val="22"/>
              </w:rPr>
            </w:pPr>
          </w:p>
          <w:p w14:paraId="630C827B"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Normatividad aplicable:</w:t>
            </w:r>
          </w:p>
          <w:p w14:paraId="71F69E8B"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Decreto 1072 de 2015 – SG-SST</w:t>
            </w:r>
          </w:p>
          <w:p w14:paraId="1D2D2FFC"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Decreto 2157 de 2017 – Gestión del Riesgo</w:t>
            </w:r>
          </w:p>
          <w:p w14:paraId="6996A931"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Resolución 2400 de 1979</w:t>
            </w:r>
          </w:p>
          <w:p w14:paraId="53E5A40D"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Manual de Espacios Físicos Saludables – Rama Judicial</w:t>
            </w:r>
          </w:p>
          <w:p w14:paraId="2BD36C1A"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ISO 45001:2018 (numeral 8.2)</w:t>
            </w:r>
          </w:p>
          <w:p w14:paraId="68E6F211"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NTC 2885 y NTC 3808</w:t>
            </w:r>
          </w:p>
          <w:p w14:paraId="7EE16118"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ÍTEM 2: MANTENIMIENTO CORRECTIVO Y SUMINISTRO DE EXTINTORES DE CO</w:t>
            </w:r>
            <w:r w:rsidRPr="00C22FA8">
              <w:rPr>
                <w:rFonts w:ascii="Cambria Math" w:eastAsia="Arial" w:hAnsi="Cambria Math" w:cs="Cambria Math"/>
                <w:b/>
                <w:bCs/>
                <w:sz w:val="22"/>
                <w:szCs w:val="22"/>
              </w:rPr>
              <w:t>₂</w:t>
            </w:r>
            <w:r w:rsidRPr="00C22FA8">
              <w:rPr>
                <w:rFonts w:ascii="Arial" w:eastAsia="Arial" w:hAnsi="Arial" w:cs="Arial"/>
                <w:b/>
                <w:bCs/>
                <w:sz w:val="22"/>
                <w:szCs w:val="22"/>
              </w:rPr>
              <w:t xml:space="preserve"> (DIÓXIDO DE CARBONO)</w:t>
            </w:r>
          </w:p>
          <w:p w14:paraId="2756DDA4"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Agente extintor: CO</w:t>
            </w:r>
            <w:r w:rsidRPr="00C22FA8">
              <w:rPr>
                <w:rFonts w:ascii="Cambria Math" w:eastAsia="Arial" w:hAnsi="Cambria Math" w:cs="Cambria Math"/>
                <w:sz w:val="22"/>
                <w:szCs w:val="22"/>
              </w:rPr>
              <w:t>₂</w:t>
            </w:r>
            <w:r w:rsidRPr="00C22FA8">
              <w:rPr>
                <w:rFonts w:ascii="Arial" w:eastAsia="Arial" w:hAnsi="Arial" w:cs="Arial"/>
                <w:sz w:val="22"/>
                <w:szCs w:val="22"/>
              </w:rPr>
              <w:t xml:space="preserve"> grado industrial.</w:t>
            </w:r>
          </w:p>
          <w:p w14:paraId="4A81A33C"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Capacidad mínima: 10 libras (o capacidad según necesidad de cada sede).</w:t>
            </w:r>
          </w:p>
          <w:p w14:paraId="6A6019A6"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Cilindro en acero sin costura, con alta resistencia a la presión.</w:t>
            </w:r>
          </w:p>
          <w:p w14:paraId="03C4E1E1"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Válvula con certificación UL o equivalente.</w:t>
            </w:r>
          </w:p>
          <w:p w14:paraId="331A2FC8"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Trompeta rígida antiestática y manguera dieléctrica.</w:t>
            </w:r>
          </w:p>
          <w:p w14:paraId="0EA7EA98"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Sello de seguridad y sistema de disparo seguro.</w:t>
            </w:r>
          </w:p>
          <w:p w14:paraId="5ADF8203"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Soporte y sistema de sujeción para pared metálico (chazo) incluido.</w:t>
            </w:r>
          </w:p>
          <w:p w14:paraId="4B8BA127"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Rotulado conforme a NTC 2885.</w:t>
            </w:r>
          </w:p>
          <w:p w14:paraId="46B23CDE"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Identificación del tipo de fuego: Clase B y C.</w:t>
            </w:r>
          </w:p>
          <w:p w14:paraId="3ED5F979"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Garantía mínima de 1 año.</w:t>
            </w:r>
          </w:p>
          <w:p w14:paraId="31D07538"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ÍTEM 3: INSTALACIÓN, SEÑALIZACIÓN Y UBICACIÓN</w:t>
            </w:r>
          </w:p>
          <w:p w14:paraId="252DAC27"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El contratista deberá ubicar cada extintor en el punto definido por la seccional o donde lo indique el plano de emergencias.</w:t>
            </w:r>
          </w:p>
          <w:p w14:paraId="64322098"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Instalar soporte nuevo cuando el existente esté deteriorado.</w:t>
            </w:r>
          </w:p>
          <w:p w14:paraId="72194B8C"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Garantizar altura y accesibilidad según NTC 2885 (máx. 1,5 m desde el piso a la parte superior).</w:t>
            </w:r>
          </w:p>
          <w:p w14:paraId="4F741C04"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Señalización fotoluminiscente tipo “Extintor” o “Punto de Extintor”, visible a más de 10 metros.</w:t>
            </w:r>
          </w:p>
          <w:p w14:paraId="34639D7F"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Verificación y aprobación final con el equipo SST de la Seccional.</w:t>
            </w:r>
          </w:p>
          <w:p w14:paraId="6C9DD505"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Elementos requeridos:</w:t>
            </w:r>
          </w:p>
          <w:p w14:paraId="7E021062"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Señal fotoluminiscente flexible con logo de rama judicial.</w:t>
            </w:r>
          </w:p>
          <w:p w14:paraId="303B6B46"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noProof/>
                <w:sz w:val="22"/>
                <w:szCs w:val="22"/>
              </w:rPr>
              <w:lastRenderedPageBreak/>
              <w:drawing>
                <wp:inline distT="0" distB="0" distL="0" distR="0" wp14:anchorId="647D1911" wp14:editId="2E37959E">
                  <wp:extent cx="1752600" cy="26098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4" cstate="print">
                            <a:extLst>
                              <a:ext uri="{28A0092B-C50C-407E-A947-70E740481C1C}">
                                <a14:useLocalDpi xmlns:a14="http://schemas.microsoft.com/office/drawing/2010/main" val="0"/>
                              </a:ext>
                            </a:extLst>
                          </a:blip>
                          <a:srcRect l="1865" t="11192" r="1547" b="8356"/>
                          <a:stretch>
                            <a:fillRect/>
                          </a:stretch>
                        </pic:blipFill>
                        <pic:spPr bwMode="auto">
                          <a:xfrm>
                            <a:off x="0" y="0"/>
                            <a:ext cx="1752600" cy="2609850"/>
                          </a:xfrm>
                          <a:prstGeom prst="rect">
                            <a:avLst/>
                          </a:prstGeom>
                          <a:noFill/>
                          <a:ln>
                            <a:noFill/>
                          </a:ln>
                        </pic:spPr>
                      </pic:pic>
                    </a:graphicData>
                  </a:graphic>
                </wp:inline>
              </w:drawing>
            </w:r>
          </w:p>
          <w:p w14:paraId="728F3704"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Imagen de referencia</w:t>
            </w:r>
          </w:p>
          <w:p w14:paraId="7B3E8571"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Tornillería, anclajes y elementos de fijación metálicos.</w:t>
            </w:r>
          </w:p>
          <w:p w14:paraId="28923CF5"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Soporte metálico para pared o pedestal según necesidad.</w:t>
            </w:r>
          </w:p>
          <w:p w14:paraId="0D39550E"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ENTREGA DE INFORMES Y CERTIFICACIONES</w:t>
            </w:r>
          </w:p>
          <w:p w14:paraId="6B80A997" w14:textId="77777777" w:rsidR="00D43C82" w:rsidRPr="00C22FA8" w:rsidRDefault="00D43C82" w:rsidP="0089027C">
            <w:pPr>
              <w:spacing w:before="32"/>
              <w:ind w:right="40"/>
              <w:jc w:val="center"/>
              <w:rPr>
                <w:rFonts w:ascii="Arial" w:eastAsia="Arial" w:hAnsi="Arial" w:cs="Arial"/>
                <w:b/>
                <w:bCs/>
                <w:sz w:val="22"/>
                <w:szCs w:val="22"/>
              </w:rPr>
            </w:pPr>
          </w:p>
          <w:p w14:paraId="41F6E5D7"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El contratista deberá entregar:</w:t>
            </w:r>
          </w:p>
          <w:p w14:paraId="37DC36CF"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Informe técnico consolidado con:</w:t>
            </w:r>
          </w:p>
          <w:p w14:paraId="162F648A"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Cantidad de extintores intervenidos</w:t>
            </w:r>
          </w:p>
          <w:p w14:paraId="3330C498"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Tipo de mantenimiento realizado</w:t>
            </w:r>
          </w:p>
          <w:p w14:paraId="70F2D97A"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Reemplazos efectuados</w:t>
            </w:r>
          </w:p>
          <w:p w14:paraId="2F8E0A7E"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Observaciones técnicas</w:t>
            </w:r>
          </w:p>
          <w:p w14:paraId="77355046"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Certificado individual por cada extintor, indicando:</w:t>
            </w:r>
          </w:p>
          <w:p w14:paraId="535578BA"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Tipo de extintor</w:t>
            </w:r>
          </w:p>
          <w:p w14:paraId="1105559C"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Serial</w:t>
            </w:r>
          </w:p>
          <w:p w14:paraId="14B1F394"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Agente extintor</w:t>
            </w:r>
          </w:p>
          <w:p w14:paraId="09DA2732"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Fecha de recarga</w:t>
            </w:r>
          </w:p>
          <w:p w14:paraId="111E6602"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Fecha próxima de mantenimiento</w:t>
            </w:r>
          </w:p>
          <w:p w14:paraId="563C2115"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Firma del técnico y empresa certificadora</w:t>
            </w:r>
          </w:p>
          <w:p w14:paraId="5BCE11F9" w14:textId="77777777" w:rsidR="00D43C82"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Inventario actualizado para cada sede (antes y después del servicio)</w:t>
            </w:r>
          </w:p>
          <w:p w14:paraId="0B945427"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 xml:space="preserve">Acta de entrega y conformidad validada por la Coordinación SG-SST o quien </w:t>
            </w:r>
            <w:r w:rsidRPr="00C22FA8">
              <w:rPr>
                <w:rFonts w:ascii="Arial" w:hAnsi="Arial" w:cs="Arial"/>
                <w:color w:val="000000" w:themeColor="text1"/>
                <w:sz w:val="22"/>
                <w:szCs w:val="22"/>
                <w:lang w:val="es-CO"/>
              </w:rPr>
              <w:t>haga sus veces.</w:t>
            </w:r>
          </w:p>
          <w:p w14:paraId="546D15B6" w14:textId="77777777" w:rsidR="00D43C82" w:rsidRPr="00C22FA8" w:rsidRDefault="00D43C82" w:rsidP="0089027C">
            <w:pPr>
              <w:autoSpaceDE w:val="0"/>
              <w:autoSpaceDN w:val="0"/>
              <w:adjustRightInd w:val="0"/>
              <w:jc w:val="both"/>
              <w:rPr>
                <w:rFonts w:ascii="Arial" w:hAnsi="Arial" w:cs="Arial"/>
                <w:color w:val="000000" w:themeColor="text1"/>
                <w:sz w:val="22"/>
                <w:szCs w:val="22"/>
                <w:lang w:val="es-CO"/>
              </w:rPr>
            </w:pPr>
            <w:r w:rsidRPr="00C22FA8">
              <w:rPr>
                <w:rFonts w:ascii="Arial" w:hAnsi="Arial" w:cs="Arial"/>
                <w:b/>
                <w:bCs/>
                <w:color w:val="000000" w:themeColor="text1"/>
                <w:sz w:val="22"/>
                <w:szCs w:val="22"/>
                <w:lang w:val="es-CO"/>
              </w:rPr>
              <w:t>NOTA:</w:t>
            </w:r>
            <w:r w:rsidRPr="00C22FA8">
              <w:rPr>
                <w:rFonts w:ascii="Arial" w:hAnsi="Arial" w:cs="Arial"/>
                <w:color w:val="000000" w:themeColor="text1"/>
                <w:sz w:val="22"/>
                <w:szCs w:val="22"/>
                <w:lang w:val="es-CO"/>
              </w:rPr>
              <w:t xml:space="preserve"> La Empresa debe estar legalmente constituida y debe dar cumplimiento de normas de seguridad industrial para manipulación de cilindros presurizados. Así mismo deberá suministrar el registro fotográfico del antes y después de cada extintor.</w:t>
            </w:r>
          </w:p>
          <w:p w14:paraId="77E6D422" w14:textId="77777777" w:rsidR="00D43C82" w:rsidRDefault="00D43C82" w:rsidP="0089027C">
            <w:pPr>
              <w:spacing w:before="32"/>
              <w:ind w:right="40"/>
              <w:jc w:val="center"/>
              <w:rPr>
                <w:rFonts w:ascii="Arial" w:eastAsia="Arial" w:hAnsi="Arial" w:cs="Arial"/>
                <w:b/>
                <w:bCs/>
                <w:sz w:val="22"/>
                <w:szCs w:val="22"/>
              </w:rPr>
            </w:pPr>
          </w:p>
          <w:p w14:paraId="6D652791" w14:textId="77777777" w:rsidR="00D43C82" w:rsidRPr="00C22FA8" w:rsidRDefault="00D43C82" w:rsidP="0089027C">
            <w:pPr>
              <w:spacing w:before="32"/>
              <w:ind w:right="40"/>
              <w:jc w:val="center"/>
              <w:rPr>
                <w:rFonts w:ascii="Arial" w:eastAsia="Arial" w:hAnsi="Arial" w:cs="Arial"/>
                <w:b/>
                <w:bCs/>
                <w:sz w:val="22"/>
                <w:szCs w:val="22"/>
              </w:rPr>
            </w:pPr>
            <w:r w:rsidRPr="00C22FA8">
              <w:rPr>
                <w:rFonts w:ascii="Arial" w:eastAsia="Arial" w:hAnsi="Arial" w:cs="Arial"/>
                <w:b/>
                <w:bCs/>
                <w:sz w:val="22"/>
                <w:szCs w:val="22"/>
              </w:rPr>
              <w:t>GARANTÍAS MÍNIMAS DEL SERVICIO</w:t>
            </w:r>
          </w:p>
          <w:p w14:paraId="5CABD265"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lastRenderedPageBreak/>
              <w:t>Garantía mínima de 1 año por cada recarga o mantenimiento.</w:t>
            </w:r>
          </w:p>
          <w:p w14:paraId="46B35C1C" w14:textId="77777777" w:rsidR="00D43C82" w:rsidRPr="00C22FA8" w:rsidRDefault="00D43C82" w:rsidP="00D43C82">
            <w:pPr>
              <w:pStyle w:val="NormalWeb"/>
              <w:numPr>
                <w:ilvl w:val="0"/>
                <w:numId w:val="4"/>
              </w:numPr>
              <w:ind w:right="53"/>
              <w:jc w:val="both"/>
              <w:rPr>
                <w:rFonts w:ascii="Arial" w:eastAsia="Arial" w:hAnsi="Arial" w:cs="Arial"/>
                <w:sz w:val="22"/>
                <w:szCs w:val="22"/>
              </w:rPr>
            </w:pPr>
            <w:r w:rsidRPr="00C22FA8">
              <w:rPr>
                <w:rFonts w:ascii="Arial" w:eastAsia="Arial" w:hAnsi="Arial" w:cs="Arial"/>
                <w:sz w:val="22"/>
                <w:szCs w:val="22"/>
              </w:rPr>
              <w:t>Garantía mínima de 2 años por cada extintor CO2 nuevo suministrado.</w:t>
            </w:r>
          </w:p>
          <w:p w14:paraId="69E17BD4" w14:textId="77777777" w:rsidR="00D43C82" w:rsidRPr="00C22FA8" w:rsidRDefault="00D43C82" w:rsidP="00D43C82">
            <w:pPr>
              <w:pStyle w:val="NormalWeb"/>
              <w:numPr>
                <w:ilvl w:val="0"/>
                <w:numId w:val="4"/>
              </w:numPr>
              <w:ind w:right="53"/>
              <w:jc w:val="both"/>
              <w:rPr>
                <w:rFonts w:ascii="Arial" w:eastAsia="Arial" w:hAnsi="Arial" w:cs="Arial"/>
                <w:b/>
                <w:bCs/>
                <w:sz w:val="22"/>
                <w:szCs w:val="22"/>
              </w:rPr>
            </w:pPr>
            <w:r w:rsidRPr="02D7FEF1">
              <w:rPr>
                <w:rFonts w:ascii="Arial" w:eastAsia="Arial" w:hAnsi="Arial" w:cs="Arial"/>
                <w:sz w:val="22"/>
                <w:szCs w:val="22"/>
              </w:rPr>
              <w:t>Reposición inmediata ante fallas atribuibles al mantenimiento o defectos de fabricación.</w:t>
            </w:r>
            <w:bookmarkEnd w:id="0"/>
          </w:p>
          <w:p w14:paraId="0A58762B" w14:textId="77777777" w:rsidR="00D43C82" w:rsidRPr="00C22FA8" w:rsidRDefault="00D43C82" w:rsidP="0089027C">
            <w:pPr>
              <w:pStyle w:val="NormalWeb"/>
              <w:ind w:left="720" w:right="53"/>
              <w:jc w:val="both"/>
              <w:rPr>
                <w:rFonts w:ascii="Arial" w:eastAsia="Arial" w:hAnsi="Arial" w:cs="Arial"/>
                <w:b/>
                <w:bCs/>
                <w:sz w:val="22"/>
                <w:szCs w:val="22"/>
              </w:rPr>
            </w:pPr>
          </w:p>
        </w:tc>
      </w:tr>
    </w:tbl>
    <w:p w14:paraId="6EAEEB19" w14:textId="77777777" w:rsidR="007C1111" w:rsidRDefault="007C1111" w:rsidP="00AA25ED">
      <w:pPr>
        <w:pStyle w:val="Ttulo"/>
        <w:jc w:val="both"/>
        <w:rPr>
          <w:highlight w:val="yellow"/>
        </w:rPr>
      </w:pPr>
    </w:p>
    <w:p w14:paraId="0BD309B6" w14:textId="77777777" w:rsidR="007C1111" w:rsidRDefault="007C1111" w:rsidP="00AA25ED">
      <w:pPr>
        <w:pStyle w:val="Ttulo"/>
        <w:jc w:val="both"/>
        <w:rPr>
          <w:highlight w:val="yellow"/>
        </w:rPr>
      </w:pPr>
    </w:p>
    <w:p w14:paraId="3774422E" w14:textId="77777777" w:rsidR="007C1111" w:rsidRDefault="007C1111" w:rsidP="00AA25ED">
      <w:pPr>
        <w:pStyle w:val="Ttulo"/>
        <w:jc w:val="both"/>
        <w:rPr>
          <w:highlight w:val="yellow"/>
        </w:rPr>
      </w:pPr>
    </w:p>
    <w:p w14:paraId="7D52C194" w14:textId="77777777" w:rsidR="007C1111" w:rsidRDefault="007C1111" w:rsidP="00AA25ED">
      <w:pPr>
        <w:pStyle w:val="Ttulo"/>
        <w:jc w:val="both"/>
        <w:rPr>
          <w:highlight w:val="yellow"/>
        </w:rPr>
      </w:pPr>
    </w:p>
    <w:p w14:paraId="2E93A3F5" w14:textId="77777777" w:rsidR="007C1111" w:rsidRDefault="007C1111" w:rsidP="00AA25ED">
      <w:pPr>
        <w:pStyle w:val="Ttulo"/>
        <w:jc w:val="both"/>
        <w:rPr>
          <w:highlight w:val="yellow"/>
        </w:rPr>
      </w:pPr>
    </w:p>
    <w:p w14:paraId="049A091D" w14:textId="77777777" w:rsidR="007C1111" w:rsidRDefault="007C1111" w:rsidP="00AA25ED">
      <w:pPr>
        <w:pStyle w:val="Ttulo"/>
        <w:jc w:val="both"/>
        <w:rPr>
          <w:highlight w:val="yellow"/>
        </w:rPr>
      </w:pPr>
    </w:p>
    <w:p w14:paraId="0246CCAA" w14:textId="77777777" w:rsidR="007C1111" w:rsidRDefault="007C1111" w:rsidP="00AA25ED">
      <w:pPr>
        <w:pStyle w:val="Ttulo"/>
        <w:jc w:val="both"/>
        <w:rPr>
          <w:highlight w:val="yellow"/>
        </w:rPr>
      </w:pPr>
    </w:p>
    <w:p w14:paraId="66BCFE7C" w14:textId="77777777" w:rsidR="007C1111" w:rsidRDefault="007C1111" w:rsidP="00AA25ED">
      <w:pPr>
        <w:pStyle w:val="Ttulo"/>
        <w:jc w:val="both"/>
        <w:rPr>
          <w:highlight w:val="yellow"/>
        </w:rPr>
      </w:pPr>
    </w:p>
    <w:p w14:paraId="55BA2469" w14:textId="77777777" w:rsidR="007C1111" w:rsidRDefault="007C1111" w:rsidP="00AA25ED">
      <w:pPr>
        <w:pStyle w:val="Ttulo"/>
        <w:jc w:val="both"/>
        <w:rPr>
          <w:highlight w:val="yellow"/>
        </w:rPr>
      </w:pPr>
    </w:p>
    <w:p w14:paraId="214231B1" w14:textId="1B33B4A6" w:rsidR="00BA7C28" w:rsidRPr="007D0166" w:rsidRDefault="00BA7C28" w:rsidP="00BA7C28">
      <w:pPr>
        <w:pStyle w:val="Ttulo"/>
        <w:jc w:val="left"/>
        <w:rPr>
          <w:rFonts w:cs="Arial"/>
          <w:b w:val="0"/>
          <w:bCs/>
          <w:snapToGrid w:val="0"/>
          <w:szCs w:val="24"/>
          <w:lang w:val="es-CO"/>
        </w:rPr>
      </w:pPr>
      <w:r w:rsidRPr="007D0166">
        <w:rPr>
          <w:rFonts w:cs="Arial"/>
          <w:b w:val="0"/>
          <w:bCs/>
          <w:snapToGrid w:val="0"/>
          <w:szCs w:val="24"/>
          <w:lang w:val="es-CO"/>
        </w:rPr>
        <w:t xml:space="preserve">En constancia de lo anterior firmo este documento a los ___ días del mes de _________ </w:t>
      </w:r>
      <w:proofErr w:type="spellStart"/>
      <w:r w:rsidRPr="007D0166">
        <w:rPr>
          <w:rFonts w:cs="Arial"/>
          <w:b w:val="0"/>
          <w:bCs/>
          <w:snapToGrid w:val="0"/>
          <w:szCs w:val="24"/>
          <w:lang w:val="es-CO"/>
        </w:rPr>
        <w:t>de</w:t>
      </w:r>
      <w:proofErr w:type="spellEnd"/>
      <w:r w:rsidRPr="007D0166">
        <w:rPr>
          <w:rFonts w:cs="Arial"/>
          <w:b w:val="0"/>
          <w:bCs/>
          <w:snapToGrid w:val="0"/>
          <w:szCs w:val="24"/>
          <w:lang w:val="es-CO"/>
        </w:rPr>
        <w:t xml:space="preserve"> ____,</w:t>
      </w:r>
    </w:p>
    <w:p w14:paraId="037929D9" w14:textId="77777777" w:rsidR="00BA7C28" w:rsidRPr="007D0166" w:rsidRDefault="00BA7C28" w:rsidP="00BA7C28">
      <w:pPr>
        <w:jc w:val="both"/>
        <w:rPr>
          <w:rFonts w:ascii="Arial" w:hAnsi="Arial" w:cs="Arial"/>
          <w:lang w:val="es-CO"/>
        </w:rPr>
      </w:pPr>
    </w:p>
    <w:p w14:paraId="61766355" w14:textId="77777777" w:rsidR="00D159C8" w:rsidRDefault="00D159C8" w:rsidP="00BA7C28">
      <w:pPr>
        <w:rPr>
          <w:rFonts w:ascii="Arial" w:hAnsi="Arial" w:cs="Arial"/>
          <w:bCs/>
          <w:snapToGrid w:val="0"/>
          <w:color w:val="212121"/>
          <w:lang w:val="es-CO"/>
        </w:rPr>
      </w:pPr>
    </w:p>
    <w:p w14:paraId="2A46A0DB" w14:textId="13DEB299" w:rsidR="00BA7C28" w:rsidRPr="007D0166" w:rsidRDefault="00BA7C28" w:rsidP="00BA7C28">
      <w:pPr>
        <w:rPr>
          <w:rFonts w:ascii="Arial" w:hAnsi="Arial" w:cs="Arial"/>
          <w:bCs/>
          <w:snapToGrid w:val="0"/>
          <w:color w:val="212121"/>
          <w:lang w:val="es-CO"/>
        </w:rPr>
      </w:pPr>
      <w:r w:rsidRPr="007D0166">
        <w:rPr>
          <w:rFonts w:ascii="Arial" w:hAnsi="Arial" w:cs="Arial"/>
          <w:bCs/>
          <w:snapToGrid w:val="0"/>
          <w:color w:val="212121"/>
          <w:lang w:val="es-CO"/>
        </w:rPr>
        <w:t>Firma del representante</w:t>
      </w:r>
    </w:p>
    <w:p w14:paraId="7295AF72" w14:textId="77777777" w:rsidR="00BA7C28" w:rsidRPr="007D0166" w:rsidRDefault="00BA7C28" w:rsidP="00BA7C28">
      <w:pPr>
        <w:rPr>
          <w:rFonts w:ascii="Arial" w:hAnsi="Arial" w:cs="Arial"/>
          <w:bCs/>
          <w:snapToGrid w:val="0"/>
          <w:color w:val="212121"/>
          <w:lang w:val="es-CO"/>
        </w:rPr>
      </w:pPr>
      <w:r w:rsidRPr="007D0166">
        <w:rPr>
          <w:rFonts w:ascii="Arial" w:hAnsi="Arial" w:cs="Arial"/>
          <w:bCs/>
          <w:snapToGrid w:val="0"/>
          <w:color w:val="212121"/>
          <w:lang w:val="es-CO"/>
        </w:rPr>
        <w:t>Legal del Proponente:</w:t>
      </w:r>
      <w:r w:rsidRPr="007D0166">
        <w:rPr>
          <w:rFonts w:ascii="Arial" w:hAnsi="Arial" w:cs="Arial"/>
          <w:bCs/>
          <w:snapToGrid w:val="0"/>
          <w:color w:val="212121"/>
          <w:lang w:val="es-CO"/>
        </w:rPr>
        <w:tab/>
        <w:t>_________________________________________________</w:t>
      </w:r>
    </w:p>
    <w:p w14:paraId="7378A9F6" w14:textId="77777777" w:rsidR="00BA7C28" w:rsidRPr="007D0166" w:rsidRDefault="00BA7C28" w:rsidP="00BA7C28">
      <w:pPr>
        <w:rPr>
          <w:rFonts w:ascii="Arial" w:hAnsi="Arial" w:cs="Arial"/>
          <w:bCs/>
          <w:snapToGrid w:val="0"/>
          <w:color w:val="212121"/>
          <w:lang w:val="es-CO"/>
        </w:rPr>
      </w:pPr>
    </w:p>
    <w:p w14:paraId="771D44D0" w14:textId="77777777" w:rsidR="00BA7C28" w:rsidRPr="007D0166" w:rsidRDefault="00BA7C28" w:rsidP="00BA7C28">
      <w:pPr>
        <w:rPr>
          <w:rFonts w:ascii="Arial" w:hAnsi="Arial" w:cs="Arial"/>
          <w:bCs/>
          <w:snapToGrid w:val="0"/>
          <w:color w:val="212121"/>
          <w:lang w:val="es-CO"/>
        </w:rPr>
      </w:pPr>
      <w:r w:rsidRPr="007D0166">
        <w:rPr>
          <w:rFonts w:ascii="Arial" w:hAnsi="Arial" w:cs="Arial"/>
          <w:bCs/>
          <w:snapToGrid w:val="0"/>
          <w:color w:val="212121"/>
          <w:lang w:val="es-CO"/>
        </w:rPr>
        <w:t>Nombre:</w:t>
      </w:r>
      <w:r w:rsidRPr="007D0166">
        <w:rPr>
          <w:rFonts w:ascii="Arial" w:hAnsi="Arial" w:cs="Arial"/>
          <w:bCs/>
          <w:snapToGrid w:val="0"/>
          <w:color w:val="212121"/>
          <w:lang w:val="es-CO"/>
        </w:rPr>
        <w:tab/>
        <w:t>____________________________________________________________</w:t>
      </w:r>
    </w:p>
    <w:p w14:paraId="38E5E8E8" w14:textId="77777777" w:rsidR="00BA7C28" w:rsidRPr="007D0166" w:rsidRDefault="00BA7C28" w:rsidP="00BA7C28">
      <w:pPr>
        <w:rPr>
          <w:rFonts w:ascii="Arial" w:hAnsi="Arial" w:cs="Arial"/>
          <w:bCs/>
          <w:snapToGrid w:val="0"/>
          <w:color w:val="212121"/>
          <w:lang w:val="es-CO"/>
        </w:rPr>
      </w:pPr>
    </w:p>
    <w:p w14:paraId="6724E42C" w14:textId="77777777" w:rsidR="00BA7C28" w:rsidRPr="007D0166" w:rsidRDefault="00BA7C28" w:rsidP="00BA7C28">
      <w:pPr>
        <w:rPr>
          <w:rFonts w:ascii="Arial" w:hAnsi="Arial" w:cs="Arial"/>
          <w:bCs/>
          <w:snapToGrid w:val="0"/>
          <w:color w:val="212121"/>
          <w:lang w:val="es-CO"/>
        </w:rPr>
      </w:pPr>
      <w:r w:rsidRPr="007D0166">
        <w:rPr>
          <w:rFonts w:ascii="Arial" w:hAnsi="Arial" w:cs="Arial"/>
          <w:bCs/>
          <w:snapToGrid w:val="0"/>
          <w:color w:val="212121"/>
          <w:lang w:val="es-CO"/>
        </w:rPr>
        <w:t>Cargo:</w:t>
      </w:r>
      <w:r w:rsidRPr="007D0166">
        <w:rPr>
          <w:rFonts w:ascii="Arial" w:hAnsi="Arial" w:cs="Arial"/>
          <w:bCs/>
          <w:snapToGrid w:val="0"/>
          <w:color w:val="212121"/>
          <w:lang w:val="es-CO"/>
        </w:rPr>
        <w:tab/>
        <w:t>____________________________________________________________</w:t>
      </w:r>
    </w:p>
    <w:p w14:paraId="0D52484D" w14:textId="77777777" w:rsidR="00BA7C28" w:rsidRPr="007D0166" w:rsidRDefault="00BA7C28" w:rsidP="00BA7C28">
      <w:pPr>
        <w:rPr>
          <w:rFonts w:ascii="Arial" w:hAnsi="Arial" w:cs="Arial"/>
          <w:bCs/>
          <w:snapToGrid w:val="0"/>
          <w:color w:val="212121"/>
          <w:lang w:val="es-CO"/>
        </w:rPr>
      </w:pPr>
    </w:p>
    <w:p w14:paraId="28AC5D0F" w14:textId="77777777" w:rsidR="00BA7C28" w:rsidRPr="007D0166" w:rsidRDefault="00BA7C28" w:rsidP="00BA7C28">
      <w:pPr>
        <w:rPr>
          <w:rFonts w:ascii="Arial" w:hAnsi="Arial" w:cs="Arial"/>
          <w:bCs/>
          <w:snapToGrid w:val="0"/>
          <w:color w:val="212121"/>
          <w:lang w:val="es-CO"/>
        </w:rPr>
      </w:pPr>
      <w:r w:rsidRPr="007D0166">
        <w:rPr>
          <w:rFonts w:ascii="Arial" w:hAnsi="Arial" w:cs="Arial"/>
          <w:bCs/>
          <w:snapToGrid w:val="0"/>
          <w:color w:val="212121"/>
          <w:lang w:val="es-CO"/>
        </w:rPr>
        <w:t>Documento de Identidad: _________________________________________________</w:t>
      </w:r>
    </w:p>
    <w:p w14:paraId="26C56D34" w14:textId="77777777" w:rsidR="00767FCA" w:rsidRPr="007D0166" w:rsidRDefault="00767FCA">
      <w:pPr>
        <w:rPr>
          <w:rFonts w:ascii="Arial" w:hAnsi="Arial" w:cs="Arial"/>
          <w:bCs/>
          <w:snapToGrid w:val="0"/>
          <w:color w:val="212121"/>
          <w:lang w:val="es-CO"/>
        </w:rPr>
      </w:pPr>
    </w:p>
    <w:sectPr w:rsidR="00767FCA" w:rsidRPr="007D0166">
      <w:headerReference w:type="even" r:id="rId15"/>
      <w:headerReference w:type="default" r:id="rId16"/>
      <w:footerReference w:type="even" r:id="rId17"/>
      <w:footerReference w:type="default" r:id="rId18"/>
      <w:headerReference w:type="first" r:id="rId19"/>
      <w:footerReference w:type="first" r:id="rId2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55322" w14:textId="77777777" w:rsidR="00630C78" w:rsidRDefault="00630C78" w:rsidP="00BB7AC9">
      <w:r>
        <w:separator/>
      </w:r>
    </w:p>
  </w:endnote>
  <w:endnote w:type="continuationSeparator" w:id="0">
    <w:p w14:paraId="035C5119" w14:textId="77777777" w:rsidR="00630C78" w:rsidRDefault="00630C78" w:rsidP="00BB7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 w:name="Berylium">
    <w:altName w:val="Times New Roman"/>
    <w:charset w:val="00"/>
    <w:family w:val="auto"/>
    <w:pitch w:val="variable"/>
    <w:sig w:usb0="00000001" w:usb1="0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C54A6" w14:textId="77777777" w:rsidR="00106C2B" w:rsidRDefault="00106C2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3D37" w14:textId="77777777" w:rsidR="00106C2B" w:rsidRDefault="00106C2B" w:rsidP="00106C2B">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p w14:paraId="42F98D51" w14:textId="77777777" w:rsidR="00106C2B" w:rsidRDefault="00106C2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7EA5F" w14:textId="77777777" w:rsidR="00106C2B" w:rsidRDefault="00106C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A3A98" w14:textId="77777777" w:rsidR="00630C78" w:rsidRDefault="00630C78" w:rsidP="00BB7AC9">
      <w:r>
        <w:separator/>
      </w:r>
    </w:p>
  </w:footnote>
  <w:footnote w:type="continuationSeparator" w:id="0">
    <w:p w14:paraId="676A13D0" w14:textId="77777777" w:rsidR="00630C78" w:rsidRDefault="00630C78" w:rsidP="00BB7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DF863" w14:textId="77777777" w:rsidR="00106C2B" w:rsidRDefault="00106C2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45C75" w14:textId="77777777" w:rsidR="00BB7AC9" w:rsidRDefault="00BB7AC9" w:rsidP="00BB7AC9">
    <w:pPr>
      <w:pStyle w:val="Encabezado"/>
      <w:jc w:val="center"/>
      <w:rPr>
        <w:rFonts w:ascii="Berylium" w:hAnsi="Berylium"/>
        <w:bCs/>
        <w:iCs/>
        <w:sz w:val="22"/>
      </w:rPr>
    </w:pPr>
    <w:bookmarkStart w:id="2" w:name="_Hlk163566217"/>
    <w:r>
      <w:rPr>
        <w:noProof/>
      </w:rPr>
      <w:drawing>
        <wp:anchor distT="0" distB="0" distL="114300" distR="114300" simplePos="0" relativeHeight="251659264" behindDoc="1" locked="0" layoutInCell="1" allowOverlap="1" wp14:anchorId="624A1AF2" wp14:editId="4FF8990B">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42DBEA5E" w14:textId="77777777" w:rsidR="00BB7AC9" w:rsidRDefault="00BB7AC9" w:rsidP="00BB7AC9">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09BAE75A" w14:textId="77777777" w:rsidR="00BB7AC9" w:rsidRDefault="00BB7AC9" w:rsidP="00BB7AC9">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2"/>
  <w:p w14:paraId="51678642" w14:textId="77777777" w:rsidR="00BB7AC9" w:rsidRDefault="00BB7AC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CADA" w14:textId="77777777" w:rsidR="00106C2B" w:rsidRDefault="00106C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64F66"/>
    <w:multiLevelType w:val="hybridMultilevel"/>
    <w:tmpl w:val="E72618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F1B6CD6"/>
    <w:multiLevelType w:val="hybridMultilevel"/>
    <w:tmpl w:val="A3F21C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9F72198"/>
    <w:multiLevelType w:val="hybridMultilevel"/>
    <w:tmpl w:val="DC80DDC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711B7B95"/>
    <w:multiLevelType w:val="hybridMultilevel"/>
    <w:tmpl w:val="7C1481FE"/>
    <w:lvl w:ilvl="0" w:tplc="5242158C">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C28"/>
    <w:rsid w:val="00012389"/>
    <w:rsid w:val="000264D2"/>
    <w:rsid w:val="00032E80"/>
    <w:rsid w:val="00106C2B"/>
    <w:rsid w:val="001172E7"/>
    <w:rsid w:val="00127F0A"/>
    <w:rsid w:val="00215015"/>
    <w:rsid w:val="00255B30"/>
    <w:rsid w:val="002B013A"/>
    <w:rsid w:val="00325295"/>
    <w:rsid w:val="00433537"/>
    <w:rsid w:val="00471E4F"/>
    <w:rsid w:val="004D5451"/>
    <w:rsid w:val="00530228"/>
    <w:rsid w:val="005578E6"/>
    <w:rsid w:val="005A6770"/>
    <w:rsid w:val="00630C78"/>
    <w:rsid w:val="006416D9"/>
    <w:rsid w:val="006D3F98"/>
    <w:rsid w:val="0071481C"/>
    <w:rsid w:val="00767FCA"/>
    <w:rsid w:val="00776EA8"/>
    <w:rsid w:val="007814A1"/>
    <w:rsid w:val="007C1111"/>
    <w:rsid w:val="007C43E3"/>
    <w:rsid w:val="007D6A64"/>
    <w:rsid w:val="0084190A"/>
    <w:rsid w:val="008E5AD3"/>
    <w:rsid w:val="009A66E2"/>
    <w:rsid w:val="00A25FC3"/>
    <w:rsid w:val="00A517E4"/>
    <w:rsid w:val="00AA25ED"/>
    <w:rsid w:val="00AA434F"/>
    <w:rsid w:val="00AB0B4E"/>
    <w:rsid w:val="00AE4E15"/>
    <w:rsid w:val="00B26096"/>
    <w:rsid w:val="00B36E7B"/>
    <w:rsid w:val="00B406A0"/>
    <w:rsid w:val="00B52BA3"/>
    <w:rsid w:val="00B77842"/>
    <w:rsid w:val="00B91536"/>
    <w:rsid w:val="00BA7C28"/>
    <w:rsid w:val="00BB7AC9"/>
    <w:rsid w:val="00BD5611"/>
    <w:rsid w:val="00CC00BE"/>
    <w:rsid w:val="00D159C8"/>
    <w:rsid w:val="00D32821"/>
    <w:rsid w:val="00D43C82"/>
    <w:rsid w:val="00D445B3"/>
    <w:rsid w:val="00D5739C"/>
    <w:rsid w:val="00DF661E"/>
    <w:rsid w:val="00F5146B"/>
    <w:rsid w:val="00F76A72"/>
    <w:rsid w:val="00F82B8B"/>
    <w:rsid w:val="00FB37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9C79"/>
  <w15:chartTrackingRefBased/>
  <w15:docId w15:val="{4DE4D915-4486-49CC-B8C3-5C7500D8D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28"/>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BA7C28"/>
    <w:pPr>
      <w:jc w:val="center"/>
    </w:pPr>
    <w:rPr>
      <w:rFonts w:ascii="Arial" w:hAnsi="Arial"/>
      <w:b/>
      <w:szCs w:val="20"/>
    </w:rPr>
  </w:style>
  <w:style w:type="character" w:customStyle="1" w:styleId="TtuloCar">
    <w:name w:val="Título Car"/>
    <w:basedOn w:val="Fuentedeprrafopredeter"/>
    <w:link w:val="Ttulo"/>
    <w:rsid w:val="00BA7C28"/>
    <w:rPr>
      <w:rFonts w:ascii="Arial" w:eastAsia="Times New Roman" w:hAnsi="Arial" w:cs="Times New Roman"/>
      <w:b/>
      <w:sz w:val="24"/>
      <w:szCs w:val="20"/>
      <w:lang w:val="es-ES" w:eastAsia="es-ES"/>
    </w:rPr>
  </w:style>
  <w:style w:type="paragraph" w:styleId="Textoindependiente">
    <w:name w:val="Body Text"/>
    <w:basedOn w:val="Normal"/>
    <w:link w:val="TextoindependienteCar"/>
    <w:uiPriority w:val="1"/>
    <w:qFormat/>
    <w:rsid w:val="00BA7C28"/>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BA7C28"/>
    <w:rPr>
      <w:rFonts w:ascii="Arial MT" w:eastAsia="Arial MT" w:hAnsi="Arial MT" w:cs="Arial MT"/>
      <w:lang w:val="es-ES"/>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nhideWhenUsed/>
    <w:rsid w:val="00BB7AC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qFormat/>
    <w:rsid w:val="00BB7AC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rsid w:val="00BB7AC9"/>
    <w:pPr>
      <w:tabs>
        <w:tab w:val="center" w:pos="4419"/>
        <w:tab w:val="right" w:pos="8838"/>
      </w:tabs>
    </w:pPr>
  </w:style>
  <w:style w:type="character" w:customStyle="1" w:styleId="PiedepginaCar">
    <w:name w:val="Pie de página Car"/>
    <w:basedOn w:val="Fuentedeprrafopredeter"/>
    <w:link w:val="Piedepgina"/>
    <w:rsid w:val="00BB7AC9"/>
    <w:rPr>
      <w:rFonts w:ascii="Times New Roman" w:eastAsia="Times New Roman" w:hAnsi="Times New Roman" w:cs="Times New Roman"/>
      <w:sz w:val="24"/>
      <w:szCs w:val="24"/>
      <w:lang w:val="es-ES" w:eastAsia="es-ES"/>
    </w:rPr>
  </w:style>
  <w:style w:type="character" w:styleId="Hipervnculo">
    <w:name w:val="Hyperlink"/>
    <w:uiPriority w:val="99"/>
    <w:rsid w:val="00106C2B"/>
    <w:rPr>
      <w:rFonts w:cs="Times New Roman"/>
      <w:color w:val="0000FF"/>
      <w:u w:val="single"/>
    </w:rPr>
  </w:style>
  <w:style w:type="paragraph" w:styleId="Prrafodelista">
    <w:name w:val="List Paragraph"/>
    <w:aliases w:val="lp1,Bullet List,FooterText,Use Case List Paragraph,List1,numbered,Paragraphe de liste1,List Paragraph1,titulo 3,List Paragraph,Ha,HOJA,Bolita,BOLADEF,Párrafo de lista21,BOLA,Nivel 1 OS,Colorful List Accent 1,Colorful List - Accent 11,列出"/>
    <w:basedOn w:val="Normal"/>
    <w:link w:val="PrrafodelistaCar"/>
    <w:uiPriority w:val="34"/>
    <w:qFormat/>
    <w:rsid w:val="00D43C82"/>
    <w:pPr>
      <w:ind w:left="708"/>
    </w:pPr>
    <w:rPr>
      <w:sz w:val="20"/>
      <w:szCs w:val="20"/>
      <w:lang w:val="es-CO"/>
    </w:rPr>
  </w:style>
  <w:style w:type="character" w:customStyle="1" w:styleId="PrrafodelistaCar">
    <w:name w:val="Párrafo de lista Car"/>
    <w:aliases w:val="lp1 Car,Bullet List Car,FooterText Car,Use Case List Paragraph Car,List1 Car,numbered Car,Paragraphe de liste1 Car,List Paragraph1 Car,titulo 3 Car,List Paragraph Car,Ha Car,HOJA Car,Bolita Car,BOLADEF Car,Párrafo de lista21 Car"/>
    <w:link w:val="Prrafodelista"/>
    <w:uiPriority w:val="34"/>
    <w:qFormat/>
    <w:locked/>
    <w:rsid w:val="00D43C82"/>
    <w:rPr>
      <w:rFonts w:ascii="Times New Roman" w:eastAsia="Times New Roman" w:hAnsi="Times New Roman" w:cs="Times New Roman"/>
      <w:sz w:val="20"/>
      <w:szCs w:val="20"/>
      <w:lang w:eastAsia="es-ES"/>
    </w:rPr>
  </w:style>
  <w:style w:type="paragraph" w:styleId="NormalWeb">
    <w:name w:val="Normal (Web)"/>
    <w:aliases w:val="Normal (Web) Car Car"/>
    <w:basedOn w:val="Normal"/>
    <w:link w:val="NormalWebCar"/>
    <w:uiPriority w:val="99"/>
    <w:qFormat/>
    <w:rsid w:val="00D43C82"/>
    <w:pPr>
      <w:spacing w:before="100" w:beforeAutospacing="1" w:after="100" w:afterAutospacing="1"/>
    </w:pPr>
  </w:style>
  <w:style w:type="character" w:customStyle="1" w:styleId="NormalWebCar">
    <w:name w:val="Normal (Web) Car"/>
    <w:aliases w:val="Normal (Web) Car Car Car"/>
    <w:link w:val="NormalWeb"/>
    <w:uiPriority w:val="99"/>
    <w:rsid w:val="00D43C82"/>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68EAB-FEA6-4E85-9FE1-7635519B4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2518</Words>
  <Characters>13850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Lorena Fajardo Farfan</dc:creator>
  <cp:keywords/>
  <dc:description/>
  <cp:lastModifiedBy>Jessica Alejandra Villarreal Tafurt</cp:lastModifiedBy>
  <cp:revision>58</cp:revision>
  <dcterms:created xsi:type="dcterms:W3CDTF">2024-07-17T21:14:00Z</dcterms:created>
  <dcterms:modified xsi:type="dcterms:W3CDTF">2025-12-16T21:40:00Z</dcterms:modified>
</cp:coreProperties>
</file>