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0" w:line="276" w:lineRule="auto"/>
        <w:jc w:val="both"/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</w:rPr>
      </w:pPr>
      <w:bookmarkStart w:colFirst="0" w:colLast="0" w:name="_heading=h.f6a9sw3aksrs" w:id="0"/>
      <w:bookmarkEnd w:id="0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  <w:rtl w:val="0"/>
        </w:rPr>
        <w:t xml:space="preserve"> CONVENIO No. 2944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76" w:lineRule="auto"/>
        <w:ind w:left="0" w:right="0" w:firstLine="0"/>
        <w:jc w:val="both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bookmarkStart w:colFirst="0" w:colLast="0" w:name="_heading=h.pnelub1pirmh" w:id="1"/>
      <w:bookmarkEnd w:id="1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FECHA:14/09/2025</w:t>
      </w:r>
    </w:p>
    <w:p w:rsidR="00000000" w:rsidDel="00000000" w:rsidP="00000000" w:rsidRDefault="00000000" w:rsidRPr="00000000" w14:paraId="00000003">
      <w:pPr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NOMBRE DEL COOPERANTE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: ALIANZA INNOVACIÓN TECNOLOGÍA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FECHA, DILIGENCIAMIENTO: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434343"/>
          <w:rtl w:val="0"/>
        </w:rPr>
        <w:t xml:space="preserve">19/10/2025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Lugar de Ejecución: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EL ESPINAL - Cámara de Comercio de Sur y Oriente del Tolima</w:t>
      </w:r>
    </w:p>
    <w:p w:rsidR="00000000" w:rsidDel="00000000" w:rsidP="00000000" w:rsidRDefault="00000000" w:rsidRPr="00000000" w14:paraId="00000006">
      <w:pPr>
        <w:jc w:val="both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lineRule="auto"/>
        <w:jc w:val="both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bookmarkStart w:colFirst="0" w:colLast="0" w:name="_heading=h.6mnpu7a806zn" w:id="2"/>
      <w:bookmarkEnd w:id="2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1. OBJETIVO DEL CONVENIO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Convenio No. 2944 tuvo como propósito fortalecer los procesos de apropiación social del conocimiento, la innovación y la tecnología, mediante la organización y ejecución de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Feria de Ciencia y Tecnología FESTECH 2025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realizada en el municipio de El Espinal, promoviendo espacios de encuentro entre la academia, el sector productivo y la comunidad.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before="280" w:line="276.0005454545455" w:lineRule="auto"/>
        <w:jc w:val="both"/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</w:rPr>
      </w:pPr>
      <w:bookmarkStart w:colFirst="0" w:colLast="0" w:name="_heading=h.624s64n6h60e" w:id="3"/>
      <w:bookmarkEnd w:id="3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  <w:rtl w:val="0"/>
        </w:rPr>
        <w:t xml:space="preserve">1. Participación General</w:t>
      </w:r>
    </w:p>
    <w:p w:rsidR="00000000" w:rsidDel="00000000" w:rsidP="00000000" w:rsidRDefault="00000000" w:rsidRPr="00000000" w14:paraId="0000000B">
      <w:pPr>
        <w:spacing w:after="240" w:before="240" w:line="276.0005454545455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evento contó con la participación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aproximadamente 1.360 asistentes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entre jóvenes, docentes, emprendedores y representantes institucionales.</w:t>
        <w:br w:type="textWrapping"/>
        <w:t xml:space="preserve"> La feria promovió el interés por la ciencia y la tecnología en todos los géneros, destacando que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el 59,4 %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de los asistentes fueron hombres y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el 40,6 %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mujeres, evidenciando una creciente participación femenina en actividades de innovación y desarrollo tecnológico.</w:t>
      </w:r>
    </w:p>
    <w:p w:rsidR="00000000" w:rsidDel="00000000" w:rsidP="00000000" w:rsidRDefault="00000000" w:rsidRPr="00000000" w14:paraId="0000000C">
      <w:pPr>
        <w:spacing w:after="240" w:before="240" w:line="276.0005454545455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FESTECH 2025 despertó el interés de los jóvenes por la creación de prototipos, la investigación aplicada y la exploración de nuevas tecnologías con potencial para el desarrollo regional.</w:t>
      </w:r>
    </w:p>
    <w:p w:rsidR="00000000" w:rsidDel="00000000" w:rsidP="00000000" w:rsidRDefault="00000000" w:rsidRPr="00000000" w14:paraId="0000000D">
      <w:pPr>
        <w:spacing w:after="240" w:before="240" w:line="276.0005454545455" w:lineRule="auto"/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</w:rPr>
        <w:drawing>
          <wp:inline distB="114300" distT="114300" distL="114300" distR="114300">
            <wp:extent cx="5715000" cy="3533775"/>
            <wp:effectExtent b="0" l="0" r="0" t="0"/>
            <wp:docPr id="213131350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533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before="280" w:lineRule="auto"/>
        <w:jc w:val="both"/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</w:rPr>
      </w:pPr>
      <w:bookmarkStart w:colFirst="0" w:colLast="0" w:name="_heading=h.ew1hj6q2xtgy" w:id="4"/>
      <w:bookmarkEnd w:id="4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  <w:rtl w:val="0"/>
        </w:rPr>
        <w:t xml:space="preserve">2. Participación Municipal y Departamental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Feria de Ciencia y Tecnología FESTECH 2025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tuvo una destacada participación de diferentes municipios del Tolima y de otras regiones del país. Los datos registrados evidencian que la mayor asistencia correspondió a los municipios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El Espinal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Ibagué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que concentraron más del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95 % de los participantes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seguidos por visitantes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Bogotá D.C. (2%)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Neiva (1.5%)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Líbano (0.8%)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Chaparral (0.4%)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Cajamarca (0.4%)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y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Rovira (0.3%)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entre otros.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Este comportamiento demuestra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amplia cobertura territorial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y el interés creciente de diversas comunidades por vincularse a los procesos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innovación, ciencia y tecnología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que lidera el departamento del Tolima.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Los asistentes provenientes de municipios como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Ibagué, Neiva y Coello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se desplazaron con el propósito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explorar nuevas alternativas de creación e innovación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identificando en FESTECH un espacio ideal para el intercambio de conocimientos, la presentación de proyectos y el fortalecimiento del ecosistema tecnológico regional.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A nivel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departamental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la participación se distribuyó de la siguiente manera: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spacing w:after="0" w:afterAutospacing="0" w:before="24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Tolima: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97.4 %</w:t>
        <w:br w:type="textWrapping"/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Bogotá D.C.: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2.0 %</w:t>
        <w:br w:type="textWrapping"/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Huila: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1.5 %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Estos resultados reflejan que la feria tuvo un alcance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predominantemente departamental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con presencia significativa de visitantes de otros territorios, lo cual demuestra el posicionamiento de FESTECH como un evento de referencia en ciencia, tecnología e innovación del centro del país.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Los asistentes de municipios como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Ibagué, Neiva y Coello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viajaron con el interés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explorar nuevas alternativas de creación, innovación y emprendimiento tecnológico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encontrando en la feria un espacio idóneo para la colaboración, la investigación y la promoción de iniciativas locales.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De igual forma, diversos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emprendedores, investigadores y grupos académicos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aprovecharon el evento para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exponer, adquirir o comercializar productos y servicios tecnológicos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con el propósito de fortalecer la economía local, promover la innovación aplicada y generar soluciones que impacten positivamente sus comunidades.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FESTECH 2025 se consolidó, así, como una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plataforma regional de intercambio de conocimiento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impulsando la cooperación interinstitucional y territorial, y reafirmando el compromiso del Tolima con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ciencia, la tecnología y la innovación como motores del desarrollo sostenible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Century Gothic" w:cs="Century Gothic" w:eastAsia="Century Gothic" w:hAnsi="Century Gothic"/>
          <w:color w:val="0000e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Rule="auto"/>
        <w:jc w:val="center"/>
        <w:rPr>
          <w:rFonts w:ascii="Century Gothic" w:cs="Century Gothic" w:eastAsia="Century Gothic" w:hAnsi="Century Gothic"/>
          <w:color w:val="0000ee"/>
        </w:rPr>
      </w:pPr>
      <w:r w:rsidDel="00000000" w:rsidR="00000000" w:rsidRPr="00000000">
        <w:rPr>
          <w:rFonts w:ascii="Century Gothic" w:cs="Century Gothic" w:eastAsia="Century Gothic" w:hAnsi="Century Gothic"/>
          <w:color w:val="0000ee"/>
        </w:rPr>
        <w:drawing>
          <wp:inline distB="114300" distT="114300" distL="114300" distR="114300">
            <wp:extent cx="4818525" cy="2979455"/>
            <wp:effectExtent b="0" l="0" r="0" t="0"/>
            <wp:docPr id="213131349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18525" cy="29794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entury Gothic" w:cs="Century Gothic" w:eastAsia="Century Gothic" w:hAnsi="Century Gothic"/>
          <w:color w:val="0000ee"/>
        </w:rPr>
        <w:drawing>
          <wp:inline distB="114300" distT="114300" distL="114300" distR="114300">
            <wp:extent cx="5715000" cy="3533775"/>
            <wp:effectExtent b="0" l="0" r="0" t="0"/>
            <wp:docPr id="2131313498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533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before="280" w:lineRule="auto"/>
        <w:jc w:val="both"/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</w:rPr>
      </w:pPr>
      <w:bookmarkStart w:colFirst="0" w:colLast="0" w:name="_heading=h.vlpyrtoet1ri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3"/>
        <w:keepNext w:val="0"/>
        <w:keepLines w:val="0"/>
        <w:spacing w:before="280" w:lineRule="auto"/>
        <w:jc w:val="both"/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</w:rPr>
      </w:pPr>
      <w:bookmarkStart w:colFirst="0" w:colLast="0" w:name="_heading=h.2ozzgic9vhtz" w:id="6"/>
      <w:bookmarkEnd w:id="6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  <w:rtl w:val="0"/>
        </w:rPr>
        <w:t xml:space="preserve">3. Inclusión y Participación Social</w:t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En el marco de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Feria de Ciencia y Tecnología FESTECH 2025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se promovió un enfoque de participación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amplio, equitativo e inclusivo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garantizando el acceso de diversos grupos poblacionales al conocimiento y la innovación tecnológica.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De acuerdo con los registros del evento, 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98.7 % de los participantes no presentan discapacidad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mientras que 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1.3 % corresponde a personas con algún tipo de discapacidad física, sensorial o cognitiva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quienes participaron activamente en los talleres de robótica e inteligencia artificial. Este dato resalta la disposición institucional por consolidar un espacio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accesible y sin barreras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que fomente la integración social.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En cuanto a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situación socioeconómica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se evidenció la presencia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madres y padres cabeza de hogar (4.2 %)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así como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personas en condición de víctima del conflicto armado (3.5 %)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 Su participación refleja el interés de estos grupos por acceder a espacios de formación y emprendimiento que promuevan su inclusión productiva y tecnológica.</w:t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La feria permitió, además, fortalecer procesos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interacción entre jóvenes, docentes, emprendedores y comunidades con situaciones diferenciales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generando un entorno de aprendizaje compartido donde la ciencia y la tecnología se convierten en herramientas de transformación social.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FESTECH 2025 reafirmó así su carácter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inclusivo y participativo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demostrando que la innovación no solo se mide por los avances tecnológicos, sino también por su capacidad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impactar positivamente la vida de las personas, reducir brechas y generar oportunidades reales de desarrollo humano sostenible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Century Gothic" w:cs="Century Gothic" w:eastAsia="Century Gothic" w:hAnsi="Century Gothic"/>
          <w:color w:val="0000e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Rule="auto"/>
        <w:jc w:val="center"/>
        <w:rPr>
          <w:rFonts w:ascii="Century Gothic" w:cs="Century Gothic" w:eastAsia="Century Gothic" w:hAnsi="Century Gothic"/>
          <w:color w:val="0000ee"/>
        </w:rPr>
      </w:pPr>
      <w:r w:rsidDel="00000000" w:rsidR="00000000" w:rsidRPr="00000000">
        <w:rPr>
          <w:rFonts w:ascii="Century Gothic" w:cs="Century Gothic" w:eastAsia="Century Gothic" w:hAnsi="Century Gothic"/>
          <w:color w:val="0000ee"/>
        </w:rPr>
        <w:drawing>
          <wp:inline distB="114300" distT="114300" distL="114300" distR="114300">
            <wp:extent cx="4464226" cy="2760380"/>
            <wp:effectExtent b="0" l="0" r="0" t="0"/>
            <wp:docPr id="213131349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64226" cy="27603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entury Gothic" w:cs="Century Gothic" w:eastAsia="Century Gothic" w:hAnsi="Century Gothic"/>
          <w:color w:val="0000ee"/>
        </w:rPr>
        <w:drawing>
          <wp:inline distB="114300" distT="114300" distL="114300" distR="114300">
            <wp:extent cx="4243388" cy="2623828"/>
            <wp:effectExtent b="0" l="0" r="0" t="0"/>
            <wp:docPr id="213131350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43388" cy="26238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4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.  Nivel Académico 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gráfica de nivel académico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correspondiente a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Feria de Ciencia y Tecnología FESTECH 2025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evidencia una amplia participación de personas con diferentes grados de formación, destacándose los niveles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técnico, tecnólogo y universitario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como los de mayor representación.</w:t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Los resultados muestran que: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45 %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de los asistentes cuenta con formación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técnica o tecnológica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</w:t>
        <w:br w:type="textWrapping"/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31 %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posee nivel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universitario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</w:t>
        <w:br w:type="textWrapping"/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19 %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cursa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educación media o secundaria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y</w:t>
        <w:br w:type="textWrapping"/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5 %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pertenece a otros niveles académicos (posgrado, básica o formación complementaria).</w:t>
        <w:br w:type="textWrapping"/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Este panorama demuestra que el evento logró convocar a un público con una sólida base académica, caracterizado por su interés en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aplicación práctica del conocimiento científico y tecnológico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 Los participantes manifestaron gran motivación por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desarrollar ideas innovadoras, fortalecer competencias digitales y aplicar la tecnología a la solución de problemas reales de sus comunidades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espacio se convirtió en un escenario idóneo para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despertar el interés por la investigación, la creación de prototipos y el trabajo interdisciplinario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promoviendo el pensamiento crítico y la experimentación como pilares de la innovación educativa.</w:t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Asimismo, se evidenció que los jóvenes de formación técnica y tecnológica son quienes más se sienten identificados con este tipo de iniciativas, al encontrar en ellas una oportunidad para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vincular la teoría con la práctica y consolidar proyectos de base tecnológica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con proyección regional.</w:t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En conclusión, la gráfica de nivel académico refleja que FESTECH 2025 fue un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escenario de fortalecimiento de capacidades humanas y científicas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que motiva a los estudiantes y profesionales del Tolima 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convertirse en generadores de conocimiento, innovación y desarrollo sostenible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Century Gothic" w:cs="Century Gothic" w:eastAsia="Century Gothic" w:hAnsi="Century Gothic"/>
          <w:b w:val="1"/>
          <w:bCs w:val="1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5.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 Ocupación </w:t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gráfica de ocupación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de los asistentes a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Feria de Ciencia y Tecnología FESTECH 2025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permite identificar la diversidad de perfiles participantes y el impacto del evento en distintos sectores sociales y productivos.</w:t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Según los registros consolidados, se observó la siguiente distribución porcentual: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Estudiantes: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61 %</w:t>
        <w:br w:type="textWrapping"/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Empleados: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24 %</w:t>
        <w:br w:type="textWrapping"/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Independientes o emprendedores: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10 %</w:t>
        <w:br w:type="textWrapping"/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Docentes y formadores: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3 %</w:t>
        <w:br w:type="textWrapping"/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Arial" w:cs="Arial" w:eastAsia="Arial" w:hAnsi="Arial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Otros (funcionarios, técnicos de apoyo, invitados especiales):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2 %</w:t>
        <w:br w:type="textWrapping"/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Estos resultados evidencian que la feria logró atraer principalmente 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población estudiantil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lo cual refleja el interés de las instituciones educativas por fomentar la participación de sus aprendices en espacios de ciencia, tecnología e innovación.</w:t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alto porcentaje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estudiantes (61 %)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demuestra que FESTECH 2025 se consolidó como un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escenario formativo y de vocaciones científicas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donde los jóvenes pudieron interactuar con nuevas tecnologías, participar en talleres prácticos y despertar su interés por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investigación y el desarrollo de prototipos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La presencia del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24 % de empleados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y 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10 % de emprendedores e independientes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muestra que el evento también tuvo impacto en el sector laboral y productivo, al promover la actualización tecnológica, el intercambio de conocimientos y la generación de alianzas para futuros proyectos de innovación. Los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docentes y formadores (3 %)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desempeñaron un papel importante como facilitadores del aprendizaje, acompañando a los participantes en los procesos de reflexión, observación y creación tecnológica, lo que fortaleció el vínculo entre la educación formal y el desarrollo científico regional.</w:t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Century Gothic" w:cs="Century Gothic" w:eastAsia="Century Gothic" w:hAnsi="Century Gothic"/>
          <w:color w:val="0000ee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En síntesis, la gráfica de ocupación confirma que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FESTECH 2025 fue un espacio de convergencia entre la academia, el sector productivo y la sociedad civil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promoviendo la participación activa de diferentes actores sociales con un mismo propósito: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impulsar la ciencia, la tecnología y la innovación en el Tolima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jc w:val="center"/>
        <w:rPr>
          <w:rFonts w:ascii="Century Gothic" w:cs="Century Gothic" w:eastAsia="Century Gothic" w:hAnsi="Century Gothic"/>
          <w:color w:val="0000ee"/>
        </w:rPr>
      </w:pPr>
      <w:r w:rsidDel="00000000" w:rsidR="00000000" w:rsidRPr="00000000">
        <w:rPr>
          <w:rFonts w:ascii="Century Gothic" w:cs="Century Gothic" w:eastAsia="Century Gothic" w:hAnsi="Century Gothic"/>
          <w:color w:val="0000ee"/>
        </w:rPr>
        <w:drawing>
          <wp:inline distB="114300" distT="114300" distL="114300" distR="114300">
            <wp:extent cx="4576763" cy="2829965"/>
            <wp:effectExtent b="0" l="0" r="0" t="0"/>
            <wp:docPr id="213131349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76763" cy="28299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Heading3"/>
        <w:keepNext w:val="0"/>
        <w:keepLines w:val="0"/>
        <w:spacing w:before="280" w:lineRule="auto"/>
        <w:jc w:val="both"/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</w:rPr>
      </w:pPr>
      <w:bookmarkStart w:colFirst="0" w:colLast="0" w:name="_heading=h.penr67jnjvdn" w:id="7"/>
      <w:bookmarkEnd w:id="7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color w:val="000000"/>
          <w:sz w:val="24"/>
          <w:szCs w:val="24"/>
          <w:rtl w:val="0"/>
        </w:rPr>
        <w:t xml:space="preserve">6.  Participación Institucional y Empresarial</w:t>
      </w:r>
    </w:p>
    <w:p w:rsidR="00000000" w:rsidDel="00000000" w:rsidP="00000000" w:rsidRDefault="00000000" w:rsidRPr="00000000" w14:paraId="0000003F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Feria de Ciencia y Tecnología FESTECH 2025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se consolidó como un escenario de articulación entre los sectores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académico, empresarial, gubernamental y comunitario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generando un espacio propicio para el intercambio de conocimientos, la presentación de proyectos y la difusión de avances tecnológicos desarrollados en el departamento del Tolima y otras regiones del país.</w:t>
      </w:r>
    </w:p>
    <w:p w:rsidR="00000000" w:rsidDel="00000000" w:rsidP="00000000" w:rsidRDefault="00000000" w:rsidRPr="00000000" w14:paraId="00000040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De acuerdo con el análisis de los registros de asistencia, la distribución de participantes según su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institución o tipo de entidad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fue la siguiente:</w:t>
      </w:r>
    </w:p>
    <w:p w:rsidR="00000000" w:rsidDel="00000000" w:rsidP="00000000" w:rsidRDefault="00000000" w:rsidRPr="00000000" w14:paraId="00000041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Instituciones educativas (universidades, colegios y centros de formación técnica): 62 %</w:t>
        <w:br w:type="textWrapping"/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Entidades públicas (alcaldías, gobernaciones y dependencias departamentales): 18 %</w:t>
        <w:br w:type="textWrapping"/>
      </w:r>
    </w:p>
    <w:p w:rsidR="00000000" w:rsidDel="00000000" w:rsidP="00000000" w:rsidRDefault="00000000" w:rsidRPr="00000000" w14:paraId="00000043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Empresas privadas y emprendimientos tecnológicos: 14 %</w:t>
        <w:br w:type="textWrapping"/>
      </w:r>
    </w:p>
    <w:p w:rsidR="00000000" w:rsidDel="00000000" w:rsidP="00000000" w:rsidRDefault="00000000" w:rsidRPr="00000000" w14:paraId="00000044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Grupos de investigación y semilleros: 6 %</w:t>
        <w:br w:type="textWrapping"/>
      </w:r>
    </w:p>
    <w:p w:rsidR="00000000" w:rsidDel="00000000" w:rsidP="00000000" w:rsidRDefault="00000000" w:rsidRPr="00000000" w14:paraId="00000045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Estos porcentajes reflejan una marcada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presencia del sector educativo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lo que demuestra que FESTECH 2025 cumplió con su propósito de fomentar el interés por la ciencia, la investigación aplicada y la formación de vocaciones tempranas en tecnología e innovación.</w:t>
      </w:r>
    </w:p>
    <w:p w:rsidR="00000000" w:rsidDel="00000000" w:rsidP="00000000" w:rsidRDefault="00000000" w:rsidRPr="00000000" w14:paraId="00000046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14 % de empresas privadas y emprendimientos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corresponde a proyectos con enfoques en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automatización, desarrollo de software, agricultura inteligente, energías limpias y soluciones ambientales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los cuales aprovecharon la feria como vitrina comercial para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exponer productos y servicios tecnológicos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buscando posicionarse en 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mercado emergente de innovación regional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</w:p>
    <w:p w:rsidR="00000000" w:rsidDel="00000000" w:rsidP="00000000" w:rsidRDefault="00000000" w:rsidRPr="00000000" w14:paraId="00000047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Por su parte, el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18 % de entidades públicas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participó activamente en los espacios institucionales, resaltando la importancia del acompañamiento gubernamental en la promoción de la ciencia y la tecnología como ejes de competitividad territorial.</w:t>
      </w:r>
    </w:p>
    <w:p w:rsidR="00000000" w:rsidDel="00000000" w:rsidP="00000000" w:rsidRDefault="00000000" w:rsidRPr="00000000" w14:paraId="00000048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Los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grupos de investigación y semilleros (6 %)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 fortalecieron la conexión entre la academia y la sociedad, compartiendo experiencias de desarrollo experimental, prototipado y trabajo interdisciplinario, lo que contribuyó a nutrir la dinámica del evento con nuevas ideas y proyectos.</w:t>
      </w:r>
    </w:p>
    <w:p w:rsidR="00000000" w:rsidDel="00000000" w:rsidP="00000000" w:rsidRDefault="00000000" w:rsidRPr="00000000" w14:paraId="00000049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Además, la participación institucional y empresarial estuvo orientada al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intercambio de conocimientos, la creación de alianzas estratégicas y la exploración de nuevas oportunidades de mercado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evidenciando el interés por seguir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desarrollando prototipos, innovaciones y soluciones tecnológicas propias del territorio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</w:p>
    <w:p w:rsidR="00000000" w:rsidDel="00000000" w:rsidP="00000000" w:rsidRDefault="00000000" w:rsidRPr="00000000" w14:paraId="0000004A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FESTECH 2025 permitió demostrar que el Tolima cuenta con talento, capacidad técnica y creatividad suficientes para generar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productos y servicios de base tecnológica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reafirmando la importancia de este tipo de escenarios como impulsores de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economía del conocimiento, la competitividad y la transformación digital regional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</w:p>
    <w:p w:rsidR="00000000" w:rsidDel="00000000" w:rsidP="00000000" w:rsidRDefault="00000000" w:rsidRPr="00000000" w14:paraId="0000004B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En conclusión, la participación de instituciones y empresas en FESTECH 2025 no solo fortaleció la red de innovación departamental, sino que también evidenció el compromiso del territorio con la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formación, la transferencia tecnológica y la sostenibilidad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consolidando a la feria como un referente nacional en ciencia y tecnología aplicada.</w:t>
      </w:r>
    </w:p>
    <w:p w:rsidR="00000000" w:rsidDel="00000000" w:rsidP="00000000" w:rsidRDefault="00000000" w:rsidRPr="00000000" w14:paraId="0000004C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Las empresas asistentes mostraron productos y servicios tecnológicos con aplicaciones en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automatización, energías limpias, agricultura inteligente, software y soluciones ambientales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, reflejando su intención de </w:t>
      </w: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ingresar o consolidarse en el mercado de innovación regional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.</w:t>
      </w:r>
    </w:p>
    <w:p w:rsidR="00000000" w:rsidDel="00000000" w:rsidP="00000000" w:rsidRDefault="00000000" w:rsidRPr="00000000" w14:paraId="0000004D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Asimismo, las instituciones públicas y los semilleros de investigación contribuyeron a la articulación entre conocimiento y desarrollo productivo, reafirmando la importancia de este tipo de ferias como motores de competitividad.</w:t>
      </w:r>
    </w:p>
    <w:p w:rsidR="00000000" w:rsidDel="00000000" w:rsidP="00000000" w:rsidRDefault="00000000" w:rsidRPr="00000000" w14:paraId="0000004E">
      <w:pPr>
        <w:spacing w:after="240" w:before="240" w:lineRule="auto"/>
        <w:jc w:val="center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</w:rPr>
        <w:drawing>
          <wp:inline distB="114300" distT="114300" distL="114300" distR="114300">
            <wp:extent cx="4176713" cy="2582601"/>
            <wp:effectExtent b="0" l="0" r="0" t="0"/>
            <wp:docPr id="213131349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76713" cy="25826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Style w:val="Heading2"/>
        <w:keepNext w:val="0"/>
        <w:keepLines w:val="0"/>
        <w:spacing w:after="80" w:lineRule="auto"/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bookmarkStart w:colFirst="0" w:colLast="0" w:name="_heading=h.ptngxn89klv" w:id="8"/>
      <w:bookmarkEnd w:id="8"/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8. CONCLUSIONES Y PROYECCIÓN FESTECH 2026</w:t>
      </w:r>
    </w:p>
    <w:p w:rsidR="00000000" w:rsidDel="00000000" w:rsidP="00000000" w:rsidRDefault="00000000" w:rsidRPr="00000000" w14:paraId="00000050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rtl w:val="0"/>
        </w:rPr>
        <w:t xml:space="preserve">La ejecución del Convenio No. 2944 permitió alcanzar los objetivos propuestos, desa</w:t>
      </w: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rrollando talleres, muestras y espacios de divulgación científica con resultados exitosos.</w:t>
        <w:br w:type="textWrapping"/>
        <w:t xml:space="preserve">FESTECH 2025 demostró la capacidad del Tolima para liderar procesos de innovación regional, articulando la academia, el sector público y la comunidad.</w:t>
      </w:r>
    </w:p>
    <w:p w:rsidR="00000000" w:rsidDel="00000000" w:rsidP="00000000" w:rsidRDefault="00000000" w:rsidRPr="00000000" w14:paraId="00000051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El evento impactó positivamente a la población juvenil y profesional, despertando su interés por la investigación aplicada, la creación de prototipos y la apropiación social del conocimiento, consolidando un ecosistema de innovación con visión sostenible.</w:t>
      </w:r>
    </w:p>
    <w:p w:rsidR="00000000" w:rsidDel="00000000" w:rsidP="00000000" w:rsidRDefault="00000000" w:rsidRPr="00000000" w14:paraId="00000052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Para el año 2026, se proyecta la continuidad de la feria con un alcance regional y nacional, ampliando su cobertura a más municipios del Tolima e incorporando nuevas temáticas como:</w:t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Inteligencia Artificial aplicada al desarrollo rural.</w:t>
        <w:br w:type="textWrapping"/>
      </w:r>
    </w:p>
    <w:p w:rsidR="00000000" w:rsidDel="00000000" w:rsidP="00000000" w:rsidRDefault="00000000" w:rsidRPr="00000000" w14:paraId="00000054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Sostenibilidad ambiental y tecnologías verdes.</w:t>
        <w:br w:type="textWrapping"/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Economía digital y emprendimiento tecnológico.</w:t>
        <w:br w:type="textWrapping"/>
      </w:r>
    </w:p>
    <w:p w:rsidR="00000000" w:rsidDel="00000000" w:rsidP="00000000" w:rsidRDefault="00000000" w:rsidRPr="00000000" w14:paraId="00000056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Innovación educativa y vocaciones científicas.</w:t>
        <w:br w:type="textWrapping"/>
      </w:r>
    </w:p>
    <w:p w:rsidR="00000000" w:rsidDel="00000000" w:rsidP="00000000" w:rsidRDefault="00000000" w:rsidRPr="00000000" w14:paraId="00000057">
      <w:pPr>
        <w:spacing w:after="240" w:before="240" w:lineRule="auto"/>
        <w:jc w:val="both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Con ello, FESTECH se perfila como un laboratorio vivo de ciencia, tecnología e innovación, impulsando el desarrollo productivo del Tolima y su posicionamiento como territorio inteligente y sostenible.</w:t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4" w:type="default"/>
      <w:headerReference r:id="rId15" w:type="first"/>
      <w:headerReference r:id="rId16" w:type="even"/>
      <w:pgSz w:h="15840" w:w="12240" w:orient="portrait"/>
      <w:pgMar w:bottom="1440" w:top="1440" w:left="1440" w:right="1440" w:header="144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9">
    <w:pPr>
      <w:rPr/>
    </w:pPr>
    <w:r w:rsidDel="00000000" w:rsidR="00000000" w:rsidRPr="00000000">
      <w:rPr>
        <w:rtl w:val="0"/>
      </w:rPr>
    </w:r>
  </w:p>
  <w:tbl>
    <w:tblPr>
      <w:tblStyle w:val="Table1"/>
      <w:tblpPr w:leftFromText="180" w:rightFromText="180" w:topFromText="180" w:bottomFromText="180" w:vertAnchor="text" w:horzAnchor="text" w:tblpX="0" w:tblpY="0"/>
      <w:tblW w:w="9360.0" w:type="dxa"/>
      <w:jc w:val="left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600"/>
    </w:tblPr>
    <w:tblGrid>
      <w:gridCol w:w="1438"/>
      <w:gridCol w:w="2538"/>
      <w:gridCol w:w="3007"/>
      <w:gridCol w:w="2377"/>
      <w:tblGridChange w:id="0">
        <w:tblGrid>
          <w:gridCol w:w="1438"/>
          <w:gridCol w:w="2538"/>
          <w:gridCol w:w="3007"/>
          <w:gridCol w:w="2377"/>
        </w:tblGrid>
      </w:tblGridChange>
    </w:tblGrid>
    <w:tr>
      <w:trPr>
        <w:cantSplit w:val="0"/>
        <w:trHeight w:val="345" w:hRule="atLeast"/>
        <w:tblHeader w:val="0"/>
      </w:trPr>
      <w:tc>
        <w:tcPr>
          <w:vMerge w:val="restart"/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5A">
          <w:pPr>
            <w:spacing w:after="240" w:before="240" w:lineRule="auto"/>
            <w:ind w:left="80" w:firstLine="0"/>
            <w:rPr/>
          </w:pPr>
          <w:r w:rsidDel="00000000" w:rsidR="00000000" w:rsidRPr="00000000">
            <w:rPr>
              <w:rtl w:val="0"/>
            </w:rPr>
            <w:t xml:space="preserve"> </w:t>
          </w:r>
          <w:r w:rsidDel="00000000" w:rsidR="00000000" w:rsidRPr="00000000">
            <w:rPr/>
            <w:drawing>
              <wp:inline distB="114300" distT="114300" distL="114300" distR="114300">
                <wp:extent cx="762429" cy="881029"/>
                <wp:effectExtent b="0" l="0" r="0" t="0"/>
                <wp:docPr id="2131313500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17379" l="32210" r="46153" t="3817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429" cy="88102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Merge w:val="restart"/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5B">
          <w:pPr>
            <w:ind w:left="760" w:firstLine="380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GOBERNACIÓN DEL TOLIMA SISTEMA INTEGRADO DE GESTIÓN</w:t>
          </w:r>
        </w:p>
      </w:tc>
      <w:tc>
        <w:tcPr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5D">
          <w:pPr>
            <w:ind w:left="80" w:firstLine="0"/>
            <w:jc w:val="center"/>
            <w:rPr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b w:val="1"/>
              <w:bCs w:val="1"/>
              <w:sz w:val="20"/>
              <w:szCs w:val="20"/>
              <w:rtl w:val="0"/>
            </w:rPr>
            <w:t xml:space="preserve">Código: FOR-GB-017</w:t>
          </w:r>
        </w:p>
      </w:tc>
    </w:tr>
    <w:tr>
      <w:trPr>
        <w:cantSplit w:val="0"/>
        <w:trHeight w:val="300" w:hRule="atLeast"/>
        <w:tblHeader w:val="0"/>
      </w:trPr>
      <w:tc>
        <w:tcPr>
          <w:vMerge w:val="continue"/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5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  <w:vMerge w:val="continue"/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5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61">
          <w:pPr>
            <w:ind w:left="100" w:firstLine="0"/>
            <w:jc w:val="center"/>
            <w:rPr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b w:val="1"/>
              <w:bCs w:val="1"/>
              <w:sz w:val="20"/>
              <w:szCs w:val="20"/>
              <w:rtl w:val="0"/>
            </w:rPr>
            <w:t xml:space="preserve">Versión: 01</w:t>
          </w:r>
        </w:p>
      </w:tc>
    </w:tr>
    <w:tr>
      <w:trPr>
        <w:cantSplit w:val="0"/>
        <w:trHeight w:val="555" w:hRule="atLeast"/>
        <w:tblHeader w:val="0"/>
      </w:trPr>
      <w:tc>
        <w:tcPr>
          <w:vMerge w:val="continue"/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6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63">
          <w:pPr>
            <w:spacing w:before="140" w:lineRule="auto"/>
            <w:ind w:left="700" w:firstLine="0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PROCESO:</w:t>
          </w:r>
        </w:p>
      </w:tc>
      <w:tc>
        <w:tcPr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64">
          <w:pPr>
            <w:spacing w:line="294" w:lineRule="auto"/>
            <w:ind w:left="640" w:firstLine="380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GESTIÓN CONTRACTUAL</w:t>
          </w:r>
        </w:p>
      </w:tc>
      <w:tc>
        <w:tcPr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65">
          <w:pPr>
            <w:spacing w:before="160" w:lineRule="auto"/>
            <w:ind w:left="100" w:firstLine="0"/>
            <w:jc w:val="center"/>
            <w:rPr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b w:val="1"/>
              <w:bCs w:val="1"/>
              <w:sz w:val="20"/>
              <w:szCs w:val="20"/>
              <w:rtl w:val="0"/>
            </w:rPr>
            <w:t xml:space="preserve">Pág. 1 de 1</w:t>
          </w:r>
        </w:p>
      </w:tc>
    </w:tr>
    <w:tr>
      <w:trPr>
        <w:cantSplit w:val="0"/>
        <w:trHeight w:val="465" w:hRule="atLeast"/>
        <w:tblHeader w:val="0"/>
      </w:trPr>
      <w:tc>
        <w:tcPr>
          <w:vMerge w:val="continue"/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6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67">
          <w:pPr>
            <w:spacing w:before="40" w:lineRule="auto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FORMATO ANEXO AL INFORME DE ACTIVIDADES</w:t>
          </w:r>
        </w:p>
      </w:tc>
      <w:tc>
        <w:tcPr>
          <w:tcBorders>
            <w:top w:color="622322" w:space="0" w:sz="9" w:val="single"/>
            <w:left w:color="622322" w:space="0" w:sz="9" w:val="single"/>
            <w:bottom w:color="622322" w:space="0" w:sz="9" w:val="single"/>
            <w:right w:color="622322" w:space="0" w:sz="9" w:val="single"/>
          </w:tcBorders>
          <w:tcMar>
            <w:top w:w="0.0" w:type="dxa"/>
            <w:left w:w="0.0" w:type="dxa"/>
            <w:bottom w:w="0.0" w:type="dxa"/>
            <w:right w:w="0.0" w:type="dxa"/>
          </w:tcMar>
        </w:tcPr>
        <w:p w:rsidR="00000000" w:rsidDel="00000000" w:rsidP="00000000" w:rsidRDefault="00000000" w:rsidRPr="00000000" w14:paraId="00000069">
          <w:pPr>
            <w:ind w:left="100" w:firstLine="0"/>
            <w:jc w:val="center"/>
            <w:rPr>
              <w:b w:val="1"/>
              <w:bCs w:val="1"/>
              <w:sz w:val="20"/>
              <w:szCs w:val="20"/>
            </w:rPr>
          </w:pPr>
          <w:r w:rsidDel="00000000" w:rsidR="00000000" w:rsidRPr="00000000">
            <w:rPr>
              <w:b w:val="1"/>
              <w:bCs w:val="1"/>
              <w:sz w:val="20"/>
              <w:szCs w:val="20"/>
              <w:rtl w:val="0"/>
            </w:rPr>
            <w:t xml:space="preserve">Vigente desde:</w:t>
          </w:r>
        </w:p>
        <w:p w:rsidR="00000000" w:rsidDel="00000000" w:rsidP="00000000" w:rsidRDefault="00000000" w:rsidRPr="00000000" w14:paraId="0000006A">
          <w:pPr>
            <w:ind w:left="80" w:firstLine="0"/>
            <w:jc w:val="center"/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05/09/2023</w:t>
          </w:r>
        </w:p>
      </w:tc>
    </w:tr>
  </w:tbl>
  <w:p w:rsidR="00000000" w:rsidDel="00000000" w:rsidP="00000000" w:rsidRDefault="00000000" w:rsidRPr="00000000" w14:paraId="0000006B">
    <w:pPr>
      <w:pBdr>
        <w:top w:color="000000" w:space="0" w:sz="0" w:val="none"/>
        <w:bottom w:color="000000" w:space="0" w:sz="0" w:val="none"/>
        <w:between w:color="000000" w:space="0" w:sz="0" w:val="none"/>
      </w:pBdr>
      <w:spacing w:after="240" w:before="240" w:line="276" w:lineRule="auto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802CDD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802CDD"/>
  </w:style>
  <w:style w:type="paragraph" w:styleId="Piedepgina">
    <w:name w:val="footer"/>
    <w:basedOn w:val="Normal"/>
    <w:link w:val="PiedepginaCar"/>
    <w:uiPriority w:val="99"/>
    <w:unhideWhenUsed w:val="1"/>
    <w:rsid w:val="00802CDD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802CDD"/>
  </w:style>
  <w:style w:type="paragraph" w:styleId="Prrafodelista">
    <w:name w:val="List Paragraph"/>
    <w:basedOn w:val="Normal"/>
    <w:uiPriority w:val="34"/>
    <w:qFormat w:val="1"/>
    <w:rsid w:val="00802CDD"/>
    <w:pPr>
      <w:ind w:left="720"/>
      <w:contextualSpacing w:val="1"/>
    </w:pPr>
  </w:style>
  <w:style w:type="paragraph" w:styleId="Sinespaciado">
    <w:name w:val="No Spacing"/>
    <w:uiPriority w:val="1"/>
    <w:qFormat w:val="1"/>
    <w:rsid w:val="00F92451"/>
    <w:pPr>
      <w:spacing w:line="240" w:lineRule="auto"/>
    </w:pPr>
  </w:style>
  <w:style w:type="paragraph" w:styleId="NormalWeb">
    <w:name w:val="Normal (Web)"/>
    <w:basedOn w:val="Normal"/>
    <w:uiPriority w:val="99"/>
    <w:semiHidden w:val="1"/>
    <w:unhideWhenUsed w:val="1"/>
    <w:rsid w:val="000F3F7B"/>
    <w:pPr>
      <w:spacing w:after="100" w:afterAutospacing="1" w:before="100" w:beforeAutospacing="1"/>
    </w:pPr>
  </w:style>
  <w:style w:type="character" w:styleId="Textoennegrita">
    <w:name w:val="Strong"/>
    <w:basedOn w:val="Fuentedeprrafopredeter"/>
    <w:uiPriority w:val="22"/>
    <w:qFormat w:val="1"/>
    <w:rsid w:val="000729DA"/>
    <w:rPr>
      <w:b w:val="1"/>
      <w:bCs w:val="1"/>
    </w:rPr>
  </w:style>
  <w:style w:type="numbering" w:styleId="Listaactual1" w:customStyle="1">
    <w:name w:val="Lista actual1"/>
    <w:uiPriority w:val="99"/>
    <w:rsid w:val="00AE3B4A"/>
    <w:pPr>
      <w:numPr>
        <w:numId w:val="29"/>
      </w:numPr>
    </w:pPr>
  </w:style>
  <w:style w:type="character" w:styleId="Hipervnculo">
    <w:name w:val="Hyperlink"/>
    <w:basedOn w:val="Fuentedeprrafopredeter"/>
    <w:uiPriority w:val="99"/>
    <w:semiHidden w:val="1"/>
    <w:unhideWhenUsed w:val="1"/>
    <w:rsid w:val="00ED3CCF"/>
    <w:rPr>
      <w:color w:val="467886"/>
      <w:u w:val="single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ED3CCF"/>
    <w:rPr>
      <w:color w:val="96607d"/>
      <w:u w:val="single"/>
    </w:rPr>
  </w:style>
  <w:style w:type="paragraph" w:styleId="msonormal0" w:customStyle="1">
    <w:name w:val="msonormal"/>
    <w:basedOn w:val="Normal"/>
    <w:rsid w:val="00ED3CCF"/>
    <w:pPr>
      <w:spacing w:after="100" w:afterAutospacing="1" w:before="100" w:beforeAutospacing="1"/>
    </w:pPr>
  </w:style>
  <w:style w:type="paragraph" w:styleId="xl65" w:customStyle="1">
    <w:name w:val="xl65"/>
    <w:basedOn w:val="Normal"/>
    <w:rsid w:val="00ED3CCF"/>
    <w:pPr>
      <w:spacing w:after="100" w:afterAutospacing="1" w:before="100" w:beforeAutospacing="1"/>
    </w:pPr>
  </w:style>
  <w:style w:type="paragraph" w:styleId="xl66" w:customStyle="1">
    <w:name w:val="xl66"/>
    <w:basedOn w:val="Normal"/>
    <w:rsid w:val="00ED3CC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type="paragraph" w:styleId="xl67" w:customStyle="1">
    <w:name w:val="xl67"/>
    <w:basedOn w:val="Normal"/>
    <w:rsid w:val="00ED3CC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ptos" w:hAnsi="Aptos"/>
      <w:b w:val="1"/>
      <w:bCs w:val="1"/>
      <w:color w:val="000000"/>
      <w:sz w:val="16"/>
      <w:szCs w:val="16"/>
    </w:rPr>
  </w:style>
  <w:style w:type="paragraph" w:styleId="xl68" w:customStyle="1">
    <w:name w:val="xl68"/>
    <w:basedOn w:val="Normal"/>
    <w:rsid w:val="00ED3CCF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ptos" w:hAnsi="Aptos"/>
      <w:color w:val="000000"/>
      <w:sz w:val="16"/>
      <w:szCs w:val="16"/>
    </w:rPr>
  </w:style>
  <w:style w:type="paragraph" w:styleId="xl69" w:customStyle="1">
    <w:name w:val="xl69"/>
    <w:basedOn w:val="Normal"/>
    <w:rsid w:val="008A62F8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4"/>
      <w:szCs w:val="14"/>
    </w:rPr>
  </w:style>
  <w:style w:type="paragraph" w:styleId="xl70" w:customStyle="1">
    <w:name w:val="xl70"/>
    <w:basedOn w:val="Normal"/>
    <w:rsid w:val="008A62F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" w:cs="Arial" w:hAnsi="Arial"/>
      <w:color w:val="000000"/>
      <w:sz w:val="14"/>
      <w:szCs w:val="14"/>
    </w:rPr>
  </w:style>
  <w:style w:type="paragraph" w:styleId="xl71" w:customStyle="1">
    <w:name w:val="xl71"/>
    <w:basedOn w:val="Normal"/>
    <w:rsid w:val="008A62F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" w:cs="Arial" w:hAnsi="Arial"/>
      <w:color w:val="000000"/>
      <w:sz w:val="14"/>
      <w:szCs w:val="1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rFonts w:ascii="Arial" w:cs="Arial" w:eastAsia="Arial" w:hAnsi="Arial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3" Type="http://schemas.openxmlformats.org/officeDocument/2006/relationships/image" Target="media/image3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header" Target="header2.xml"/><Relationship Id="rId14" Type="http://schemas.openxmlformats.org/officeDocument/2006/relationships/header" Target="header1.xml"/><Relationship Id="rId16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nVvJsBbbqMyIMS1oqiK+U7YtUQ==">CgMxLjAyDmguZjZhOXN3M2Frc3JzMg5oLnBuZWx1YjFwaXJtaDIOaC42bW5wdTdhODA2em4yDmguNjI0czY0bjZoNjBlMg5oLmV3MWhqNnEyeHRneTIOaC52bHB5cnRvZXQxcmkyDmguMm96emdpYzl2aHR6Mg5oLnBlbnI2N2puanZkbjINaC5wdG5neG44OWtsdjgAciExeUJtYmFvWk16OTBMdGpENGZFVFdCa0U0X055Uk04NFc=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2024-11-24T19:13:00Z</dcterms:created>
</cp:coreProperties>
</file>