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3"/>
        <w:tblpPr w:leftFromText="142" w:rightFromText="142" w:vertAnchor="text" w:horzAnchor="margin" w:tblpY="1"/>
        <w:tblW w:w="5000" w:type="pct"/>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2609"/>
        <w:gridCol w:w="598"/>
        <w:gridCol w:w="2594"/>
        <w:gridCol w:w="614"/>
        <w:gridCol w:w="2580"/>
        <w:gridCol w:w="625"/>
      </w:tblGrid>
      <w:tr w14:paraId="1B32F2ED">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6"/>
            <w:tcBorders>
              <w:top w:val="single" w:color="000000" w:themeColor="text1" w:sz="4" w:space="0"/>
              <w:left w:val="single" w:color="000000" w:themeColor="text1" w:sz="4" w:space="0"/>
              <w:bottom w:val="single" w:color="000000" w:themeColor="text1" w:sz="4" w:space="0"/>
              <w:right w:val="single" w:color="000000" w:themeColor="text1" w:sz="4" w:space="0"/>
              <w:insideH w:val="single" w:sz="4" w:space="0"/>
              <w:insideV w:val="nil"/>
            </w:tcBorders>
            <w:shd w:val="clear" w:color="auto" w:fill="000000" w:themeFill="text1"/>
            <w:vAlign w:val="center"/>
          </w:tcPr>
          <w:p w14:paraId="64EAB51C">
            <w:pPr>
              <w:jc w:val="center"/>
              <w:rPr>
                <w:rFonts w:cs="Calibri"/>
                <w:b/>
                <w:bCs/>
                <w:color w:val="FFFFFF" w:themeColor="background1"/>
                <w14:textFill>
                  <w14:solidFill>
                    <w14:schemeClr w14:val="bg1"/>
                  </w14:solidFill>
                </w14:textFill>
              </w:rPr>
            </w:pPr>
            <w:bookmarkStart w:id="0" w:name="_Hlk54792235"/>
            <w:bookmarkStart w:id="1" w:name="_Hlk54791502"/>
            <w:r>
              <w:rPr>
                <w:rFonts w:cs="Calibri"/>
                <w:b/>
                <w:bCs/>
                <w:color w:val="FFFFFF" w:themeColor="background1"/>
                <w14:textFill>
                  <w14:solidFill>
                    <w14:schemeClr w14:val="bg1"/>
                  </w14:solidFill>
                </w14:textFill>
              </w:rPr>
              <w:t>PROCESO</w:t>
            </w:r>
          </w:p>
        </w:tc>
      </w:tr>
      <w:tr w14:paraId="2D7D07E8">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6"/>
            <w:shd w:val="clear" w:color="auto" w:fill="F1F1F1" w:themeFill="background1" w:themeFillShade="F2"/>
            <w:vAlign w:val="center"/>
          </w:tcPr>
          <w:p w14:paraId="0C9E3C54">
            <w:pPr>
              <w:jc w:val="center"/>
              <w:rPr>
                <w:rFonts w:cs="Calibri"/>
                <w:b/>
                <w:bCs/>
              </w:rPr>
            </w:pPr>
            <w:r>
              <w:rPr>
                <w:rFonts w:cs="Calibri"/>
                <w:b/>
                <w:bCs/>
              </w:rPr>
              <w:t>GESTIÓN CONTRACTUAL</w:t>
            </w:r>
          </w:p>
        </w:tc>
      </w:tr>
      <w:tr w14:paraId="491393DC">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6"/>
            <w:shd w:val="clear" w:color="auto" w:fill="000000" w:themeFill="text1"/>
            <w:vAlign w:val="center"/>
          </w:tcPr>
          <w:p w14:paraId="30A51B43">
            <w:pPr>
              <w:jc w:val="center"/>
              <w:rPr>
                <w:rFonts w:cs="Calibri"/>
                <w:b/>
                <w:bCs/>
              </w:rPr>
            </w:pPr>
            <w:r>
              <w:rPr>
                <w:rFonts w:cs="Calibri"/>
                <w:b/>
                <w:bCs/>
              </w:rPr>
              <w:t>NOMBRE DEL FORMATO</w:t>
            </w:r>
          </w:p>
        </w:tc>
      </w:tr>
      <w:tr w14:paraId="47EE4BB2">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6"/>
            <w:shd w:val="clear" w:color="auto" w:fill="FFFFFF" w:themeFill="background1"/>
            <w:vAlign w:val="center"/>
          </w:tcPr>
          <w:p w14:paraId="0F1C3372">
            <w:pPr>
              <w:jc w:val="center"/>
              <w:rPr>
                <w:rFonts w:cs="Calibri"/>
                <w:b/>
                <w:bCs/>
              </w:rPr>
            </w:pPr>
            <w:r>
              <w:rPr>
                <w:rFonts w:cs="Calibri"/>
                <w:b/>
                <w:bCs/>
              </w:rPr>
              <w:t>ANEXO DE MODIFICACIÓN</w:t>
            </w:r>
          </w:p>
        </w:tc>
      </w:tr>
      <w:tr w14:paraId="30A17103">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6"/>
            <w:shd w:val="clear" w:color="auto" w:fill="000000" w:themeFill="text1"/>
            <w:vAlign w:val="center"/>
          </w:tcPr>
          <w:p w14:paraId="1BDAB6BF">
            <w:pPr>
              <w:jc w:val="center"/>
              <w:rPr>
                <w:rFonts w:cs="Calibri"/>
                <w:b/>
                <w:bCs/>
              </w:rPr>
            </w:pPr>
            <w:r>
              <w:rPr>
                <w:rFonts w:cs="Calibri"/>
                <w:b/>
                <w:bCs/>
              </w:rPr>
              <w:t>CLASIFICACIÓN DE LA INFORMACIÓN</w:t>
            </w:r>
          </w:p>
        </w:tc>
      </w:tr>
      <w:tr w14:paraId="12A1FC62">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1356" w:type="pct"/>
            <w:shd w:val="clear" w:color="auto" w:fill="FFFFFF" w:themeFill="background1"/>
            <w:vAlign w:val="center"/>
          </w:tcPr>
          <w:p w14:paraId="3C795FB3">
            <w:pPr>
              <w:rPr>
                <w:rFonts w:cs="Calibri"/>
                <w:b w:val="0"/>
                <w:bCs w:val="0"/>
              </w:rPr>
            </w:pPr>
            <w:r>
              <w:rPr>
                <w:rFonts w:cs="Calibri"/>
                <w:b w:val="0"/>
                <w:bCs w:val="0"/>
              </w:rPr>
              <w:t>Pública</w:t>
            </w:r>
          </w:p>
        </w:tc>
        <w:tc>
          <w:tcPr>
            <w:tcW w:w="311" w:type="pct"/>
            <w:shd w:val="clear" w:color="auto" w:fill="FFFFFF" w:themeFill="background1"/>
            <w:vAlign w:val="center"/>
          </w:tcPr>
          <w:p w14:paraId="1759272D">
            <w:pPr>
              <w:jc w:val="center"/>
              <w:rPr>
                <w:rFonts w:cs="Calibri"/>
                <w:b/>
                <w:bCs/>
              </w:rPr>
            </w:pPr>
          </w:p>
        </w:tc>
        <w:tc>
          <w:tcPr>
            <w:tcW w:w="1348" w:type="pct"/>
            <w:shd w:val="clear" w:color="auto" w:fill="FFFFFF" w:themeFill="background1"/>
            <w:vAlign w:val="center"/>
          </w:tcPr>
          <w:p w14:paraId="5240B852">
            <w:pPr>
              <w:rPr>
                <w:rFonts w:cs="Calibri"/>
                <w:b/>
                <w:bCs/>
              </w:rPr>
            </w:pPr>
            <w:r>
              <w:rPr>
                <w:rFonts w:cs="Calibri"/>
              </w:rPr>
              <w:t>Pública Clasificada</w:t>
            </w:r>
          </w:p>
        </w:tc>
        <w:tc>
          <w:tcPr>
            <w:tcW w:w="319" w:type="pct"/>
            <w:shd w:val="clear" w:color="auto" w:fill="FFFFFF" w:themeFill="background1"/>
            <w:vAlign w:val="center"/>
          </w:tcPr>
          <w:p w14:paraId="17EC0CDD">
            <w:pPr>
              <w:jc w:val="center"/>
              <w:rPr>
                <w:rFonts w:cs="Calibri"/>
                <w:b/>
                <w:bCs/>
              </w:rPr>
            </w:pPr>
          </w:p>
        </w:tc>
        <w:tc>
          <w:tcPr>
            <w:tcW w:w="1341" w:type="pct"/>
            <w:shd w:val="clear" w:color="auto" w:fill="FFFFFF" w:themeFill="background1"/>
            <w:vAlign w:val="center"/>
          </w:tcPr>
          <w:p w14:paraId="55B6436A">
            <w:pPr>
              <w:rPr>
                <w:rFonts w:cs="Calibri"/>
                <w:b/>
                <w:bCs/>
              </w:rPr>
            </w:pPr>
            <w:r>
              <w:rPr>
                <w:rFonts w:cs="Calibri"/>
              </w:rPr>
              <w:t>Pública Reservada</w:t>
            </w:r>
          </w:p>
        </w:tc>
        <w:tc>
          <w:tcPr>
            <w:tcW w:w="325" w:type="pct"/>
            <w:shd w:val="clear" w:color="auto" w:fill="FFFFFF" w:themeFill="background1"/>
            <w:vAlign w:val="center"/>
          </w:tcPr>
          <w:p w14:paraId="4C451E23">
            <w:pPr>
              <w:jc w:val="center"/>
              <w:rPr>
                <w:rFonts w:cs="Calibri"/>
              </w:rPr>
            </w:pPr>
          </w:p>
        </w:tc>
      </w:tr>
    </w:tbl>
    <w:p w14:paraId="6B5C0302">
      <w:pPr>
        <w:rPr>
          <w:bCs/>
        </w:rPr>
      </w:pPr>
      <w:bookmarkStart w:id="2" w:name="_Hlk54791345"/>
    </w:p>
    <w:p w14:paraId="43EC4189">
      <w:pPr>
        <w:rPr>
          <w:bCs/>
        </w:rPr>
      </w:pPr>
    </w:p>
    <w:p w14:paraId="599B0E7E">
      <w:pPr>
        <w:jc w:val="center"/>
        <w:rPr>
          <w:b/>
        </w:rPr>
      </w:pPr>
      <w:r>
        <w:rPr>
          <w:b/>
        </w:rPr>
        <w:t>Octubre de 2025</w:t>
      </w:r>
    </w:p>
    <w:p w14:paraId="2C87DCEE">
      <w:pPr>
        <w:rPr>
          <w:bCs/>
        </w:rPr>
      </w:pPr>
    </w:p>
    <w:p w14:paraId="7333522D">
      <w:pPr>
        <w:rPr>
          <w:bCs/>
        </w:rPr>
      </w:pPr>
    </w:p>
    <w:p w14:paraId="238320DF">
      <w:pPr>
        <w:rPr>
          <w:bCs/>
        </w:rPr>
      </w:pPr>
    </w:p>
    <w:p w14:paraId="12E47FA3">
      <w:pPr>
        <w:jc w:val="center"/>
        <w:rPr>
          <w:b/>
        </w:rPr>
      </w:pPr>
      <w:r>
        <w:rPr>
          <w:b/>
        </w:rPr>
        <w:t>Sistema Integrado de Gestión y Autocontrol</w:t>
      </w:r>
    </w:p>
    <w:bookmarkEnd w:id="2"/>
    <w:p w14:paraId="63014A48"/>
    <w:p w14:paraId="438BA398"/>
    <w:p w14:paraId="5F0FC639">
      <w:pPr>
        <w:rPr>
          <w:b/>
        </w:rPr>
      </w:pPr>
      <w:r>
        <w:rPr>
          <w:b/>
        </w:rPr>
        <w:br w:type="page"/>
      </w:r>
    </w:p>
    <w:p w14:paraId="5B1FD4BA">
      <w:pPr>
        <w:rPr>
          <w:b/>
          <w:bCs/>
        </w:rPr>
      </w:pPr>
      <w:r>
        <w:rPr>
          <w:b/>
          <w:bCs/>
        </w:rPr>
        <w:t>Generalidades:</w:t>
      </w:r>
    </w:p>
    <w:p w14:paraId="5BB7E63D">
      <w:pPr>
        <w:pStyle w:val="28"/>
        <w:numPr>
          <w:ilvl w:val="0"/>
          <w:numId w:val="1"/>
        </w:numPr>
        <w:ind w:left="426" w:hanging="426"/>
        <w:rPr>
          <w:rFonts w:cs="Calibri"/>
          <w:spacing w:val="2"/>
        </w:rPr>
      </w:pPr>
      <w:r>
        <w:rPr>
          <w:rFonts w:cs="Calibri"/>
        </w:rPr>
        <w:t xml:space="preserve">Este formato tiene por objetivo modificar las cláusulas del contrato </w:t>
      </w:r>
      <w:r>
        <w:rPr>
          <w:rFonts w:cs="Calibri"/>
          <w:b/>
          <w:bCs/>
        </w:rPr>
        <w:t>que no requieren ser modificadas en los campos del contrato electrónico de la plataforma SECOP II</w:t>
      </w:r>
      <w:r>
        <w:rPr>
          <w:rFonts w:cs="Calibri"/>
        </w:rPr>
        <w:t>. Aquella cláusula o información que pueda ser modificada directamente en esta plataforma no requiere el diligenciamiento de este formato. Por ende, dicha modificación se realiza directamente en SECOP II, haciendo uso de la casilla de justificación y adjuntado los anexos que soporten la misma.</w:t>
      </w:r>
    </w:p>
    <w:p w14:paraId="6F30D7DB">
      <w:pPr>
        <w:pStyle w:val="28"/>
        <w:numPr>
          <w:ilvl w:val="0"/>
          <w:numId w:val="1"/>
        </w:numPr>
        <w:ind w:left="426" w:hanging="426"/>
        <w:rPr>
          <w:rFonts w:cs="Calibri"/>
          <w:spacing w:val="2"/>
        </w:rPr>
      </w:pPr>
      <w:r>
        <w:rPr>
          <w:rFonts w:cs="Calibri"/>
          <w:b/>
          <w:bCs/>
        </w:rPr>
        <w:t>Las</w:t>
      </w:r>
      <w:r>
        <w:rPr>
          <w:rFonts w:cs="Calibri"/>
        </w:rPr>
        <w:t xml:space="preserve"> </w:t>
      </w:r>
      <w:r>
        <w:rPr>
          <w:rFonts w:cs="Calibri"/>
          <w:b/>
          <w:bCs/>
        </w:rPr>
        <w:t>modificaciones al negocio jurídico publicado en la plataforma SECOP I o en la TVEC requieren la utilización de este formato</w:t>
      </w:r>
      <w:r>
        <w:rPr>
          <w:rFonts w:cs="Calibri"/>
        </w:rPr>
        <w:t>.</w:t>
      </w:r>
    </w:p>
    <w:p w14:paraId="60CCB24F">
      <w:pPr>
        <w:pStyle w:val="28"/>
        <w:numPr>
          <w:ilvl w:val="0"/>
          <w:numId w:val="1"/>
        </w:numPr>
        <w:ind w:left="426" w:hanging="426"/>
        <w:rPr>
          <w:spacing w:val="2"/>
        </w:rPr>
      </w:pPr>
      <w:r>
        <w:t>El formato está asociado al Manual de Contratación (GCCON-M-001) y al Manual Supervisión e Interventoría (GCCON-M-002)</w:t>
      </w:r>
      <w:bookmarkStart w:id="3" w:name="_Hlk209630963"/>
      <w:r>
        <w:t xml:space="preserve">, </w:t>
      </w:r>
      <w:bookmarkStart w:id="4" w:name="_Hlk209631633"/>
      <w:bookmarkStart w:id="5" w:name="_Hlk209632389"/>
      <w:r>
        <w:t>así como a los procedimientos que rigen la gestión contractual de la entidad.</w:t>
      </w:r>
      <w:bookmarkEnd w:id="3"/>
      <w:bookmarkEnd w:id="4"/>
    </w:p>
    <w:bookmarkEnd w:id="5"/>
    <w:p w14:paraId="0D5DF560">
      <w:pPr>
        <w:pStyle w:val="28"/>
        <w:numPr>
          <w:ilvl w:val="0"/>
          <w:numId w:val="1"/>
        </w:numPr>
        <w:ind w:left="426" w:hanging="426"/>
        <w:rPr>
          <w:spacing w:val="2"/>
        </w:rPr>
      </w:pPr>
      <w:r>
        <w:t>El formato puede ser utilizado con ocasión de la modificación de cualquier negocio jurídico, sea contrato, convenio u otro.</w:t>
      </w:r>
    </w:p>
    <w:p w14:paraId="6806D074">
      <w:pPr>
        <w:pStyle w:val="28"/>
        <w:numPr>
          <w:ilvl w:val="0"/>
          <w:numId w:val="1"/>
        </w:numPr>
        <w:ind w:left="426" w:hanging="426"/>
        <w:rPr>
          <w:spacing w:val="2"/>
        </w:rPr>
      </w:pPr>
      <w:r>
        <w:rPr>
          <w:rFonts w:cs="Calibri"/>
        </w:rPr>
        <w:t xml:space="preserve">Este formato es diligenciado por el estructurador jurídico del proceso de selección adscrito a la unidad de contratación de la Dirección general o Grupo de Apoyo Administrativo </w:t>
      </w:r>
      <w:bookmarkStart w:id="6" w:name="_Hlk209632214"/>
      <w:r>
        <w:t>cada vez que se requiera realizar una modificación al negocio jurídico.</w:t>
      </w:r>
      <w:bookmarkEnd w:id="6"/>
    </w:p>
    <w:p w14:paraId="2BE36E1A">
      <w:pPr>
        <w:pStyle w:val="28"/>
        <w:numPr>
          <w:ilvl w:val="0"/>
          <w:numId w:val="1"/>
        </w:numPr>
        <w:ind w:left="426" w:hanging="426"/>
        <w:rPr>
          <w:rFonts w:cs="Calibri"/>
          <w:spacing w:val="2"/>
        </w:rPr>
      </w:pPr>
      <w:r>
        <w:rPr>
          <w:rFonts w:cs="Calibri"/>
          <w:b/>
          <w:bCs/>
          <w:spacing w:val="2"/>
        </w:rPr>
        <w:t xml:space="preserve">El formato no requiere ser impreso en el caso de SECOP II. </w:t>
      </w:r>
      <w:r>
        <w:rPr>
          <w:rFonts w:cs="Calibri"/>
          <w:b/>
          <w:bCs/>
          <w:spacing w:val="2"/>
          <w:u w:val="single"/>
        </w:rPr>
        <w:t>No obstante, para las plataformas SECOP I y TVEC, debe ser impreso y suscrito por las partes</w:t>
      </w:r>
      <w:r>
        <w:rPr>
          <w:rFonts w:cs="Calibri"/>
          <w:spacing w:val="2"/>
        </w:rPr>
        <w:t>.</w:t>
      </w:r>
    </w:p>
    <w:p w14:paraId="4FA2E021">
      <w:pPr>
        <w:pStyle w:val="28"/>
        <w:numPr>
          <w:ilvl w:val="0"/>
          <w:numId w:val="1"/>
        </w:numPr>
        <w:ind w:left="426" w:hanging="426"/>
        <w:rPr>
          <w:spacing w:val="2"/>
        </w:rPr>
      </w:pPr>
      <w:bookmarkStart w:id="7" w:name="_Hlk209624726"/>
      <w:r>
        <w:rPr>
          <w:spacing w:val="2"/>
        </w:rPr>
        <w:t>Este formato, una vez diligenciado, deberá archivarse de conformidad con lo establecido en las tablas de retención documental de la entidad.</w:t>
      </w:r>
    </w:p>
    <w:bookmarkEnd w:id="7"/>
    <w:p w14:paraId="4F039391">
      <w:pPr>
        <w:pStyle w:val="28"/>
        <w:numPr>
          <w:ilvl w:val="0"/>
          <w:numId w:val="1"/>
        </w:numPr>
        <w:ind w:left="426" w:hanging="426"/>
        <w:rPr>
          <w:rFonts w:cs="Calibri"/>
          <w:spacing w:val="2"/>
        </w:rPr>
      </w:pPr>
      <w:r>
        <w:rPr>
          <w:rFonts w:cs="Calibri"/>
          <w:spacing w:val="2"/>
        </w:rPr>
        <w:t>El contenido que se encuentra en color diferente a negro, entre paréntesis o con el signo “/” son orientaciones para el diligenciamiento del formato.</w:t>
      </w:r>
    </w:p>
    <w:p w14:paraId="5740FD63">
      <w:pPr>
        <w:pStyle w:val="28"/>
        <w:numPr>
          <w:ilvl w:val="0"/>
          <w:numId w:val="1"/>
        </w:numPr>
        <w:ind w:left="426" w:hanging="426"/>
        <w:rPr>
          <w:rFonts w:cs="Calibri"/>
          <w:spacing w:val="2"/>
        </w:rPr>
      </w:pPr>
      <w:r>
        <w:rPr>
          <w:rFonts w:cs="Calibri"/>
          <w:spacing w:val="2"/>
        </w:rPr>
        <w:t>El formato puede ser modificado en aquellos apartados en que así se indique.</w:t>
      </w:r>
    </w:p>
    <w:p w14:paraId="6E67BEFD">
      <w:pPr>
        <w:pStyle w:val="28"/>
        <w:numPr>
          <w:ilvl w:val="0"/>
          <w:numId w:val="1"/>
        </w:numPr>
        <w:ind w:left="426" w:hanging="426"/>
        <w:rPr>
          <w:rFonts w:cs="Calibri"/>
          <w:spacing w:val="2"/>
        </w:rPr>
      </w:pPr>
      <w:r>
        <w:rPr>
          <w:rFonts w:cs="Calibri"/>
          <w:spacing w:val="2"/>
        </w:rPr>
        <w:t>Las notas internas son situaciones o recomendaciones que se deben tener en cuenta al momento de elaborar el formato. No obstante, las mismas deben ser eliminadas previa impresión o suscripción del mismo.</w:t>
      </w:r>
    </w:p>
    <w:p w14:paraId="214494A3">
      <w:pPr>
        <w:pStyle w:val="28"/>
        <w:numPr>
          <w:ilvl w:val="0"/>
          <w:numId w:val="1"/>
        </w:numPr>
        <w:ind w:left="426" w:hanging="426"/>
        <w:rPr>
          <w:rFonts w:cs="Calibri"/>
          <w:spacing w:val="2"/>
        </w:rPr>
      </w:pPr>
      <w:r>
        <w:rPr>
          <w:rFonts w:cs="Calibri"/>
          <w:spacing w:val="2"/>
        </w:rPr>
        <w:t>Todas las recomendaciones o sugerencias que busquen mejorar el presente documento pueden ser remitidas al correo de la Dirección jurídica del SENA.</w:t>
      </w:r>
    </w:p>
    <w:p w14:paraId="51E6D2C8">
      <w:pPr>
        <w:contextualSpacing/>
        <w:rPr>
          <w:rFonts w:asciiTheme="majorHAnsi" w:hAnsiTheme="majorHAnsi" w:cstheme="majorHAnsi"/>
        </w:rPr>
      </w:pPr>
    </w:p>
    <w:p w14:paraId="1F311A66">
      <w:pPr>
        <w:contextualSpacing/>
        <w:rPr>
          <w:rFonts w:asciiTheme="majorHAnsi" w:hAnsiTheme="majorHAnsi" w:cstheme="majorHAnsi"/>
        </w:rPr>
      </w:pPr>
    </w:p>
    <w:p w14:paraId="39CE896E">
      <w:pPr>
        <w:jc w:val="left"/>
        <w:rPr>
          <w:rFonts w:asciiTheme="majorHAnsi" w:hAnsiTheme="majorHAnsi" w:cstheme="majorHAnsi"/>
          <w:b/>
          <w:bCs/>
        </w:rPr>
      </w:pPr>
      <w:r>
        <w:rPr>
          <w:rFonts w:asciiTheme="majorHAnsi" w:hAnsiTheme="majorHAnsi" w:cstheme="majorHAnsi"/>
          <w:b/>
          <w:bCs/>
        </w:rPr>
        <w:br w:type="page"/>
      </w:r>
    </w:p>
    <w:bookmarkEnd w:id="0"/>
    <w:bookmarkEnd w:id="1"/>
    <w:tbl>
      <w:tblPr>
        <w:tblStyle w:val="43"/>
        <w:tblpPr w:leftFromText="142" w:rightFromText="142" w:vertAnchor="text" w:horzAnchor="margin" w:tblpY="1"/>
        <w:tblW w:w="5000" w:type="pct"/>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2609"/>
        <w:gridCol w:w="598"/>
        <w:gridCol w:w="2594"/>
        <w:gridCol w:w="614"/>
        <w:gridCol w:w="2580"/>
        <w:gridCol w:w="625"/>
      </w:tblGrid>
      <w:tr w14:paraId="2EE28EB6">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6"/>
            <w:tcBorders>
              <w:top w:val="single" w:color="000000" w:themeColor="text1" w:sz="4" w:space="0"/>
              <w:left w:val="single" w:color="000000" w:themeColor="text1" w:sz="4" w:space="0"/>
              <w:bottom w:val="single" w:color="000000" w:themeColor="text1" w:sz="4" w:space="0"/>
              <w:right w:val="single" w:color="000000" w:themeColor="text1" w:sz="4" w:space="0"/>
              <w:insideH w:val="single" w:sz="4" w:space="0"/>
              <w:insideV w:val="nil"/>
            </w:tcBorders>
            <w:shd w:val="clear" w:color="auto" w:fill="000000" w:themeFill="text1"/>
            <w:vAlign w:val="center"/>
          </w:tcPr>
          <w:p w14:paraId="5471DAC5">
            <w:pPr>
              <w:jc w:val="center"/>
              <w:rPr>
                <w:rFonts w:cs="Calibri"/>
                <w:b/>
                <w:bCs/>
                <w:color w:val="FFFFFF" w:themeColor="background1"/>
                <w14:textFill>
                  <w14:solidFill>
                    <w14:schemeClr w14:val="bg1"/>
                  </w14:solidFill>
                </w14:textFill>
              </w:rPr>
            </w:pPr>
            <w:r>
              <w:rPr>
                <w:rFonts w:cs="Calibri"/>
                <w:b/>
                <w:bCs/>
                <w:color w:val="FFFFFF" w:themeColor="background1"/>
                <w14:textFill>
                  <w14:solidFill>
                    <w14:schemeClr w14:val="bg1"/>
                  </w14:solidFill>
                </w14:textFill>
              </w:rPr>
              <w:t>CLASIFICACIÓN DE LA INFORMACIÓN</w:t>
            </w:r>
          </w:p>
        </w:tc>
      </w:tr>
      <w:tr w14:paraId="6B30E1B4">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1356" w:type="pct"/>
            <w:shd w:val="clear" w:color="auto" w:fill="FFFFFF" w:themeFill="background1"/>
            <w:vAlign w:val="center"/>
          </w:tcPr>
          <w:p w14:paraId="4489991C">
            <w:pPr>
              <w:rPr>
                <w:rFonts w:cs="Calibri"/>
                <w:b w:val="0"/>
                <w:bCs w:val="0"/>
              </w:rPr>
            </w:pPr>
            <w:r>
              <w:rPr>
                <w:rFonts w:cs="Calibri"/>
                <w:b w:val="0"/>
                <w:bCs w:val="0"/>
              </w:rPr>
              <w:t>Pública</w:t>
            </w:r>
          </w:p>
        </w:tc>
        <w:tc>
          <w:tcPr>
            <w:tcW w:w="311" w:type="pct"/>
            <w:shd w:val="clear" w:color="auto" w:fill="FFFFFF" w:themeFill="background1"/>
            <w:vAlign w:val="center"/>
          </w:tcPr>
          <w:p w14:paraId="6DC39B77">
            <w:pPr>
              <w:jc w:val="center"/>
              <w:rPr>
                <w:rFonts w:cs="Calibri"/>
                <w:b/>
                <w:bCs/>
              </w:rPr>
            </w:pPr>
          </w:p>
        </w:tc>
        <w:tc>
          <w:tcPr>
            <w:tcW w:w="1348" w:type="pct"/>
            <w:shd w:val="clear" w:color="auto" w:fill="FFFFFF" w:themeFill="background1"/>
            <w:vAlign w:val="center"/>
          </w:tcPr>
          <w:p w14:paraId="04300B56">
            <w:pPr>
              <w:rPr>
                <w:rFonts w:cs="Calibri"/>
                <w:b/>
                <w:bCs/>
              </w:rPr>
            </w:pPr>
            <w:r>
              <w:rPr>
                <w:rFonts w:cs="Calibri"/>
              </w:rPr>
              <w:t>Pública Clasificada</w:t>
            </w:r>
          </w:p>
        </w:tc>
        <w:tc>
          <w:tcPr>
            <w:tcW w:w="319" w:type="pct"/>
            <w:shd w:val="clear" w:color="auto" w:fill="FFFFFF" w:themeFill="background1"/>
            <w:vAlign w:val="center"/>
          </w:tcPr>
          <w:p w14:paraId="422F9352">
            <w:pPr>
              <w:jc w:val="center"/>
              <w:rPr>
                <w:rFonts w:cs="Calibri"/>
                <w:b/>
                <w:bCs/>
              </w:rPr>
            </w:pPr>
          </w:p>
        </w:tc>
        <w:tc>
          <w:tcPr>
            <w:tcW w:w="1341" w:type="pct"/>
            <w:shd w:val="clear" w:color="auto" w:fill="FFFFFF" w:themeFill="background1"/>
            <w:vAlign w:val="center"/>
          </w:tcPr>
          <w:p w14:paraId="363389A8">
            <w:pPr>
              <w:rPr>
                <w:rFonts w:cs="Calibri"/>
                <w:b/>
                <w:bCs/>
              </w:rPr>
            </w:pPr>
            <w:r>
              <w:rPr>
                <w:rFonts w:cs="Calibri"/>
              </w:rPr>
              <w:t>Pública Reservada</w:t>
            </w:r>
          </w:p>
        </w:tc>
        <w:tc>
          <w:tcPr>
            <w:tcW w:w="325" w:type="pct"/>
            <w:shd w:val="clear" w:color="auto" w:fill="FFFFFF" w:themeFill="background1"/>
            <w:vAlign w:val="center"/>
          </w:tcPr>
          <w:p w14:paraId="7234B5D7">
            <w:pPr>
              <w:jc w:val="center"/>
              <w:rPr>
                <w:rFonts w:cs="Calibri"/>
              </w:rPr>
            </w:pPr>
          </w:p>
        </w:tc>
      </w:tr>
    </w:tbl>
    <w:p w14:paraId="4D4FA61C">
      <w:pPr>
        <w:rPr>
          <w:bCs/>
        </w:rPr>
      </w:pPr>
    </w:p>
    <w:p w14:paraId="19216AEC">
      <w:pPr>
        <w:contextualSpacing/>
        <w:jc w:val="center"/>
        <w:rPr>
          <w:rFonts w:hint="default" w:cs="Calibri"/>
          <w:b/>
          <w:lang w:val="es-CO"/>
        </w:rPr>
      </w:pPr>
      <w:r>
        <w:rPr>
          <w:rFonts w:cs="Calibri"/>
          <w:b/>
        </w:rPr>
        <w:t xml:space="preserve">MODIFICATORIO CONTRACTUAL NRO. </w:t>
      </w:r>
      <w:r>
        <w:rPr>
          <w:rFonts w:hint="default" w:cs="Calibri"/>
          <w:b/>
          <w:lang w:val="es-CO"/>
        </w:rPr>
        <w:t>02</w:t>
      </w:r>
      <w:r>
        <w:rPr>
          <w:rFonts w:eastAsia="Arial" w:asciiTheme="majorHAnsi" w:hAnsiTheme="majorHAnsi" w:cstheme="majorHAnsi"/>
          <w:b/>
          <w:color w:val="E46C0A" w:themeColor="accent6" w:themeShade="BF"/>
          <w:lang w:eastAsia="es-CO" w:bidi="es-CO"/>
        </w:rPr>
        <w:t xml:space="preserve"> </w:t>
      </w:r>
      <w:r>
        <w:rPr>
          <w:rFonts w:cs="Calibri"/>
          <w:b/>
        </w:rPr>
        <w:t>AL CONTRATO NRO.</w:t>
      </w:r>
      <w:r>
        <w:rPr>
          <w:rFonts w:cs="Calibri"/>
          <w:b/>
          <w:lang w:eastAsia="es-CO"/>
        </w:rPr>
        <w:t xml:space="preserve"> CO1.PCCNTR.7801301</w:t>
      </w:r>
      <w:r>
        <w:rPr>
          <w:rFonts w:hint="default" w:cs="Calibri"/>
          <w:b/>
          <w:lang w:val="es-CO"/>
        </w:rPr>
        <w:t xml:space="preserve"> DE 2025</w:t>
      </w:r>
      <w:r>
        <w:rPr>
          <w:rFonts w:cs="Calibri"/>
          <w:b/>
        </w:rPr>
        <w:t xml:space="preserve"> SUSCRITO ENTRE EL SERVICIO NACIONAL DE APRENDIZAJE – SENA Y </w:t>
      </w:r>
      <w:r>
        <w:rPr>
          <w:rFonts w:hint="default" w:cs="Calibri"/>
          <w:b/>
          <w:lang w:val="es-CO"/>
        </w:rPr>
        <w:t>VIENTOS DEL PORVENIR</w:t>
      </w:r>
    </w:p>
    <w:p w14:paraId="03DAE321">
      <w:pPr>
        <w:rPr>
          <w:rFonts w:hint="default"/>
          <w:i w:val="0"/>
          <w:iCs w:val="0"/>
          <w:lang w:val="es-CO"/>
        </w:rPr>
      </w:pPr>
    </w:p>
    <w:p w14:paraId="08DD13B8">
      <w:pPr>
        <w:rPr>
          <w:rFonts w:cs="Calibri"/>
        </w:rPr>
      </w:pPr>
      <w:r>
        <w:t>De conformidad con la</w:t>
      </w:r>
      <w:r>
        <w:rPr>
          <w:rFonts w:hint="default"/>
          <w:lang w:val="es-CO"/>
        </w:rPr>
        <w:t xml:space="preserve"> solicitud remitida por el supervisor</w:t>
      </w:r>
      <w:r>
        <w:t xml:space="preserve">, se requiere modificar el Contrato </w:t>
      </w:r>
      <w:r>
        <w:rPr>
          <w:rFonts w:cs="Calibri"/>
          <w:bCs/>
        </w:rPr>
        <w:t>nro</w:t>
      </w:r>
      <w:r>
        <w:rPr>
          <w:rFonts w:cs="Calibri"/>
          <w:b/>
        </w:rPr>
        <w:t>.</w:t>
      </w:r>
      <w:r>
        <w:rPr>
          <w:rFonts w:eastAsia="Arial" w:asciiTheme="majorHAnsi" w:hAnsiTheme="majorHAnsi" w:cstheme="majorHAnsi"/>
          <w:b/>
          <w:color w:val="E46C0A" w:themeColor="accent6" w:themeShade="BF"/>
          <w:lang w:eastAsia="es-CO" w:bidi="es-CO"/>
        </w:rPr>
        <w:t xml:space="preserve"> </w:t>
      </w:r>
      <w:r>
        <w:rPr>
          <w:lang w:eastAsia="es-CO"/>
        </w:rPr>
        <w:t>CO1.PCCNTR.7801301</w:t>
      </w:r>
      <w:r>
        <w:rPr>
          <w:rFonts w:hint="default"/>
          <w:lang w:val="es-CO"/>
        </w:rPr>
        <w:t xml:space="preserve"> </w:t>
      </w:r>
      <w:r>
        <w:rPr>
          <w:rFonts w:hint="default" w:ascii="Arial" w:hAnsi="Arial" w:eastAsia="SimSun" w:cs="Arial"/>
          <w:i w:val="0"/>
          <w:iCs w:val="0"/>
          <w:caps w:val="0"/>
          <w:color w:val="000000"/>
          <w:spacing w:val="0"/>
          <w:sz w:val="18"/>
          <w:szCs w:val="18"/>
          <w:shd w:val="clear" w:fill="FFFFFF"/>
          <w:lang w:val="es-CO"/>
        </w:rPr>
        <w:t>DE 2025</w:t>
      </w:r>
      <w:r>
        <w:t xml:space="preserve">, </w:t>
      </w:r>
      <w:r>
        <w:rPr>
          <w:rFonts w:cs="Calibri"/>
        </w:rPr>
        <w:t>así:</w:t>
      </w:r>
    </w:p>
    <w:p w14:paraId="17662DED">
      <w:pPr>
        <w:rPr>
          <w:rFonts w:cs="Calibri"/>
        </w:rPr>
      </w:pPr>
    </w:p>
    <w:p w14:paraId="0E560E8F">
      <w:pPr>
        <w:rPr>
          <w:rFonts w:cs="Calibri"/>
          <w:bCs/>
        </w:rPr>
      </w:pPr>
      <w:r>
        <w:rPr>
          <w:rFonts w:cs="Calibri"/>
          <w:b/>
          <w:bCs/>
          <w:u w:val="single"/>
        </w:rPr>
        <w:t>PRIMERO</w:t>
      </w:r>
      <w:r>
        <w:rPr>
          <w:rFonts w:cs="Calibri"/>
        </w:rPr>
        <w:t xml:space="preserve">. </w:t>
      </w:r>
      <w:r>
        <w:rPr>
          <w:rFonts w:cs="Calibri"/>
          <w:b/>
        </w:rPr>
        <w:t xml:space="preserve">MODIFÍQUESE </w:t>
      </w:r>
      <w:r>
        <w:rPr>
          <w:rFonts w:cs="Calibri"/>
          <w:bCs/>
        </w:rPr>
        <w:t>la cláusula</w:t>
      </w:r>
      <w:r>
        <w:rPr>
          <w:rFonts w:cs="Calibri"/>
          <w:b/>
        </w:rPr>
        <w:t xml:space="preserve"> </w:t>
      </w:r>
      <w:r>
        <w:rPr>
          <w:rFonts w:hint="default" w:cs="Calibri"/>
          <w:b/>
          <w:lang w:val="es-CO"/>
        </w:rPr>
        <w:t xml:space="preserve">PLAZO DEL CONTRATO </w:t>
      </w:r>
      <w:r>
        <w:rPr>
          <w:rFonts w:cs="Calibri"/>
          <w:bCs/>
        </w:rPr>
        <w:t xml:space="preserve"> ya referenciado, la cual quedará así:</w:t>
      </w:r>
    </w:p>
    <w:p w14:paraId="7457A5C7">
      <w:pPr>
        <w:jc w:val="both"/>
        <w:rPr>
          <w:rFonts w:cs="Calibri"/>
          <w:bCs/>
          <w:i/>
          <w:iCs/>
        </w:rPr>
      </w:pPr>
    </w:p>
    <w:p w14:paraId="1C4AC513">
      <w:pPr>
        <w:spacing w:beforeLines="0" w:afterLines="0"/>
        <w:jc w:val="both"/>
        <w:rPr>
          <w:rFonts w:hint="default"/>
          <w:i/>
          <w:iCs/>
          <w:lang w:val="es-CO"/>
        </w:rPr>
      </w:pPr>
      <w:r>
        <w:rPr>
          <w:i/>
          <w:iCs/>
        </w:rPr>
        <w:t>“</w:t>
      </w:r>
      <w:r>
        <w:rPr>
          <w:rFonts w:hint="default"/>
          <w:i/>
          <w:iCs/>
        </w:rPr>
        <w:t>El plazo y ejecución del contrato que se suscriba como consecuencia de la</w:t>
      </w:r>
      <w:r>
        <w:rPr>
          <w:rFonts w:hint="default"/>
          <w:i/>
          <w:iCs/>
          <w:lang w:val="es-CO"/>
        </w:rPr>
        <w:t xml:space="preserve"> </w:t>
      </w:r>
      <w:r>
        <w:rPr>
          <w:rFonts w:hint="default"/>
          <w:i/>
          <w:iCs/>
        </w:rPr>
        <w:t xml:space="preserve">adjudicación será </w:t>
      </w:r>
      <w:r>
        <w:rPr>
          <w:rFonts w:hint="default"/>
          <w:i/>
          <w:iCs/>
          <w:lang w:val="es-CO"/>
        </w:rPr>
        <w:t xml:space="preserve">hasta el veintisiete (27) de junio de 2026. </w:t>
      </w:r>
      <w:r>
        <w:rPr>
          <w:rFonts w:hint="default" w:ascii="Calibri" w:hAnsi="Calibri" w:eastAsia="Calibri"/>
          <w:color w:val="000000"/>
          <w:sz w:val="22"/>
          <w:szCs w:val="24"/>
        </w:rPr>
        <w:t>El plazo se contabilizará a partir del cumplimiento de los requisitos de ejecución del contrato</w:t>
      </w:r>
      <w:r>
        <w:rPr>
          <w:rFonts w:hint="default"/>
          <w:i/>
          <w:iCs/>
          <w:lang w:val="es-CO"/>
        </w:rPr>
        <w:t>”</w:t>
      </w:r>
    </w:p>
    <w:p w14:paraId="4C71A270">
      <w:pPr>
        <w:spacing w:beforeLines="0" w:afterLines="0"/>
        <w:jc w:val="both"/>
        <w:rPr>
          <w:rFonts w:hint="default"/>
          <w:i/>
          <w:iCs/>
          <w:lang w:val="es-CO"/>
        </w:rPr>
      </w:pPr>
    </w:p>
    <w:p w14:paraId="3DA9C130">
      <w:pPr>
        <w:spacing w:beforeLines="0" w:afterLines="0"/>
        <w:jc w:val="both"/>
        <w:rPr>
          <w:rFonts w:hint="default"/>
          <w:i/>
          <w:iCs/>
          <w:lang w:val="es-CO"/>
        </w:rPr>
      </w:pPr>
      <w:r>
        <w:rPr>
          <w:rFonts w:asciiTheme="majorHAnsi" w:hAnsiTheme="majorHAnsi" w:cstheme="majorHAnsi"/>
          <w:bCs/>
        </w:rPr>
        <w:t xml:space="preserve">Suspender el contrato </w:t>
      </w:r>
      <w:bookmarkStart w:id="8" w:name="_Hlk203225360"/>
      <w:r>
        <w:rPr>
          <w:rFonts w:asciiTheme="majorHAnsi" w:hAnsiTheme="majorHAnsi" w:cstheme="majorHAnsi"/>
          <w:bCs/>
        </w:rPr>
        <w:t xml:space="preserve">No. CO1.PCCNTR.7801301 de 2025 </w:t>
      </w:r>
      <w:bookmarkEnd w:id="8"/>
      <w:r>
        <w:rPr>
          <w:rFonts w:asciiTheme="majorHAnsi" w:hAnsiTheme="majorHAnsi" w:cstheme="majorHAnsi"/>
          <w:bCs/>
        </w:rPr>
        <w:t xml:space="preserve">desde el </w:t>
      </w:r>
      <w:r>
        <w:rPr>
          <w:rFonts w:hint="default" w:asciiTheme="majorHAnsi" w:hAnsiTheme="majorHAnsi" w:cstheme="majorHAnsi"/>
          <w:bCs/>
          <w:lang w:val="es-CO"/>
        </w:rPr>
        <w:t>22</w:t>
      </w:r>
      <w:r>
        <w:rPr>
          <w:rFonts w:asciiTheme="majorHAnsi" w:hAnsiTheme="majorHAnsi" w:cstheme="majorHAnsi"/>
          <w:bCs/>
        </w:rPr>
        <w:t xml:space="preserve"> de diciembre de 2025 hasta el </w:t>
      </w:r>
      <w:r>
        <w:rPr>
          <w:rFonts w:hint="default" w:asciiTheme="majorHAnsi" w:hAnsiTheme="majorHAnsi" w:cstheme="majorHAnsi"/>
          <w:bCs/>
          <w:lang w:val="es-CO"/>
        </w:rPr>
        <w:t>25</w:t>
      </w:r>
      <w:r>
        <w:rPr>
          <w:rFonts w:asciiTheme="majorHAnsi" w:hAnsiTheme="majorHAnsi" w:cstheme="majorHAnsi"/>
          <w:bCs/>
        </w:rPr>
        <w:t xml:space="preserve"> de enero de 2026</w:t>
      </w:r>
      <w:r>
        <w:rPr>
          <w:rFonts w:hint="default" w:asciiTheme="majorHAnsi" w:hAnsiTheme="majorHAnsi" w:cstheme="majorHAnsi"/>
          <w:bCs/>
          <w:lang w:val="es-CO"/>
        </w:rPr>
        <w:t>, reiniciando nuevamente actividades el 26 de enero de 2026.</w:t>
      </w:r>
      <w:r>
        <w:rPr>
          <w:rFonts w:asciiTheme="majorHAnsi" w:hAnsiTheme="majorHAnsi" w:cstheme="majorHAnsi"/>
          <w:bCs/>
        </w:rPr>
        <w:t xml:space="preserve"> Así las cosas, la fecha de terminación del contrato No. CO1.PCCNTR.7801301 de 2025 será </w:t>
      </w:r>
      <w:r>
        <w:rPr>
          <w:rFonts w:hint="default" w:asciiTheme="majorHAnsi" w:hAnsiTheme="majorHAnsi" w:cstheme="majorHAnsi"/>
          <w:bCs/>
          <w:lang w:val="es-CO"/>
        </w:rPr>
        <w:t>el veintisiete (27)</w:t>
      </w:r>
      <w:bookmarkStart w:id="12" w:name="_GoBack"/>
      <w:bookmarkEnd w:id="12"/>
      <w:r>
        <w:rPr>
          <w:rFonts w:hint="default" w:asciiTheme="majorHAnsi" w:hAnsiTheme="majorHAnsi" w:cstheme="majorHAnsi"/>
          <w:bCs/>
          <w:lang w:val="es-CO"/>
        </w:rPr>
        <w:t xml:space="preserve"> de junio de 2025</w:t>
      </w:r>
      <w:r>
        <w:rPr>
          <w:rFonts w:asciiTheme="majorHAnsi" w:hAnsiTheme="majorHAnsi" w:cstheme="majorHAnsi"/>
          <w:bCs/>
        </w:rPr>
        <w:t xml:space="preserve">. </w:t>
      </w:r>
    </w:p>
    <w:p w14:paraId="14E5A8B7">
      <w:pPr>
        <w:spacing w:beforeLines="0" w:afterLines="0"/>
        <w:jc w:val="both"/>
        <w:rPr>
          <w:i/>
          <w:iCs/>
        </w:rPr>
      </w:pPr>
    </w:p>
    <w:p w14:paraId="58AC5EFA">
      <w:pPr>
        <w:spacing w:beforeLines="0" w:afterLines="0"/>
        <w:jc w:val="both"/>
        <w:rPr>
          <w:rFonts w:hint="default"/>
          <w:i w:val="0"/>
          <w:iCs w:val="0"/>
          <w:lang w:val="es-CO"/>
        </w:rPr>
      </w:pPr>
      <w:r>
        <w:rPr>
          <w:rFonts w:hint="default"/>
          <w:i w:val="0"/>
          <w:iCs w:val="0"/>
          <w:lang w:val="es-CO"/>
        </w:rPr>
        <w:t>Lo anterior teniendo en cuenta la siguiente justificación:</w:t>
      </w:r>
    </w:p>
    <w:p w14:paraId="6AF1EFDD">
      <w:pPr>
        <w:spacing w:beforeLines="0" w:afterLines="0"/>
        <w:jc w:val="both"/>
        <w:rPr>
          <w:i/>
          <w:iCs/>
        </w:rPr>
      </w:pPr>
    </w:p>
    <w:p w14:paraId="1542A1B3">
      <w:pPr>
        <w:rPr>
          <w:rFonts w:asciiTheme="majorHAnsi" w:hAnsiTheme="majorHAnsi" w:cstheme="majorHAnsi"/>
          <w:bCs/>
        </w:rPr>
      </w:pPr>
      <w:r>
        <w:rPr>
          <w:rFonts w:asciiTheme="majorHAnsi" w:hAnsiTheme="majorHAnsi" w:cstheme="majorHAnsi"/>
          <w:bCs/>
        </w:rPr>
        <w:t>Se solicit</w:t>
      </w:r>
      <w:r>
        <w:rPr>
          <w:rFonts w:hint="default" w:asciiTheme="majorHAnsi" w:hAnsiTheme="majorHAnsi" w:cstheme="majorHAnsi"/>
          <w:bCs/>
          <w:lang w:val="es-CO"/>
        </w:rPr>
        <w:t xml:space="preserve">ó </w:t>
      </w:r>
      <w:r>
        <w:rPr>
          <w:rFonts w:asciiTheme="majorHAnsi" w:hAnsiTheme="majorHAnsi" w:cstheme="majorHAnsi"/>
          <w:bCs/>
        </w:rPr>
        <w:t>suspensión del contrato No. CO1.PCCNTR.7801301 de 2025, luego de la reunión entre el proveedor y los miembros del comité de cafetería del 17 de diciembre de 2025, en la cual se acordó la suspensión del servicio durante las vacaciones colectivas, de acuerdo con los calendarios académicos establecidos para el año 2025 y 2026. Esta solicitud se basa en la petición expresa del proveedor, presentada mediante carta fechada el 1</w:t>
      </w:r>
      <w:r>
        <w:rPr>
          <w:rFonts w:hint="default" w:asciiTheme="majorHAnsi" w:hAnsiTheme="majorHAnsi" w:cstheme="majorHAnsi"/>
          <w:bCs/>
          <w:lang w:val="es-CO"/>
        </w:rPr>
        <w:t>8</w:t>
      </w:r>
      <w:r>
        <w:rPr>
          <w:rFonts w:asciiTheme="majorHAnsi" w:hAnsiTheme="majorHAnsi" w:cstheme="majorHAnsi"/>
          <w:bCs/>
        </w:rPr>
        <w:t xml:space="preserve"> de diciembre de 2025.</w:t>
      </w:r>
    </w:p>
    <w:p w14:paraId="13B8FFF9">
      <w:pPr>
        <w:rPr>
          <w:rFonts w:cs="Calibri"/>
          <w:bCs/>
          <w:lang w:val="es-ES"/>
        </w:rPr>
      </w:pPr>
    </w:p>
    <w:p w14:paraId="2766BC05">
      <w:pPr>
        <w:rPr>
          <w:rFonts w:hint="default" w:cs="Calibri"/>
          <w:lang w:val="es-CO"/>
        </w:rPr>
      </w:pPr>
      <w:r>
        <w:rPr>
          <w:rFonts w:cs="Calibri"/>
          <w:b/>
          <w:u w:val="single"/>
          <w:lang w:val="es-ES"/>
        </w:rPr>
        <w:t>DOCUMENTOS</w:t>
      </w:r>
      <w:r>
        <w:rPr>
          <w:rFonts w:cs="Calibri"/>
          <w:b/>
          <w:lang w:val="es-ES"/>
        </w:rPr>
        <w:t>.</w:t>
      </w:r>
      <w:r>
        <w:rPr>
          <w:rFonts w:cs="Calibri"/>
          <w:lang w:val="es-ES"/>
        </w:rPr>
        <w:t xml:space="preserve"> Los documentos que a continuación se relacionan se consideran parte integrante de la presente modificación y, en consecuencia, producen los mismos efectos y obligaciones jurídicas y contractuales: a) Informe de supervisión. b) </w:t>
      </w:r>
      <w:r>
        <w:rPr>
          <w:rFonts w:hint="default" w:cs="Calibri"/>
          <w:lang w:val="es-CO"/>
        </w:rPr>
        <w:t xml:space="preserve">Anexo modificatorio </w:t>
      </w:r>
      <w:r>
        <w:rPr>
          <w:rFonts w:cs="Calibri"/>
          <w:lang w:val="es-ES"/>
        </w:rPr>
        <w:t>c) Los demás documentos previos expedidos por la entidad con ocasión del proceso de modificación</w:t>
      </w:r>
      <w:r>
        <w:rPr>
          <w:rFonts w:hint="default" w:cs="Calibri"/>
          <w:lang w:val="es-CO"/>
        </w:rPr>
        <w:t>.</w:t>
      </w:r>
    </w:p>
    <w:p w14:paraId="2CEC3D7E">
      <w:pPr>
        <w:rPr>
          <w:rFonts w:cs="Calibri"/>
          <w:bCs/>
          <w:lang w:val="es-ES"/>
        </w:rPr>
      </w:pPr>
    </w:p>
    <w:p w14:paraId="11380B95">
      <w:pPr>
        <w:rPr>
          <w:rFonts w:cs="Calibri"/>
          <w:lang w:val="es-ES"/>
        </w:rPr>
      </w:pPr>
      <w:r>
        <w:rPr>
          <w:rFonts w:cs="Calibri"/>
          <w:b/>
          <w:u w:val="single"/>
          <w:lang w:val="es-ES"/>
        </w:rPr>
        <w:t>ACTUALIZACIÓN DE LA GARANTÍA</w:t>
      </w:r>
      <w:r>
        <w:rPr>
          <w:rFonts w:cs="Calibri"/>
          <w:b/>
          <w:lang w:val="es-ES"/>
        </w:rPr>
        <w:t>.</w:t>
      </w:r>
      <w:r>
        <w:rPr>
          <w:rFonts w:cs="Calibri"/>
          <w:lang w:val="es-ES"/>
        </w:rPr>
        <w:t xml:space="preserve"> EL CONTRATISTA se obliga a actualizar las garantías que amparan el contrato, de conformidad con lo señalado en el presente documento, en caso de ser necesario.</w:t>
      </w:r>
    </w:p>
    <w:p w14:paraId="4FED4FC2">
      <w:pPr>
        <w:rPr>
          <w:rFonts w:cs="Calibri"/>
          <w:lang w:val="es-ES"/>
        </w:rPr>
      </w:pPr>
    </w:p>
    <w:p w14:paraId="7D5C9111">
      <w:pPr>
        <w:rPr>
          <w:rFonts w:cs="Calibri"/>
          <w:lang w:val="es-ES"/>
        </w:rPr>
      </w:pPr>
      <w:r>
        <w:rPr>
          <w:rFonts w:cs="Calibri"/>
          <w:b/>
          <w:bCs/>
          <w:u w:val="single"/>
          <w:lang w:val="es-ES"/>
        </w:rPr>
        <w:t>PERFECCIONAMIENTO</w:t>
      </w:r>
      <w:r>
        <w:rPr>
          <w:rFonts w:cs="Calibri"/>
          <w:b/>
          <w:bCs/>
          <w:lang w:val="es-ES"/>
        </w:rPr>
        <w:t xml:space="preserve">. </w:t>
      </w:r>
      <w:r>
        <w:rPr>
          <w:rFonts w:cs="Calibri"/>
          <w:lang w:val="es-ES"/>
        </w:rPr>
        <w:t>El presente documento se perfecciona mediante la aceptación de las partes a través de la plataforma SECOP II. La publicación se realizará conforme a lo dispuesto en el Decreto 1082 de 2015.</w:t>
      </w:r>
    </w:p>
    <w:p w14:paraId="5F88CE5B">
      <w:pPr>
        <w:rPr>
          <w:rFonts w:cs="Calibri"/>
          <w:lang w:val="es-ES"/>
        </w:rPr>
      </w:pPr>
    </w:p>
    <w:p w14:paraId="63362DFD">
      <w:pPr>
        <w:rPr>
          <w:rFonts w:cs="Calibri"/>
          <w:b/>
          <w:lang w:val="es-ES"/>
        </w:rPr>
      </w:pPr>
      <w:r>
        <w:rPr>
          <w:rFonts w:cs="Calibri"/>
          <w:b/>
          <w:u w:val="single"/>
          <w:lang w:val="es-ES"/>
        </w:rPr>
        <w:t>INMUTABILIDAD</w:t>
      </w:r>
      <w:r>
        <w:rPr>
          <w:rFonts w:cs="Calibri"/>
          <w:b/>
          <w:lang w:val="es-ES"/>
        </w:rPr>
        <w:t xml:space="preserve">. </w:t>
      </w:r>
      <w:r>
        <w:rPr>
          <w:rFonts w:cs="Calibri"/>
          <w:lang w:val="es-ES"/>
        </w:rPr>
        <w:t>Las condiciones y cláusulas que no hayan sido modificadas en el contrato electrónico o en el presente documento continúan vigentes.</w:t>
      </w:r>
    </w:p>
    <w:p w14:paraId="7E573785">
      <w:pPr>
        <w:widowControl w:val="0"/>
        <w:tabs>
          <w:tab w:val="left" w:pos="4962"/>
        </w:tabs>
        <w:adjustRightInd w:val="0"/>
        <w:rPr>
          <w:rFonts w:cs="Calibri"/>
          <w:bCs/>
        </w:rPr>
      </w:pPr>
    </w:p>
    <w:p w14:paraId="43FAA1F5">
      <w:pPr>
        <w:widowControl w:val="0"/>
        <w:tabs>
          <w:tab w:val="left" w:pos="4962"/>
        </w:tabs>
        <w:adjustRightInd w:val="0"/>
        <w:rPr>
          <w:rFonts w:cs="Calibri"/>
          <w:bCs/>
        </w:rPr>
      </w:pPr>
    </w:p>
    <w:p w14:paraId="3377937E">
      <w:pPr>
        <w:jc w:val="center"/>
        <w:rPr>
          <w:b/>
          <w:bCs/>
        </w:rPr>
      </w:pPr>
      <w:r>
        <w:rPr>
          <w:b/>
          <w:bCs/>
        </w:rPr>
        <w:t>PARA CONSTANCIA SE FIRMA, UNA VEZ LEÍDO Y ACEPTADO POR QUIENES EN ELLA INTERVINIERON, A TRAVÉS DE LA PLATAFORMA SECOP II. LA FECHA DEL DOCUMENTO SERÁ LA QUE CONSTE EN LA REFERIDA PLATAFORMA, UNA VEZ SE SURTA EL RECONOCIMIENTO POR LAS PARTES.</w:t>
      </w:r>
    </w:p>
    <w:p w14:paraId="0D620552">
      <w:pPr>
        <w:rPr>
          <w:rFonts w:cs="Calibri"/>
          <w:bCs/>
        </w:rPr>
      </w:pPr>
    </w:p>
    <w:p w14:paraId="0472C547">
      <w:pPr>
        <w:rPr>
          <w:rFonts w:cs="Calibri"/>
          <w:bCs/>
        </w:rPr>
      </w:pPr>
    </w:p>
    <w:p w14:paraId="1A6C1E38">
      <w:pPr>
        <w:rPr>
          <w:rFonts w:hint="default" w:cs="Calibri"/>
          <w:lang w:val="en-US" w:eastAsia="es-CO"/>
        </w:rPr>
      </w:pPr>
      <w:r>
        <w:rPr>
          <w:rFonts w:eastAsia="Arial" w:asciiTheme="majorHAnsi" w:hAnsiTheme="majorHAnsi" w:cstheme="majorHAnsi"/>
          <w:sz w:val="20"/>
          <w:lang w:eastAsia="es-CO" w:bidi="es-CO"/>
        </w:rPr>
        <w:t>Elaboró:</w:t>
      </w:r>
      <w:r>
        <w:rPr>
          <w:rFonts w:eastAsia="Arial" w:asciiTheme="majorHAnsi" w:hAnsiTheme="majorHAnsi" w:cstheme="majorHAnsi"/>
          <w:color w:val="E46C0A" w:themeColor="accent6" w:themeShade="BF"/>
          <w:sz w:val="20"/>
          <w:lang w:eastAsia="es-CO" w:bidi="es-CO"/>
        </w:rPr>
        <w:t xml:space="preserve"> </w:t>
      </w:r>
      <w:r>
        <w:rPr>
          <w:rFonts w:hint="default" w:cs="Calibri"/>
          <w:lang w:val="en-US" w:eastAsia="es-CO"/>
        </w:rPr>
        <w:t xml:space="preserve">Victoria Zamora - Abogada CTCM  </w:t>
      </w:r>
      <w:r>
        <w:drawing>
          <wp:inline distT="0" distB="0" distL="0" distR="0">
            <wp:extent cx="346075" cy="187325"/>
            <wp:effectExtent l="0" t="0" r="15875" b="3175"/>
            <wp:docPr id="8969268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926838" name="Imagen 1"/>
                    <pic:cNvPicPr>
                      <a:picLocks noChangeAspect="1"/>
                    </pic:cNvPicPr>
                  </pic:nvPicPr>
                  <pic:blipFill>
                    <a:blip r:embed="rId10"/>
                    <a:srcRect l="33775" t="31395" r="55363" b="52002"/>
                    <a:stretch>
                      <a:fillRect/>
                    </a:stretch>
                  </pic:blipFill>
                  <pic:spPr>
                    <a:xfrm>
                      <a:off x="0" y="0"/>
                      <a:ext cx="346075" cy="187325"/>
                    </a:xfrm>
                    <a:prstGeom prst="rect">
                      <a:avLst/>
                    </a:prstGeom>
                    <a:ln>
                      <a:noFill/>
                    </a:ln>
                  </pic:spPr>
                </pic:pic>
              </a:graphicData>
            </a:graphic>
          </wp:inline>
        </w:drawing>
      </w:r>
    </w:p>
    <w:p w14:paraId="1B0D15E4">
      <w:pPr>
        <w:rPr>
          <w:rFonts w:hint="default" w:cs="Calibri"/>
          <w:lang w:val="en-US" w:eastAsia="es-CO"/>
        </w:rPr>
      </w:pPr>
      <w:r>
        <w:rPr>
          <w:rFonts w:hint="default" w:cs="Calibri"/>
          <w:lang w:val="en-US" w:eastAsia="es-CO"/>
        </w:rPr>
        <w:t>Revisó: Diana Zaque - Coordinadora Grupo de Apoyo Administrativo</w:t>
      </w:r>
    </w:p>
    <w:sectPr>
      <w:headerReference r:id="rId5" w:type="default"/>
      <w:footerReference r:id="rId7" w:type="default"/>
      <w:headerReference r:id="rId6" w:type="even"/>
      <w:footerReference r:id="rId8" w:type="even"/>
      <w:pgSz w:w="12240" w:h="15840"/>
      <w:pgMar w:top="1701" w:right="1418" w:bottom="1701"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Gothic">
    <w:panose1 w:val="020B0609070205080204"/>
    <w:charset w:val="80"/>
    <w:family w:val="auto"/>
    <w:pitch w:val="default"/>
    <w:sig w:usb0="E00002FF" w:usb1="6AC7FDFB" w:usb2="08000012" w:usb3="00000000" w:csb0="4002009F" w:csb1="DFD70000"/>
  </w:font>
  <w:font w:name="Lucida Grande">
    <w:altName w:val="Segoe UI"/>
    <w:panose1 w:val="00000000000000000000"/>
    <w:charset w:val="00"/>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Calibri"/>
      </w:rPr>
      <w:id w:val="953055066"/>
      <w:docPartObj>
        <w:docPartGallery w:val="autotext"/>
      </w:docPartObj>
    </w:sdtPr>
    <w:sdtEndPr>
      <w:rPr>
        <w:rFonts w:cs="Calibri"/>
        <w:sz w:val="20"/>
        <w:szCs w:val="20"/>
      </w:rPr>
    </w:sdtEndPr>
    <w:sdtContent>
      <w:p w14:paraId="3E9D4FC2">
        <w:pPr>
          <w:pStyle w:val="20"/>
          <w:jc w:val="right"/>
          <w:rPr>
            <w:rFonts w:cs="Calibri"/>
            <w:sz w:val="20"/>
            <w:szCs w:val="20"/>
          </w:rPr>
        </w:pPr>
        <w:r>
          <w:rPr>
            <w:rFonts w:cs="Calibri"/>
            <w:sz w:val="20"/>
            <w:szCs w:val="20"/>
          </w:rPr>
          <w:fldChar w:fldCharType="begin"/>
        </w:r>
        <w:r>
          <w:rPr>
            <w:rFonts w:cs="Calibri"/>
            <w:sz w:val="20"/>
            <w:szCs w:val="20"/>
          </w:rPr>
          <w:instrText xml:space="preserve">PAGE   \* MERGEFORMAT</w:instrText>
        </w:r>
        <w:r>
          <w:rPr>
            <w:rFonts w:cs="Calibri"/>
            <w:sz w:val="20"/>
            <w:szCs w:val="20"/>
          </w:rPr>
          <w:fldChar w:fldCharType="separate"/>
        </w:r>
        <w:r>
          <w:rPr>
            <w:rFonts w:cs="Calibri"/>
            <w:sz w:val="20"/>
            <w:szCs w:val="20"/>
            <w:lang w:val="es-ES"/>
          </w:rPr>
          <w:t>2</w:t>
        </w:r>
        <w:r>
          <w:rPr>
            <w:rFonts w:cs="Calibri"/>
            <w:sz w:val="20"/>
            <w:szCs w:val="20"/>
          </w:rPr>
          <w:fldChar w:fldCharType="end"/>
        </w:r>
      </w:p>
      <w:p w14:paraId="5059FA62">
        <w:pPr>
          <w:pStyle w:val="20"/>
          <w:jc w:val="center"/>
          <w:rPr>
            <w:rFonts w:cs="Calibri"/>
            <w:sz w:val="20"/>
            <w:szCs w:val="20"/>
          </w:rPr>
        </w:pPr>
        <w:bookmarkStart w:id="9" w:name="_Hlk54791380"/>
        <w:bookmarkStart w:id="10" w:name="_Hlk54792249"/>
        <w:bookmarkStart w:id="11" w:name="_Hlk54791466"/>
        <w:r>
          <w:rPr>
            <w:rFonts w:cs="Calibri"/>
            <w:sz w:val="20"/>
            <w:szCs w:val="20"/>
          </w:rPr>
          <w:t>GCCON-F-069 V.0</w:t>
        </w:r>
        <w:bookmarkEnd w:id="9"/>
        <w:bookmarkEnd w:id="10"/>
        <w:bookmarkEnd w:id="11"/>
        <w:r>
          <w:rPr>
            <w:rFonts w:cs="Calibri"/>
            <w:sz w:val="20"/>
            <w:szCs w:val="20"/>
          </w:rPr>
          <w:t>3</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C567D">
    <w:pPr>
      <w:pStyle w:val="20"/>
    </w:pPr>
    <w:sdt>
      <w:sdtPr>
        <w:id w:val="969400743"/>
        <w:temporary/>
        <w:showingPlcHdr/>
      </w:sdtPr>
      <w:sdtContent>
        <w:r>
          <w:rPr>
            <w:lang w:val="es-ES"/>
          </w:rPr>
          <w:t>[Escriba texto]</w:t>
        </w:r>
      </w:sdtContent>
    </w:sdt>
    <w:r>
      <w:ptab w:relativeTo="margin" w:alignment="center" w:leader="none"/>
    </w:r>
    <w:sdt>
      <w:sdtPr>
        <w:id w:val="969400748"/>
        <w:temporary/>
        <w:showingPlcHdr/>
      </w:sdtPr>
      <w:sdtContent>
        <w:r>
          <w:rPr>
            <w:lang w:val="es-ES"/>
          </w:rPr>
          <w:t>[Escriba texto]</w:t>
        </w:r>
      </w:sdtContent>
    </w:sdt>
    <w:r>
      <w:ptab w:relativeTo="margin" w:alignment="right" w:leader="none"/>
    </w:r>
    <w:sdt>
      <w:sdtPr>
        <w:id w:val="969400753"/>
        <w:temporary/>
        <w:showingPlcHdr/>
      </w:sdtPr>
      <w:sdtContent>
        <w:r>
          <w:rPr>
            <w:lang w:val="es-ES"/>
          </w:rPr>
          <w:t>[Escriba texto]</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0BAB5">
    <w:pPr>
      <w:pStyle w:val="18"/>
      <w:jc w:val="center"/>
    </w:pPr>
    <w:r>
      <w:rPr>
        <w:lang w:eastAsia="es-CO"/>
      </w:rPr>
      <w:drawing>
        <wp:inline distT="0" distB="0" distL="0" distR="0">
          <wp:extent cx="592455" cy="561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180EB">
    <w:pPr>
      <w:pStyle w:val="18"/>
    </w:pPr>
    <w:sdt>
      <w:sdtPr>
        <w:id w:val="171999623"/>
        <w:placeholder>
          <w:docPart w:val="2ED574D428D42847860A3C208A6527E5"/>
        </w:placeholder>
        <w:temporary/>
        <w:showingPlcHdr/>
      </w:sdtPr>
      <w:sdtContent>
        <w:r>
          <w:rPr>
            <w:lang w:val="es-ES"/>
          </w:rPr>
          <w:t>[Escriba texto]</w:t>
        </w:r>
      </w:sdtContent>
    </w:sdt>
    <w:r>
      <w:ptab w:relativeTo="margin" w:alignment="center" w:leader="none"/>
    </w:r>
    <w:sdt>
      <w:sdtPr>
        <w:id w:val="171999624"/>
        <w:placeholder>
          <w:docPart w:val="674CAF93F4325F49BF5AC796F1077918"/>
        </w:placeholder>
        <w:temporary/>
        <w:showingPlcHdr/>
      </w:sdtPr>
      <w:sdtContent>
        <w:r>
          <w:rPr>
            <w:lang w:val="es-ES"/>
          </w:rPr>
          <w:t>[Escriba texto]</w:t>
        </w:r>
      </w:sdtContent>
    </w:sdt>
    <w:r>
      <w:ptab w:relativeTo="margin" w:alignment="right" w:leader="none"/>
    </w:r>
    <w:sdt>
      <w:sdtPr>
        <w:id w:val="171999625"/>
        <w:placeholder>
          <w:docPart w:val="C1453610682C8E45A1E4ADDF76B214E4"/>
        </w:placeholder>
        <w:temporary/>
        <w:showingPlcHdr/>
      </w:sdtPr>
      <w:sdtContent>
        <w:r>
          <w:rPr>
            <w:lang w:val="es-ES"/>
          </w:rPr>
          <w:t>[Escriba texto]</w:t>
        </w:r>
      </w:sdtContent>
    </w:sdt>
  </w:p>
  <w:p w14:paraId="21CB647B">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8306A8"/>
    <w:multiLevelType w:val="multilevel"/>
    <w:tmpl w:val="418306A8"/>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39D7"/>
    <w:rsid w:val="000140DB"/>
    <w:rsid w:val="000266D7"/>
    <w:rsid w:val="00030AE0"/>
    <w:rsid w:val="000664E3"/>
    <w:rsid w:val="00066EBE"/>
    <w:rsid w:val="00071375"/>
    <w:rsid w:val="00091A2E"/>
    <w:rsid w:val="000C1FF1"/>
    <w:rsid w:val="000C3EDF"/>
    <w:rsid w:val="000C44CA"/>
    <w:rsid w:val="00114AEC"/>
    <w:rsid w:val="00115DB7"/>
    <w:rsid w:val="001531DA"/>
    <w:rsid w:val="00155314"/>
    <w:rsid w:val="0017667A"/>
    <w:rsid w:val="00184D13"/>
    <w:rsid w:val="001A2A20"/>
    <w:rsid w:val="001A6548"/>
    <w:rsid w:val="001A74F0"/>
    <w:rsid w:val="001D259E"/>
    <w:rsid w:val="001E5CA9"/>
    <w:rsid w:val="00203B3D"/>
    <w:rsid w:val="00237DC2"/>
    <w:rsid w:val="00242FE7"/>
    <w:rsid w:val="00261E0B"/>
    <w:rsid w:val="0026795A"/>
    <w:rsid w:val="0029071C"/>
    <w:rsid w:val="002C4C80"/>
    <w:rsid w:val="002F56E8"/>
    <w:rsid w:val="0032056A"/>
    <w:rsid w:val="003271BC"/>
    <w:rsid w:val="00331DDB"/>
    <w:rsid w:val="00352EF2"/>
    <w:rsid w:val="00366335"/>
    <w:rsid w:val="0037789C"/>
    <w:rsid w:val="00380F24"/>
    <w:rsid w:val="003828AE"/>
    <w:rsid w:val="00387B42"/>
    <w:rsid w:val="003956D9"/>
    <w:rsid w:val="00395A34"/>
    <w:rsid w:val="003A0239"/>
    <w:rsid w:val="003A1B93"/>
    <w:rsid w:val="003B110D"/>
    <w:rsid w:val="003B6DE2"/>
    <w:rsid w:val="003D41EE"/>
    <w:rsid w:val="003F6E39"/>
    <w:rsid w:val="004030CA"/>
    <w:rsid w:val="0041765B"/>
    <w:rsid w:val="00417A95"/>
    <w:rsid w:val="0042368D"/>
    <w:rsid w:val="00433946"/>
    <w:rsid w:val="00435AF8"/>
    <w:rsid w:val="00445CED"/>
    <w:rsid w:val="00447549"/>
    <w:rsid w:val="004658BE"/>
    <w:rsid w:val="004B47B4"/>
    <w:rsid w:val="004B4DD2"/>
    <w:rsid w:val="004C6C8D"/>
    <w:rsid w:val="00504A1F"/>
    <w:rsid w:val="00505B5C"/>
    <w:rsid w:val="00511546"/>
    <w:rsid w:val="005207C9"/>
    <w:rsid w:val="0052670E"/>
    <w:rsid w:val="00537FE7"/>
    <w:rsid w:val="0054095C"/>
    <w:rsid w:val="00540CF9"/>
    <w:rsid w:val="00541550"/>
    <w:rsid w:val="00574850"/>
    <w:rsid w:val="00583DA2"/>
    <w:rsid w:val="0058429B"/>
    <w:rsid w:val="0058760C"/>
    <w:rsid w:val="005911F4"/>
    <w:rsid w:val="005949A7"/>
    <w:rsid w:val="005A1A61"/>
    <w:rsid w:val="005C4749"/>
    <w:rsid w:val="005E62A2"/>
    <w:rsid w:val="005F0809"/>
    <w:rsid w:val="005F5507"/>
    <w:rsid w:val="00613292"/>
    <w:rsid w:val="0061420B"/>
    <w:rsid w:val="00633BEF"/>
    <w:rsid w:val="0064012F"/>
    <w:rsid w:val="00641471"/>
    <w:rsid w:val="006459C6"/>
    <w:rsid w:val="00671F45"/>
    <w:rsid w:val="00680869"/>
    <w:rsid w:val="00685FBC"/>
    <w:rsid w:val="00690315"/>
    <w:rsid w:val="00695220"/>
    <w:rsid w:val="006A05BA"/>
    <w:rsid w:val="006A2D47"/>
    <w:rsid w:val="006B3016"/>
    <w:rsid w:val="006B63E3"/>
    <w:rsid w:val="006D6A67"/>
    <w:rsid w:val="006E1A51"/>
    <w:rsid w:val="006E3978"/>
    <w:rsid w:val="006F3821"/>
    <w:rsid w:val="0073001F"/>
    <w:rsid w:val="00745B31"/>
    <w:rsid w:val="0075241D"/>
    <w:rsid w:val="007617D0"/>
    <w:rsid w:val="007866F9"/>
    <w:rsid w:val="007A40C1"/>
    <w:rsid w:val="007A57F9"/>
    <w:rsid w:val="007B56C1"/>
    <w:rsid w:val="007E7E14"/>
    <w:rsid w:val="00815841"/>
    <w:rsid w:val="00817370"/>
    <w:rsid w:val="0081757D"/>
    <w:rsid w:val="00821888"/>
    <w:rsid w:val="00877662"/>
    <w:rsid w:val="00880BA8"/>
    <w:rsid w:val="008B4294"/>
    <w:rsid w:val="008C45B3"/>
    <w:rsid w:val="008D647D"/>
    <w:rsid w:val="008D71CA"/>
    <w:rsid w:val="008E2283"/>
    <w:rsid w:val="008F256A"/>
    <w:rsid w:val="008F73A0"/>
    <w:rsid w:val="00905DA7"/>
    <w:rsid w:val="00920D0D"/>
    <w:rsid w:val="00932A24"/>
    <w:rsid w:val="00936216"/>
    <w:rsid w:val="009432C0"/>
    <w:rsid w:val="00957F4C"/>
    <w:rsid w:val="00962840"/>
    <w:rsid w:val="0096518A"/>
    <w:rsid w:val="00972A86"/>
    <w:rsid w:val="00983C98"/>
    <w:rsid w:val="00985661"/>
    <w:rsid w:val="00991F59"/>
    <w:rsid w:val="009B48D7"/>
    <w:rsid w:val="009C10E4"/>
    <w:rsid w:val="009C5CC4"/>
    <w:rsid w:val="009D551D"/>
    <w:rsid w:val="00A03FA8"/>
    <w:rsid w:val="00A04641"/>
    <w:rsid w:val="00A1566B"/>
    <w:rsid w:val="00A15A42"/>
    <w:rsid w:val="00A33307"/>
    <w:rsid w:val="00A33BC0"/>
    <w:rsid w:val="00A51AD9"/>
    <w:rsid w:val="00A62559"/>
    <w:rsid w:val="00A7439D"/>
    <w:rsid w:val="00A81B1D"/>
    <w:rsid w:val="00AA2937"/>
    <w:rsid w:val="00AA4237"/>
    <w:rsid w:val="00AB0A03"/>
    <w:rsid w:val="00AD5593"/>
    <w:rsid w:val="00AE1C21"/>
    <w:rsid w:val="00B01D3B"/>
    <w:rsid w:val="00B068E4"/>
    <w:rsid w:val="00B07983"/>
    <w:rsid w:val="00B87091"/>
    <w:rsid w:val="00BA0802"/>
    <w:rsid w:val="00BA3FD2"/>
    <w:rsid w:val="00BB20FB"/>
    <w:rsid w:val="00BB4039"/>
    <w:rsid w:val="00BC3EBF"/>
    <w:rsid w:val="00BF0E3E"/>
    <w:rsid w:val="00C127EE"/>
    <w:rsid w:val="00C2249E"/>
    <w:rsid w:val="00C266EE"/>
    <w:rsid w:val="00C77E7E"/>
    <w:rsid w:val="00C86F3C"/>
    <w:rsid w:val="00C91F7D"/>
    <w:rsid w:val="00C94A83"/>
    <w:rsid w:val="00C968E6"/>
    <w:rsid w:val="00CA4049"/>
    <w:rsid w:val="00CA4C07"/>
    <w:rsid w:val="00CA4FBC"/>
    <w:rsid w:val="00CC4301"/>
    <w:rsid w:val="00CE5C22"/>
    <w:rsid w:val="00D123B6"/>
    <w:rsid w:val="00D16124"/>
    <w:rsid w:val="00D310C3"/>
    <w:rsid w:val="00D3157D"/>
    <w:rsid w:val="00D3202C"/>
    <w:rsid w:val="00D36882"/>
    <w:rsid w:val="00D471AF"/>
    <w:rsid w:val="00D533DD"/>
    <w:rsid w:val="00D53A48"/>
    <w:rsid w:val="00D71412"/>
    <w:rsid w:val="00D762E1"/>
    <w:rsid w:val="00DA7FED"/>
    <w:rsid w:val="00DB2DD4"/>
    <w:rsid w:val="00DB31D2"/>
    <w:rsid w:val="00DC1D2D"/>
    <w:rsid w:val="00DC1EA8"/>
    <w:rsid w:val="00DC39A3"/>
    <w:rsid w:val="00DC56F0"/>
    <w:rsid w:val="00DD209B"/>
    <w:rsid w:val="00DE5034"/>
    <w:rsid w:val="00E13462"/>
    <w:rsid w:val="00E2171C"/>
    <w:rsid w:val="00E34BBD"/>
    <w:rsid w:val="00E60C39"/>
    <w:rsid w:val="00E6139F"/>
    <w:rsid w:val="00E61FB6"/>
    <w:rsid w:val="00E65576"/>
    <w:rsid w:val="00E716AE"/>
    <w:rsid w:val="00E73F56"/>
    <w:rsid w:val="00E81C37"/>
    <w:rsid w:val="00E82952"/>
    <w:rsid w:val="00E90CE9"/>
    <w:rsid w:val="00E92F8B"/>
    <w:rsid w:val="00E949B1"/>
    <w:rsid w:val="00E975C6"/>
    <w:rsid w:val="00EC5851"/>
    <w:rsid w:val="00ED6178"/>
    <w:rsid w:val="00ED6D30"/>
    <w:rsid w:val="00EE5EA8"/>
    <w:rsid w:val="00EF5EEF"/>
    <w:rsid w:val="00F00C8F"/>
    <w:rsid w:val="00F170BC"/>
    <w:rsid w:val="00F254B5"/>
    <w:rsid w:val="00F3384D"/>
    <w:rsid w:val="00F44475"/>
    <w:rsid w:val="00F53498"/>
    <w:rsid w:val="00F56B9B"/>
    <w:rsid w:val="00F75CDE"/>
    <w:rsid w:val="00F811F3"/>
    <w:rsid w:val="00FA071A"/>
    <w:rsid w:val="00FA1A01"/>
    <w:rsid w:val="00FB3727"/>
    <w:rsid w:val="00FC1EBD"/>
    <w:rsid w:val="00FE77C1"/>
    <w:rsid w:val="09145FE0"/>
    <w:rsid w:val="0DFF0D0B"/>
    <w:rsid w:val="21B1337F"/>
    <w:rsid w:val="23F46C41"/>
    <w:rsid w:val="2BEC2335"/>
    <w:rsid w:val="35D66B74"/>
    <w:rsid w:val="38CF2BC1"/>
    <w:rsid w:val="48AF295D"/>
    <w:rsid w:val="496B110B"/>
    <w:rsid w:val="51443EBB"/>
    <w:rsid w:val="606C3BBD"/>
    <w:rsid w:val="60C715CB"/>
    <w:rsid w:val="648F48AC"/>
    <w:rsid w:val="65736E7E"/>
    <w:rsid w:val="675A2B11"/>
    <w:rsid w:val="681C1973"/>
    <w:rsid w:val="719E4475"/>
  </w:rsids>
  <m:mathPr>
    <m:mathFont m:val="Cambria Math"/>
    <m:brkBin m:val="before"/>
    <m:brkBinSub m:val="--"/>
    <m:smallFrac m:val="0"/>
    <m:dispDef/>
    <m:lMargin m:val="0"/>
    <m:rMargin m:val="0"/>
    <m:defJc m:val="centerGroup"/>
    <m:wrapIndent m:val="1440"/>
    <m:intLim m:val="subSup"/>
    <m:naryLim m:val="undOvr"/>
  </m:mathPr>
  <w:doNotAutoCompressPictures/>
  <w:themeFontLang w:val="es-CO"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semiHidden="0"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29" w:semiHidden="0" w:name="Quote"/>
  </w:latentStyles>
  <w:style w:type="paragraph" w:default="1" w:styleId="1">
    <w:name w:val="Normal"/>
    <w:qFormat/>
    <w:uiPriority w:val="0"/>
    <w:pPr>
      <w:spacing w:after="0" w:line="276" w:lineRule="auto"/>
      <w:jc w:val="both"/>
    </w:pPr>
    <w:rPr>
      <w:rFonts w:ascii="Calibri" w:hAnsi="Calibri" w:eastAsia="Calibri" w:cs="Times New Roman"/>
      <w:sz w:val="22"/>
      <w:szCs w:val="22"/>
      <w:lang w:val="es-CO" w:eastAsia="en-US" w:bidi="ar-SA"/>
    </w:rPr>
  </w:style>
  <w:style w:type="paragraph" w:styleId="2">
    <w:name w:val="heading 1"/>
    <w:basedOn w:val="1"/>
    <w:next w:val="1"/>
    <w:link w:val="31"/>
    <w:qFormat/>
    <w:uiPriority w:val="9"/>
    <w:pPr>
      <w:spacing w:line="360" w:lineRule="auto"/>
      <w:jc w:val="center"/>
      <w:outlineLvl w:val="0"/>
    </w:pPr>
    <w:rPr>
      <w:rFonts w:ascii="Arial" w:hAnsi="Arial" w:cs="Arial"/>
      <w:szCs w:val="24"/>
    </w:rPr>
  </w:style>
  <w:style w:type="paragraph" w:styleId="3">
    <w:name w:val="heading 2"/>
    <w:basedOn w:val="1"/>
    <w:next w:val="1"/>
    <w:link w:val="32"/>
    <w:unhideWhenUsed/>
    <w:qFormat/>
    <w:uiPriority w:val="9"/>
    <w:pPr>
      <w:spacing w:line="240" w:lineRule="auto"/>
      <w:jc w:val="center"/>
      <w:outlineLvl w:val="1"/>
    </w:pPr>
    <w:rPr>
      <w:rFonts w:cs="Arial"/>
      <w:b/>
      <w:color w:val="FF6C00"/>
      <w:sz w:val="24"/>
      <w:szCs w:val="24"/>
    </w:rPr>
  </w:style>
  <w:style w:type="paragraph" w:styleId="4">
    <w:name w:val="heading 3"/>
    <w:basedOn w:val="1"/>
    <w:next w:val="1"/>
    <w:link w:val="36"/>
    <w:unhideWhenUsed/>
    <w:qFormat/>
    <w:uiPriority w:val="9"/>
    <w:pPr>
      <w:keepNext/>
      <w:keepLines/>
      <w:spacing w:before="40"/>
      <w:outlineLvl w:val="2"/>
    </w:pPr>
    <w:rPr>
      <w:rFonts w:asciiTheme="majorHAnsi" w:hAnsiTheme="majorHAnsi" w:eastAsiaTheme="majorEastAsia" w:cstheme="majorBidi"/>
      <w:b/>
      <w:i/>
      <w:color w:val="FF6C00"/>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footnote reference"/>
    <w:basedOn w:val="5"/>
    <w:semiHidden/>
    <w:unhideWhenUsed/>
    <w:qFormat/>
    <w:uiPriority w:val="99"/>
    <w:rPr>
      <w:vertAlign w:val="superscript"/>
    </w:rPr>
  </w:style>
  <w:style w:type="character" w:styleId="8">
    <w:name w:val="Hyperlink"/>
    <w:basedOn w:val="5"/>
    <w:unhideWhenUsed/>
    <w:qFormat/>
    <w:uiPriority w:val="99"/>
    <w:rPr>
      <w:color w:val="0000FF" w:themeColor="hyperlink"/>
      <w:u w:val="single"/>
      <w14:textFill>
        <w14:solidFill>
          <w14:schemeClr w14:val="hlink"/>
        </w14:solidFill>
      </w14:textFill>
    </w:rPr>
  </w:style>
  <w:style w:type="character" w:styleId="9">
    <w:name w:val="FollowedHyperlink"/>
    <w:basedOn w:val="5"/>
    <w:semiHidden/>
    <w:unhideWhenUsed/>
    <w:qFormat/>
    <w:uiPriority w:val="99"/>
    <w:rPr>
      <w:color w:val="800080" w:themeColor="followedHyperlink"/>
      <w:u w:val="single"/>
      <w14:textFill>
        <w14:solidFill>
          <w14:schemeClr w14:val="folHlink"/>
        </w14:solidFill>
      </w14:textFill>
    </w:rPr>
  </w:style>
  <w:style w:type="character" w:styleId="10">
    <w:name w:val="page number"/>
    <w:basedOn w:val="5"/>
    <w:qFormat/>
    <w:uiPriority w:val="0"/>
  </w:style>
  <w:style w:type="paragraph" w:styleId="11">
    <w:name w:val="toc 3"/>
    <w:basedOn w:val="1"/>
    <w:next w:val="1"/>
    <w:autoRedefine/>
    <w:unhideWhenUsed/>
    <w:qFormat/>
    <w:uiPriority w:val="39"/>
    <w:pPr>
      <w:spacing w:after="100"/>
      <w:ind w:left="440"/>
    </w:pPr>
  </w:style>
  <w:style w:type="paragraph" w:styleId="12">
    <w:name w:val="footnote text"/>
    <w:basedOn w:val="1"/>
    <w:link w:val="37"/>
    <w:semiHidden/>
    <w:unhideWhenUsed/>
    <w:qFormat/>
    <w:uiPriority w:val="99"/>
    <w:pPr>
      <w:spacing w:line="240" w:lineRule="auto"/>
    </w:pPr>
    <w:rPr>
      <w:sz w:val="20"/>
      <w:szCs w:val="20"/>
    </w:rPr>
  </w:style>
  <w:style w:type="paragraph" w:styleId="13">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14">
    <w:name w:val="toc 1"/>
    <w:basedOn w:val="1"/>
    <w:next w:val="1"/>
    <w:autoRedefine/>
    <w:unhideWhenUsed/>
    <w:qFormat/>
    <w:uiPriority w:val="39"/>
    <w:pPr>
      <w:tabs>
        <w:tab w:val="left" w:pos="440"/>
        <w:tab w:val="right" w:leader="dot" w:pos="8828"/>
      </w:tabs>
      <w:spacing w:after="100"/>
    </w:pPr>
  </w:style>
  <w:style w:type="paragraph" w:styleId="15">
    <w:name w:val="toc 2"/>
    <w:basedOn w:val="1"/>
    <w:next w:val="1"/>
    <w:autoRedefine/>
    <w:unhideWhenUsed/>
    <w:qFormat/>
    <w:uiPriority w:val="39"/>
    <w:pPr>
      <w:spacing w:after="100"/>
      <w:ind w:left="220"/>
    </w:pPr>
  </w:style>
  <w:style w:type="paragraph" w:styleId="16">
    <w:name w:val="Balloon Text"/>
    <w:basedOn w:val="1"/>
    <w:link w:val="29"/>
    <w:semiHidden/>
    <w:unhideWhenUsed/>
    <w:qFormat/>
    <w:uiPriority w:val="99"/>
    <w:pPr>
      <w:spacing w:line="240" w:lineRule="auto"/>
    </w:pPr>
    <w:rPr>
      <w:rFonts w:ascii="Lucida Grande" w:hAnsi="Lucida Grande" w:cs="Lucida Grande"/>
      <w:sz w:val="18"/>
      <w:szCs w:val="18"/>
    </w:rPr>
  </w:style>
  <w:style w:type="paragraph" w:styleId="17">
    <w:name w:val="table of figures"/>
    <w:basedOn w:val="1"/>
    <w:next w:val="1"/>
    <w:unhideWhenUsed/>
    <w:qFormat/>
    <w:uiPriority w:val="99"/>
    <w:rPr>
      <w:rFonts w:ascii="Arial" w:hAnsi="Arial"/>
    </w:rPr>
  </w:style>
  <w:style w:type="paragraph" w:styleId="18">
    <w:name w:val="header"/>
    <w:basedOn w:val="1"/>
    <w:link w:val="26"/>
    <w:unhideWhenUsed/>
    <w:qFormat/>
    <w:uiPriority w:val="0"/>
    <w:pPr>
      <w:tabs>
        <w:tab w:val="center" w:pos="4252"/>
        <w:tab w:val="right" w:pos="8504"/>
      </w:tabs>
    </w:pPr>
  </w:style>
  <w:style w:type="paragraph" w:styleId="19">
    <w:name w:val="Body Text Indent"/>
    <w:basedOn w:val="1"/>
    <w:link w:val="41"/>
    <w:semiHidden/>
    <w:unhideWhenUsed/>
    <w:qFormat/>
    <w:uiPriority w:val="99"/>
    <w:pPr>
      <w:spacing w:after="120"/>
      <w:ind w:left="283"/>
    </w:pPr>
  </w:style>
  <w:style w:type="paragraph" w:styleId="20">
    <w:name w:val="footer"/>
    <w:basedOn w:val="1"/>
    <w:link w:val="27"/>
    <w:unhideWhenUsed/>
    <w:qFormat/>
    <w:uiPriority w:val="99"/>
    <w:pPr>
      <w:tabs>
        <w:tab w:val="center" w:pos="4252"/>
        <w:tab w:val="right" w:pos="8504"/>
      </w:tabs>
    </w:pPr>
  </w:style>
  <w:style w:type="paragraph" w:styleId="21">
    <w:name w:val="Salutation"/>
    <w:basedOn w:val="1"/>
    <w:next w:val="1"/>
    <w:link w:val="39"/>
    <w:unhideWhenUsed/>
    <w:qFormat/>
    <w:uiPriority w:val="99"/>
  </w:style>
  <w:style w:type="paragraph" w:styleId="22">
    <w:name w:val="Body Text"/>
    <w:basedOn w:val="1"/>
    <w:link w:val="40"/>
    <w:unhideWhenUsed/>
    <w:qFormat/>
    <w:uiPriority w:val="99"/>
    <w:pPr>
      <w:spacing w:after="120"/>
    </w:pPr>
  </w:style>
  <w:style w:type="paragraph" w:styleId="23">
    <w:name w:val="Body Text First Indent 2"/>
    <w:basedOn w:val="19"/>
    <w:link w:val="42"/>
    <w:unhideWhenUsed/>
    <w:qFormat/>
    <w:uiPriority w:val="99"/>
    <w:pPr>
      <w:spacing w:after="160"/>
      <w:ind w:left="360" w:firstLine="360"/>
    </w:pPr>
  </w:style>
  <w:style w:type="paragraph" w:styleId="24">
    <w:name w:val="Plain Text"/>
    <w:basedOn w:val="1"/>
    <w:link w:val="30"/>
    <w:semiHidden/>
    <w:unhideWhenUsed/>
    <w:qFormat/>
    <w:uiPriority w:val="99"/>
    <w:pPr>
      <w:spacing w:line="240" w:lineRule="auto"/>
    </w:pPr>
    <w:rPr>
      <w:rFonts w:eastAsiaTheme="minorHAnsi" w:cstheme="minorBidi"/>
      <w:szCs w:val="21"/>
    </w:rPr>
  </w:style>
  <w:style w:type="table" w:styleId="25">
    <w:name w:val="Table Grid"/>
    <w:basedOn w:val="6"/>
    <w:qFormat/>
    <w:uiPriority w:val="39"/>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6">
    <w:name w:val="Encabezado Car"/>
    <w:basedOn w:val="5"/>
    <w:link w:val="18"/>
    <w:qFormat/>
    <w:uiPriority w:val="0"/>
  </w:style>
  <w:style w:type="character" w:customStyle="1" w:styleId="27">
    <w:name w:val="Pie de página Car"/>
    <w:basedOn w:val="5"/>
    <w:link w:val="20"/>
    <w:qFormat/>
    <w:uiPriority w:val="99"/>
  </w:style>
  <w:style w:type="paragraph" w:styleId="28">
    <w:name w:val="List Paragraph"/>
    <w:basedOn w:val="1"/>
    <w:link w:val="35"/>
    <w:qFormat/>
    <w:uiPriority w:val="34"/>
    <w:pPr>
      <w:ind w:left="720"/>
      <w:contextualSpacing/>
    </w:pPr>
  </w:style>
  <w:style w:type="character" w:customStyle="1" w:styleId="29">
    <w:name w:val="Texto de globo Car"/>
    <w:basedOn w:val="5"/>
    <w:link w:val="16"/>
    <w:semiHidden/>
    <w:qFormat/>
    <w:uiPriority w:val="99"/>
    <w:rPr>
      <w:rFonts w:ascii="Lucida Grande" w:hAnsi="Lucida Grande" w:eastAsia="Calibri" w:cs="Lucida Grande"/>
      <w:sz w:val="18"/>
      <w:szCs w:val="18"/>
      <w:lang w:eastAsia="en-US"/>
    </w:rPr>
  </w:style>
  <w:style w:type="character" w:customStyle="1" w:styleId="30">
    <w:name w:val="Texto sin formato Car"/>
    <w:basedOn w:val="5"/>
    <w:link w:val="24"/>
    <w:semiHidden/>
    <w:qFormat/>
    <w:uiPriority w:val="99"/>
    <w:rPr>
      <w:rFonts w:ascii="Calibri" w:hAnsi="Calibri" w:eastAsiaTheme="minorHAnsi"/>
      <w:sz w:val="22"/>
      <w:szCs w:val="21"/>
      <w:lang w:eastAsia="en-US"/>
    </w:rPr>
  </w:style>
  <w:style w:type="character" w:customStyle="1" w:styleId="31">
    <w:name w:val="Título 1 Car"/>
    <w:basedOn w:val="5"/>
    <w:link w:val="2"/>
    <w:qFormat/>
    <w:uiPriority w:val="9"/>
    <w:rPr>
      <w:rFonts w:ascii="Arial" w:hAnsi="Arial" w:eastAsia="Calibri" w:cs="Arial"/>
      <w:sz w:val="22"/>
      <w:lang w:eastAsia="en-US"/>
    </w:rPr>
  </w:style>
  <w:style w:type="character" w:customStyle="1" w:styleId="32">
    <w:name w:val="Título 2 Car"/>
    <w:basedOn w:val="5"/>
    <w:link w:val="3"/>
    <w:qFormat/>
    <w:uiPriority w:val="9"/>
    <w:rPr>
      <w:rFonts w:ascii="Calibri" w:hAnsi="Calibri" w:eastAsia="Calibri" w:cs="Arial"/>
      <w:b/>
      <w:color w:val="FF6C00"/>
      <w:lang w:eastAsia="en-US"/>
    </w:rPr>
  </w:style>
  <w:style w:type="paragraph" w:styleId="33">
    <w:name w:val="No Spacing"/>
    <w:link w:val="34"/>
    <w:qFormat/>
    <w:uiPriority w:val="1"/>
    <w:pPr>
      <w:spacing w:after="160" w:line="480" w:lineRule="auto"/>
    </w:pPr>
    <w:rPr>
      <w:rFonts w:asciiTheme="minorHAnsi" w:hAnsiTheme="minorHAnsi" w:eastAsiaTheme="minorEastAsia" w:cstheme="minorBidi"/>
      <w:sz w:val="22"/>
      <w:szCs w:val="22"/>
      <w:lang w:val="es-CO" w:eastAsia="es-CO" w:bidi="ar-SA"/>
    </w:rPr>
  </w:style>
  <w:style w:type="character" w:customStyle="1" w:styleId="34">
    <w:name w:val="Sin espaciado Car"/>
    <w:basedOn w:val="5"/>
    <w:link w:val="33"/>
    <w:qFormat/>
    <w:uiPriority w:val="1"/>
    <w:rPr>
      <w:sz w:val="22"/>
      <w:szCs w:val="22"/>
      <w:lang w:eastAsia="es-CO"/>
    </w:rPr>
  </w:style>
  <w:style w:type="character" w:customStyle="1" w:styleId="35">
    <w:name w:val="Párrafo de lista Car"/>
    <w:link w:val="28"/>
    <w:qFormat/>
    <w:uiPriority w:val="34"/>
    <w:rPr>
      <w:rFonts w:ascii="Calibri" w:hAnsi="Calibri" w:eastAsia="Calibri" w:cs="Times New Roman"/>
      <w:sz w:val="22"/>
      <w:szCs w:val="22"/>
      <w:lang w:eastAsia="en-US"/>
    </w:rPr>
  </w:style>
  <w:style w:type="character" w:customStyle="1" w:styleId="36">
    <w:name w:val="Título 3 Car"/>
    <w:basedOn w:val="5"/>
    <w:link w:val="4"/>
    <w:qFormat/>
    <w:uiPriority w:val="9"/>
    <w:rPr>
      <w:rFonts w:asciiTheme="majorHAnsi" w:hAnsiTheme="majorHAnsi" w:eastAsiaTheme="majorEastAsia" w:cstheme="majorBidi"/>
      <w:b/>
      <w:i/>
      <w:color w:val="FF6C00"/>
      <w:sz w:val="22"/>
      <w:lang w:eastAsia="en-US"/>
    </w:rPr>
  </w:style>
  <w:style w:type="character" w:customStyle="1" w:styleId="37">
    <w:name w:val="Texto nota pie Car"/>
    <w:basedOn w:val="5"/>
    <w:link w:val="12"/>
    <w:semiHidden/>
    <w:qFormat/>
    <w:uiPriority w:val="99"/>
    <w:rPr>
      <w:rFonts w:ascii="Calibri" w:hAnsi="Calibri" w:eastAsia="Calibri" w:cs="Times New Roman"/>
      <w:sz w:val="20"/>
      <w:szCs w:val="20"/>
      <w:lang w:eastAsia="en-US"/>
    </w:rPr>
  </w:style>
  <w:style w:type="character" w:customStyle="1" w:styleId="38">
    <w:name w:val="Mención sin resolver1"/>
    <w:basedOn w:val="5"/>
    <w:semiHidden/>
    <w:unhideWhenUsed/>
    <w:qFormat/>
    <w:uiPriority w:val="99"/>
    <w:rPr>
      <w:color w:val="605E5C"/>
      <w:shd w:val="clear" w:color="auto" w:fill="E1DFDD"/>
    </w:rPr>
  </w:style>
  <w:style w:type="character" w:customStyle="1" w:styleId="39">
    <w:name w:val="Saludo Car"/>
    <w:basedOn w:val="5"/>
    <w:link w:val="21"/>
    <w:qFormat/>
    <w:uiPriority w:val="99"/>
    <w:rPr>
      <w:rFonts w:ascii="Calibri" w:hAnsi="Calibri" w:eastAsia="Calibri" w:cs="Times New Roman"/>
      <w:sz w:val="22"/>
      <w:szCs w:val="22"/>
      <w:lang w:eastAsia="en-US"/>
    </w:rPr>
  </w:style>
  <w:style w:type="character" w:customStyle="1" w:styleId="40">
    <w:name w:val="Texto independiente Car"/>
    <w:basedOn w:val="5"/>
    <w:link w:val="22"/>
    <w:qFormat/>
    <w:uiPriority w:val="99"/>
    <w:rPr>
      <w:rFonts w:ascii="Calibri" w:hAnsi="Calibri" w:eastAsia="Calibri" w:cs="Times New Roman"/>
      <w:sz w:val="22"/>
      <w:szCs w:val="22"/>
      <w:lang w:eastAsia="en-US"/>
    </w:rPr>
  </w:style>
  <w:style w:type="character" w:customStyle="1" w:styleId="41">
    <w:name w:val="Sangría de texto normal Car"/>
    <w:basedOn w:val="5"/>
    <w:link w:val="19"/>
    <w:semiHidden/>
    <w:qFormat/>
    <w:uiPriority w:val="99"/>
    <w:rPr>
      <w:rFonts w:ascii="Calibri" w:hAnsi="Calibri" w:eastAsia="Calibri" w:cs="Times New Roman"/>
      <w:sz w:val="22"/>
      <w:szCs w:val="22"/>
      <w:lang w:eastAsia="en-US"/>
    </w:rPr>
  </w:style>
  <w:style w:type="character" w:customStyle="1" w:styleId="42">
    <w:name w:val="Texto independiente primera sangría 2 Car"/>
    <w:basedOn w:val="41"/>
    <w:link w:val="23"/>
    <w:qFormat/>
    <w:uiPriority w:val="99"/>
    <w:rPr>
      <w:rFonts w:ascii="Calibri" w:hAnsi="Calibri" w:eastAsia="Calibri" w:cs="Times New Roman"/>
      <w:sz w:val="22"/>
      <w:szCs w:val="22"/>
      <w:lang w:eastAsia="en-US"/>
    </w:rPr>
  </w:style>
  <w:style w:type="table" w:customStyle="1" w:styleId="43">
    <w:name w:val="Grid Table 4"/>
    <w:basedOn w:val="6"/>
    <w:qFormat/>
    <w:uiPriority w:val="49"/>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paragraph" w:styleId="44">
    <w:name w:val="Quote"/>
    <w:basedOn w:val="1"/>
    <w:next w:val="1"/>
    <w:link w:val="45"/>
    <w:qFormat/>
    <w:uiPriority w:val="29"/>
    <w:pPr>
      <w:ind w:left="567" w:right="567"/>
    </w:pPr>
    <w:rPr>
      <w:i/>
      <w:iCs/>
    </w:rPr>
  </w:style>
  <w:style w:type="character" w:customStyle="1" w:styleId="45">
    <w:name w:val="Cita Car"/>
    <w:basedOn w:val="5"/>
    <w:link w:val="44"/>
    <w:qFormat/>
    <w:uiPriority w:val="29"/>
    <w:rPr>
      <w:rFonts w:ascii="Calibri" w:hAnsi="Calibri" w:eastAsia="Calibri" w:cs="Times New Roman"/>
      <w:i/>
      <w:iCs/>
      <w:sz w:val="22"/>
      <w:szCs w:val="22"/>
      <w:lang w:eastAsia="en-US"/>
    </w:rPr>
  </w:style>
  <w:style w:type="character" w:customStyle="1" w:styleId="46">
    <w:name w:val="selectable-text"/>
    <w:basedOn w:val="5"/>
    <w:qFormat/>
    <w:uiPriority w:val="0"/>
  </w:style>
  <w:style w:type="paragraph" w:customStyle="1" w:styleId="47">
    <w:name w:val="Default"/>
    <w:unhideWhenUsed/>
    <w:qFormat/>
    <w:uiPriority w:val="99"/>
    <w:pPr>
      <w:widowControl w:val="0"/>
      <w:autoSpaceDE w:val="0"/>
      <w:autoSpaceDN w:val="0"/>
      <w:adjustRightInd w:val="0"/>
      <w:spacing w:beforeLines="0" w:afterLines="0"/>
    </w:pPr>
    <w:rPr>
      <w:rFonts w:hint="default" w:ascii="Calibri" w:hAnsi="Calibri" w:eastAsia="Calibri" w:cs="Times New Roman"/>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ED574D428D42847860A3C208A6527E5"/>
        <w:style w:val=""/>
        <w:category>
          <w:name w:val="General"/>
          <w:gallery w:val="placeholder"/>
        </w:category>
        <w:types>
          <w:type w:val="bbPlcHdr"/>
        </w:types>
        <w:behaviors>
          <w:behavior w:val="content"/>
        </w:behaviors>
        <w:description w:val=""/>
        <w:guid w:val="{4E81398F-D79A-A041-AA8D-A96AED1A8E10}"/>
      </w:docPartPr>
      <w:docPartBody>
        <w:p w14:paraId="6BBD254A">
          <w:pPr>
            <w:pStyle w:val="4"/>
          </w:pPr>
          <w:r>
            <w:rPr>
              <w:lang w:val="es-ES"/>
            </w:rPr>
            <w:t>[Escriba texto]</w:t>
          </w:r>
        </w:p>
      </w:docPartBody>
    </w:docPart>
    <w:docPart>
      <w:docPartPr>
        <w:name w:val="674CAF93F4325F49BF5AC796F1077918"/>
        <w:style w:val=""/>
        <w:category>
          <w:name w:val="General"/>
          <w:gallery w:val="placeholder"/>
        </w:category>
        <w:types>
          <w:type w:val="bbPlcHdr"/>
        </w:types>
        <w:behaviors>
          <w:behavior w:val="content"/>
        </w:behaviors>
        <w:description w:val=""/>
        <w:guid w:val="{B9C6453C-7FDA-5B40-90AD-541E489CFB2A}"/>
      </w:docPartPr>
      <w:docPartBody>
        <w:p w14:paraId="35A3BBEA">
          <w:pPr>
            <w:pStyle w:val="5"/>
          </w:pPr>
          <w:r>
            <w:rPr>
              <w:lang w:val="es-ES"/>
            </w:rPr>
            <w:t>[Escriba texto]</w:t>
          </w:r>
        </w:p>
      </w:docPartBody>
    </w:docPart>
    <w:docPart>
      <w:docPartPr>
        <w:name w:val="C1453610682C8E45A1E4ADDF76B214E4"/>
        <w:style w:val=""/>
        <w:category>
          <w:name w:val="General"/>
          <w:gallery w:val="placeholder"/>
        </w:category>
        <w:types>
          <w:type w:val="bbPlcHdr"/>
        </w:types>
        <w:behaviors>
          <w:behavior w:val="content"/>
        </w:behaviors>
        <w:description w:val=""/>
        <w:guid w:val="{7C656C07-5A99-E048-9D36-E97BE14AA6C1}"/>
      </w:docPartPr>
      <w:docPartBody>
        <w:p w14:paraId="23C91C69">
          <w:pPr>
            <w:pStyle w:val="6"/>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ＭＳ 明朝">
    <w:altName w:val="SimSun"/>
    <w:panose1 w:val="00000000000000000000"/>
    <w:charset w:val="86"/>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664E3"/>
    <w:rsid w:val="00134049"/>
    <w:rsid w:val="001B46D8"/>
    <w:rsid w:val="001F45FF"/>
    <w:rsid w:val="002439A4"/>
    <w:rsid w:val="002E1FC6"/>
    <w:rsid w:val="0033727B"/>
    <w:rsid w:val="003526EF"/>
    <w:rsid w:val="00367691"/>
    <w:rsid w:val="00402E68"/>
    <w:rsid w:val="004210E3"/>
    <w:rsid w:val="00652C28"/>
    <w:rsid w:val="00696169"/>
    <w:rsid w:val="00716F09"/>
    <w:rsid w:val="007203BC"/>
    <w:rsid w:val="00805CF5"/>
    <w:rsid w:val="008407BD"/>
    <w:rsid w:val="00906BF3"/>
    <w:rsid w:val="00924FDA"/>
    <w:rsid w:val="009E6A90"/>
    <w:rsid w:val="00A8087D"/>
    <w:rsid w:val="00A85D08"/>
    <w:rsid w:val="00AF205E"/>
    <w:rsid w:val="00B0472C"/>
    <w:rsid w:val="00B15236"/>
    <w:rsid w:val="00B96D21"/>
    <w:rsid w:val="00BE46C2"/>
    <w:rsid w:val="00BF3332"/>
    <w:rsid w:val="00D62B8C"/>
    <w:rsid w:val="00D73C36"/>
    <w:rsid w:val="00E409D8"/>
    <w:rsid w:val="00E4576C"/>
    <w:rsid w:val="00E47523"/>
    <w:rsid w:val="00E82962"/>
    <w:rsid w:val="00F52BDD"/>
  </w:rsids>
  <m:mathPr>
    <m:mathFont m:val="Cambria Math"/>
    <m:brkBin m:val="before"/>
    <m:brkBinSub m:val="--"/>
    <m:smallFrac m:val="0"/>
    <m:dispDef/>
    <m:lMargin m:val="0"/>
    <m:rMargin m:val="0"/>
    <m:defJc m:val="centerGroup"/>
    <m:wrapIndent m:val="1440"/>
    <m:intLim m:val="subSup"/>
    <m:naryLim m:val="undOvr"/>
  </m:mathPr>
  <w:doNotAutoCompressPictures/>
  <w:themeFontLang w:val="es-CO"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rPr>
      <w:rFonts w:asciiTheme="minorHAnsi" w:hAnsiTheme="minorHAnsi" w:eastAsiaTheme="minorEastAsia" w:cstheme="minorBidi"/>
      <w:sz w:val="24"/>
      <w:szCs w:val="24"/>
      <w:lang w:val="es-CO" w:eastAsia="ja-JP"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2ED574D428D42847860A3C208A6527E5"/>
    <w:qFormat/>
    <w:uiPriority w:val="0"/>
    <w:rPr>
      <w:rFonts w:asciiTheme="minorHAnsi" w:hAnsiTheme="minorHAnsi" w:eastAsiaTheme="minorEastAsia" w:cstheme="minorBidi"/>
      <w:sz w:val="24"/>
      <w:szCs w:val="24"/>
      <w:lang w:val="es-CO" w:eastAsia="ja-JP" w:bidi="ar-SA"/>
    </w:rPr>
  </w:style>
  <w:style w:type="paragraph" w:customStyle="1" w:styleId="5">
    <w:name w:val="674CAF93F4325F49BF5AC796F1077918"/>
    <w:qFormat/>
    <w:uiPriority w:val="0"/>
    <w:rPr>
      <w:rFonts w:asciiTheme="minorHAnsi" w:hAnsiTheme="minorHAnsi" w:eastAsiaTheme="minorEastAsia" w:cstheme="minorBidi"/>
      <w:sz w:val="24"/>
      <w:szCs w:val="24"/>
      <w:lang w:val="es-CO" w:eastAsia="ja-JP" w:bidi="ar-SA"/>
    </w:rPr>
  </w:style>
  <w:style w:type="paragraph" w:customStyle="1" w:styleId="6">
    <w:name w:val="C1453610682C8E45A1E4ADDF76B214E4"/>
    <w:qFormat/>
    <w:uiPriority w:val="0"/>
    <w:rPr>
      <w:rFonts w:asciiTheme="minorHAnsi" w:hAnsiTheme="minorHAnsi" w:eastAsiaTheme="minorEastAsia" w:cstheme="minorBidi"/>
      <w:sz w:val="24"/>
      <w:szCs w:val="24"/>
      <w:lang w:val="es-CO" w:eastAsia="ja-JP" w:bidi="ar-SA"/>
    </w:rPr>
  </w:style>
</w:styl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ED75C61-B5A5-4CF6-B459-45FD42F91F25}">
  <ds:schemaRefs/>
</ds:datastoreItem>
</file>

<file path=docProps/app.xml><?xml version="1.0" encoding="utf-8"?>
<Properties xmlns="http://schemas.openxmlformats.org/officeDocument/2006/extended-properties" xmlns:vt="http://schemas.openxmlformats.org/officeDocument/2006/docPropsVTypes">
  <Template>Normal</Template>
  <Pages>4</Pages>
  <Words>847</Words>
  <Characters>4663</Characters>
  <Lines>38</Lines>
  <Paragraphs>10</Paragraphs>
  <TotalTime>3912</TotalTime>
  <ScaleCrop>false</ScaleCrop>
  <LinksUpToDate>false</LinksUpToDate>
  <CharactersWithSpaces>5500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2025-10-06T21:17:00Z</dcterms:created>
  <dc:creator>IAP</dc:creator>
  <cp:lastModifiedBy>Santiago Cortes</cp:lastModifiedBy>
  <dcterms:modified xsi:type="dcterms:W3CDTF">2025-12-22T18:04:48Z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2025-10-06T21:16:44Z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13ff5acf-3ce3-4737-9bc3-35c482622c87</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y fmtid="{D5CDD505-2E9C-101B-9397-08002B2CF9AE}" pid="10" name="KSOProductBuildVer">
    <vt:lpwstr>3082-12.2.0.23155</vt:lpwstr>
  </property>
  <property fmtid="{D5CDD505-2E9C-101B-9397-08002B2CF9AE}" pid="11" name="ICV">
    <vt:lpwstr>3007E232B5934D699AE191D21F4E8A1E_13</vt:lpwstr>
  </property>
</Properties>
</file>