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994D9">
      <w:pPr>
        <w:rPr>
          <w:rFonts w:cstheme="minorHAnsi"/>
          <w:i/>
          <w:iCs/>
        </w:rPr>
      </w:pPr>
      <w:r>
        <w:rPr>
          <w:rFonts w:cstheme="minorHAnsi"/>
          <w:b/>
          <w:i/>
          <w:iCs/>
        </w:rPr>
        <w:t xml:space="preserve">Barranquilla, </w:t>
      </w:r>
      <w:r>
        <w:rPr>
          <w:rFonts w:hint="default" w:cstheme="minorHAnsi"/>
          <w:b/>
          <w:i/>
          <w:iCs/>
          <w:lang w:val="es-CO"/>
        </w:rPr>
        <w:t>Diciembre</w:t>
      </w:r>
      <w:r>
        <w:rPr>
          <w:rFonts w:cstheme="minorHAnsi"/>
          <w:b/>
          <w:i/>
          <w:iCs/>
        </w:rPr>
        <w:t xml:space="preserve"> 2025</w:t>
      </w:r>
    </w:p>
    <w:p w14:paraId="6D903088">
      <w:pPr>
        <w:pStyle w:val="6"/>
        <w:spacing w:before="0" w:beforeAutospacing="0" w:after="0" w:afterAutospacing="0"/>
        <w:jc w:val="both"/>
        <w:rPr>
          <w:rFonts w:asciiTheme="minorHAnsi" w:hAnsiTheme="minorHAnsi" w:cstheme="minorHAnsi"/>
          <w:i/>
          <w:iCs/>
          <w:spacing w:val="2"/>
          <w:sz w:val="22"/>
          <w:szCs w:val="22"/>
        </w:rPr>
      </w:pPr>
      <w:r>
        <w:rPr>
          <w:rFonts w:asciiTheme="minorHAnsi" w:hAnsiTheme="minorHAnsi" w:cstheme="minorHAnsi"/>
          <w:i/>
          <w:iCs/>
          <w:sz w:val="22"/>
          <w:szCs w:val="22"/>
        </w:rPr>
        <w:t xml:space="preserve">La presente certificación se expide para efectos de aplicar lo previsto </w:t>
      </w:r>
      <w:r>
        <w:rPr>
          <w:rFonts w:asciiTheme="minorHAnsi" w:hAnsiTheme="minorHAnsi" w:cstheme="minorHAnsi"/>
          <w:i/>
          <w:iCs/>
          <w:spacing w:val="2"/>
          <w:sz w:val="22"/>
          <w:szCs w:val="22"/>
        </w:rPr>
        <w:t>en el numeral 10 del artículo 206 del Estatuto Tributario Nacional, relacionado con la disminución del 25% de la renta exenta, en el sentido</w:t>
      </w:r>
      <w:r>
        <w:rPr>
          <w:rFonts w:asciiTheme="minorHAnsi" w:hAnsiTheme="minorHAnsi" w:cstheme="minorHAnsi"/>
          <w:i/>
          <w:iCs/>
          <w:sz w:val="22"/>
          <w:szCs w:val="22"/>
        </w:rPr>
        <w:t xml:space="preserve"> de </w:t>
      </w:r>
      <w:r>
        <w:rPr>
          <w:rFonts w:asciiTheme="minorHAnsi" w:hAnsiTheme="minorHAnsi" w:cstheme="minorHAnsi"/>
          <w:i/>
          <w:iCs/>
          <w:spacing w:val="2"/>
          <w:sz w:val="22"/>
          <w:szCs w:val="22"/>
        </w:rPr>
        <w:t>manifestar por escrito y bajo la gravedad del juramento que no se tomarán costos o deducciones asociados a las rentas de trabajo que no provengan de una relación laboral o legal y reglamentaria, según lo establecido en el artículo 9 del Decreto 2231 de 2023, manifestación que define la aplicación de la tarifa de retención en la fuente que será aplicada según los artículos 383 (tabla), 392, y 401 del Estatuto Tributario Nacional, según el caso.</w:t>
      </w:r>
    </w:p>
    <w:p w14:paraId="4FA2BA3B">
      <w:pPr>
        <w:spacing w:after="0"/>
        <w:rPr>
          <w:rFonts w:cstheme="minorHAnsi"/>
          <w:b/>
          <w:i/>
          <w:iCs/>
        </w:rPr>
      </w:pPr>
    </w:p>
    <w:p w14:paraId="30CF47C5">
      <w:pPr>
        <w:spacing w:after="0"/>
        <w:rPr>
          <w:rFonts w:cstheme="minorHAnsi"/>
          <w:b/>
          <w:i/>
          <w:iCs/>
        </w:rPr>
      </w:pPr>
    </w:p>
    <w:p w14:paraId="1B011E58">
      <w:pPr>
        <w:spacing w:after="0"/>
        <w:rPr>
          <w:rFonts w:cstheme="minorHAnsi"/>
          <w:b/>
        </w:rPr>
      </w:pPr>
      <w:r>
        <w:rPr>
          <w:rFonts w:cstheme="minorHAnsi"/>
          <w:b/>
        </w:rPr>
        <w:t>Señores:</w:t>
      </w:r>
    </w:p>
    <w:p w14:paraId="14F5DE47">
      <w:pPr>
        <w:spacing w:after="0"/>
        <w:rPr>
          <w:rFonts w:cstheme="minorHAnsi"/>
          <w:b/>
        </w:rPr>
      </w:pPr>
      <w:r>
        <w:rPr>
          <w:rFonts w:cstheme="minorHAnsi"/>
          <w:b/>
        </w:rPr>
        <w:t>OFICINA DE CONTABILIDAD</w:t>
      </w:r>
    </w:p>
    <w:p w14:paraId="375D0822">
      <w:pPr>
        <w:spacing w:after="0"/>
        <w:rPr>
          <w:rFonts w:cstheme="minorHAnsi"/>
          <w:b/>
        </w:rPr>
      </w:pPr>
      <w:r>
        <w:rPr>
          <w:rFonts w:cstheme="minorHAnsi"/>
          <w:b/>
        </w:rPr>
        <w:t>Distrito Especial, Industrial y Portuario de Barranquilla</w:t>
      </w:r>
    </w:p>
    <w:p w14:paraId="070DDEFD">
      <w:pPr>
        <w:spacing w:after="0"/>
        <w:rPr>
          <w:rFonts w:cstheme="minorHAnsi"/>
        </w:rPr>
      </w:pPr>
      <w:r>
        <w:rPr>
          <w:rFonts w:cstheme="minorHAnsi"/>
        </w:rPr>
        <w:t>Ciudad</w:t>
      </w:r>
    </w:p>
    <w:p w14:paraId="3A305332">
      <w:pPr>
        <w:spacing w:after="0"/>
        <w:rPr>
          <w:rFonts w:cstheme="minorHAnsi"/>
        </w:rPr>
      </w:pPr>
    </w:p>
    <w:p w14:paraId="6AF48359">
      <w:pPr>
        <w:spacing w:after="0"/>
        <w:ind w:left="705" w:hanging="705"/>
        <w:jc w:val="both"/>
        <w:rPr>
          <w:rFonts w:cstheme="minorHAnsi"/>
        </w:rPr>
      </w:pPr>
      <w:r>
        <w:rPr>
          <w:rFonts w:cstheme="minorHAnsi"/>
        </w:rPr>
        <w:t xml:space="preserve">Ref.: </w:t>
      </w:r>
      <w:r>
        <w:rPr>
          <w:rFonts w:cstheme="minorHAnsi"/>
        </w:rPr>
        <w:tab/>
      </w:r>
      <w:r>
        <w:rPr>
          <w:rFonts w:cstheme="minorHAnsi"/>
        </w:rPr>
        <w:t>DECLARACIÓN JURAMENTADA PARA EFECTOS DE LA RETENCION EN LA FUENTE Y SOPORTES PARA ADJUNTAR AL PROCESO DE PAGO</w:t>
      </w:r>
    </w:p>
    <w:p w14:paraId="415FD389">
      <w:pPr>
        <w:spacing w:after="0"/>
        <w:rPr>
          <w:rFonts w:cstheme="minorHAnsi"/>
          <w:b/>
          <w:lang w:val="es-CO"/>
        </w:rPr>
      </w:pPr>
    </w:p>
    <w:p w14:paraId="1442FF52">
      <w:pPr>
        <w:spacing w:after="0"/>
        <w:jc w:val="center"/>
        <w:rPr>
          <w:rFonts w:cstheme="minorHAnsi"/>
          <w:b/>
        </w:rPr>
      </w:pPr>
      <w:r>
        <w:rPr>
          <w:rFonts w:cstheme="minorHAnsi"/>
          <w:b/>
        </w:rPr>
        <w:t>CERTIFICACIÓN BAJO LA GRAVEDAD DEL JURAMENTO</w:t>
      </w:r>
    </w:p>
    <w:p w14:paraId="6949AA61">
      <w:pPr>
        <w:spacing w:after="0"/>
        <w:jc w:val="both"/>
        <w:rPr>
          <w:rFonts w:cstheme="minorHAnsi"/>
          <w:b/>
          <w:lang w:val="es-CO"/>
        </w:rPr>
      </w:pPr>
    </w:p>
    <w:p w14:paraId="4A1A30EA">
      <w:pPr>
        <w:pStyle w:val="10"/>
        <w:jc w:val="both"/>
        <w:rPr>
          <w:rFonts w:ascii="Times New Roman" w:hAnsi="Times New Roman"/>
          <w:b/>
          <w:sz w:val="24"/>
          <w:szCs w:val="24"/>
        </w:rPr>
      </w:pPr>
      <w:r>
        <w:rPr>
          <w:rFonts w:cstheme="minorHAnsi"/>
        </w:rPr>
        <w:t>Yo</w:t>
      </w:r>
      <w:r>
        <w:rPr>
          <w:rFonts w:ascii="Times New Roman" w:hAnsi="Times New Roman"/>
          <w:b/>
          <w:bCs/>
        </w:rPr>
        <w:t xml:space="preserve">, </w:t>
      </w:r>
      <w:r>
        <w:rPr>
          <w:rFonts w:hint="default"/>
          <w:b/>
          <w:color w:val="000000"/>
          <w:sz w:val="22"/>
          <w:szCs w:val="22"/>
        </w:rPr>
        <w:t>ASTRID MARIA BARRAZA PACHECO</w:t>
      </w:r>
      <w:r>
        <w:rPr>
          <w:rFonts w:ascii="Times New Roman" w:hAnsi="Times New Roman"/>
          <w:b/>
          <w:bCs/>
          <w:color w:val="000000"/>
        </w:rPr>
        <w:t xml:space="preserve"> </w:t>
      </w:r>
      <w:r>
        <w:rPr>
          <w:rFonts w:cstheme="minorHAnsi"/>
        </w:rPr>
        <w:t>, identificad</w:t>
      </w:r>
      <w:r>
        <w:rPr>
          <w:rFonts w:hint="default" w:cstheme="minorHAnsi"/>
          <w:lang w:val="es-CO"/>
        </w:rPr>
        <w:t>a</w:t>
      </w:r>
      <w:r>
        <w:rPr>
          <w:rFonts w:cstheme="minorHAnsi"/>
        </w:rPr>
        <w:t xml:space="preserve"> con la cédula de ciudadanía </w:t>
      </w:r>
      <w:r>
        <w:rPr>
          <w:rFonts w:hint="default" w:ascii="Times New Roman" w:hAnsi="Times New Roman"/>
          <w:b/>
          <w:sz w:val="24"/>
          <w:szCs w:val="24"/>
        </w:rPr>
        <w:t>1.042.994.404</w:t>
      </w:r>
      <w:r>
        <w:rPr>
          <w:rFonts w:ascii="Times New Roman" w:hAnsi="Times New Roman"/>
          <w:b/>
          <w:sz w:val="24"/>
          <w:szCs w:val="24"/>
        </w:rPr>
        <w:t xml:space="preserve"> </w:t>
      </w:r>
      <w:r>
        <w:rPr>
          <w:rFonts w:cstheme="minorHAnsi"/>
        </w:rPr>
        <w:t>expedida en</w:t>
      </w:r>
      <w:r>
        <w:rPr>
          <w:rFonts w:ascii="Times New Roman" w:hAnsi="Times New Roman"/>
          <w:color w:val="FF0000"/>
        </w:rPr>
        <w:t xml:space="preserve"> </w:t>
      </w:r>
      <w:r>
        <w:rPr>
          <w:rFonts w:hint="default" w:ascii="Times New Roman" w:hAnsi="Times New Roman"/>
          <w:b/>
          <w:bCs/>
        </w:rPr>
        <w:t>Sabanalarga</w:t>
      </w:r>
      <w:r>
        <w:rPr>
          <w:rFonts w:hint="default" w:ascii="Times New Roman" w:hAnsi="Times New Roman"/>
          <w:b/>
          <w:bCs/>
          <w:lang w:val="es-CO"/>
        </w:rPr>
        <w:t>-Atla.</w:t>
      </w:r>
      <w:r>
        <w:rPr>
          <w:rFonts w:cstheme="minorHAnsi"/>
        </w:rPr>
        <w:t xml:space="preserve">, con el fin de dar cumplimiento a las disposiciones establecidas en el Decreto 2231 del 22 de diciembre de 2023, </w:t>
      </w:r>
      <w:r>
        <w:rPr>
          <w:rFonts w:cstheme="minorHAnsi"/>
          <w:color w:val="343536"/>
          <w:spacing w:val="2"/>
          <w:shd w:val="clear" w:color="auto" w:fill="FFFFFF"/>
        </w:rPr>
        <w:t>por el cual se reglamentan parcialmente los artículos </w:t>
      </w:r>
      <w:r>
        <w:fldChar w:fldCharType="begin"/>
      </w:r>
      <w:r>
        <w:instrText xml:space="preserve"> HYPERLINK "https://normograma.dian.gov.co/dian/compilacion/docs/estatuto_tributario.htm" \l "206" </w:instrText>
      </w:r>
      <w:r>
        <w:fldChar w:fldCharType="separate"/>
      </w:r>
      <w:r>
        <w:rPr>
          <w:rStyle w:val="4"/>
          <w:rFonts w:cstheme="minorHAnsi"/>
          <w:spacing w:val="2"/>
          <w:shd w:val="clear" w:color="auto" w:fill="FFFFFF"/>
        </w:rPr>
        <w:t>206</w:t>
      </w:r>
      <w:r>
        <w:rPr>
          <w:rStyle w:val="4"/>
          <w:rFonts w:cstheme="minorHAnsi"/>
          <w:spacing w:val="2"/>
          <w:shd w:val="clear" w:color="auto" w:fill="FFFFFF"/>
        </w:rPr>
        <w:fldChar w:fldCharType="end"/>
      </w:r>
      <w:r>
        <w:rPr>
          <w:rFonts w:cstheme="minorHAnsi"/>
          <w:spacing w:val="2"/>
          <w:shd w:val="clear" w:color="auto" w:fill="FFFFFF"/>
        </w:rPr>
        <w:t>, </w:t>
      </w:r>
      <w:r>
        <w:fldChar w:fldCharType="begin"/>
      </w:r>
      <w:r>
        <w:instrText xml:space="preserve"> HYPERLINK "https://normograma.dian.gov.co/dian/compilacion/docs/estatuto_tributario.htm" \l "331" </w:instrText>
      </w:r>
      <w:r>
        <w:fldChar w:fldCharType="separate"/>
      </w:r>
      <w:r>
        <w:rPr>
          <w:rStyle w:val="4"/>
          <w:rFonts w:cstheme="minorHAnsi"/>
          <w:spacing w:val="2"/>
          <w:shd w:val="clear" w:color="auto" w:fill="FFFFFF"/>
        </w:rPr>
        <w:t>331</w:t>
      </w:r>
      <w:r>
        <w:rPr>
          <w:rStyle w:val="4"/>
          <w:rFonts w:cstheme="minorHAnsi"/>
          <w:spacing w:val="2"/>
          <w:shd w:val="clear" w:color="auto" w:fill="FFFFFF"/>
        </w:rPr>
        <w:fldChar w:fldCharType="end"/>
      </w:r>
      <w:r>
        <w:rPr>
          <w:rFonts w:cstheme="minorHAnsi"/>
          <w:spacing w:val="2"/>
          <w:shd w:val="clear" w:color="auto" w:fill="FFFFFF"/>
        </w:rPr>
        <w:t>, </w:t>
      </w:r>
      <w:r>
        <w:fldChar w:fldCharType="begin"/>
      </w:r>
      <w:r>
        <w:instrText xml:space="preserve"> HYPERLINK "https://normograma.dian.gov.co/dian/compilacion/docs/estatuto_tributario.htm" \l "336" </w:instrText>
      </w:r>
      <w:r>
        <w:fldChar w:fldCharType="separate"/>
      </w:r>
      <w:r>
        <w:rPr>
          <w:rStyle w:val="4"/>
          <w:rFonts w:cstheme="minorHAnsi"/>
          <w:spacing w:val="2"/>
          <w:shd w:val="clear" w:color="auto" w:fill="FFFFFF"/>
        </w:rPr>
        <w:t>336</w:t>
      </w:r>
      <w:r>
        <w:rPr>
          <w:rStyle w:val="4"/>
          <w:rFonts w:cstheme="minorHAnsi"/>
          <w:spacing w:val="2"/>
          <w:shd w:val="clear" w:color="auto" w:fill="FFFFFF"/>
        </w:rPr>
        <w:fldChar w:fldCharType="end"/>
      </w:r>
      <w:r>
        <w:rPr>
          <w:rFonts w:cstheme="minorHAnsi"/>
          <w:spacing w:val="2"/>
          <w:shd w:val="clear" w:color="auto" w:fill="FFFFFF"/>
        </w:rPr>
        <w:t> y </w:t>
      </w:r>
      <w:r>
        <w:fldChar w:fldCharType="begin"/>
      </w:r>
      <w:r>
        <w:instrText xml:space="preserve"> HYPERLINK "https://normograma.dian.gov.co/dian/compilacion/docs/estatuto_tributario.htm" \l "383" </w:instrText>
      </w:r>
      <w:r>
        <w:fldChar w:fldCharType="separate"/>
      </w:r>
      <w:r>
        <w:rPr>
          <w:rStyle w:val="4"/>
          <w:rFonts w:cstheme="minorHAnsi"/>
          <w:spacing w:val="2"/>
          <w:shd w:val="clear" w:color="auto" w:fill="FFFFFF"/>
        </w:rPr>
        <w:t>383</w:t>
      </w:r>
      <w:r>
        <w:rPr>
          <w:rStyle w:val="4"/>
          <w:rFonts w:cstheme="minorHAnsi"/>
          <w:spacing w:val="2"/>
          <w:shd w:val="clear" w:color="auto" w:fill="FFFFFF"/>
        </w:rPr>
        <w:fldChar w:fldCharType="end"/>
      </w:r>
      <w:r>
        <w:rPr>
          <w:rFonts w:cstheme="minorHAnsi"/>
          <w:color w:val="343536"/>
          <w:spacing w:val="2"/>
          <w:shd w:val="clear" w:color="auto" w:fill="FFFFFF"/>
        </w:rPr>
        <w:t> del Estatuto Tributario, modificados por los artículos </w:t>
      </w:r>
      <w:r>
        <w:fldChar w:fldCharType="begin"/>
      </w:r>
      <w:r>
        <w:instrText xml:space="preserve"> HYPERLINK "https://normograma.dian.gov.co/dian/compilacion/docs/ley_2277_2022.htm" \l "2" </w:instrText>
      </w:r>
      <w:r>
        <w:fldChar w:fldCharType="separate"/>
      </w:r>
      <w:r>
        <w:rPr>
          <w:rStyle w:val="4"/>
          <w:rFonts w:cstheme="minorHAnsi"/>
          <w:spacing w:val="2"/>
          <w:shd w:val="clear" w:color="auto" w:fill="FFFFFF"/>
        </w:rPr>
        <w:t>2</w:t>
      </w:r>
      <w:r>
        <w:rPr>
          <w:rStyle w:val="4"/>
          <w:rFonts w:cstheme="minorHAnsi"/>
          <w:spacing w:val="2"/>
          <w:shd w:val="clear" w:color="auto" w:fill="FFFFFF"/>
        </w:rPr>
        <w:fldChar w:fldCharType="end"/>
      </w:r>
      <w:r>
        <w:rPr>
          <w:rFonts w:cstheme="minorHAnsi"/>
          <w:spacing w:val="2"/>
          <w:shd w:val="clear" w:color="auto" w:fill="FFFFFF"/>
        </w:rPr>
        <w:t>, </w:t>
      </w:r>
      <w:r>
        <w:fldChar w:fldCharType="begin"/>
      </w:r>
      <w:r>
        <w:instrText xml:space="preserve"> HYPERLINK "https://normograma.dian.gov.co/dian/compilacion/docs/ley_2277_2022.htm" \l "6" </w:instrText>
      </w:r>
      <w:r>
        <w:fldChar w:fldCharType="separate"/>
      </w:r>
      <w:r>
        <w:rPr>
          <w:rStyle w:val="4"/>
          <w:rFonts w:cstheme="minorHAnsi"/>
          <w:spacing w:val="2"/>
          <w:shd w:val="clear" w:color="auto" w:fill="FFFFFF"/>
        </w:rPr>
        <w:t>6</w:t>
      </w:r>
      <w:r>
        <w:rPr>
          <w:rStyle w:val="4"/>
          <w:rFonts w:cstheme="minorHAnsi"/>
          <w:spacing w:val="2"/>
          <w:shd w:val="clear" w:color="auto" w:fill="FFFFFF"/>
        </w:rPr>
        <w:fldChar w:fldCharType="end"/>
      </w:r>
      <w:r>
        <w:rPr>
          <w:rFonts w:cstheme="minorHAnsi"/>
          <w:spacing w:val="2"/>
          <w:shd w:val="clear" w:color="auto" w:fill="FFFFFF"/>
        </w:rPr>
        <w:t>, </w:t>
      </w:r>
      <w:r>
        <w:fldChar w:fldCharType="begin"/>
      </w:r>
      <w:r>
        <w:instrText xml:space="preserve"> HYPERLINK "https://normograma.dian.gov.co/dian/compilacion/docs/ley_2277_2022.htm" \l "7" </w:instrText>
      </w:r>
      <w:r>
        <w:fldChar w:fldCharType="separate"/>
      </w:r>
      <w:r>
        <w:rPr>
          <w:rStyle w:val="4"/>
          <w:rFonts w:cstheme="minorHAnsi"/>
          <w:spacing w:val="2"/>
          <w:shd w:val="clear" w:color="auto" w:fill="FFFFFF"/>
        </w:rPr>
        <w:t>7</w:t>
      </w:r>
      <w:r>
        <w:rPr>
          <w:rStyle w:val="4"/>
          <w:rFonts w:cstheme="minorHAnsi"/>
          <w:spacing w:val="2"/>
          <w:shd w:val="clear" w:color="auto" w:fill="FFFFFF"/>
        </w:rPr>
        <w:fldChar w:fldCharType="end"/>
      </w:r>
      <w:r>
        <w:rPr>
          <w:rFonts w:cstheme="minorHAnsi"/>
          <w:spacing w:val="2"/>
          <w:shd w:val="clear" w:color="auto" w:fill="FFFFFF"/>
        </w:rPr>
        <w:t> y </w:t>
      </w:r>
      <w:r>
        <w:fldChar w:fldCharType="begin"/>
      </w:r>
      <w:r>
        <w:instrText xml:space="preserve"> HYPERLINK "https://normograma.dian.gov.co/dian/compilacion/docs/ley_2277_2022.htm" \l "8" </w:instrText>
      </w:r>
      <w:r>
        <w:fldChar w:fldCharType="separate"/>
      </w:r>
      <w:r>
        <w:rPr>
          <w:rStyle w:val="4"/>
          <w:rFonts w:cstheme="minorHAnsi"/>
          <w:spacing w:val="2"/>
          <w:shd w:val="clear" w:color="auto" w:fill="FFFFFF"/>
        </w:rPr>
        <w:t>8</w:t>
      </w:r>
      <w:r>
        <w:rPr>
          <w:rStyle w:val="4"/>
          <w:rFonts w:cstheme="minorHAnsi"/>
          <w:spacing w:val="2"/>
          <w:shd w:val="clear" w:color="auto" w:fill="FFFFFF"/>
        </w:rPr>
        <w:fldChar w:fldCharType="end"/>
      </w:r>
      <w:r>
        <w:rPr>
          <w:rFonts w:cstheme="minorHAnsi"/>
          <w:color w:val="343536"/>
          <w:spacing w:val="2"/>
          <w:shd w:val="clear" w:color="auto" w:fill="FFFFFF"/>
        </w:rPr>
        <w:t> de la Ley 2277 de 2022</w:t>
      </w:r>
      <w:r>
        <w:rPr>
          <w:rFonts w:cstheme="minorHAnsi"/>
        </w:rPr>
        <w:t>, manifiesto bajo la gravedad del juramento que:</w:t>
      </w:r>
    </w:p>
    <w:p w14:paraId="69D36D80">
      <w:pPr>
        <w:spacing w:after="0"/>
        <w:jc w:val="both"/>
        <w:rPr>
          <w:rFonts w:cstheme="minorHAnsi"/>
        </w:rPr>
      </w:pPr>
    </w:p>
    <w:p w14:paraId="6F1CC84D">
      <w:pPr>
        <w:spacing w:after="0"/>
        <w:jc w:val="both"/>
        <w:rPr>
          <w:rFonts w:cstheme="minorHAnsi"/>
          <w:b/>
          <w:bCs/>
        </w:rPr>
      </w:pPr>
      <w:r>
        <w:rPr>
          <w:rFonts w:cstheme="minorHAnsi"/>
          <w:b/>
          <w:bCs/>
        </w:rPr>
        <w:t>SÍ declaro Renta (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NO declaro renta ( X )</w:t>
      </w:r>
    </w:p>
    <w:p w14:paraId="3E3D1507">
      <w:pPr>
        <w:spacing w:after="0"/>
        <w:jc w:val="both"/>
        <w:rPr>
          <w:rFonts w:cstheme="minorHAnsi"/>
          <w:b/>
        </w:rPr>
      </w:pPr>
      <w:r>
        <w:rPr>
          <w:rFonts w:cstheme="minorHAnsi"/>
          <w:b/>
        </w:rPr>
        <w:t>SÍ tomaré costos y deducciones (   )</w:t>
      </w:r>
      <w:r>
        <w:rPr>
          <w:rFonts w:cstheme="minorHAnsi"/>
        </w:rPr>
        <w:t xml:space="preserve">     </w:t>
      </w:r>
      <w:r>
        <w:rPr>
          <w:rFonts w:cstheme="minorHAnsi"/>
        </w:rPr>
        <w:tab/>
      </w:r>
      <w:r>
        <w:rPr>
          <w:rFonts w:cstheme="minorHAnsi"/>
        </w:rPr>
        <w:tab/>
      </w:r>
      <w:r>
        <w:rPr>
          <w:rFonts w:cstheme="minorHAnsi"/>
        </w:rPr>
        <w:tab/>
      </w:r>
      <w:r>
        <w:rPr>
          <w:rFonts w:cstheme="minorHAnsi"/>
        </w:rPr>
        <w:tab/>
      </w:r>
      <w:r>
        <w:rPr>
          <w:rFonts w:cstheme="minorHAnsi"/>
          <w:b/>
        </w:rPr>
        <w:t>NO tomaré costos y deducciones ( X )</w:t>
      </w:r>
    </w:p>
    <w:p w14:paraId="485C8C7A">
      <w:pPr>
        <w:pStyle w:val="6"/>
        <w:spacing w:before="0" w:beforeAutospacing="0" w:after="0" w:afterAutospacing="0" w:line="276" w:lineRule="auto"/>
        <w:jc w:val="both"/>
        <w:rPr>
          <w:rFonts w:asciiTheme="minorHAnsi" w:hAnsiTheme="minorHAnsi" w:cstheme="minorHAnsi"/>
          <w:sz w:val="22"/>
          <w:szCs w:val="22"/>
        </w:rPr>
      </w:pPr>
    </w:p>
    <w:p w14:paraId="2186037B">
      <w:pPr>
        <w:spacing w:after="0"/>
        <w:jc w:val="both"/>
        <w:rPr>
          <w:rFonts w:cstheme="minorHAnsi"/>
          <w:bCs/>
        </w:rPr>
      </w:pPr>
      <w:r>
        <w:rPr>
          <w:rFonts w:cstheme="minorHAnsi"/>
          <w:bCs/>
        </w:rPr>
        <w:t xml:space="preserve">De acuerdo con lo anterior, con la presente certificación </w:t>
      </w:r>
      <w:bookmarkStart w:id="0" w:name="_Hlk159558698"/>
      <w:r>
        <w:rPr>
          <w:rFonts w:cstheme="minorHAnsi"/>
          <w:bCs/>
        </w:rPr>
        <w:t xml:space="preserve">se define la aplicación o no de la tabla de retención en la fuente a título del impuesto sobre la renta, de acuerdo con el artículo 383 ET, o las tarifas de retención en la fuente previstas en los artículos 392 y 401 </w:t>
      </w:r>
      <w:bookmarkEnd w:id="0"/>
      <w:r>
        <w:rPr>
          <w:rFonts w:cstheme="minorHAnsi"/>
          <w:bCs/>
        </w:rPr>
        <w:t>del Estatuto tributario, según corresponda, todo lo anterior de conformidad con lo establecido en el numeral 6 del artículo 1.2.4.1.6 y parágrafo 4 del 1.2.4.1.17 del Decreto Único 1625 de 2016, modificado por los artículos 9 y 11 del Decreto 2231 de diciembre 22 de 2023 y la aplicación de la renta exenta del 25% sobre operaciones que tienen el tratamiento tributario de pagos laborales.</w:t>
      </w:r>
    </w:p>
    <w:p w14:paraId="2D405363">
      <w:pPr>
        <w:spacing w:after="0"/>
        <w:jc w:val="center"/>
        <w:rPr>
          <w:rFonts w:cstheme="minorHAnsi"/>
          <w:b/>
        </w:rPr>
      </w:pPr>
    </w:p>
    <w:p w14:paraId="17CBBE4E">
      <w:pPr>
        <w:spacing w:after="0"/>
        <w:jc w:val="both"/>
        <w:rPr>
          <w:rFonts w:cstheme="minorHAnsi"/>
        </w:rPr>
      </w:pPr>
      <w:r>
        <w:rPr>
          <w:rFonts w:cstheme="minorHAnsi"/>
        </w:rPr>
        <w:t>De igual forma, manifiesto que por el año gravable 2025</w:t>
      </w:r>
    </w:p>
    <w:p w14:paraId="7E5078CB">
      <w:pPr>
        <w:spacing w:after="0"/>
        <w:jc w:val="both"/>
        <w:rPr>
          <w:rFonts w:cstheme="minorHAnsi"/>
          <w:u w:val="single"/>
        </w:rPr>
      </w:pPr>
    </w:p>
    <w:p w14:paraId="7037085E">
      <w:pPr>
        <w:spacing w:after="0"/>
        <w:jc w:val="both"/>
        <w:rPr>
          <w:rFonts w:cstheme="minorHAnsi"/>
        </w:rPr>
      </w:pPr>
      <w:r>
        <w:rPr>
          <w:rFonts w:cstheme="minorHAnsi"/>
        </w:rPr>
        <w:t xml:space="preserve">( </w:t>
      </w:r>
      <w:r>
        <w:rPr>
          <w:rFonts w:cstheme="minorHAnsi"/>
          <w:b/>
          <w:bCs/>
        </w:rPr>
        <w:t>X</w:t>
      </w:r>
      <w:r>
        <w:rPr>
          <w:rFonts w:cstheme="minorHAnsi"/>
        </w:rPr>
        <w:t xml:space="preserve"> ) NO pertenezco al Régimen Simple.</w:t>
      </w:r>
    </w:p>
    <w:p w14:paraId="0A48EB79">
      <w:pPr>
        <w:spacing w:after="0"/>
        <w:jc w:val="both"/>
        <w:rPr>
          <w:rFonts w:cstheme="minorHAnsi"/>
        </w:rPr>
      </w:pPr>
    </w:p>
    <w:p w14:paraId="2A7E3509">
      <w:pPr>
        <w:spacing w:after="0"/>
        <w:jc w:val="both"/>
        <w:rPr>
          <w:rFonts w:cstheme="minorHAnsi"/>
        </w:rPr>
      </w:pPr>
      <w:r>
        <w:rPr>
          <w:rFonts w:cstheme="minorHAnsi"/>
        </w:rPr>
        <w:t>(   ) SÍ pertenezco al Régimen Simple, por lo cual adjunto el RUT vigente, actualizado con la responsabilidad 47.</w:t>
      </w:r>
    </w:p>
    <w:p w14:paraId="46C556F6">
      <w:pPr>
        <w:spacing w:after="0"/>
        <w:jc w:val="both"/>
        <w:rPr>
          <w:rFonts w:cstheme="minorHAnsi"/>
          <w:b/>
          <w:lang w:val="es-CO"/>
        </w:rPr>
      </w:pPr>
    </w:p>
    <w:p w14:paraId="1BA5FA27">
      <w:pPr>
        <w:spacing w:after="0"/>
        <w:jc w:val="both"/>
        <w:rPr>
          <w:rFonts w:cstheme="minorHAnsi"/>
          <w:b/>
        </w:rPr>
      </w:pPr>
      <w:r>
        <w:rPr>
          <w:rFonts w:cstheme="minorHAnsi"/>
          <w:bCs/>
        </w:rPr>
        <w:t>De igual manera, por el año gravable 2025, solicito que se tengan en cuenta para la depuración de la base gravable del cálculo de retención las siguientes deducciones consagradas en el Estatuto Tributario</w:t>
      </w:r>
      <w:r>
        <w:rPr>
          <w:rFonts w:cstheme="minorHAnsi"/>
          <w:b/>
        </w:rPr>
        <w:t>:</w:t>
      </w:r>
    </w:p>
    <w:p w14:paraId="497A7B64">
      <w:pPr>
        <w:spacing w:after="0"/>
        <w:jc w:val="both"/>
        <w:rPr>
          <w:rFonts w:cstheme="minorHAnsi"/>
          <w:b/>
        </w:rPr>
      </w:pPr>
    </w:p>
    <w:p w14:paraId="7ADC8145">
      <w:pPr>
        <w:pBdr>
          <w:top w:val="single" w:color="auto" w:sz="4" w:space="1"/>
          <w:left w:val="single" w:color="auto" w:sz="4" w:space="4"/>
          <w:bottom w:val="single" w:color="auto" w:sz="4" w:space="1"/>
          <w:right w:val="single" w:color="auto" w:sz="4" w:space="4"/>
        </w:pBdr>
        <w:spacing w:after="0"/>
        <w:jc w:val="both"/>
        <w:rPr>
          <w:rFonts w:cstheme="minorHAnsi"/>
          <w:b/>
          <w:sz w:val="20"/>
          <w:szCs w:val="20"/>
        </w:rPr>
      </w:pPr>
      <w:r>
        <w:rPr>
          <w:rFonts w:cstheme="minorHAnsi"/>
          <w:b/>
          <w:bCs/>
          <w:color w:val="000000"/>
          <w:sz w:val="20"/>
          <w:szCs w:val="20"/>
          <w:shd w:val="clear" w:color="auto" w:fill="FFFFFF"/>
        </w:rPr>
        <w:t>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p>
    <w:p w14:paraId="78581B04">
      <w:pPr>
        <w:spacing w:after="0"/>
        <w:jc w:val="both"/>
        <w:rPr>
          <w:rFonts w:cs="Arial"/>
          <w:b/>
          <w:sz w:val="20"/>
          <w:szCs w:val="20"/>
        </w:rPr>
      </w:pPr>
    </w:p>
    <w:tbl>
      <w:tblPr>
        <w:tblStyle w:val="3"/>
        <w:tblW w:w="5073" w:type="pct"/>
        <w:tblInd w:w="0" w:type="dxa"/>
        <w:tblLayout w:type="fixed"/>
        <w:tblCellMar>
          <w:top w:w="0" w:type="dxa"/>
          <w:left w:w="70" w:type="dxa"/>
          <w:bottom w:w="0" w:type="dxa"/>
          <w:right w:w="70" w:type="dxa"/>
        </w:tblCellMar>
      </w:tblPr>
      <w:tblGrid>
        <w:gridCol w:w="7475"/>
        <w:gridCol w:w="1155"/>
        <w:gridCol w:w="1866"/>
      </w:tblGrid>
      <w:tr w14:paraId="3BA244FA">
        <w:tblPrEx>
          <w:tblCellMar>
            <w:top w:w="0" w:type="dxa"/>
            <w:left w:w="70" w:type="dxa"/>
            <w:bottom w:w="0" w:type="dxa"/>
            <w:right w:w="70" w:type="dxa"/>
          </w:tblCellMar>
        </w:tblPrEx>
        <w:trPr>
          <w:trHeight w:val="592" w:hRule="atLeast"/>
          <w:tblHeader/>
        </w:trPr>
        <w:tc>
          <w:tcPr>
            <w:tcW w:w="3561" w:type="pct"/>
            <w:tcBorders>
              <w:top w:val="single" w:color="auto" w:sz="4" w:space="0"/>
              <w:left w:val="single" w:color="auto" w:sz="4" w:space="0"/>
              <w:bottom w:val="single" w:color="auto" w:sz="4" w:space="0"/>
              <w:right w:val="single" w:color="auto" w:sz="4" w:space="0"/>
            </w:tcBorders>
            <w:shd w:val="clear" w:color="auto" w:fill="D9D9D9"/>
            <w:vAlign w:val="center"/>
          </w:tcPr>
          <w:p w14:paraId="67115878">
            <w:pPr>
              <w:spacing w:after="0" w:line="240" w:lineRule="auto"/>
              <w:ind w:left="720"/>
              <w:jc w:val="center"/>
              <w:rPr>
                <w:rFonts w:eastAsia="Times New Roman" w:cs="Arial"/>
                <w:b/>
                <w:color w:val="000000"/>
                <w:sz w:val="20"/>
                <w:szCs w:val="20"/>
                <w:lang w:val="es-CO" w:eastAsia="es-CO"/>
              </w:rPr>
            </w:pPr>
            <w:r>
              <w:rPr>
                <w:rFonts w:eastAsia="Times New Roman" w:cs="Arial"/>
                <w:b/>
                <w:color w:val="000000"/>
                <w:sz w:val="20"/>
                <w:szCs w:val="20"/>
                <w:lang w:val="es-CO" w:eastAsia="es-CO"/>
              </w:rPr>
              <w:t>Concepto</w:t>
            </w:r>
          </w:p>
        </w:tc>
        <w:tc>
          <w:tcPr>
            <w:tcW w:w="550" w:type="pct"/>
            <w:tcBorders>
              <w:top w:val="single" w:color="auto" w:sz="4" w:space="0"/>
              <w:left w:val="nil"/>
              <w:bottom w:val="single" w:color="auto" w:sz="4" w:space="0"/>
              <w:right w:val="single" w:color="auto" w:sz="4" w:space="0"/>
            </w:tcBorders>
            <w:shd w:val="clear" w:color="auto" w:fill="D9D9D9"/>
            <w:noWrap/>
            <w:vAlign w:val="center"/>
          </w:tcPr>
          <w:p w14:paraId="1F7BE2B7">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 xml:space="preserve">Indicar si Aplica o No Aplica </w:t>
            </w:r>
          </w:p>
        </w:tc>
        <w:tc>
          <w:tcPr>
            <w:tcW w:w="890" w:type="pct"/>
            <w:tcBorders>
              <w:top w:val="single" w:color="auto" w:sz="4" w:space="0"/>
              <w:left w:val="nil"/>
              <w:bottom w:val="single" w:color="auto" w:sz="4" w:space="0"/>
              <w:right w:val="single" w:color="auto" w:sz="4" w:space="0"/>
            </w:tcBorders>
            <w:shd w:val="clear" w:color="auto" w:fill="D9D9D9"/>
            <w:vAlign w:val="center"/>
          </w:tcPr>
          <w:p w14:paraId="6EB54844">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En caso de que aplique, adjuntar el siguiente soporte:</w:t>
            </w:r>
          </w:p>
        </w:tc>
      </w:tr>
      <w:tr w14:paraId="5C4E9076">
        <w:tblPrEx>
          <w:tblCellMar>
            <w:top w:w="0" w:type="dxa"/>
            <w:left w:w="70" w:type="dxa"/>
            <w:bottom w:w="0" w:type="dxa"/>
            <w:right w:w="70" w:type="dxa"/>
          </w:tblCellMar>
        </w:tblPrEx>
        <w:trPr>
          <w:trHeight w:val="592" w:hRule="atLeast"/>
        </w:trPr>
        <w:tc>
          <w:tcPr>
            <w:tcW w:w="3561" w:type="pct"/>
            <w:tcBorders>
              <w:top w:val="single" w:color="auto" w:sz="4" w:space="0"/>
              <w:left w:val="single" w:color="auto" w:sz="4" w:space="0"/>
              <w:bottom w:val="single" w:color="auto" w:sz="4" w:space="0"/>
              <w:right w:val="single" w:color="auto" w:sz="4" w:space="0"/>
            </w:tcBorders>
            <w:vAlign w:val="bottom"/>
          </w:tcPr>
          <w:p w14:paraId="5B3CF06D">
            <w:pPr>
              <w:spacing w:after="0" w:line="240" w:lineRule="auto"/>
              <w:rPr>
                <w:rFonts w:eastAsia="Times New Roman" w:cs="Arial"/>
                <w:sz w:val="20"/>
                <w:szCs w:val="20"/>
                <w:lang w:val="es-CO" w:eastAsia="es-CO"/>
              </w:rPr>
            </w:pPr>
            <w:r>
              <w:rPr>
                <w:rFonts w:eastAsia="Times New Roman" w:cs="Arial"/>
                <w:sz w:val="20"/>
                <w:szCs w:val="20"/>
                <w:lang w:val="es-CO" w:eastAsia="es-CO"/>
              </w:rPr>
              <w:t>1)  Tr</w:t>
            </w:r>
            <w:r>
              <w:rPr>
                <w:rFonts w:eastAsia="Times New Roman" w:cstheme="minorHAnsi"/>
                <w:sz w:val="20"/>
                <w:szCs w:val="20"/>
                <w:lang w:val="es-CO" w:eastAsia="es-CO"/>
              </w:rPr>
              <w:t>abajadores que tengan derecho a la deducción por</w:t>
            </w:r>
            <w:r>
              <w:rPr>
                <w:rFonts w:ascii="Arial" w:hAnsi="Arial" w:eastAsia="Times New Roman" w:cs="Arial"/>
                <w:sz w:val="20"/>
                <w:szCs w:val="20"/>
                <w:lang w:val="es-CO" w:eastAsia="es-CO"/>
              </w:rPr>
              <w:t xml:space="preserve"> </w:t>
            </w:r>
            <w:r>
              <w:rPr>
                <w:rFonts w:eastAsia="Times New Roman" w:cs="Arial"/>
                <w:sz w:val="20"/>
                <w:szCs w:val="20"/>
                <w:lang w:val="es-CO" w:eastAsia="es-CO"/>
              </w:rPr>
              <w:t xml:space="preserve">Intereses o corrección monetaria en virtud de préstamos para adquisición de vivienda. </w:t>
            </w:r>
          </w:p>
          <w:p w14:paraId="4BE07BFC">
            <w:pPr>
              <w:spacing w:after="0" w:line="240" w:lineRule="auto"/>
              <w:rPr>
                <w:rFonts w:eastAsia="Times New Roman" w:cs="Arial"/>
                <w:b/>
                <w:sz w:val="20"/>
                <w:szCs w:val="20"/>
                <w:lang w:val="es-CO" w:eastAsia="es-CO"/>
              </w:rPr>
            </w:pPr>
            <w:r>
              <w:rPr>
                <w:rFonts w:eastAsia="Times New Roman" w:cs="Arial"/>
                <w:b/>
                <w:sz w:val="20"/>
                <w:szCs w:val="20"/>
                <w:lang w:val="es-CO" w:eastAsia="es-CO"/>
              </w:rPr>
              <w:t>(Adjuntar certificación año 2023, emitido por la respectiva entidad financiera)</w:t>
            </w:r>
          </w:p>
          <w:p w14:paraId="7E014C15">
            <w:pPr>
              <w:spacing w:after="0" w:line="240" w:lineRule="auto"/>
              <w:rPr>
                <w:rFonts w:eastAsia="Times New Roman" w:cs="Arial"/>
                <w:sz w:val="20"/>
                <w:szCs w:val="20"/>
                <w:lang w:val="es-CO" w:eastAsia="es-CO"/>
              </w:rPr>
            </w:pPr>
          </w:p>
        </w:tc>
        <w:tc>
          <w:tcPr>
            <w:tcW w:w="550" w:type="pct"/>
            <w:tcBorders>
              <w:top w:val="single" w:color="auto" w:sz="4" w:space="0"/>
              <w:left w:val="nil"/>
              <w:bottom w:val="single" w:color="auto" w:sz="4" w:space="0"/>
              <w:right w:val="single" w:color="auto" w:sz="4" w:space="0"/>
            </w:tcBorders>
            <w:noWrap/>
            <w:vAlign w:val="bottom"/>
          </w:tcPr>
          <w:p w14:paraId="12D0C428">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No aplica </w:t>
            </w:r>
          </w:p>
        </w:tc>
        <w:tc>
          <w:tcPr>
            <w:tcW w:w="890" w:type="pct"/>
            <w:tcBorders>
              <w:top w:val="single" w:color="auto" w:sz="4" w:space="0"/>
              <w:left w:val="nil"/>
              <w:bottom w:val="single" w:color="auto" w:sz="4" w:space="0"/>
              <w:right w:val="single" w:color="auto" w:sz="4" w:space="0"/>
            </w:tcBorders>
          </w:tcPr>
          <w:p w14:paraId="6E01F630">
            <w:pPr>
              <w:spacing w:after="0" w:line="240" w:lineRule="auto"/>
              <w:rPr>
                <w:rFonts w:eastAsia="Times New Roman" w:cs="Arial"/>
                <w:color w:val="FF0000"/>
                <w:sz w:val="20"/>
                <w:szCs w:val="20"/>
                <w:highlight w:val="yellow"/>
                <w:lang w:val="es-CO" w:eastAsia="es-CO"/>
              </w:rPr>
            </w:pPr>
          </w:p>
        </w:tc>
      </w:tr>
      <w:tr w14:paraId="396A6B6D">
        <w:tblPrEx>
          <w:tblCellMar>
            <w:top w:w="0" w:type="dxa"/>
            <w:left w:w="70" w:type="dxa"/>
            <w:bottom w:w="0" w:type="dxa"/>
            <w:right w:w="70" w:type="dxa"/>
          </w:tblCellMar>
        </w:tblPrEx>
        <w:trPr>
          <w:trHeight w:val="592" w:hRule="atLeast"/>
        </w:trPr>
        <w:tc>
          <w:tcPr>
            <w:tcW w:w="3561" w:type="pct"/>
            <w:tcBorders>
              <w:top w:val="single" w:color="auto" w:sz="4" w:space="0"/>
              <w:left w:val="single" w:color="auto" w:sz="4" w:space="0"/>
              <w:bottom w:val="single" w:color="auto" w:sz="4" w:space="0"/>
              <w:right w:val="single" w:color="auto" w:sz="4" w:space="0"/>
            </w:tcBorders>
            <w:vAlign w:val="bottom"/>
          </w:tcPr>
          <w:p w14:paraId="4D08F6FA">
            <w:pPr>
              <w:spacing w:after="0" w:line="240" w:lineRule="auto"/>
              <w:rPr>
                <w:rFonts w:eastAsia="Times New Roman" w:cs="Arial"/>
                <w:sz w:val="20"/>
                <w:szCs w:val="20"/>
                <w:lang w:val="es-CO" w:eastAsia="es-CO"/>
              </w:rPr>
            </w:pPr>
            <w:r>
              <w:rPr>
                <w:rFonts w:eastAsia="Times New Roman" w:cs="Arial"/>
                <w:sz w:val="20"/>
                <w:szCs w:val="20"/>
                <w:lang w:val="es-CO" w:eastAsia="es-CO"/>
              </w:rPr>
              <w:t>2)  Aportes Voluntarios a fondos de pensiones o cuentas AFC.</w:t>
            </w:r>
          </w:p>
          <w:p w14:paraId="6BF7B52D">
            <w:pPr>
              <w:spacing w:after="0" w:line="240" w:lineRule="auto"/>
              <w:rPr>
                <w:rFonts w:eastAsia="Times New Roman" w:cs="Arial"/>
                <w:b/>
                <w:sz w:val="20"/>
                <w:szCs w:val="20"/>
                <w:lang w:val="es-CO" w:eastAsia="es-CO"/>
              </w:rPr>
            </w:pPr>
            <w:r>
              <w:rPr>
                <w:rFonts w:eastAsia="Times New Roman" w:cs="Arial"/>
                <w:b/>
                <w:sz w:val="20"/>
                <w:szCs w:val="20"/>
                <w:lang w:val="es-CO" w:eastAsia="es-CO"/>
              </w:rPr>
              <w:t>(Adjuntar carta de autorización e instrucciones dirigida a la OFICINA DE CONTABILIDAD).</w:t>
            </w:r>
          </w:p>
          <w:p w14:paraId="18EE6FD1">
            <w:pPr>
              <w:spacing w:after="0" w:line="240" w:lineRule="auto"/>
              <w:rPr>
                <w:rFonts w:eastAsia="Times New Roman" w:cs="Arial"/>
                <w:sz w:val="20"/>
                <w:szCs w:val="20"/>
                <w:lang w:val="es-CO" w:eastAsia="es-CO"/>
              </w:rPr>
            </w:pPr>
          </w:p>
          <w:p w14:paraId="0E447122">
            <w:pPr>
              <w:spacing w:after="0" w:line="240" w:lineRule="auto"/>
              <w:rPr>
                <w:rFonts w:eastAsia="Times New Roman" w:cstheme="minorHAnsi"/>
                <w:b/>
                <w:bCs/>
                <w:sz w:val="20"/>
                <w:szCs w:val="20"/>
                <w:lang w:val="es-CO" w:eastAsia="es-CO"/>
              </w:rPr>
            </w:pPr>
            <w:r>
              <w:rPr>
                <w:rFonts w:cstheme="minorHAnsi"/>
                <w:b/>
                <w:bCs/>
                <w:sz w:val="20"/>
                <w:szCs w:val="20"/>
                <w:shd w:val="clear" w:color="auto" w:fill="FFFFFF"/>
              </w:rPr>
              <w:t>Los aportes AFC son los aportes que las personas naturales hacen en las cuentas AFC, a fin de construir un fondo para adquirir vivienda, o simplemente para optar al beneficio tributario por aportes a estas cuentas.</w:t>
            </w:r>
          </w:p>
          <w:p w14:paraId="72B4CE69">
            <w:pPr>
              <w:spacing w:after="0" w:line="240" w:lineRule="auto"/>
              <w:rPr>
                <w:rFonts w:eastAsia="Times New Roman" w:cs="Arial"/>
                <w:sz w:val="20"/>
                <w:szCs w:val="20"/>
                <w:lang w:val="es-CO" w:eastAsia="es-CO"/>
              </w:rPr>
            </w:pPr>
          </w:p>
        </w:tc>
        <w:tc>
          <w:tcPr>
            <w:tcW w:w="550" w:type="pct"/>
            <w:tcBorders>
              <w:top w:val="single" w:color="auto" w:sz="4" w:space="0"/>
              <w:left w:val="nil"/>
              <w:bottom w:val="single" w:color="auto" w:sz="4" w:space="0"/>
              <w:right w:val="single" w:color="auto" w:sz="4" w:space="0"/>
            </w:tcBorders>
            <w:noWrap/>
            <w:vAlign w:val="bottom"/>
          </w:tcPr>
          <w:p w14:paraId="1D5F80AB">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No aplica </w:t>
            </w:r>
          </w:p>
        </w:tc>
        <w:tc>
          <w:tcPr>
            <w:tcW w:w="890" w:type="pct"/>
            <w:tcBorders>
              <w:top w:val="single" w:color="auto" w:sz="4" w:space="0"/>
              <w:left w:val="nil"/>
              <w:bottom w:val="single" w:color="auto" w:sz="4" w:space="0"/>
              <w:right w:val="single" w:color="auto" w:sz="4" w:space="0"/>
            </w:tcBorders>
          </w:tcPr>
          <w:p w14:paraId="73D7D099">
            <w:pPr>
              <w:spacing w:after="0" w:line="240" w:lineRule="auto"/>
              <w:rPr>
                <w:rFonts w:eastAsia="Times New Roman" w:cs="Arial"/>
                <w:color w:val="FF0000"/>
                <w:sz w:val="20"/>
                <w:szCs w:val="20"/>
                <w:lang w:val="es-CO" w:eastAsia="es-CO"/>
              </w:rPr>
            </w:pPr>
          </w:p>
        </w:tc>
      </w:tr>
      <w:tr w14:paraId="222967EA">
        <w:tblPrEx>
          <w:tblCellMar>
            <w:top w:w="0" w:type="dxa"/>
            <w:left w:w="70" w:type="dxa"/>
            <w:bottom w:w="0" w:type="dxa"/>
            <w:right w:w="70" w:type="dxa"/>
          </w:tblCellMar>
        </w:tblPrEx>
        <w:trPr>
          <w:trHeight w:val="592" w:hRule="atLeast"/>
        </w:trPr>
        <w:tc>
          <w:tcPr>
            <w:tcW w:w="3561" w:type="pct"/>
            <w:tcBorders>
              <w:top w:val="nil"/>
              <w:left w:val="single" w:color="auto" w:sz="4" w:space="0"/>
              <w:bottom w:val="single" w:color="auto" w:sz="4" w:space="0"/>
              <w:right w:val="single" w:color="auto" w:sz="4" w:space="0"/>
            </w:tcBorders>
            <w:noWrap/>
            <w:vAlign w:val="bottom"/>
          </w:tcPr>
          <w:p w14:paraId="42A81987">
            <w:pPr>
              <w:spacing w:after="0" w:line="240" w:lineRule="auto"/>
              <w:jc w:val="both"/>
              <w:rPr>
                <w:rFonts w:eastAsia="Times New Roman" w:cs="Arial"/>
                <w:sz w:val="20"/>
                <w:szCs w:val="20"/>
                <w:lang w:val="es-CO" w:eastAsia="es-CO"/>
              </w:rPr>
            </w:pPr>
            <w:r>
              <w:rPr>
                <w:rFonts w:eastAsia="Times New Roman" w:cs="Arial"/>
                <w:sz w:val="20"/>
                <w:szCs w:val="20"/>
                <w:lang w:val="es-CO" w:eastAsia="es-CO"/>
              </w:rPr>
              <w:t>3) Pagos por Salud (Medicina Prepagada o Seguros de Salud), siempre que el valor a disminuir mensualmente no supere dieciséis (16) UVT mensuales, y se cumplan las siguientes condiciones de control indicadas en las normas reglamentarias vigentes.</w:t>
            </w:r>
          </w:p>
          <w:p w14:paraId="45E81D38">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Pr>
                <w:rFonts w:eastAsia="Times New Roman" w:cstheme="minorHAnsi"/>
                <w:b/>
                <w:bCs/>
                <w:sz w:val="20"/>
                <w:szCs w:val="20"/>
                <w:lang w:val="es-CO" w:eastAsia="es-CO"/>
              </w:rPr>
              <w:t>a. Los pagos efectuados por contratos de prestación de servicios a empresas de medicina prepagada vigiladas por la Superintendencia Nacional de Salud, que impliquen protección al trabajador, su cónyuge, sus hijos y/o dependientes.</w:t>
            </w:r>
          </w:p>
          <w:p w14:paraId="74B5CAA0">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Pr>
                <w:rFonts w:eastAsia="Times New Roman" w:cstheme="minorHAnsi"/>
                <w:b/>
                <w:bCs/>
                <w:sz w:val="20"/>
                <w:szCs w:val="20"/>
                <w:lang w:val="es-CO" w:eastAsia="es-CO"/>
              </w:rPr>
              <w:t>b. Los pagos efectuados por seguros de salud, expedidos por compañías de seguros vigiladas por la Superintendencia Financiera de Colombia, con la misma limitación del literal anterior.</w:t>
            </w:r>
          </w:p>
          <w:p w14:paraId="7D2B61CB">
            <w:pPr>
              <w:spacing w:after="0" w:line="240" w:lineRule="auto"/>
              <w:jc w:val="both"/>
              <w:rPr>
                <w:rFonts w:eastAsia="Times New Roman" w:cs="Arial"/>
                <w:b/>
                <w:sz w:val="20"/>
                <w:szCs w:val="20"/>
                <w:lang w:val="es-CO" w:eastAsia="es-CO"/>
              </w:rPr>
            </w:pPr>
          </w:p>
        </w:tc>
        <w:tc>
          <w:tcPr>
            <w:tcW w:w="550" w:type="pct"/>
            <w:tcBorders>
              <w:top w:val="nil"/>
              <w:left w:val="nil"/>
              <w:bottom w:val="single" w:color="auto" w:sz="4" w:space="0"/>
              <w:right w:val="single" w:color="auto" w:sz="4" w:space="0"/>
            </w:tcBorders>
            <w:noWrap/>
            <w:vAlign w:val="bottom"/>
          </w:tcPr>
          <w:p w14:paraId="0453AAC0">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No aplica </w:t>
            </w:r>
          </w:p>
        </w:tc>
        <w:tc>
          <w:tcPr>
            <w:tcW w:w="890" w:type="pct"/>
            <w:tcBorders>
              <w:top w:val="nil"/>
              <w:left w:val="nil"/>
              <w:bottom w:val="single" w:color="auto" w:sz="4" w:space="0"/>
              <w:right w:val="single" w:color="auto" w:sz="4" w:space="0"/>
            </w:tcBorders>
          </w:tcPr>
          <w:p w14:paraId="18CA40EC">
            <w:pPr>
              <w:spacing w:after="0" w:line="240" w:lineRule="auto"/>
              <w:rPr>
                <w:rFonts w:eastAsia="Times New Roman" w:cs="Arial"/>
                <w:color w:val="FF0000"/>
                <w:sz w:val="20"/>
                <w:szCs w:val="20"/>
                <w:lang w:val="es-CO" w:eastAsia="es-CO"/>
              </w:rPr>
            </w:pPr>
          </w:p>
        </w:tc>
      </w:tr>
      <w:tr w14:paraId="7A754551">
        <w:tblPrEx>
          <w:tblCellMar>
            <w:top w:w="0" w:type="dxa"/>
            <w:left w:w="70" w:type="dxa"/>
            <w:bottom w:w="0" w:type="dxa"/>
            <w:right w:w="70" w:type="dxa"/>
          </w:tblCellMar>
        </w:tblPrEx>
        <w:trPr>
          <w:trHeight w:val="1510" w:hRule="atLeast"/>
        </w:trPr>
        <w:tc>
          <w:tcPr>
            <w:tcW w:w="3561" w:type="pct"/>
            <w:tcBorders>
              <w:top w:val="nil"/>
              <w:left w:val="single" w:color="auto" w:sz="4" w:space="0"/>
              <w:bottom w:val="single" w:color="auto" w:sz="4" w:space="0"/>
              <w:right w:val="single" w:color="auto" w:sz="4" w:space="0"/>
            </w:tcBorders>
            <w:noWrap/>
            <w:vAlign w:val="bottom"/>
          </w:tcPr>
          <w:p w14:paraId="29844F1B">
            <w:pPr>
              <w:spacing w:after="0" w:line="240" w:lineRule="auto"/>
              <w:jc w:val="both"/>
              <w:rPr>
                <w:rFonts w:eastAsia="Times New Roman" w:cs="Arial"/>
                <w:sz w:val="20"/>
                <w:szCs w:val="20"/>
                <w:lang w:val="es-CO" w:eastAsia="es-CO"/>
              </w:rPr>
            </w:pPr>
            <w:r>
              <w:rPr>
                <w:rFonts w:eastAsia="Times New Roman" w:cs="Arial"/>
                <w:sz w:val="20"/>
                <w:szCs w:val="20"/>
                <w:lang w:val="es-CO" w:eastAsia="es-CO"/>
              </w:rPr>
              <w:t xml:space="preserve">4)  Deducción mensual de hasta el 10% del total de los ingresos brutos provenientes de la relación laboral o legal y reglamentaria del respectivo mes por concepto de dependientes, hasta un máximo de treinta y dos (32) UVT mensuales. </w:t>
            </w:r>
          </w:p>
          <w:p w14:paraId="53DB8324">
            <w:pPr>
              <w:spacing w:after="0" w:line="240" w:lineRule="auto"/>
              <w:jc w:val="both"/>
              <w:rPr>
                <w:rFonts w:eastAsia="Times New Roman" w:cs="Arial"/>
                <w:sz w:val="20"/>
                <w:szCs w:val="20"/>
                <w:lang w:val="es-CO" w:eastAsia="es-CO"/>
              </w:rPr>
            </w:pPr>
          </w:p>
          <w:p w14:paraId="2742EF18">
            <w:pPr>
              <w:spacing w:after="0" w:line="240" w:lineRule="auto"/>
              <w:jc w:val="both"/>
              <w:rPr>
                <w:rFonts w:eastAsia="Times New Roman" w:cstheme="minorHAnsi"/>
                <w:b/>
                <w:bCs/>
                <w:sz w:val="20"/>
                <w:szCs w:val="20"/>
                <w:lang w:val="es-CO" w:eastAsia="es-CO"/>
              </w:rPr>
            </w:pPr>
            <w:r>
              <w:rPr>
                <w:rFonts w:cstheme="minorHAnsi"/>
                <w:b/>
                <w:bCs/>
                <w:spacing w:val="2"/>
                <w:sz w:val="20"/>
                <w:szCs w:val="20"/>
                <w:shd w:val="clear" w:color="auto" w:fill="FFFFFF"/>
              </w:rPr>
              <w:t>La deducción por dependientes aplica únicamente a los ingresos provenientes de rentas de trabajo.</w:t>
            </w:r>
          </w:p>
        </w:tc>
        <w:tc>
          <w:tcPr>
            <w:tcW w:w="550" w:type="pct"/>
            <w:tcBorders>
              <w:top w:val="nil"/>
              <w:left w:val="nil"/>
              <w:bottom w:val="single" w:color="auto" w:sz="4" w:space="0"/>
              <w:right w:val="single" w:color="auto" w:sz="4" w:space="0"/>
            </w:tcBorders>
            <w:noWrap/>
            <w:vAlign w:val="bottom"/>
          </w:tcPr>
          <w:p w14:paraId="4DDB3E97">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No aplica </w:t>
            </w:r>
          </w:p>
        </w:tc>
        <w:tc>
          <w:tcPr>
            <w:tcW w:w="890" w:type="pct"/>
            <w:tcBorders>
              <w:top w:val="nil"/>
              <w:left w:val="nil"/>
              <w:bottom w:val="single" w:color="auto" w:sz="4" w:space="0"/>
              <w:right w:val="single" w:color="auto" w:sz="4" w:space="0"/>
            </w:tcBorders>
          </w:tcPr>
          <w:p w14:paraId="6EFCFCA5">
            <w:pPr>
              <w:spacing w:after="0" w:line="240" w:lineRule="auto"/>
              <w:rPr>
                <w:rFonts w:eastAsia="Times New Roman" w:cs="Arial"/>
                <w:color w:val="FF0000"/>
                <w:sz w:val="20"/>
                <w:szCs w:val="20"/>
                <w:lang w:val="es-CO" w:eastAsia="es-CO"/>
              </w:rPr>
            </w:pPr>
          </w:p>
        </w:tc>
      </w:tr>
      <w:tr w14:paraId="3DCB7E9C">
        <w:tblPrEx>
          <w:tblCellMar>
            <w:top w:w="0" w:type="dxa"/>
            <w:left w:w="70" w:type="dxa"/>
            <w:bottom w:w="0" w:type="dxa"/>
            <w:right w:w="70" w:type="dxa"/>
          </w:tblCellMar>
        </w:tblPrEx>
        <w:trPr>
          <w:trHeight w:val="592" w:hRule="atLeast"/>
        </w:trPr>
        <w:tc>
          <w:tcPr>
            <w:tcW w:w="3561" w:type="pct"/>
            <w:tcBorders>
              <w:top w:val="nil"/>
              <w:left w:val="single" w:color="auto" w:sz="4" w:space="0"/>
              <w:bottom w:val="single" w:color="auto" w:sz="4" w:space="0"/>
              <w:right w:val="single" w:color="auto" w:sz="4" w:space="0"/>
            </w:tcBorders>
            <w:noWrap/>
            <w:vAlign w:val="bottom"/>
          </w:tcPr>
          <w:p w14:paraId="7FF12C88">
            <w:pPr>
              <w:spacing w:after="0" w:line="240" w:lineRule="auto"/>
              <w:jc w:val="both"/>
              <w:rPr>
                <w:rFonts w:eastAsia="Times New Roman" w:cs="Arial"/>
                <w:sz w:val="20"/>
                <w:szCs w:val="20"/>
                <w:lang w:val="es-CO" w:eastAsia="es-CO"/>
              </w:rPr>
            </w:pPr>
            <w:r>
              <w:rPr>
                <w:rFonts w:cs="Arial"/>
                <w:sz w:val="20"/>
                <w:szCs w:val="20"/>
              </w:rPr>
              <w:t xml:space="preserve">5) Articulo 55 E.T Los aportes obligatorios que efectúen los trabajadores, empleadores y afiliados al Sistema General de Seguridad Social en Pensiones no harán parte de la base para aplicar la retención en la fuente por rentas de </w:t>
            </w:r>
            <w:r>
              <w:rPr>
                <w:rFonts w:cstheme="minorHAnsi"/>
                <w:sz w:val="20"/>
                <w:szCs w:val="20"/>
              </w:rPr>
              <w:t xml:space="preserve">trabajo </w:t>
            </w:r>
            <w:r>
              <w:rPr>
                <w:rFonts w:cstheme="minorHAnsi"/>
                <w:sz w:val="20"/>
                <w:szCs w:val="20"/>
                <w:shd w:val="clear" w:color="auto" w:fill="FFFFFF"/>
              </w:rPr>
              <w:t>y serán considerados como un ingreso no constitutivo de renta ni de ganancia ocasional.</w:t>
            </w:r>
          </w:p>
        </w:tc>
        <w:tc>
          <w:tcPr>
            <w:tcW w:w="550" w:type="pct"/>
            <w:tcBorders>
              <w:top w:val="nil"/>
              <w:left w:val="nil"/>
              <w:bottom w:val="single" w:color="auto" w:sz="4" w:space="0"/>
              <w:right w:val="single" w:color="auto" w:sz="4" w:space="0"/>
            </w:tcBorders>
            <w:noWrap/>
            <w:vAlign w:val="bottom"/>
          </w:tcPr>
          <w:p w14:paraId="62466433">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Si aplica </w:t>
            </w:r>
          </w:p>
        </w:tc>
        <w:tc>
          <w:tcPr>
            <w:tcW w:w="890" w:type="pct"/>
            <w:tcBorders>
              <w:top w:val="nil"/>
              <w:left w:val="nil"/>
              <w:bottom w:val="single" w:color="auto" w:sz="4" w:space="0"/>
              <w:right w:val="single" w:color="auto" w:sz="4" w:space="0"/>
            </w:tcBorders>
          </w:tcPr>
          <w:p w14:paraId="417EF00A">
            <w:pPr>
              <w:spacing w:after="0" w:line="240" w:lineRule="auto"/>
              <w:rPr>
                <w:rFonts w:eastAsia="Times New Roman" w:cs="Arial"/>
                <w:color w:val="FF0000"/>
                <w:sz w:val="20"/>
                <w:szCs w:val="20"/>
                <w:lang w:val="es-CO" w:eastAsia="es-CO"/>
              </w:rPr>
            </w:pPr>
          </w:p>
        </w:tc>
      </w:tr>
      <w:tr w14:paraId="7A553CFA">
        <w:tblPrEx>
          <w:tblCellMar>
            <w:top w:w="0" w:type="dxa"/>
            <w:left w:w="70" w:type="dxa"/>
            <w:bottom w:w="0" w:type="dxa"/>
            <w:right w:w="70" w:type="dxa"/>
          </w:tblCellMar>
        </w:tblPrEx>
        <w:trPr>
          <w:trHeight w:val="592" w:hRule="atLeast"/>
        </w:trPr>
        <w:tc>
          <w:tcPr>
            <w:tcW w:w="3561" w:type="pct"/>
            <w:tcBorders>
              <w:top w:val="nil"/>
              <w:left w:val="single" w:color="auto" w:sz="4" w:space="0"/>
              <w:bottom w:val="single" w:color="auto" w:sz="4" w:space="0"/>
              <w:right w:val="single" w:color="auto" w:sz="4" w:space="0"/>
            </w:tcBorders>
            <w:noWrap/>
            <w:vAlign w:val="bottom"/>
          </w:tcPr>
          <w:p w14:paraId="42C4EB62">
            <w:pPr>
              <w:spacing w:after="0" w:line="240" w:lineRule="auto"/>
              <w:jc w:val="both"/>
              <w:rPr>
                <w:rFonts w:eastAsia="Times New Roman" w:cs="Arial"/>
                <w:sz w:val="20"/>
                <w:szCs w:val="20"/>
                <w:lang w:val="es-CO" w:eastAsia="es-CO"/>
              </w:rPr>
            </w:pPr>
            <w:r>
              <w:rPr>
                <w:rFonts w:cs="Arial"/>
                <w:sz w:val="20"/>
                <w:szCs w:val="20"/>
              </w:rPr>
              <w:t>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550" w:type="pct"/>
            <w:tcBorders>
              <w:top w:val="nil"/>
              <w:left w:val="nil"/>
              <w:bottom w:val="single" w:color="auto" w:sz="4" w:space="0"/>
              <w:right w:val="single" w:color="auto" w:sz="4" w:space="0"/>
            </w:tcBorders>
            <w:noWrap/>
            <w:vAlign w:val="bottom"/>
          </w:tcPr>
          <w:p w14:paraId="1786D7BC">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 xml:space="preserve">Si aplica </w:t>
            </w:r>
          </w:p>
        </w:tc>
        <w:tc>
          <w:tcPr>
            <w:tcW w:w="890" w:type="pct"/>
            <w:tcBorders>
              <w:top w:val="nil"/>
              <w:left w:val="nil"/>
              <w:bottom w:val="single" w:color="auto" w:sz="4" w:space="0"/>
              <w:right w:val="single" w:color="auto" w:sz="4" w:space="0"/>
            </w:tcBorders>
          </w:tcPr>
          <w:p w14:paraId="2B0F0590">
            <w:pPr>
              <w:spacing w:after="0" w:line="240" w:lineRule="auto"/>
              <w:rPr>
                <w:rFonts w:eastAsia="Times New Roman" w:cs="Arial"/>
                <w:color w:val="FF0000"/>
                <w:sz w:val="20"/>
                <w:szCs w:val="20"/>
                <w:lang w:val="es-CO" w:eastAsia="es-CO"/>
              </w:rPr>
            </w:pPr>
          </w:p>
        </w:tc>
      </w:tr>
      <w:tr w14:paraId="0553D5DC">
        <w:tblPrEx>
          <w:tblCellMar>
            <w:top w:w="0" w:type="dxa"/>
            <w:left w:w="70" w:type="dxa"/>
            <w:bottom w:w="0" w:type="dxa"/>
            <w:right w:w="70" w:type="dxa"/>
          </w:tblCellMar>
        </w:tblPrEx>
        <w:trPr>
          <w:trHeight w:val="592" w:hRule="atLeast"/>
        </w:trPr>
        <w:tc>
          <w:tcPr>
            <w:tcW w:w="3561" w:type="pct"/>
            <w:tcBorders>
              <w:top w:val="nil"/>
              <w:left w:val="single" w:color="auto" w:sz="4" w:space="0"/>
              <w:bottom w:val="single" w:color="auto" w:sz="4" w:space="0"/>
              <w:right w:val="single" w:color="auto" w:sz="4" w:space="0"/>
            </w:tcBorders>
            <w:noWrap/>
            <w:vAlign w:val="bottom"/>
          </w:tcPr>
          <w:p w14:paraId="33113097">
            <w:pPr>
              <w:spacing w:after="0" w:line="240" w:lineRule="auto"/>
              <w:jc w:val="both"/>
              <w:rPr>
                <w:rFonts w:cs="Arial"/>
                <w:sz w:val="20"/>
                <w:szCs w:val="20"/>
              </w:rPr>
            </w:pPr>
            <w:r>
              <w:rPr>
                <w:rFonts w:cs="Arial"/>
                <w:sz w:val="20"/>
                <w:szCs w:val="20"/>
              </w:rPr>
              <w:t xml:space="preserve">7) Articulo 206 E.T Numeral 10.-El veinticinco por ciento (25%) del valor total de los pagos laborales, limitada anualmente a </w:t>
            </w:r>
            <w:r>
              <w:rPr>
                <w:rFonts w:cstheme="minorHAnsi"/>
                <w:sz w:val="20"/>
                <w:szCs w:val="20"/>
                <w:shd w:val="clear" w:color="auto" w:fill="FFFFFF"/>
              </w:rPr>
              <w:t>setecientos noventa (790)</w:t>
            </w:r>
            <w:r>
              <w:rPr>
                <w:rFonts w:cstheme="minorHAnsi"/>
                <w:sz w:val="20"/>
                <w:szCs w:val="20"/>
              </w:rPr>
              <w:t>.</w:t>
            </w:r>
            <w:r>
              <w:rPr>
                <w:rFonts w:cs="Arial"/>
                <w:sz w:val="20"/>
                <w:szCs w:val="20"/>
              </w:rPr>
              <w:t xml:space="preserve"> El cálculo de esta renta exenta se efectuará una vez se detraiga del valor total de los pagos laborales recibidos por el trabajador, los ingresos no constitutivos de renta, las deducciones y las demás rentas exentas diferentes a la establecida en el presente numeral.</w:t>
            </w:r>
          </w:p>
          <w:p w14:paraId="3581EEBE">
            <w:pPr>
              <w:pStyle w:val="6"/>
              <w:spacing w:before="0" w:beforeAutospacing="0" w:after="0" w:afterAutospacing="0"/>
              <w:jc w:val="both"/>
              <w:rPr>
                <w:rFonts w:asciiTheme="minorHAnsi" w:hAnsiTheme="minorHAnsi" w:cstheme="minorHAnsi"/>
                <w:spacing w:val="2"/>
                <w:sz w:val="20"/>
                <w:szCs w:val="20"/>
              </w:rPr>
            </w:pPr>
          </w:p>
          <w:p w14:paraId="54B0B95A">
            <w:pPr>
              <w:pStyle w:val="6"/>
              <w:spacing w:before="0" w:beforeAutospacing="0" w:after="0" w:afterAutospacing="0"/>
              <w:jc w:val="both"/>
              <w:rPr>
                <w:rFonts w:asciiTheme="minorHAnsi" w:hAnsiTheme="minorHAnsi" w:cstheme="minorHAnsi"/>
                <w:b/>
                <w:bCs/>
                <w:spacing w:val="2"/>
                <w:sz w:val="20"/>
                <w:szCs w:val="20"/>
              </w:rPr>
            </w:pPr>
            <w:r>
              <w:rPr>
                <w:rFonts w:asciiTheme="minorHAnsi" w:hAnsiTheme="minorHAnsi" w:cstheme="minorHAnsi"/>
                <w:b/>
                <w:bCs/>
                <w:spacing w:val="2"/>
                <w:sz w:val="20"/>
                <w:szCs w:val="20"/>
              </w:rPr>
              <w:t>Las rentas exentas a que se refiere el numeral 10 del artículo </w:t>
            </w:r>
            <w:r>
              <w:fldChar w:fldCharType="begin"/>
            </w:r>
            <w:r>
              <w:instrText xml:space="preserve"> HYPERLINK "https://normograma.dian.gov.co/dian/compilacion/docs/estatuto_tributario.htm" \l "206" </w:instrText>
            </w:r>
            <w:r>
              <w:fldChar w:fldCharType="separate"/>
            </w:r>
            <w:r>
              <w:rPr>
                <w:rStyle w:val="4"/>
                <w:rFonts w:asciiTheme="minorHAnsi" w:hAnsiTheme="minorHAnsi" w:cstheme="minorHAnsi"/>
                <w:b/>
                <w:bCs/>
                <w:spacing w:val="2"/>
                <w:sz w:val="20"/>
                <w:szCs w:val="20"/>
              </w:rPr>
              <w:t>206</w:t>
            </w:r>
            <w:r>
              <w:rPr>
                <w:rStyle w:val="4"/>
                <w:rFonts w:asciiTheme="minorHAnsi" w:hAnsiTheme="minorHAnsi" w:cstheme="minorHAnsi"/>
                <w:b/>
                <w:bCs/>
                <w:spacing w:val="2"/>
                <w:sz w:val="20"/>
                <w:szCs w:val="20"/>
              </w:rPr>
              <w:fldChar w:fldCharType="end"/>
            </w:r>
            <w:r>
              <w:rPr>
                <w:rFonts w:asciiTheme="minorHAnsi" w:hAnsiTheme="minorHAnsi" w:cstheme="minorHAnsi"/>
                <w:b/>
                <w:bCs/>
                <w:spacing w:val="2"/>
                <w:sz w:val="20"/>
                <w:szCs w:val="20"/>
              </w:rPr>
              <w:t> del Estatuto Tributario, solo son aplicables a:</w:t>
            </w:r>
          </w:p>
          <w:p w14:paraId="1AC392BB">
            <w:pPr>
              <w:pStyle w:val="6"/>
              <w:spacing w:before="0" w:beforeAutospacing="0" w:after="0" w:afterAutospacing="0" w:line="480" w:lineRule="atLeast"/>
              <w:jc w:val="both"/>
              <w:rPr>
                <w:rFonts w:asciiTheme="minorHAnsi" w:hAnsiTheme="minorHAnsi" w:cstheme="minorHAnsi"/>
                <w:b/>
                <w:bCs/>
                <w:spacing w:val="2"/>
                <w:sz w:val="20"/>
                <w:szCs w:val="20"/>
              </w:rPr>
            </w:pPr>
            <w:r>
              <w:rPr>
                <w:rFonts w:asciiTheme="minorHAnsi" w:hAnsiTheme="minorHAnsi" w:cstheme="minorHAnsi"/>
                <w:b/>
                <w:bCs/>
                <w:spacing w:val="2"/>
                <w:sz w:val="20"/>
                <w:szCs w:val="20"/>
              </w:rPr>
              <w:t>1. Los ingresos que provengan de una relación laboral o legal y reglamentaria.</w:t>
            </w:r>
          </w:p>
          <w:p w14:paraId="5BE0CC06">
            <w:pPr>
              <w:pStyle w:val="6"/>
              <w:spacing w:before="0" w:beforeAutospacing="0" w:after="0" w:afterAutospacing="0"/>
              <w:jc w:val="both"/>
              <w:rPr>
                <w:rFonts w:asciiTheme="minorHAnsi" w:hAnsiTheme="minorHAnsi" w:cstheme="minorHAnsi"/>
                <w:b/>
                <w:bCs/>
                <w:spacing w:val="2"/>
                <w:sz w:val="20"/>
                <w:szCs w:val="20"/>
              </w:rPr>
            </w:pPr>
            <w:r>
              <w:rPr>
                <w:rFonts w:asciiTheme="minorHAnsi" w:hAnsiTheme="minorHAnsi" w:cstheme="minorHAnsi"/>
                <w:b/>
                <w:bCs/>
                <w:spacing w:val="2"/>
                <w:sz w:val="20"/>
                <w:szCs w:val="20"/>
              </w:rPr>
              <w:t>2. Las rentas de trabajo que no provengan de una relación laboral o legal y reglamentaria, siempre y cuando no hayan optado por restar los costos y gastos procedentes en el desarrollo de dicha actividad.</w:t>
            </w:r>
          </w:p>
          <w:p w14:paraId="59FFF5F1">
            <w:pPr>
              <w:pStyle w:val="6"/>
              <w:spacing w:before="0" w:beforeAutospacing="0" w:after="240" w:afterAutospacing="0"/>
              <w:jc w:val="both"/>
              <w:rPr>
                <w:rFonts w:asciiTheme="minorHAnsi" w:hAnsiTheme="minorHAnsi" w:cstheme="minorHAnsi"/>
                <w:spacing w:val="2"/>
                <w:sz w:val="20"/>
                <w:szCs w:val="20"/>
              </w:rPr>
            </w:pPr>
            <w:r>
              <w:rPr>
                <w:rFonts w:asciiTheme="minorHAnsi" w:hAnsiTheme="minorHAnsi" w:cstheme="minorHAnsi"/>
                <w:b/>
                <w:bCs/>
                <w:spacing w:val="2"/>
                <w:sz w:val="20"/>
                <w:szCs w:val="20"/>
              </w:rPr>
              <w:t>(artículo 5 del Decreto 2231 de diciembre 22 de 2023).</w:t>
            </w:r>
          </w:p>
        </w:tc>
        <w:tc>
          <w:tcPr>
            <w:tcW w:w="550" w:type="pct"/>
            <w:tcBorders>
              <w:top w:val="nil"/>
              <w:left w:val="nil"/>
              <w:bottom w:val="single" w:color="auto" w:sz="4" w:space="0"/>
              <w:right w:val="single" w:color="auto" w:sz="4" w:space="0"/>
            </w:tcBorders>
            <w:noWrap/>
          </w:tcPr>
          <w:p w14:paraId="732E05F0">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6265AD0A">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7832A571">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447535D4">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6A5B249F">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119E133B">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5BD09BBC">
            <w:pPr>
              <w:spacing w:after="0" w:line="240" w:lineRule="auto"/>
              <w:rPr>
                <w:rFonts w:eastAsia="Times New Roman" w:cs="Arial"/>
                <w:b/>
                <w:bCs/>
                <w:color w:val="000000" w:themeColor="text1"/>
                <w:sz w:val="20"/>
                <w:szCs w:val="20"/>
                <w:lang w:val="es-CO" w:eastAsia="es-CO"/>
                <w14:textFill>
                  <w14:solidFill>
                    <w14:schemeClr w14:val="tx1"/>
                  </w14:solidFill>
                </w14:textFill>
              </w:rPr>
            </w:pPr>
          </w:p>
          <w:p w14:paraId="4B8B10BE">
            <w:pPr>
              <w:spacing w:after="0" w:line="240" w:lineRule="auto"/>
              <w:rPr>
                <w:rFonts w:eastAsia="Times New Roman" w:cs="Arial"/>
                <w:b/>
                <w:bCs/>
                <w:color w:val="000000" w:themeColor="text1"/>
                <w:sz w:val="20"/>
                <w:szCs w:val="20"/>
                <w:lang w:val="es-CO" w:eastAsia="es-CO"/>
                <w14:textFill>
                  <w14:solidFill>
                    <w14:schemeClr w14:val="tx1"/>
                  </w14:solidFill>
                </w14:textFill>
              </w:rPr>
            </w:pPr>
            <w:r>
              <w:rPr>
                <w:rFonts w:eastAsia="Times New Roman" w:cs="Arial"/>
                <w:b/>
                <w:bCs/>
                <w:color w:val="000000" w:themeColor="text1"/>
                <w:sz w:val="20"/>
                <w:szCs w:val="20"/>
                <w:lang w:val="es-CO" w:eastAsia="es-CO"/>
                <w14:textFill>
                  <w14:solidFill>
                    <w14:schemeClr w14:val="tx1"/>
                  </w14:solidFill>
                </w14:textFill>
              </w:rPr>
              <w:t>Si aplica</w:t>
            </w:r>
          </w:p>
        </w:tc>
        <w:tc>
          <w:tcPr>
            <w:tcW w:w="890" w:type="pct"/>
            <w:tcBorders>
              <w:top w:val="nil"/>
              <w:left w:val="nil"/>
              <w:bottom w:val="single" w:color="auto" w:sz="4" w:space="0"/>
              <w:right w:val="single" w:color="auto" w:sz="4" w:space="0"/>
            </w:tcBorders>
          </w:tcPr>
          <w:p w14:paraId="310E1BF8">
            <w:pPr>
              <w:spacing w:after="0" w:line="240" w:lineRule="auto"/>
              <w:rPr>
                <w:rFonts w:eastAsia="Times New Roman" w:cs="Arial"/>
                <w:color w:val="FF0000"/>
                <w:sz w:val="20"/>
                <w:szCs w:val="20"/>
                <w:lang w:val="es-CO" w:eastAsia="es-CO"/>
              </w:rPr>
            </w:pPr>
          </w:p>
        </w:tc>
      </w:tr>
      <w:tr w14:paraId="7D384A2C">
        <w:tblPrEx>
          <w:tblCellMar>
            <w:top w:w="0" w:type="dxa"/>
            <w:left w:w="70" w:type="dxa"/>
            <w:bottom w:w="0" w:type="dxa"/>
            <w:right w:w="70" w:type="dxa"/>
          </w:tblCellMar>
        </w:tblPrEx>
        <w:trPr>
          <w:trHeight w:val="349" w:hRule="atLeast"/>
        </w:trPr>
        <w:tc>
          <w:tcPr>
            <w:tcW w:w="4110" w:type="pct"/>
            <w:gridSpan w:val="2"/>
            <w:tcBorders>
              <w:top w:val="single" w:color="auto" w:sz="4" w:space="0"/>
              <w:left w:val="single" w:color="auto" w:sz="4" w:space="0"/>
              <w:bottom w:val="single" w:color="auto" w:sz="4" w:space="0"/>
              <w:right w:val="single" w:color="000000" w:sz="4" w:space="0"/>
            </w:tcBorders>
            <w:noWrap/>
            <w:vAlign w:val="bottom"/>
          </w:tcPr>
          <w:p w14:paraId="7C400773">
            <w:pPr>
              <w:spacing w:after="0" w:line="240" w:lineRule="auto"/>
              <w:jc w:val="center"/>
              <w:rPr>
                <w:rFonts w:eastAsia="Times New Roman" w:cs="Arial"/>
                <w:b/>
                <w:bCs/>
                <w:sz w:val="20"/>
                <w:szCs w:val="20"/>
                <w:lang w:val="es-CO" w:eastAsia="es-CO"/>
              </w:rPr>
            </w:pPr>
            <w:bookmarkStart w:id="1" w:name="_Hlk198553000"/>
            <w:r>
              <w:rPr>
                <w:rFonts w:eastAsia="Times New Roman" w:cs="Arial"/>
                <w:b/>
                <w:bCs/>
                <w:sz w:val="20"/>
                <w:szCs w:val="20"/>
                <w:lang w:val="es-CO" w:eastAsia="es-CO"/>
              </w:rPr>
              <w:t>PERSONAS QUE TIENEN LA CALIDAD DE DEPENDIENTES</w:t>
            </w:r>
            <w:bookmarkEnd w:id="1"/>
          </w:p>
        </w:tc>
        <w:tc>
          <w:tcPr>
            <w:tcW w:w="890" w:type="pct"/>
            <w:tcBorders>
              <w:top w:val="single" w:color="auto" w:sz="4" w:space="0"/>
              <w:left w:val="single" w:color="auto" w:sz="4" w:space="0"/>
              <w:bottom w:val="single" w:color="auto" w:sz="4" w:space="0"/>
              <w:right w:val="single" w:color="000000" w:sz="4" w:space="0"/>
            </w:tcBorders>
          </w:tcPr>
          <w:p w14:paraId="3F6ABF43">
            <w:pPr>
              <w:spacing w:after="0" w:line="240" w:lineRule="auto"/>
              <w:jc w:val="center"/>
              <w:rPr>
                <w:rFonts w:eastAsia="Times New Roman" w:cs="Arial"/>
                <w:b/>
                <w:bCs/>
                <w:sz w:val="20"/>
                <w:szCs w:val="20"/>
                <w:lang w:val="es-CO" w:eastAsia="es-CO"/>
              </w:rPr>
            </w:pPr>
          </w:p>
        </w:tc>
      </w:tr>
      <w:tr w14:paraId="16BED76E">
        <w:tblPrEx>
          <w:tblCellMar>
            <w:top w:w="0" w:type="dxa"/>
            <w:left w:w="70" w:type="dxa"/>
            <w:bottom w:w="0" w:type="dxa"/>
            <w:right w:w="70" w:type="dxa"/>
          </w:tblCellMar>
        </w:tblPrEx>
        <w:trPr>
          <w:trHeight w:val="349" w:hRule="atLeast"/>
        </w:trPr>
        <w:tc>
          <w:tcPr>
            <w:tcW w:w="4110" w:type="pct"/>
            <w:gridSpan w:val="2"/>
            <w:tcBorders>
              <w:top w:val="single" w:color="auto" w:sz="4" w:space="0"/>
              <w:left w:val="single" w:color="auto" w:sz="4" w:space="0"/>
              <w:bottom w:val="single" w:color="auto" w:sz="4" w:space="0"/>
              <w:right w:val="single" w:color="000000" w:sz="4" w:space="0"/>
            </w:tcBorders>
            <w:noWrap/>
            <w:vAlign w:val="bottom"/>
          </w:tcPr>
          <w:p w14:paraId="73827C35">
            <w:pPr>
              <w:spacing w:after="0" w:line="240" w:lineRule="auto"/>
              <w:jc w:val="both"/>
              <w:rPr>
                <w:rFonts w:eastAsia="Times New Roman" w:cstheme="minorHAnsi"/>
                <w:b/>
                <w:bCs/>
                <w:sz w:val="20"/>
                <w:szCs w:val="20"/>
                <w:lang w:val="es-CO" w:eastAsia="es-CO"/>
              </w:rPr>
            </w:pPr>
            <w:r>
              <w:rPr>
                <w:rFonts w:cstheme="minorHAnsi"/>
                <w:sz w:val="20"/>
                <w:szCs w:val="20"/>
                <w:shd w:val="clear" w:color="auto" w:fill="FFFFFF"/>
              </w:rPr>
              <w:t xml:space="preserve">Para efectos de probar la existencia y dependencia económica de los dependientes, el contribuyente suministrará al agente retenedor </w:t>
            </w:r>
            <w:r>
              <w:rPr>
                <w:rFonts w:cstheme="minorHAnsi"/>
                <w:b/>
                <w:bCs/>
                <w:sz w:val="20"/>
                <w:szCs w:val="20"/>
                <w:shd w:val="clear" w:color="auto" w:fill="FFFFFF"/>
              </w:rPr>
              <w:t>(DISTRITO)</w:t>
            </w:r>
            <w:r>
              <w:rPr>
                <w:rFonts w:cstheme="minorHAnsi"/>
                <w:sz w:val="20"/>
                <w:szCs w:val="20"/>
                <w:shd w:val="clear" w:color="auto" w:fill="FFFFFF"/>
              </w:rPr>
              <w:t xml:space="preserve"> un certificado, que se entiende expedido bajo la gravedad del juramento, en el que indique e identifique plenamente las personas dependientes a su cargo que dan lugar al tratamiento tributario del numeral 4 arriba mencionado. </w:t>
            </w:r>
            <w:r>
              <w:rPr>
                <w:b/>
                <w:bCs/>
                <w:sz w:val="20"/>
                <w:szCs w:val="20"/>
              </w:rPr>
              <w:t>(Parágrafo del artículo 1.2.4.1.18 del Decreto único 1625 de 2016- Calidad de los dependientes) /SE UTILIZA EL PRESENTE CERTIFICADO.</w:t>
            </w:r>
          </w:p>
        </w:tc>
        <w:tc>
          <w:tcPr>
            <w:tcW w:w="890" w:type="pct"/>
            <w:tcBorders>
              <w:top w:val="single" w:color="auto" w:sz="4" w:space="0"/>
              <w:left w:val="single" w:color="auto" w:sz="4" w:space="0"/>
              <w:bottom w:val="single" w:color="auto" w:sz="4" w:space="0"/>
              <w:right w:val="single" w:color="000000" w:sz="4" w:space="0"/>
            </w:tcBorders>
          </w:tcPr>
          <w:p w14:paraId="6FE3F1C4">
            <w:pPr>
              <w:spacing w:after="0" w:line="240" w:lineRule="auto"/>
              <w:jc w:val="center"/>
              <w:rPr>
                <w:rFonts w:eastAsia="Times New Roman" w:cs="Arial"/>
                <w:b/>
                <w:bCs/>
                <w:sz w:val="20"/>
                <w:szCs w:val="20"/>
                <w:lang w:val="es-CO" w:eastAsia="es-CO"/>
              </w:rPr>
            </w:pPr>
          </w:p>
        </w:tc>
      </w:tr>
      <w:tr w14:paraId="47B1E890">
        <w:tblPrEx>
          <w:tblCellMar>
            <w:top w:w="0" w:type="dxa"/>
            <w:left w:w="70" w:type="dxa"/>
            <w:bottom w:w="0" w:type="dxa"/>
            <w:right w:w="70" w:type="dxa"/>
          </w:tblCellMar>
        </w:tblPrEx>
        <w:trPr>
          <w:trHeight w:val="395" w:hRule="atLeast"/>
        </w:trPr>
        <w:tc>
          <w:tcPr>
            <w:tcW w:w="3561" w:type="pct"/>
            <w:tcBorders>
              <w:top w:val="nil"/>
              <w:left w:val="single" w:color="auto" w:sz="4" w:space="0"/>
              <w:bottom w:val="single" w:color="auto" w:sz="4" w:space="0"/>
              <w:right w:val="single" w:color="auto" w:sz="4" w:space="0"/>
            </w:tcBorders>
            <w:noWrap/>
            <w:vAlign w:val="bottom"/>
          </w:tcPr>
          <w:p w14:paraId="325B47BE">
            <w:pPr>
              <w:spacing w:after="0" w:line="240" w:lineRule="auto"/>
              <w:rPr>
                <w:rFonts w:eastAsia="Times New Roman" w:cs="Arial"/>
                <w:sz w:val="20"/>
                <w:szCs w:val="20"/>
                <w:lang w:val="es-CO" w:eastAsia="es-CO"/>
              </w:rPr>
            </w:pPr>
            <w:r>
              <w:rPr>
                <w:rFonts w:eastAsia="Arial" w:cs="Arial"/>
                <w:sz w:val="20"/>
                <w:szCs w:val="20"/>
                <w:lang w:val="es-CO" w:eastAsia="es-CO"/>
              </w:rPr>
              <w:t>1.    Los hijos del contribuyente que tengan hasta 18 años de edad.</w:t>
            </w:r>
          </w:p>
        </w:tc>
        <w:tc>
          <w:tcPr>
            <w:tcW w:w="550" w:type="pct"/>
            <w:tcBorders>
              <w:top w:val="nil"/>
              <w:left w:val="nil"/>
              <w:bottom w:val="single" w:color="auto" w:sz="4" w:space="0"/>
              <w:right w:val="single" w:color="auto" w:sz="4" w:space="0"/>
            </w:tcBorders>
            <w:noWrap/>
            <w:vAlign w:val="bottom"/>
          </w:tcPr>
          <w:p w14:paraId="72DC0103">
            <w:pPr>
              <w:spacing w:after="0" w:line="240" w:lineRule="auto"/>
              <w:rPr>
                <w:rFonts w:eastAsia="Times New Roman" w:cs="Arial"/>
                <w:b/>
                <w:bCs/>
                <w:sz w:val="20"/>
                <w:szCs w:val="20"/>
                <w:lang w:val="es-CO" w:eastAsia="es-CO"/>
              </w:rPr>
            </w:pPr>
            <w:r>
              <w:rPr>
                <w:rFonts w:eastAsia="Times New Roman" w:cs="Arial"/>
                <w:b/>
                <w:bCs/>
                <w:sz w:val="20"/>
                <w:szCs w:val="20"/>
                <w:lang w:val="es-CO" w:eastAsia="es-CO"/>
              </w:rPr>
              <w:t xml:space="preserve">No aplica </w:t>
            </w:r>
          </w:p>
        </w:tc>
        <w:tc>
          <w:tcPr>
            <w:tcW w:w="890" w:type="pct"/>
            <w:tcBorders>
              <w:top w:val="nil"/>
              <w:left w:val="nil"/>
              <w:bottom w:val="single" w:color="auto" w:sz="4" w:space="0"/>
              <w:right w:val="single" w:color="auto" w:sz="4" w:space="0"/>
            </w:tcBorders>
          </w:tcPr>
          <w:p w14:paraId="7D1FCABE">
            <w:pPr>
              <w:spacing w:after="0" w:line="240" w:lineRule="auto"/>
              <w:rPr>
                <w:rFonts w:eastAsia="Times New Roman" w:cs="Arial"/>
                <w:sz w:val="20"/>
                <w:szCs w:val="20"/>
                <w:lang w:val="es-CO" w:eastAsia="es-CO"/>
              </w:rPr>
            </w:pPr>
          </w:p>
        </w:tc>
      </w:tr>
      <w:tr w14:paraId="4B1EAEEF">
        <w:tblPrEx>
          <w:tblCellMar>
            <w:top w:w="0" w:type="dxa"/>
            <w:left w:w="70" w:type="dxa"/>
            <w:bottom w:w="0" w:type="dxa"/>
            <w:right w:w="70" w:type="dxa"/>
          </w:tblCellMar>
        </w:tblPrEx>
        <w:trPr>
          <w:trHeight w:val="1115" w:hRule="atLeast"/>
        </w:trPr>
        <w:tc>
          <w:tcPr>
            <w:tcW w:w="3561" w:type="pct"/>
            <w:tcBorders>
              <w:top w:val="nil"/>
              <w:left w:val="single" w:color="auto" w:sz="4" w:space="0"/>
              <w:bottom w:val="single" w:color="auto" w:sz="4" w:space="0"/>
              <w:right w:val="single" w:color="auto" w:sz="4" w:space="0"/>
            </w:tcBorders>
            <w:vAlign w:val="bottom"/>
          </w:tcPr>
          <w:p w14:paraId="0F33BACD">
            <w:pPr>
              <w:spacing w:after="0" w:line="240" w:lineRule="auto"/>
              <w:jc w:val="both"/>
              <w:rPr>
                <w:rFonts w:eastAsia="Times New Roman" w:cs="Arial"/>
                <w:sz w:val="20"/>
                <w:szCs w:val="20"/>
                <w:lang w:val="es-CO" w:eastAsia="es-CO"/>
              </w:rPr>
            </w:pPr>
            <w:r>
              <w:rPr>
                <w:rFonts w:eastAsia="Times New Roman" w:cs="Arial"/>
                <w:sz w:val="20"/>
                <w:szCs w:val="2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550" w:type="pct"/>
            <w:tcBorders>
              <w:top w:val="nil"/>
              <w:left w:val="nil"/>
              <w:bottom w:val="single" w:color="auto" w:sz="4" w:space="0"/>
              <w:right w:val="single" w:color="auto" w:sz="4" w:space="0"/>
            </w:tcBorders>
            <w:noWrap/>
            <w:vAlign w:val="bottom"/>
          </w:tcPr>
          <w:p w14:paraId="4E91FFD2">
            <w:pPr>
              <w:spacing w:after="0" w:line="240" w:lineRule="auto"/>
              <w:rPr>
                <w:rFonts w:eastAsia="Times New Roman" w:cs="Arial"/>
                <w:b/>
                <w:bCs/>
                <w:sz w:val="20"/>
                <w:szCs w:val="20"/>
                <w:lang w:val="es-CO" w:eastAsia="es-CO"/>
              </w:rPr>
            </w:pPr>
            <w:r>
              <w:rPr>
                <w:rFonts w:eastAsia="Times New Roman" w:cs="Arial"/>
                <w:b/>
                <w:bCs/>
                <w:sz w:val="20"/>
                <w:szCs w:val="20"/>
                <w:lang w:val="es-CO" w:eastAsia="es-CO"/>
              </w:rPr>
              <w:t xml:space="preserve">No aplica </w:t>
            </w:r>
          </w:p>
        </w:tc>
        <w:tc>
          <w:tcPr>
            <w:tcW w:w="890" w:type="pct"/>
            <w:tcBorders>
              <w:top w:val="nil"/>
              <w:left w:val="nil"/>
              <w:bottom w:val="single" w:color="auto" w:sz="4" w:space="0"/>
              <w:right w:val="single" w:color="auto" w:sz="4" w:space="0"/>
            </w:tcBorders>
          </w:tcPr>
          <w:p w14:paraId="521001B7">
            <w:pPr>
              <w:spacing w:after="0" w:line="240" w:lineRule="auto"/>
              <w:rPr>
                <w:rFonts w:eastAsia="Times New Roman" w:cs="Arial"/>
                <w:sz w:val="20"/>
                <w:szCs w:val="20"/>
                <w:lang w:val="es-CO" w:eastAsia="es-CO"/>
              </w:rPr>
            </w:pPr>
          </w:p>
        </w:tc>
      </w:tr>
      <w:tr w14:paraId="0EB008D7">
        <w:tblPrEx>
          <w:tblCellMar>
            <w:top w:w="0" w:type="dxa"/>
            <w:left w:w="70" w:type="dxa"/>
            <w:bottom w:w="0" w:type="dxa"/>
            <w:right w:w="70" w:type="dxa"/>
          </w:tblCellMar>
        </w:tblPrEx>
        <w:trPr>
          <w:trHeight w:val="638" w:hRule="atLeast"/>
        </w:trPr>
        <w:tc>
          <w:tcPr>
            <w:tcW w:w="3561" w:type="pct"/>
            <w:tcBorders>
              <w:top w:val="nil"/>
              <w:left w:val="single" w:color="auto" w:sz="4" w:space="0"/>
              <w:bottom w:val="single" w:color="auto" w:sz="4" w:space="0"/>
              <w:right w:val="single" w:color="auto" w:sz="4" w:space="0"/>
            </w:tcBorders>
            <w:vAlign w:val="bottom"/>
          </w:tcPr>
          <w:p w14:paraId="7329DE6A">
            <w:pPr>
              <w:spacing w:after="0" w:line="240" w:lineRule="auto"/>
              <w:jc w:val="both"/>
              <w:rPr>
                <w:rFonts w:eastAsia="Times New Roman" w:cs="Arial"/>
                <w:sz w:val="20"/>
                <w:szCs w:val="20"/>
                <w:lang w:val="es-CO" w:eastAsia="es-CO"/>
              </w:rPr>
            </w:pPr>
            <w:r>
              <w:rPr>
                <w:rFonts w:eastAsia="Times New Roman" w:cs="Arial"/>
                <w:sz w:val="20"/>
                <w:szCs w:val="20"/>
                <w:lang w:val="es-CO" w:eastAsia="es-CO"/>
              </w:rPr>
              <w:br w:type="textWrapping"/>
            </w:r>
            <w:r>
              <w:rPr>
                <w:rFonts w:eastAsia="Times New Roman" w:cs="Arial"/>
                <w:sz w:val="20"/>
                <w:szCs w:val="20"/>
                <w:lang w:val="es-CO" w:eastAsia="es-CO"/>
              </w:rPr>
              <w:t xml:space="preserve">3. Los hijos del contribuyente mayores de 18 años que se encuentren en situación de dependencia originada en factores físicos o psicológicos que sean certificados por Medicina Legal. </w:t>
            </w:r>
          </w:p>
        </w:tc>
        <w:tc>
          <w:tcPr>
            <w:tcW w:w="550" w:type="pct"/>
            <w:tcBorders>
              <w:top w:val="nil"/>
              <w:left w:val="nil"/>
              <w:bottom w:val="single" w:color="auto" w:sz="4" w:space="0"/>
              <w:right w:val="single" w:color="auto" w:sz="4" w:space="0"/>
            </w:tcBorders>
            <w:noWrap/>
            <w:vAlign w:val="bottom"/>
          </w:tcPr>
          <w:p w14:paraId="28466F50">
            <w:pPr>
              <w:spacing w:after="0" w:line="240" w:lineRule="auto"/>
              <w:rPr>
                <w:rFonts w:eastAsia="Times New Roman" w:cs="Arial"/>
                <w:b/>
                <w:bCs/>
                <w:sz w:val="20"/>
                <w:szCs w:val="20"/>
                <w:lang w:val="es-CO" w:eastAsia="es-CO"/>
              </w:rPr>
            </w:pPr>
            <w:r>
              <w:rPr>
                <w:rFonts w:eastAsia="Times New Roman" w:cs="Arial"/>
                <w:b/>
                <w:bCs/>
                <w:sz w:val="20"/>
                <w:szCs w:val="20"/>
                <w:lang w:val="es-CO" w:eastAsia="es-CO"/>
              </w:rPr>
              <w:t xml:space="preserve">No aplica </w:t>
            </w:r>
          </w:p>
        </w:tc>
        <w:tc>
          <w:tcPr>
            <w:tcW w:w="890" w:type="pct"/>
            <w:tcBorders>
              <w:top w:val="nil"/>
              <w:left w:val="nil"/>
              <w:bottom w:val="single" w:color="auto" w:sz="4" w:space="0"/>
              <w:right w:val="single" w:color="auto" w:sz="4" w:space="0"/>
            </w:tcBorders>
          </w:tcPr>
          <w:p w14:paraId="31290BA2">
            <w:pPr>
              <w:spacing w:after="0" w:line="240" w:lineRule="auto"/>
              <w:rPr>
                <w:rFonts w:eastAsia="Times New Roman" w:cs="Arial"/>
                <w:sz w:val="20"/>
                <w:szCs w:val="20"/>
                <w:lang w:val="es-CO" w:eastAsia="es-CO"/>
              </w:rPr>
            </w:pPr>
          </w:p>
        </w:tc>
      </w:tr>
      <w:tr w14:paraId="7BDDCDA8">
        <w:tblPrEx>
          <w:tblCellMar>
            <w:top w:w="0" w:type="dxa"/>
            <w:left w:w="70" w:type="dxa"/>
            <w:bottom w:w="0" w:type="dxa"/>
            <w:right w:w="70" w:type="dxa"/>
          </w:tblCellMar>
        </w:tblPrEx>
        <w:trPr>
          <w:trHeight w:val="1068" w:hRule="atLeast"/>
        </w:trPr>
        <w:tc>
          <w:tcPr>
            <w:tcW w:w="3561" w:type="pct"/>
            <w:tcBorders>
              <w:top w:val="nil"/>
              <w:left w:val="single" w:color="auto" w:sz="4" w:space="0"/>
              <w:bottom w:val="single" w:color="auto" w:sz="4" w:space="0"/>
              <w:right w:val="single" w:color="auto" w:sz="4" w:space="0"/>
            </w:tcBorders>
            <w:vAlign w:val="bottom"/>
          </w:tcPr>
          <w:p w14:paraId="124FE26C">
            <w:pPr>
              <w:spacing w:after="0" w:line="240" w:lineRule="auto"/>
              <w:jc w:val="both"/>
              <w:rPr>
                <w:rFonts w:eastAsia="Times New Roman" w:cs="Arial"/>
                <w:sz w:val="20"/>
                <w:szCs w:val="20"/>
                <w:lang w:val="es-CO" w:eastAsia="es-CO"/>
              </w:rPr>
            </w:pPr>
            <w:r>
              <w:rPr>
                <w:rFonts w:eastAsia="Times New Roman" w:cs="Arial"/>
                <w:sz w:val="20"/>
                <w:szCs w:val="20"/>
                <w:lang w:val="es-CO" w:eastAsia="es-CO"/>
              </w:rPr>
              <w:br w:type="textWrapping"/>
            </w:r>
            <w:r>
              <w:rPr>
                <w:rFonts w:eastAsia="Times New Roman" w:cs="Arial"/>
                <w:sz w:val="20"/>
                <w:szCs w:val="20"/>
                <w:lang w:val="es-CO" w:eastAsia="es-CO"/>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550" w:type="pct"/>
            <w:tcBorders>
              <w:top w:val="nil"/>
              <w:left w:val="nil"/>
              <w:bottom w:val="single" w:color="auto" w:sz="4" w:space="0"/>
              <w:right w:val="single" w:color="auto" w:sz="4" w:space="0"/>
            </w:tcBorders>
            <w:noWrap/>
            <w:vAlign w:val="bottom"/>
          </w:tcPr>
          <w:p w14:paraId="1DADF332">
            <w:pPr>
              <w:spacing w:after="0" w:line="240" w:lineRule="auto"/>
              <w:rPr>
                <w:rFonts w:eastAsia="Times New Roman" w:cs="Arial"/>
                <w:b/>
                <w:bCs/>
                <w:sz w:val="20"/>
                <w:szCs w:val="20"/>
                <w:lang w:val="es-CO" w:eastAsia="es-CO"/>
              </w:rPr>
            </w:pPr>
            <w:r>
              <w:rPr>
                <w:rFonts w:eastAsia="Times New Roman" w:cs="Arial"/>
                <w:b/>
                <w:bCs/>
                <w:sz w:val="20"/>
                <w:szCs w:val="20"/>
                <w:lang w:val="es-CO" w:eastAsia="es-CO"/>
              </w:rPr>
              <w:t>No aplica</w:t>
            </w:r>
          </w:p>
        </w:tc>
        <w:tc>
          <w:tcPr>
            <w:tcW w:w="890" w:type="pct"/>
            <w:tcBorders>
              <w:top w:val="nil"/>
              <w:left w:val="nil"/>
              <w:bottom w:val="single" w:color="auto" w:sz="4" w:space="0"/>
              <w:right w:val="single" w:color="auto" w:sz="4" w:space="0"/>
            </w:tcBorders>
          </w:tcPr>
          <w:p w14:paraId="35579437">
            <w:pPr>
              <w:spacing w:after="0" w:line="240" w:lineRule="auto"/>
              <w:rPr>
                <w:rFonts w:eastAsia="Times New Roman" w:cs="Arial"/>
                <w:sz w:val="20"/>
                <w:szCs w:val="20"/>
                <w:lang w:val="es-CO" w:eastAsia="es-CO"/>
              </w:rPr>
            </w:pPr>
          </w:p>
        </w:tc>
      </w:tr>
      <w:tr w14:paraId="20ADAC4C">
        <w:tblPrEx>
          <w:tblCellMar>
            <w:top w:w="0" w:type="dxa"/>
            <w:left w:w="70" w:type="dxa"/>
            <w:bottom w:w="0" w:type="dxa"/>
            <w:right w:w="70" w:type="dxa"/>
          </w:tblCellMar>
        </w:tblPrEx>
        <w:trPr>
          <w:trHeight w:val="1033" w:hRule="atLeast"/>
        </w:trPr>
        <w:tc>
          <w:tcPr>
            <w:tcW w:w="3561" w:type="pct"/>
            <w:tcBorders>
              <w:top w:val="nil"/>
              <w:left w:val="single" w:color="auto" w:sz="4" w:space="0"/>
              <w:bottom w:val="single" w:color="auto" w:sz="4" w:space="0"/>
              <w:right w:val="single" w:color="auto" w:sz="4" w:space="0"/>
            </w:tcBorders>
            <w:vAlign w:val="bottom"/>
          </w:tcPr>
          <w:p w14:paraId="07279168">
            <w:pPr>
              <w:spacing w:after="0" w:line="240" w:lineRule="auto"/>
              <w:jc w:val="both"/>
              <w:rPr>
                <w:rFonts w:eastAsia="Times New Roman" w:cs="Arial"/>
                <w:sz w:val="20"/>
                <w:szCs w:val="20"/>
                <w:lang w:val="es-CO" w:eastAsia="es-CO"/>
              </w:rPr>
            </w:pPr>
            <w:r>
              <w:rPr>
                <w:rFonts w:eastAsia="Times New Roman" w:cs="Arial"/>
                <w:sz w:val="20"/>
                <w:szCs w:val="20"/>
                <w:lang w:val="es-CO" w:eastAsia="es-CO"/>
              </w:rPr>
              <w:br w:type="textWrapping"/>
            </w:r>
            <w:r>
              <w:rPr>
                <w:rFonts w:eastAsia="Times New Roman" w:cs="Arial"/>
                <w:sz w:val="20"/>
                <w:szCs w:val="20"/>
                <w:lang w:val="es-CO" w:eastAsia="es-CO"/>
              </w:rP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550" w:type="pct"/>
            <w:tcBorders>
              <w:top w:val="nil"/>
              <w:left w:val="nil"/>
              <w:bottom w:val="single" w:color="auto" w:sz="4" w:space="0"/>
              <w:right w:val="single" w:color="auto" w:sz="4" w:space="0"/>
            </w:tcBorders>
            <w:noWrap/>
            <w:vAlign w:val="bottom"/>
          </w:tcPr>
          <w:p w14:paraId="14020180">
            <w:pPr>
              <w:spacing w:after="0" w:line="240" w:lineRule="auto"/>
              <w:rPr>
                <w:rFonts w:eastAsia="Times New Roman" w:cs="Arial"/>
                <w:b/>
                <w:bCs/>
                <w:sz w:val="20"/>
                <w:szCs w:val="20"/>
                <w:lang w:val="es-CO" w:eastAsia="es-CO"/>
              </w:rPr>
            </w:pPr>
            <w:r>
              <w:rPr>
                <w:rFonts w:eastAsia="Times New Roman" w:cs="Arial"/>
                <w:b/>
                <w:bCs/>
                <w:sz w:val="20"/>
                <w:szCs w:val="20"/>
                <w:lang w:val="es-CO" w:eastAsia="es-CO"/>
              </w:rPr>
              <w:t xml:space="preserve">No aplica </w:t>
            </w:r>
          </w:p>
        </w:tc>
        <w:tc>
          <w:tcPr>
            <w:tcW w:w="890" w:type="pct"/>
            <w:tcBorders>
              <w:top w:val="nil"/>
              <w:left w:val="nil"/>
              <w:bottom w:val="single" w:color="auto" w:sz="4" w:space="0"/>
              <w:right w:val="single" w:color="auto" w:sz="4" w:space="0"/>
            </w:tcBorders>
          </w:tcPr>
          <w:p w14:paraId="2C004040">
            <w:pPr>
              <w:spacing w:after="0" w:line="240" w:lineRule="auto"/>
              <w:rPr>
                <w:rFonts w:eastAsia="Times New Roman" w:cs="Arial"/>
                <w:sz w:val="20"/>
                <w:szCs w:val="20"/>
                <w:lang w:val="es-CO" w:eastAsia="es-CO"/>
              </w:rPr>
            </w:pPr>
          </w:p>
        </w:tc>
      </w:tr>
    </w:tbl>
    <w:p w14:paraId="3551EF6C">
      <w:pPr>
        <w:spacing w:after="0"/>
        <w:jc w:val="both"/>
        <w:rPr>
          <w:rFonts w:cs="Arial"/>
        </w:rPr>
      </w:pPr>
    </w:p>
    <w:p w14:paraId="6EF33F7F">
      <w:pPr>
        <w:spacing w:after="0"/>
        <w:jc w:val="both"/>
        <w:rPr>
          <w:rFonts w:cs="Arial"/>
        </w:rPr>
      </w:pPr>
    </w:p>
    <w:p w14:paraId="3B8119EE">
      <w:pPr>
        <w:spacing w:after="0"/>
        <w:jc w:val="both"/>
        <w:rPr>
          <w:rFonts w:cs="Arial"/>
        </w:rPr>
      </w:pPr>
      <w:r>
        <w:rPr>
          <w:rFonts w:cs="Arial"/>
        </w:rPr>
        <w:t>Cordialmente,</w:t>
      </w:r>
    </w:p>
    <w:p w14:paraId="571C1AC1">
      <w:pPr>
        <w:spacing w:after="0"/>
        <w:jc w:val="both"/>
        <w:rPr>
          <w:rFonts w:cs="Arial"/>
        </w:rPr>
      </w:pPr>
      <w:r>
        <w:drawing>
          <wp:anchor distT="0" distB="0" distL="114300" distR="114300" simplePos="0" relativeHeight="251659264" behindDoc="1" locked="0" layoutInCell="1" allowOverlap="1">
            <wp:simplePos x="0" y="0"/>
            <wp:positionH relativeFrom="column">
              <wp:posOffset>0</wp:posOffset>
            </wp:positionH>
            <wp:positionV relativeFrom="paragraph">
              <wp:posOffset>165735</wp:posOffset>
            </wp:positionV>
            <wp:extent cx="2209800" cy="10572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2"/>
                    <a:stretch>
                      <a:fillRect/>
                    </a:stretch>
                  </pic:blipFill>
                  <pic:spPr>
                    <a:xfrm>
                      <a:off x="1080135" y="7461885"/>
                      <a:ext cx="2209800" cy="1057275"/>
                    </a:xfrm>
                    <a:prstGeom prst="rect">
                      <a:avLst/>
                    </a:prstGeom>
                    <a:noFill/>
                    <a:ln>
                      <a:noFill/>
                    </a:ln>
                  </pic:spPr>
                </pic:pic>
              </a:graphicData>
            </a:graphic>
          </wp:anchor>
        </w:drawing>
      </w:r>
    </w:p>
    <w:p w14:paraId="77E155E0">
      <w:pPr>
        <w:spacing w:after="0"/>
        <w:jc w:val="both"/>
        <w:rPr>
          <w:rFonts w:cs="Arial"/>
        </w:rPr>
      </w:pPr>
    </w:p>
    <w:p w14:paraId="47FBEF12">
      <w:pPr>
        <w:spacing w:after="0"/>
        <w:jc w:val="both"/>
        <w:rPr>
          <w:rFonts w:cs="Arial"/>
        </w:rPr>
      </w:pPr>
    </w:p>
    <w:p w14:paraId="5E8C4BDC">
      <w:pPr>
        <w:tabs>
          <w:tab w:val="left" w:pos="2085"/>
        </w:tabs>
        <w:spacing w:after="0"/>
        <w:jc w:val="both"/>
        <w:rPr>
          <w:rFonts w:cs="Arial"/>
        </w:rPr>
      </w:pPr>
      <w:r>
        <w:rPr>
          <w:rFonts w:cs="Arial"/>
        </w:rPr>
        <w:tab/>
      </w:r>
    </w:p>
    <w:p w14:paraId="1940AE6D">
      <w:pPr>
        <w:spacing w:after="0"/>
        <w:ind w:left="-142"/>
        <w:jc w:val="both"/>
        <w:rPr>
          <w:rFonts w:cs="Arial"/>
        </w:rPr>
      </w:pPr>
      <w:r>
        <w:rPr>
          <w:rFonts w:cs="Arial"/>
        </w:rPr>
        <w:t>_____________________________________</w:t>
      </w:r>
    </w:p>
    <w:p w14:paraId="2C1D0D85">
      <w:pPr>
        <w:spacing w:after="0"/>
        <w:ind w:left="-142"/>
        <w:jc w:val="both"/>
        <w:rPr>
          <w:rFonts w:hint="default" w:ascii="Times New Roman" w:hAnsi="Times New Roman"/>
          <w:b/>
          <w:bCs/>
          <w:color w:val="000000"/>
          <w:sz w:val="24"/>
          <w:szCs w:val="24"/>
        </w:rPr>
      </w:pPr>
      <w:r>
        <w:rPr>
          <w:rFonts w:hint="default" w:ascii="Times New Roman" w:hAnsi="Times New Roman"/>
          <w:b/>
          <w:bCs/>
          <w:color w:val="000000"/>
          <w:sz w:val="24"/>
          <w:szCs w:val="24"/>
        </w:rPr>
        <w:t xml:space="preserve">ASTRID MARIA BARRAZA PACHECO. </w:t>
      </w:r>
    </w:p>
    <w:p w14:paraId="57238A42">
      <w:pPr>
        <w:spacing w:after="0"/>
        <w:ind w:left="-142"/>
        <w:jc w:val="both"/>
        <w:rPr>
          <w:rFonts w:hint="default" w:ascii="Times New Roman" w:hAnsi="Times New Roman"/>
          <w:b/>
          <w:bCs/>
          <w:color w:val="000000"/>
          <w:sz w:val="24"/>
          <w:szCs w:val="24"/>
        </w:rPr>
      </w:pPr>
      <w:r>
        <w:rPr>
          <w:rFonts w:hint="default" w:ascii="Times New Roman" w:hAnsi="Times New Roman"/>
          <w:b/>
          <w:bCs/>
          <w:color w:val="000000"/>
          <w:sz w:val="24"/>
          <w:szCs w:val="24"/>
        </w:rPr>
        <w:t>CC: 1.042.994.404 de Sabanalarga</w:t>
      </w:r>
      <w:r>
        <w:rPr>
          <w:rFonts w:hint="default" w:ascii="Times New Roman" w:hAnsi="Times New Roman"/>
          <w:b/>
          <w:sz w:val="24"/>
          <w:szCs w:val="24"/>
          <w:lang w:val="es-CO"/>
        </w:rPr>
        <w:t>-Atl.</w:t>
      </w:r>
      <w:r>
        <w:rPr>
          <w:rFonts w:hint="default" w:ascii="Times New Roman" w:hAnsi="Times New Roman"/>
          <w:b/>
          <w:sz w:val="24"/>
          <w:szCs w:val="24"/>
        </w:rPr>
        <w:t xml:space="preserve"> </w:t>
      </w:r>
      <w:bookmarkStart w:id="2" w:name="_GoBack"/>
      <w:bookmarkEnd w:id="2"/>
    </w:p>
    <w:p w14:paraId="25946AA6">
      <w:pPr>
        <w:spacing w:after="0"/>
        <w:ind w:left="-142"/>
        <w:jc w:val="both"/>
        <w:rPr>
          <w:rFonts w:hint="default" w:cs="Arial"/>
          <w:lang w:val="es-CO"/>
        </w:rPr>
      </w:pPr>
      <w:r>
        <w:rPr>
          <w:rFonts w:hint="default" w:ascii="Times New Roman" w:hAnsi="Times New Roman"/>
          <w:b/>
          <w:bCs/>
          <w:color w:val="000000"/>
          <w:sz w:val="24"/>
          <w:szCs w:val="24"/>
        </w:rPr>
        <w:t xml:space="preserve"> </w:t>
      </w:r>
      <w:r>
        <w:rPr>
          <w:rFonts w:ascii="Times New Roman" w:hAnsi="Times New Roman" w:eastAsia="Calibri" w:cs="Times New Roman"/>
          <w:b/>
          <w:sz w:val="24"/>
          <w:szCs w:val="24"/>
          <w:lang w:val="es-CO"/>
        </w:rPr>
        <w:t xml:space="preserve">TELEFONO: </w:t>
      </w:r>
      <w:r>
        <w:rPr>
          <w:rFonts w:hint="default" w:ascii="Times New Roman" w:hAnsi="Times New Roman" w:eastAsia="Calibri" w:cs="Times New Roman"/>
          <w:b/>
          <w:sz w:val="24"/>
          <w:szCs w:val="24"/>
          <w:lang w:val="es-CO"/>
        </w:rPr>
        <w:t>3018198492</w:t>
      </w:r>
    </w:p>
    <w:p w14:paraId="7A033F68"/>
    <w:sectPr>
      <w:headerReference r:id="rId7" w:type="first"/>
      <w:footerReference r:id="rId10" w:type="first"/>
      <w:headerReference r:id="rId5" w:type="default"/>
      <w:footerReference r:id="rId8" w:type="default"/>
      <w:headerReference r:id="rId6" w:type="even"/>
      <w:footerReference r:id="rId9" w:type="even"/>
      <w:pgSz w:w="12240" w:h="15840"/>
      <w:pgMar w:top="1021" w:right="1043" w:bottom="964" w:left="992"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666381"/>
      <w:docPartObj>
        <w:docPartGallery w:val="AutoText"/>
      </w:docPartObj>
    </w:sdtPr>
    <w:sdtContent>
      <w:p w14:paraId="09EF834C">
        <w:pPr>
          <w:pStyle w:val="7"/>
          <w:jc w:val="right"/>
        </w:pPr>
        <w:r>
          <w:fldChar w:fldCharType="begin"/>
        </w:r>
        <w:r>
          <w:instrText xml:space="preserve">PAGE   \* MERGEFORMAT</w:instrText>
        </w:r>
        <w:r>
          <w:fldChar w:fldCharType="separate"/>
        </w:r>
        <w:r>
          <w:t>2</w:t>
        </w:r>
        <w:r>
          <w:fldChar w:fldCharType="end"/>
        </w:r>
      </w:p>
    </w:sdtContent>
  </w:sdt>
  <w:p w14:paraId="09B15BE3">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446DE">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4CD0">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88B6F">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15359">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53FC6">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3C"/>
    <w:rsid w:val="00025E0E"/>
    <w:rsid w:val="000F252B"/>
    <w:rsid w:val="00175A14"/>
    <w:rsid w:val="00190399"/>
    <w:rsid w:val="001A13CF"/>
    <w:rsid w:val="001B5A0B"/>
    <w:rsid w:val="00207770"/>
    <w:rsid w:val="00215C44"/>
    <w:rsid w:val="00216D8D"/>
    <w:rsid w:val="00221EA2"/>
    <w:rsid w:val="002548FA"/>
    <w:rsid w:val="003008BB"/>
    <w:rsid w:val="003711F7"/>
    <w:rsid w:val="003D4E42"/>
    <w:rsid w:val="00426E3C"/>
    <w:rsid w:val="004F6F22"/>
    <w:rsid w:val="00500901"/>
    <w:rsid w:val="005107A5"/>
    <w:rsid w:val="00545B60"/>
    <w:rsid w:val="005558DC"/>
    <w:rsid w:val="00565878"/>
    <w:rsid w:val="005A3064"/>
    <w:rsid w:val="005C25F0"/>
    <w:rsid w:val="00636074"/>
    <w:rsid w:val="00643783"/>
    <w:rsid w:val="00647C59"/>
    <w:rsid w:val="00654A8A"/>
    <w:rsid w:val="0066707D"/>
    <w:rsid w:val="007E2F36"/>
    <w:rsid w:val="008E14DB"/>
    <w:rsid w:val="009F1AE5"/>
    <w:rsid w:val="00A77B8D"/>
    <w:rsid w:val="00A93125"/>
    <w:rsid w:val="00AD1979"/>
    <w:rsid w:val="00B047ED"/>
    <w:rsid w:val="00B57767"/>
    <w:rsid w:val="00BE7D52"/>
    <w:rsid w:val="00C751EA"/>
    <w:rsid w:val="00CC1401"/>
    <w:rsid w:val="00D02F59"/>
    <w:rsid w:val="00DD340B"/>
    <w:rsid w:val="00EC541F"/>
    <w:rsid w:val="00F34958"/>
    <w:rsid w:val="00F67124"/>
    <w:rsid w:val="00FF4C7F"/>
    <w:rsid w:val="3B877C2F"/>
    <w:rsid w:val="3BDC1BD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ES" w:eastAsia="en-US"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paragraph" w:styleId="5">
    <w:name w:val="header"/>
    <w:basedOn w:val="1"/>
    <w:link w:val="8"/>
    <w:unhideWhenUsed/>
    <w:uiPriority w:val="99"/>
    <w:pPr>
      <w:tabs>
        <w:tab w:val="center" w:pos="4419"/>
        <w:tab w:val="right" w:pos="8838"/>
      </w:tabs>
      <w:spacing w:after="0" w:line="240" w:lineRule="auto"/>
    </w:p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7">
    <w:name w:val="footer"/>
    <w:basedOn w:val="1"/>
    <w:link w:val="9"/>
    <w:unhideWhenUsed/>
    <w:uiPriority w:val="99"/>
    <w:pPr>
      <w:tabs>
        <w:tab w:val="center" w:pos="4419"/>
        <w:tab w:val="right" w:pos="8838"/>
      </w:tabs>
      <w:spacing w:after="0" w:line="240" w:lineRule="auto"/>
    </w:pPr>
  </w:style>
  <w:style w:type="character" w:customStyle="1" w:styleId="8">
    <w:name w:val="Encabezado Car"/>
    <w:basedOn w:val="2"/>
    <w:link w:val="5"/>
    <w:uiPriority w:val="99"/>
    <w:rPr>
      <w:kern w:val="0"/>
      <w:lang w:val="es-ES"/>
      <w14:ligatures w14:val="none"/>
    </w:rPr>
  </w:style>
  <w:style w:type="character" w:customStyle="1" w:styleId="9">
    <w:name w:val="Pie de página Car"/>
    <w:basedOn w:val="2"/>
    <w:link w:val="7"/>
    <w:uiPriority w:val="99"/>
    <w:rPr>
      <w:kern w:val="0"/>
      <w:lang w:val="es-ES"/>
      <w14:ligatures w14:val="none"/>
    </w:rPr>
  </w:style>
  <w:style w:type="paragraph" w:styleId="10">
    <w:name w:val="No Spacing"/>
    <w:qFormat/>
    <w:uiPriority w:val="1"/>
    <w:pPr>
      <w:spacing w:after="0" w:line="240" w:lineRule="auto"/>
    </w:pPr>
    <w:rPr>
      <w:rFonts w:ascii="Calibri" w:hAnsi="Calibri" w:eastAsia="Calibri" w:cs="Times New Roman"/>
      <w:kern w:val="0"/>
      <w:sz w:val="22"/>
      <w:szCs w:val="22"/>
      <w:lang w:val="es-ES" w:eastAsia="en-US" w:bidi="ar-SA"/>
      <w14:ligatures w14:val="none"/>
    </w:rPr>
  </w:style>
  <w:style w:type="paragraph" w:customStyle="1" w:styleId="11">
    <w:name w:val="Defaul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es-CO" w:eastAsia="en-US" w:bidi="ar-SA"/>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1415</Words>
  <Characters>7784</Characters>
  <Lines>64</Lines>
  <Paragraphs>18</Paragraphs>
  <TotalTime>0</TotalTime>
  <ScaleCrop>false</ScaleCrop>
  <LinksUpToDate>false</LinksUpToDate>
  <CharactersWithSpaces>9181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2025-12-12T14:44:00Z</dcterms:created>
  <dc:creator>Angélica María Pertuz Orozco</dc:creator>
  <cp:lastModifiedBy>Gustavo Adolfo Arenas Ebratt</cp:lastModifiedBy>
  <cp:lastPrinted>2025-08-15T19:35:00Z</cp:lastPrinted>
  <dcterms:modified xsi:type="dcterms:W3CDTF">2025-12-12T21:10:03Z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C2F6CCBE4E6B4F7B90C82308C109A59C_13</vt:lpwstr>
  </property>
</Properties>
</file>