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ACUERDO DE SISTEMAS SOSTENIBLES PARA LA CONSERVACIÓN EN TERRITORIO COLINDANTE DEL PARQUE NACIONAL NATURAL LAS HERMOSAS GLORIA VALENCIA DE CASTAÑO</w:t>
      </w:r>
    </w:p>
    <w:p w:rsidR="00000000" w:rsidDel="00000000" w:rsidP="00000000" w:rsidRDefault="00000000" w:rsidRPr="00000000" w14:paraId="00000002">
      <w:pPr>
        <w:shd w:fill="ffffff" w:val="clea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ANEXO 1.</w:t>
      </w:r>
      <w:r w:rsidDel="00000000" w:rsidR="00000000" w:rsidRPr="00000000">
        <w:rPr>
          <w:rFonts w:ascii="Times New Roman" w:cs="Times New Roman" w:eastAsia="Times New Roman" w:hAnsi="Times New Roman"/>
          <w:sz w:val="20"/>
          <w:szCs w:val="20"/>
          <w:rtl w:val="0"/>
        </w:rPr>
        <w:t xml:space="preserve"> ANEXO TÉCNICO DEL PREDIO </w:t>
      </w:r>
      <w:r w:rsidDel="00000000" w:rsidR="00000000" w:rsidRPr="00000000">
        <w:rPr>
          <w:rFonts w:ascii="Times New Roman" w:cs="Times New Roman" w:eastAsia="Times New Roman" w:hAnsi="Times New Roman"/>
          <w:sz w:val="20"/>
          <w:szCs w:val="20"/>
          <w:rtl w:val="0"/>
        </w:rPr>
        <w:t xml:space="preserve">MIL HOJAS</w:t>
      </w:r>
      <w:r w:rsidDel="00000000" w:rsidR="00000000" w:rsidRPr="00000000">
        <w:rPr>
          <w:rFonts w:ascii="Times New Roman" w:cs="Times New Roman" w:eastAsia="Times New Roman" w:hAnsi="Times New Roman"/>
          <w:sz w:val="20"/>
          <w:szCs w:val="20"/>
          <w:rtl w:val="0"/>
        </w:rPr>
        <w:t xml:space="preserve"> DE</w:t>
      </w:r>
      <w:r w:rsidDel="00000000" w:rsidR="00000000" w:rsidRPr="00000000">
        <w:rPr>
          <w:rFonts w:ascii="Times New Roman" w:cs="Times New Roman" w:eastAsia="Times New Roman" w:hAnsi="Times New Roman"/>
          <w:sz w:val="20"/>
          <w:szCs w:val="20"/>
          <w:rtl w:val="0"/>
        </w:rPr>
        <w:t xml:space="preserve"> JULIO CESAR DIAZ BERMUDEZ</w:t>
      </w:r>
      <w:r w:rsidDel="00000000" w:rsidR="00000000" w:rsidRPr="00000000">
        <w:rPr>
          <w:rtl w:val="0"/>
        </w:rPr>
      </w:r>
    </w:p>
    <w:tbl>
      <w:tblPr>
        <w:tblStyle w:val="Table1"/>
        <w:tblW w:w="924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7505"/>
        <w:tblGridChange w:id="0">
          <w:tblGrid>
            <w:gridCol w:w="1735"/>
            <w:gridCol w:w="7505"/>
          </w:tblGrid>
        </w:tblGridChange>
      </w:tblGrid>
      <w:tr>
        <w:trPr>
          <w:cantSplit w:val="0"/>
          <w:tblHeader w:val="0"/>
        </w:trPr>
        <w:tc>
          <w:tcPr/>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Antecedentes</w:t>
            </w:r>
          </w:p>
        </w:tc>
        <w:tc>
          <w:tcPr/>
          <w:p w:rsidR="00000000" w:rsidDel="00000000" w:rsidP="00000000" w:rsidRDefault="00000000" w:rsidRPr="00000000" w14:paraId="0000000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Gloria Valencia de Castaño (PNN Las Hermosas), se encuentra ubicado en la cordillera central de Andes septentrionales colombianos, con jurisdicción en los departamentos de Tolima (Chaparral, Rioblanco), y Valle del Cauca (Sevilla, Tuluá, Buga, El Cerrito, Palmira y Pradera). El Parque fue creado mediante la Resolución ejecutiva Nº 158 de junio de 1977, tiene una extensión de 124.828.38 ha, con el objeto de conservar la fauna, flora, bellezas escénicas naturales, complejos geomorfológicos, manifestaciones históricas o culturales. </w:t>
            </w:r>
          </w:p>
          <w:p w:rsidR="00000000" w:rsidDel="00000000" w:rsidP="00000000" w:rsidRDefault="00000000" w:rsidRPr="00000000" w14:paraId="00000005">
            <w:pPr>
              <w:jc w:val="both"/>
              <w:rPr>
                <w:rFonts w:ascii="Times New Roman" w:cs="Times New Roman" w:eastAsia="Times New Roman" w:hAnsi="Times New Roman"/>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presenta situaciones de uso, ocupación y tenencia por comunidades campesinas ubicadas parcial o totalmente dentro del parque, resultado de dinámicas de colonización previas a la declaratoria del área protegida. Del mismo modo, el desarrollo de prácticas productivas bajo modelos insostenibles, como la ganadería realizada de forma extensiva y la agricultura en ecosistemas estratégicos para la conservación del recurso hídrico y la biodiversidad, lo cual se ha reflejado en impactos negativos en el parque y su zona adyacente. Por ello, es necesario contribuir a mitigar dichas afectaciones a través de las estrategias de restauración y sistemas sostenibles de conservación.</w:t>
            </w:r>
          </w:p>
          <w:p w:rsidR="00000000" w:rsidDel="00000000" w:rsidP="00000000" w:rsidRDefault="00000000" w:rsidRPr="00000000" w14:paraId="00000007">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importancia del Parque Nacional Natural Las Hermosas y de su zona adyacente, contemplada dentro del polígono de gestión del plan especial de protección en cumplimiento de la sentencia STL 510 de 2021, radica en su papel fundamental en la regulación del recurso hídrico. Sus ecosistemas de bosques andinos y la abundancia de drenajes y lagunas contribuyen a mantener la calidad del agua y a regular la oferta hídrica de los ríos que nacen en el parque y fluyen hacia las zonas media y baja del departamento del Valle del Cauca. Este proceso favorece el desarrollo social, cultural y económico de la región.</w:t>
            </w:r>
          </w:p>
          <w:p w:rsidR="00000000" w:rsidDel="00000000" w:rsidP="00000000" w:rsidRDefault="00000000" w:rsidRPr="00000000" w14:paraId="00000009">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Desde 2021, el Parque Nacional Natural Las Hermosas ha suscrito 45 acuerdos voluntarios de conservación, en el marco de acciones orientadas a la restauración ecológica participativa y sistemas sostenibles de conservación. Estas iniciativas se financian a través de recursos transferidos por el sector eléctrico y se desarrollan con comunidades campesinas ubicadas en el área protegida y su zona de influencia. Además, cuenta con apoyo de aliados como Asohermosas, Asobolo,</w:t>
            </w:r>
            <w:r w:rsidDel="00000000" w:rsidR="00000000" w:rsidRPr="00000000">
              <w:rPr>
                <w:rFonts w:ascii="Times New Roman" w:cs="Times New Roman" w:eastAsia="Times New Roman" w:hAnsi="Times New Roman"/>
                <w:sz w:val="20"/>
                <w:szCs w:val="20"/>
                <w:highlight w:val="white"/>
                <w:rtl w:val="0"/>
              </w:rPr>
              <w:t xml:space="preserve"> FFAVS y CIAT, con quienes se han establecido alianzas para trabajar bajo tres enfoques principales: restauración, fortalecimiento de capacidades y manejo sostenible del área protegida.</w:t>
            </w:r>
          </w:p>
          <w:p w:rsidR="00000000" w:rsidDel="00000000" w:rsidP="00000000" w:rsidRDefault="00000000" w:rsidRPr="00000000" w14:paraId="0000000B">
            <w:pPr>
              <w:jc w:val="both"/>
              <w:rPr>
                <w:rFonts w:ascii="Times New Roman" w:cs="Times New Roman" w:eastAsia="Times New Roman" w:hAnsi="Times New Roman"/>
                <w:sz w:val="20"/>
                <w:szCs w:val="20"/>
                <w:highlight w:val="yellow"/>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 anterior aporta a las líneas de gestión y efectividad para el manejo de las áreas protegidas en el marco del Sistema Nacional de Áreas Protegidas de Colombia- SINAP.</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Consideraciones</w:t>
            </w:r>
          </w:p>
        </w:tc>
        <w:tc>
          <w:tcPr/>
          <w:p w:rsidR="00000000" w:rsidDel="00000000" w:rsidP="00000000" w:rsidRDefault="00000000" w:rsidRPr="00000000" w14:paraId="0000000F">
            <w:pPr>
              <w:ind w:right="2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de acuerdo con lo establecido en los artículos 79 y 80 de la constitución nacional, es deber del Estado proteger la diversidad e integridad ecológica, planificar el manejo y aprovechamiento de los recursos naturales, para garantizar su desarrollo sostenible, su conservación, restauración o sustitución, así como prevenir y controlar los factores de deterioro ambiental y asegurar la reparación de los daños causados. También lo establecido en el artículo 64 de la constitución nacional, es deber del Estado promover el acceso progresivo a la propiedad de la tierra del campesinado y de los trabajadores agrarios, en forma individual o asociativa. Toda vez que,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w:t>
            </w:r>
          </w:p>
          <w:p w:rsidR="00000000" w:rsidDel="00000000" w:rsidP="00000000" w:rsidRDefault="00000000" w:rsidRPr="00000000" w14:paraId="00000010">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en virtud del Decreto 3570 de 2011 el ministerio es el encargado de orientar y regular el ordenamiento ambiental del territorio y de definir las políticas y regulaciones a las que se sujetarán la recuperación, conservación, protección, ordenamiento, manejo, uso y aprovechamiento sostenible de los recursos naturales renovables y del ambiente de la nación, a fin de asegurar el desarrollo sostenible, sin perjuicio de las funciones asignadas.</w:t>
            </w:r>
          </w:p>
          <w:p w:rsidR="00000000" w:rsidDel="00000000" w:rsidP="00000000" w:rsidRDefault="00000000" w:rsidRPr="00000000" w14:paraId="00000012">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Dentro del Plan de Manejo del Parque Nacional Las Hermosas Gloria Valencia de Castaño, se tiene propuesto adelantar acciones de conservación y recuperación en zonas estratégicas para la producción del recurso hídrico y de la biodiversidad en la cuenca alta de los ríos que nacen en el PNN Las Hermosas y que transcurren hacia el sector medio y bajo de los departamentos del Valle del Cauca y Tolima, permitiendo el desarrollo socioeconómico.</w:t>
            </w:r>
          </w:p>
          <w:p w:rsidR="00000000" w:rsidDel="00000000" w:rsidP="00000000" w:rsidRDefault="00000000" w:rsidRPr="00000000" w14:paraId="00000014">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acuerdos son un mecanismo para formalizar o materializar la formulación participativa y/o la implementación participativa de instrumentos, programas y proyectos (PNN-OAJ, 2017) en el marco de la misión institucional de PNNC. En ese sentido, conforman medidas de manejo participativo para la implementación de estrategias de conservación activas y no solo policivas o represivas. Esto hace de los acuerdos una herramienta para la gestión equitativa que se propone desde la Política para la Consolidación del Sistema Nacional de Áreas Protegidas - SINAP Visión 2021-2030, en la cual los acuerdos se proyectan como herramientas para fortalecer iniciativas comunes, disminuir conflictos socioambientales para mejorar las condiciones de conservación de las áreas protegidas y las condiciones de vida de quienes las habitan en el marco del enfoque diferencial y de derechos (CONPES 4050).</w:t>
            </w:r>
          </w:p>
          <w:p w:rsidR="00000000" w:rsidDel="00000000" w:rsidP="00000000" w:rsidRDefault="00000000" w:rsidRPr="00000000" w14:paraId="00000016">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implementación de sistemas sostenibles para la conservación en territorio adyacente al Parque Nacional Natural Las Hermosas, también se fundamenta en  la Resolución 364 de 2012 de PNN y el cumplimiento de la Sentencia de la Corte Suprema de Justicia - Sala Casación Laboral STL 510-2021, mediante la cual se expide el plan especial de protección del Parque Nacional Natural Las Hermosas, conforme lo prevé el artículo 5. ° de la Ley 1536 de 2012. Esta medida surge de la necesidad de articular acciones interinstitucionales tanto dentro del PNN Las Hermosas como en su zona de influencia, con el fin de disminuir las presiones identificadas que afectan la estructura, composición y función del área protegida.</w:t>
            </w:r>
          </w:p>
          <w:p w:rsidR="00000000" w:rsidDel="00000000" w:rsidP="00000000" w:rsidRDefault="00000000" w:rsidRPr="00000000" w14:paraId="00000018">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19">
            <w:pPr>
              <w:spacing w:line="480" w:lineRule="auto"/>
              <w:ind w:right="23"/>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Generalidades</w:t>
            </w:r>
            <w:r w:rsidDel="00000000" w:rsidR="00000000" w:rsidRPr="00000000">
              <w:rPr>
                <w:rtl w:val="0"/>
              </w:rPr>
            </w:r>
          </w:p>
        </w:tc>
      </w:tr>
      <w:tr>
        <w:trPr>
          <w:cantSplit w:val="0"/>
          <w:trHeight w:val="1425" w:hRule="atLeast"/>
          <w:tblHeader w:val="0"/>
        </w:trPr>
        <w:tc>
          <w:tcPr/>
          <w:p w:rsidR="00000000" w:rsidDel="00000000" w:rsidP="00000000" w:rsidRDefault="00000000" w:rsidRPr="00000000" w14:paraId="0000001B">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Ecosistemas</w:t>
            </w:r>
          </w:p>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área de influencia del Parque Nacional Natural Las Hermosas Gloria Valencia de Castaño alberga dos ecosistemas principales: el bosque subandino y el bosque alto andino. En esta zona se han identificado amenazas como la ganadería extensiva y la agricultura a pequeña escala, actividades que generan transformaciones en las coberturas naturales y afectan de manera significativa los servicios ecosistémicos.</w:t>
            </w:r>
            <w:r w:rsidDel="00000000" w:rsidR="00000000" w:rsidRPr="00000000">
              <w:rPr>
                <w:rtl w:val="0"/>
              </w:rPr>
            </w:r>
          </w:p>
        </w:tc>
      </w:tr>
      <w:tr>
        <w:trPr>
          <w:cantSplit w:val="0"/>
          <w:tblHeader w:val="0"/>
        </w:trPr>
        <w:tc>
          <w:tcPr/>
          <w:p w:rsidR="00000000" w:rsidDel="00000000" w:rsidP="00000000" w:rsidRDefault="00000000" w:rsidRPr="00000000" w14:paraId="0000001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Municipio</w:t>
            </w:r>
          </w:p>
        </w:tc>
        <w:tc>
          <w:tcPr/>
          <w:p w:rsidR="00000000" w:rsidDel="00000000" w:rsidP="00000000" w:rsidRDefault="00000000" w:rsidRPr="00000000" w14:paraId="0000001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Pradera </w:t>
            </w:r>
          </w:p>
        </w:tc>
      </w:tr>
      <w:tr>
        <w:trPr>
          <w:cantSplit w:val="0"/>
          <w:tblHeader w:val="0"/>
        </w:trPr>
        <w:tc>
          <w:tcPr/>
          <w:p w:rsidR="00000000" w:rsidDel="00000000" w:rsidP="00000000" w:rsidRDefault="00000000" w:rsidRPr="00000000" w14:paraId="0000002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Vereda</w:t>
            </w:r>
          </w:p>
        </w:tc>
        <w:tc>
          <w:tcPr/>
          <w:p w:rsidR="00000000" w:rsidDel="00000000" w:rsidP="00000000" w:rsidRDefault="00000000" w:rsidRPr="00000000" w14:paraId="0000002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Bolo Blanco</w:t>
            </w:r>
          </w:p>
        </w:tc>
      </w:tr>
      <w:tr>
        <w:trPr>
          <w:cantSplit w:val="0"/>
          <w:tblHeader w:val="0"/>
        </w:trPr>
        <w:tc>
          <w:tcPr/>
          <w:p w:rsidR="00000000" w:rsidDel="00000000" w:rsidP="00000000" w:rsidRDefault="00000000" w:rsidRPr="00000000" w14:paraId="0000002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Cuenca</w:t>
            </w:r>
          </w:p>
        </w:tc>
        <w:tc>
          <w:tcPr/>
          <w:p w:rsidR="00000000" w:rsidDel="00000000" w:rsidP="00000000" w:rsidRDefault="00000000" w:rsidRPr="00000000" w14:paraId="00000023">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Bolo</w:t>
            </w:r>
          </w:p>
        </w:tc>
      </w:tr>
      <w:tr>
        <w:trPr>
          <w:cantSplit w:val="0"/>
          <w:trHeight w:val="417" w:hRule="atLeast"/>
          <w:tblHeader w:val="0"/>
        </w:trPr>
        <w:tc>
          <w:tcPr/>
          <w:p w:rsidR="00000000" w:rsidDel="00000000" w:rsidP="00000000" w:rsidRDefault="00000000" w:rsidRPr="00000000" w14:paraId="0000002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 del Predio</w:t>
            </w:r>
          </w:p>
        </w:tc>
        <w:tc>
          <w:tcPr>
            <w:vAlign w:val="center"/>
          </w:tcPr>
          <w:p w:rsidR="00000000" w:rsidDel="00000000" w:rsidP="00000000" w:rsidRDefault="00000000" w:rsidRPr="00000000" w14:paraId="00000025">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Mil Hojas </w:t>
            </w:r>
          </w:p>
        </w:tc>
      </w:tr>
      <w:tr>
        <w:trPr>
          <w:cantSplit w:val="0"/>
          <w:tblHeader w:val="0"/>
        </w:trPr>
        <w:tc>
          <w:tcPr/>
          <w:p w:rsidR="00000000" w:rsidDel="00000000" w:rsidP="00000000" w:rsidRDefault="00000000" w:rsidRPr="00000000" w14:paraId="0000002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Representante de la familia </w:t>
            </w:r>
          </w:p>
        </w:tc>
        <w:tc>
          <w:tcPr>
            <w:vAlign w:val="center"/>
          </w:tcPr>
          <w:p w:rsidR="00000000" w:rsidDel="00000000" w:rsidP="00000000" w:rsidRDefault="00000000" w:rsidRPr="00000000" w14:paraId="00000027">
            <w:pPr>
              <w:shd w:fill="ffffff" w:val="clea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Julio Cesar Diaz Bermudez </w:t>
            </w:r>
          </w:p>
        </w:tc>
      </w:tr>
      <w:tr>
        <w:trPr>
          <w:cantSplit w:val="0"/>
          <w:tblHeader w:val="0"/>
        </w:trPr>
        <w:tc>
          <w:tcPr/>
          <w:p w:rsidR="00000000" w:rsidDel="00000000" w:rsidP="00000000" w:rsidRDefault="00000000" w:rsidRPr="00000000" w14:paraId="00000028">
            <w:pPr>
              <w:spacing w:line="276" w:lineRule="auto"/>
              <w:jc w:val="both"/>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c.c.</w:t>
            </w:r>
            <w:r w:rsidDel="00000000" w:rsidR="00000000" w:rsidRPr="00000000">
              <w:rPr>
                <w:rtl w:val="0"/>
              </w:rPr>
            </w:r>
          </w:p>
        </w:tc>
        <w:tc>
          <w:tcPr/>
          <w:p w:rsidR="00000000" w:rsidDel="00000000" w:rsidP="00000000" w:rsidRDefault="00000000" w:rsidRPr="00000000" w14:paraId="0000002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10.291.962</w:t>
            </w:r>
          </w:p>
        </w:tc>
      </w:tr>
      <w:tr>
        <w:trPr>
          <w:cantSplit w:val="0"/>
          <w:tblHeader w:val="0"/>
        </w:trPr>
        <w:tc>
          <w:tcPr/>
          <w:p w:rsidR="00000000" w:rsidDel="00000000" w:rsidP="00000000" w:rsidRDefault="00000000" w:rsidRPr="00000000" w14:paraId="0000002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Composición Familiar</w:t>
            </w:r>
          </w:p>
        </w:tc>
        <w:tc>
          <w:tcPr/>
          <w:p w:rsidR="00000000" w:rsidDel="00000000" w:rsidP="00000000" w:rsidRDefault="00000000" w:rsidRPr="00000000" w14:paraId="0000002B">
            <w:pPr>
              <w:shd w:fill="ffffff" w:val="clear"/>
              <w:rPr>
                <w:rFonts w:ascii="Times New Roman" w:cs="Times New Roman" w:eastAsia="Times New Roman" w:hAnsi="Times New Roman"/>
                <w:sz w:val="20"/>
                <w:szCs w:val="20"/>
              </w:rPr>
            </w:pPr>
            <w:r w:rsidDel="00000000" w:rsidR="00000000" w:rsidRPr="00000000">
              <w:rPr>
                <w:rtl w:val="0"/>
              </w:rPr>
            </w:r>
          </w:p>
          <w:tbl>
            <w:tblPr>
              <w:tblStyle w:val="Table2"/>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275"/>
              <w:gridCol w:w="630"/>
              <w:gridCol w:w="1650"/>
              <w:gridCol w:w="1995"/>
              <w:tblGridChange w:id="0">
                <w:tblGrid>
                  <w:gridCol w:w="1290"/>
                  <w:gridCol w:w="1275"/>
                  <w:gridCol w:w="630"/>
                  <w:gridCol w:w="1650"/>
                  <w:gridCol w:w="1995"/>
                </w:tblGrid>
              </w:tblGridChange>
            </w:tblGrid>
            <w:tr>
              <w:trPr>
                <w:cantSplit w:val="0"/>
                <w:tblHeader w:val="0"/>
              </w:trPr>
              <w:tc>
                <w:tcPr/>
                <w:p w:rsidR="00000000" w:rsidDel="00000000" w:rsidP="00000000" w:rsidRDefault="00000000" w:rsidRPr="00000000" w14:paraId="0000002C">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Grupo familiar</w:t>
                  </w:r>
                </w:p>
              </w:tc>
              <w:tc>
                <w:tcPr/>
                <w:p w:rsidR="00000000" w:rsidDel="00000000" w:rsidP="00000000" w:rsidRDefault="00000000" w:rsidRPr="00000000" w14:paraId="0000002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w:t>
                  </w:r>
                </w:p>
              </w:tc>
              <w:tc>
                <w:tcPr/>
                <w:p w:rsidR="00000000" w:rsidDel="00000000" w:rsidP="00000000" w:rsidRDefault="00000000" w:rsidRPr="00000000" w14:paraId="0000002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Edad</w:t>
                  </w:r>
                </w:p>
              </w:tc>
              <w:tc>
                <w:tcPr/>
                <w:p w:rsidR="00000000" w:rsidDel="00000000" w:rsidP="00000000" w:rsidRDefault="00000000" w:rsidRPr="00000000" w14:paraId="0000002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Habita en el predio (si o no)</w:t>
                  </w:r>
                </w:p>
              </w:tc>
              <w:tc>
                <w:tcPr/>
                <w:p w:rsidR="00000000" w:rsidDel="00000000" w:rsidP="00000000" w:rsidRDefault="00000000" w:rsidRPr="00000000" w14:paraId="000000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Relación con cabeza hogar</w:t>
                  </w:r>
                </w:p>
              </w:tc>
            </w:tr>
            <w:tr>
              <w:trPr>
                <w:cantSplit w:val="0"/>
                <w:tblHeader w:val="0"/>
              </w:trPr>
              <w:tc>
                <w:tcPr/>
                <w:p w:rsidR="00000000" w:rsidDel="00000000" w:rsidP="00000000" w:rsidRDefault="00000000" w:rsidRPr="00000000" w14:paraId="0000003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32">
                  <w:pPr>
                    <w:shd w:fill="ffffff" w:val="clea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Julio Cesar Diaz Bermudez </w:t>
                  </w:r>
                </w:p>
              </w:tc>
              <w:tc>
                <w:tcPr/>
                <w:p w:rsidR="00000000" w:rsidDel="00000000" w:rsidP="00000000" w:rsidRDefault="00000000" w:rsidRPr="00000000" w14:paraId="00000033">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Jefe de hogar</w:t>
                  </w:r>
                </w:p>
              </w:tc>
            </w:tr>
          </w:tbl>
          <w:p w:rsidR="00000000" w:rsidDel="00000000" w:rsidP="00000000" w:rsidRDefault="00000000" w:rsidRPr="00000000" w14:paraId="00000036">
            <w:pPr>
              <w:shd w:fill="ffffff" w:val="clea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7">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rHeight w:val="249.4775390625" w:hRule="atLeast"/>
          <w:tblHeader w:val="0"/>
        </w:trPr>
        <w:tc>
          <w:tcPr/>
          <w:p w:rsidR="00000000" w:rsidDel="00000000" w:rsidP="00000000" w:rsidRDefault="00000000" w:rsidRPr="00000000" w14:paraId="0000003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Extensión</w:t>
            </w:r>
          </w:p>
        </w:tc>
        <w:tc>
          <w:tcPr/>
          <w:p w:rsidR="00000000" w:rsidDel="00000000" w:rsidP="00000000" w:rsidRDefault="00000000" w:rsidRPr="00000000" w14:paraId="0000003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26,16 has</w:t>
            </w:r>
            <w:r w:rsidDel="00000000" w:rsidR="00000000" w:rsidRPr="00000000">
              <w:rPr>
                <w:rtl w:val="0"/>
              </w:rPr>
            </w:r>
          </w:p>
        </w:tc>
      </w:tr>
      <w:tr>
        <w:trPr>
          <w:cantSplit w:val="0"/>
          <w:tblHeader w:val="0"/>
        </w:trPr>
        <w:tc>
          <w:tcPr/>
          <w:p w:rsidR="00000000" w:rsidDel="00000000" w:rsidP="00000000" w:rsidRDefault="00000000" w:rsidRPr="00000000" w14:paraId="0000003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Área al interior del Parque</w:t>
            </w:r>
          </w:p>
        </w:tc>
        <w:tc>
          <w:tcPr/>
          <w:p w:rsidR="00000000" w:rsidDel="00000000" w:rsidP="00000000" w:rsidRDefault="00000000" w:rsidRPr="00000000" w14:paraId="0000003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0 has </w:t>
            </w:r>
          </w:p>
        </w:tc>
      </w:tr>
      <w:tr>
        <w:trPr>
          <w:cantSplit w:val="0"/>
          <w:tblHeader w:val="0"/>
        </w:trPr>
        <w:tc>
          <w:tcPr/>
          <w:p w:rsidR="00000000" w:rsidDel="00000000" w:rsidP="00000000" w:rsidRDefault="00000000" w:rsidRPr="00000000" w14:paraId="0000003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Fuera del A.P.</w:t>
            </w:r>
          </w:p>
        </w:tc>
        <w:tc>
          <w:tcPr/>
          <w:p w:rsidR="00000000" w:rsidDel="00000000" w:rsidP="00000000" w:rsidRDefault="00000000" w:rsidRPr="00000000" w14:paraId="0000003D">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26,16</w:t>
            </w:r>
            <w:r w:rsidDel="00000000" w:rsidR="00000000" w:rsidRPr="00000000">
              <w:rPr>
                <w:rFonts w:ascii="Times New Roman" w:cs="Times New Roman" w:eastAsia="Times New Roman" w:hAnsi="Times New Roman"/>
                <w:sz w:val="20"/>
                <w:szCs w:val="20"/>
                <w:rtl w:val="0"/>
              </w:rPr>
              <w:t xml:space="preserve">  has</w:t>
            </w:r>
          </w:p>
        </w:tc>
      </w:tr>
      <w:tr>
        <w:trPr>
          <w:cantSplit w:val="0"/>
          <w:tblHeader w:val="0"/>
        </w:trPr>
        <w:tc>
          <w:tcPr/>
          <w:p w:rsidR="00000000" w:rsidDel="00000000" w:rsidP="00000000" w:rsidRDefault="00000000" w:rsidRPr="00000000" w14:paraId="0000003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Tenencia del Predio</w:t>
            </w:r>
          </w:p>
        </w:tc>
        <w:tc>
          <w:tcPr>
            <w:shd w:fill="auto" w:val="clear"/>
          </w:tcPr>
          <w:p w:rsidR="00000000" w:rsidDel="00000000" w:rsidP="00000000" w:rsidRDefault="00000000" w:rsidRPr="00000000" w14:paraId="0000003F">
            <w:pPr>
              <w:spacing w:line="276" w:lineRule="auto"/>
              <w:jc w:val="both"/>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Propietario</w:t>
            </w:r>
            <w:r w:rsidDel="00000000" w:rsidR="00000000" w:rsidRPr="00000000">
              <w:rPr>
                <w:rFonts w:ascii="Times New Roman" w:cs="Times New Roman" w:eastAsia="Times New Roman" w:hAnsi="Times New Roman"/>
                <w:sz w:val="20"/>
                <w:szCs w:val="20"/>
                <w:highlight w:val="yellow"/>
                <w:rtl w:val="0"/>
              </w:rPr>
              <w:t xml:space="preserve"> </w:t>
            </w:r>
          </w:p>
        </w:tc>
      </w:tr>
      <w:tr>
        <w:trPr>
          <w:cantSplit w:val="0"/>
          <w:tblHeader w:val="0"/>
        </w:trPr>
        <w:tc>
          <w:tcPr/>
          <w:p w:rsidR="00000000" w:rsidDel="00000000" w:rsidP="00000000" w:rsidRDefault="00000000" w:rsidRPr="00000000" w14:paraId="0000004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Topografía</w:t>
            </w:r>
          </w:p>
        </w:tc>
        <w:tc>
          <w:tcPr/>
          <w:p w:rsidR="00000000" w:rsidDel="00000000" w:rsidP="00000000" w:rsidRDefault="00000000" w:rsidRPr="00000000" w14:paraId="0000004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Terreno con altas pendientes.</w:t>
            </w:r>
          </w:p>
        </w:tc>
      </w:tr>
      <w:tr>
        <w:trPr>
          <w:cantSplit w:val="0"/>
          <w:tblHeader w:val="0"/>
        </w:trPr>
        <w:tc>
          <w:tcPr/>
          <w:p w:rsidR="00000000" w:rsidDel="00000000" w:rsidP="00000000" w:rsidRDefault="00000000" w:rsidRPr="00000000" w14:paraId="0000004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Temperatura Promedio</w:t>
            </w:r>
          </w:p>
        </w:tc>
        <w:tc>
          <w:tcPr/>
          <w:p w:rsidR="00000000" w:rsidDel="00000000" w:rsidP="00000000" w:rsidRDefault="00000000" w:rsidRPr="00000000" w14:paraId="00000043">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12ºC – 24 °C</w:t>
            </w:r>
          </w:p>
        </w:tc>
      </w:tr>
      <w:tr>
        <w:trPr>
          <w:cantSplit w:val="0"/>
          <w:tblHeader w:val="0"/>
        </w:trPr>
        <w:tc>
          <w:tcPr/>
          <w:p w:rsidR="00000000" w:rsidDel="00000000" w:rsidP="00000000" w:rsidRDefault="00000000" w:rsidRPr="00000000" w14:paraId="0000004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Meses de Lluvia</w:t>
            </w:r>
          </w:p>
        </w:tc>
        <w:tc>
          <w:tcPr/>
          <w:p w:rsidR="00000000" w:rsidDel="00000000" w:rsidP="00000000" w:rsidRDefault="00000000" w:rsidRPr="00000000" w14:paraId="0000004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primera temporada: Marzo-abril - mayo </w:t>
            </w:r>
          </w:p>
          <w:p w:rsidR="00000000" w:rsidDel="00000000" w:rsidP="00000000" w:rsidRDefault="00000000" w:rsidRPr="00000000" w14:paraId="00000046">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segunda temporada:  Octubre y Noviembre</w:t>
            </w:r>
          </w:p>
        </w:tc>
      </w:tr>
      <w:tr>
        <w:trPr>
          <w:cantSplit w:val="0"/>
          <w:tblHeader w:val="0"/>
        </w:trPr>
        <w:tc>
          <w:tcPr/>
          <w:p w:rsidR="00000000" w:rsidDel="00000000" w:rsidP="00000000" w:rsidRDefault="00000000" w:rsidRPr="00000000" w14:paraId="0000004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Fuentes de agua (ríos, nacimientos, quebradas)</w:t>
            </w:r>
          </w:p>
        </w:tc>
        <w:tc>
          <w:tcPr/>
          <w:p w:rsidR="00000000" w:rsidDel="00000000" w:rsidP="00000000" w:rsidRDefault="00000000" w:rsidRPr="00000000" w14:paraId="00000048">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9">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Organización a la que pertenece</w:t>
            </w:r>
          </w:p>
        </w:tc>
        <w:tc>
          <w:tcPr/>
          <w:p w:rsidR="00000000" w:rsidDel="00000000" w:rsidP="00000000" w:rsidRDefault="00000000" w:rsidRPr="00000000" w14:paraId="0000004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w:t>
            </w:r>
            <w:r w:rsidDel="00000000" w:rsidR="00000000" w:rsidRPr="00000000">
              <w:rPr>
                <w:rFonts w:ascii="Times New Roman" w:cs="Times New Roman" w:eastAsia="Times New Roman" w:hAnsi="Times New Roman"/>
                <w:sz w:val="20"/>
                <w:szCs w:val="20"/>
                <w:rtl w:val="0"/>
              </w:rPr>
              <w:t xml:space="preserve">unta de Acción Comuna</w:t>
            </w:r>
            <w:r w:rsidDel="00000000" w:rsidR="00000000" w:rsidRPr="00000000">
              <w:rPr>
                <w:rFonts w:ascii="Times New Roman" w:cs="Times New Roman" w:eastAsia="Times New Roman" w:hAnsi="Times New Roman"/>
                <w:sz w:val="20"/>
                <w:szCs w:val="20"/>
                <w:rtl w:val="0"/>
              </w:rPr>
              <w:t xml:space="preserve">l  Bolo Balnco </w:t>
            </w:r>
          </w:p>
        </w:tc>
      </w:tr>
      <w:tr>
        <w:trPr>
          <w:cantSplit w:val="0"/>
          <w:tblHeader w:val="0"/>
        </w:trPr>
        <w:tc>
          <w:tcPr>
            <w:gridSpan w:val="2"/>
          </w:tcPr>
          <w:p w:rsidR="00000000" w:rsidDel="00000000" w:rsidP="00000000" w:rsidRDefault="00000000" w:rsidRPr="00000000" w14:paraId="0000004C">
            <w:pPr>
              <w:spacing w:line="480"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Usos del suelo</w:t>
            </w:r>
          </w:p>
        </w:tc>
        <w:tc>
          <w:tcPr/>
          <w:p w:rsidR="00000000" w:rsidDel="00000000" w:rsidP="00000000" w:rsidRDefault="00000000" w:rsidRPr="00000000" w14:paraId="0000004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En términos de usos del suelo el predio </w:t>
            </w:r>
            <w:r w:rsidDel="00000000" w:rsidR="00000000" w:rsidRPr="00000000">
              <w:rPr>
                <w:rFonts w:ascii="Times New Roman" w:cs="Times New Roman" w:eastAsia="Times New Roman" w:hAnsi="Times New Roman"/>
                <w:sz w:val="20"/>
                <w:szCs w:val="20"/>
                <w:rtl w:val="0"/>
              </w:rPr>
              <w:t xml:space="preserve">Mil hojas</w:t>
            </w:r>
            <w:r w:rsidDel="00000000" w:rsidR="00000000" w:rsidRPr="00000000">
              <w:rPr>
                <w:rFonts w:ascii="Times New Roman" w:cs="Times New Roman" w:eastAsia="Times New Roman" w:hAnsi="Times New Roman"/>
                <w:sz w:val="20"/>
                <w:szCs w:val="20"/>
                <w:rtl w:val="0"/>
              </w:rPr>
              <w:t xml:space="preserve"> presenta las siguientes coberturas:</w:t>
            </w:r>
          </w:p>
          <w:p w:rsidR="00000000" w:rsidDel="00000000" w:rsidP="00000000" w:rsidRDefault="00000000" w:rsidRPr="00000000" w14:paraId="00000050">
            <w:pPr>
              <w:spacing w:line="276" w:lineRule="auto"/>
              <w:jc w:val="both"/>
              <w:rPr>
                <w:rFonts w:ascii="Times New Roman" w:cs="Times New Roman" w:eastAsia="Times New Roman" w:hAnsi="Times New Roman"/>
                <w:color w:val="ff0000"/>
                <w:sz w:val="20"/>
                <w:szCs w:val="20"/>
              </w:rPr>
            </w:pPr>
            <w:r w:rsidDel="00000000" w:rsidR="00000000" w:rsidRPr="00000000">
              <w:rPr>
                <w:rtl w:val="0"/>
              </w:rPr>
            </w:r>
          </w:p>
          <w:tbl>
            <w:tblPr>
              <w:tblStyle w:val="Table3"/>
              <w:tblW w:w="7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79"/>
              <w:gridCol w:w="1817"/>
              <w:gridCol w:w="1919"/>
              <w:gridCol w:w="775"/>
              <w:gridCol w:w="1421"/>
              <w:tblGridChange w:id="0">
                <w:tblGrid>
                  <w:gridCol w:w="1379"/>
                  <w:gridCol w:w="1817"/>
                  <w:gridCol w:w="1919"/>
                  <w:gridCol w:w="775"/>
                  <w:gridCol w:w="1421"/>
                </w:tblGrid>
              </w:tblGridChange>
            </w:tblGrid>
            <w:tr>
              <w:trPr>
                <w:cantSplit w:val="0"/>
                <w:trHeight w:val="338" w:hRule="atLeast"/>
                <w:tblHeader w:val="0"/>
              </w:trPr>
              <w:tc>
                <w:tcPr>
                  <w:vMerge w:val="restart"/>
                  <w:shd w:fill="auto" w:val="clear"/>
                  <w:vAlign w:val="center"/>
                </w:tcPr>
                <w:p w:rsidR="00000000" w:rsidDel="00000000" w:rsidP="00000000" w:rsidRDefault="00000000" w:rsidRPr="00000000" w14:paraId="00000051">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del Predio </w:t>
                  </w:r>
                </w:p>
              </w:tc>
              <w:tc>
                <w:tcPr>
                  <w:vMerge w:val="restart"/>
                  <w:shd w:fill="auto" w:val="clear"/>
                  <w:vAlign w:val="center"/>
                </w:tcPr>
                <w:p w:rsidR="00000000" w:rsidDel="00000000" w:rsidP="00000000" w:rsidRDefault="00000000" w:rsidRPr="00000000" w14:paraId="00000052">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Usos</w:t>
                  </w:r>
                </w:p>
              </w:tc>
              <w:tc>
                <w:tcPr>
                  <w:vMerge w:val="restart"/>
                  <w:shd w:fill="auto" w:val="clear"/>
                  <w:vAlign w:val="center"/>
                </w:tcPr>
                <w:p w:rsidR="00000000" w:rsidDel="00000000" w:rsidP="00000000" w:rsidRDefault="00000000" w:rsidRPr="00000000" w14:paraId="00000053">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por coberturas (</w:t>
                  </w:r>
                  <w:r w:rsidDel="00000000" w:rsidR="00000000" w:rsidRPr="00000000">
                    <w:rPr>
                      <w:rFonts w:ascii="Times New Roman" w:cs="Times New Roman" w:eastAsia="Times New Roman" w:hAnsi="Times New Roman"/>
                      <w:b w:val="1"/>
                      <w:bCs w:val="1"/>
                      <w:sz w:val="20"/>
                      <w:szCs w:val="20"/>
                      <w:rtl w:val="0"/>
                    </w:rPr>
                    <w:t xml:space="preserve">has)</w:t>
                  </w:r>
                  <w:r w:rsidDel="00000000" w:rsidR="00000000" w:rsidRPr="00000000">
                    <w:rPr>
                      <w:rtl w:val="0"/>
                    </w:rPr>
                  </w:r>
                </w:p>
              </w:tc>
              <w:tc>
                <w:tcPr>
                  <w:gridSpan w:val="2"/>
                  <w:shd w:fill="auto" w:val="clear"/>
                  <w:vAlign w:val="center"/>
                </w:tcPr>
                <w:p w:rsidR="00000000" w:rsidDel="00000000" w:rsidP="00000000" w:rsidRDefault="00000000" w:rsidRPr="00000000" w14:paraId="00000054">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LUGAR</w:t>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59">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PNN- (has) </w:t>
                  </w:r>
                </w:p>
              </w:tc>
              <w:tc>
                <w:tcPr>
                  <w:shd w:fill="auto" w:val="clear"/>
                  <w:vAlign w:val="center"/>
                </w:tcPr>
                <w:p w:rsidR="00000000" w:rsidDel="00000000" w:rsidP="00000000" w:rsidRDefault="00000000" w:rsidRPr="00000000" w14:paraId="0000005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FUERA DE AP</w:t>
                  </w:r>
                  <w:r w:rsidDel="00000000" w:rsidR="00000000" w:rsidRPr="00000000">
                    <w:rPr>
                      <w:rFonts w:ascii="Times New Roman" w:cs="Times New Roman" w:eastAsia="Times New Roman" w:hAnsi="Times New Roman"/>
                      <w:b w:val="1"/>
                      <w:bCs w:val="1"/>
                      <w:sz w:val="20"/>
                      <w:szCs w:val="20"/>
                      <w:rtl w:val="0"/>
                    </w:rPr>
                    <w:t xml:space="preserve"> (has)</w:t>
                  </w:r>
                  <w:r w:rsidDel="00000000" w:rsidR="00000000" w:rsidRPr="00000000">
                    <w:rPr>
                      <w:rFonts w:ascii="Times New Roman" w:cs="Times New Roman" w:eastAsia="Times New Roman" w:hAnsi="Times New Roman"/>
                      <w:b w:val="1"/>
                      <w:bCs w:val="1"/>
                      <w:color w:val="000000"/>
                      <w:sz w:val="20"/>
                      <w:szCs w:val="20"/>
                      <w:rtl w:val="0"/>
                    </w:rPr>
                    <w:t xml:space="preserve"> </w:t>
                  </w:r>
                </w:p>
              </w:tc>
            </w:tr>
            <w:tr>
              <w:trPr>
                <w:cantSplit w:val="0"/>
                <w:trHeight w:val="429.9609375" w:hRule="atLeast"/>
                <w:tblHeader w:val="0"/>
              </w:trPr>
              <w:tc>
                <w:tcPr>
                  <w:vMerge w:val="restart"/>
                  <w:shd w:fill="auto" w:val="clear"/>
                  <w:vAlign w:val="center"/>
                </w:tcPr>
                <w:p w:rsidR="00000000" w:rsidDel="00000000" w:rsidP="00000000" w:rsidRDefault="00000000" w:rsidRPr="00000000" w14:paraId="0000005B">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26,16</w:t>
                  </w:r>
                  <w:r w:rsidDel="00000000" w:rsidR="00000000" w:rsidRPr="00000000">
                    <w:rPr>
                      <w:rFonts w:ascii="Times New Roman" w:cs="Times New Roman" w:eastAsia="Times New Roman" w:hAnsi="Times New Roman"/>
                      <w:sz w:val="20"/>
                      <w:szCs w:val="20"/>
                      <w:rtl w:val="0"/>
                    </w:rPr>
                    <w:t xml:space="preserve">  has</w:t>
                  </w: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vAlign w:val="bottom"/>
                </w:tcPr>
                <w:p w:rsidR="00000000" w:rsidDel="00000000" w:rsidP="00000000" w:rsidRDefault="00000000" w:rsidRPr="00000000" w14:paraId="0000005C">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Pastos enmalezados o enrastrojados</w:t>
                  </w:r>
                  <w:r w:rsidDel="00000000" w:rsidR="00000000" w:rsidRPr="00000000">
                    <w:rPr>
                      <w:rtl w:val="0"/>
                    </w:rPr>
                  </w:r>
                </w:p>
              </w:tc>
              <w:tc>
                <w:tcPr>
                  <w:shd w:fill="auto" w:val="clear"/>
                  <w:vAlign w:val="bottom"/>
                </w:tcPr>
                <w:p w:rsidR="00000000" w:rsidDel="00000000" w:rsidP="00000000" w:rsidRDefault="00000000" w:rsidRPr="00000000" w14:paraId="0000005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2,63</w:t>
                  </w:r>
                  <w:r w:rsidDel="00000000" w:rsidR="00000000" w:rsidRPr="00000000">
                    <w:rPr>
                      <w:rtl w:val="0"/>
                    </w:rPr>
                  </w:r>
                </w:p>
              </w:tc>
              <w:tc>
                <w:tcPr>
                  <w:shd w:fill="auto" w:val="clear"/>
                  <w:vAlign w:val="bottom"/>
                </w:tcPr>
                <w:p w:rsidR="00000000" w:rsidDel="00000000" w:rsidP="00000000" w:rsidRDefault="00000000" w:rsidRPr="00000000" w14:paraId="0000005E">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5F">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2,63</w:t>
                  </w:r>
                  <w:r w:rsidDel="00000000" w:rsidR="00000000" w:rsidRPr="00000000">
                    <w:rPr>
                      <w:rtl w:val="0"/>
                    </w:rPr>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61">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Pastos limpios</w:t>
                  </w:r>
                  <w:r w:rsidDel="00000000" w:rsidR="00000000" w:rsidRPr="00000000">
                    <w:rPr>
                      <w:rtl w:val="0"/>
                    </w:rPr>
                  </w:r>
                </w:p>
              </w:tc>
              <w:tc>
                <w:tcPr>
                  <w:shd w:fill="auto" w:val="clear"/>
                  <w:vAlign w:val="bottom"/>
                </w:tcPr>
                <w:p w:rsidR="00000000" w:rsidDel="00000000" w:rsidP="00000000" w:rsidRDefault="00000000" w:rsidRPr="00000000" w14:paraId="00000062">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13,19</w:t>
                  </w:r>
                  <w:r w:rsidDel="00000000" w:rsidR="00000000" w:rsidRPr="00000000">
                    <w:rPr>
                      <w:rtl w:val="0"/>
                    </w:rPr>
                  </w:r>
                </w:p>
              </w:tc>
              <w:tc>
                <w:tcPr>
                  <w:shd w:fill="auto" w:val="clear"/>
                  <w:vAlign w:val="bottom"/>
                </w:tcPr>
                <w:p w:rsidR="00000000" w:rsidDel="00000000" w:rsidP="00000000" w:rsidRDefault="00000000" w:rsidRPr="00000000" w14:paraId="00000063">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64">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13,19</w:t>
                  </w:r>
                  <w:r w:rsidDel="00000000" w:rsidR="00000000" w:rsidRPr="00000000">
                    <w:rPr>
                      <w:rtl w:val="0"/>
                    </w:rPr>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66">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Vegetación secundaria o en transición </w:t>
                  </w:r>
                  <w:r w:rsidDel="00000000" w:rsidR="00000000" w:rsidRPr="00000000">
                    <w:rPr>
                      <w:rtl w:val="0"/>
                    </w:rPr>
                  </w:r>
                </w:p>
              </w:tc>
              <w:tc>
                <w:tcPr>
                  <w:shd w:fill="auto" w:val="clear"/>
                  <w:vAlign w:val="bottom"/>
                </w:tcPr>
                <w:p w:rsidR="00000000" w:rsidDel="00000000" w:rsidP="00000000" w:rsidRDefault="00000000" w:rsidRPr="00000000" w14:paraId="0000006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10,34</w:t>
                  </w:r>
                  <w:r w:rsidDel="00000000" w:rsidR="00000000" w:rsidRPr="00000000">
                    <w:rPr>
                      <w:rtl w:val="0"/>
                    </w:rPr>
                  </w:r>
                </w:p>
              </w:tc>
              <w:tc>
                <w:tcPr>
                  <w:shd w:fill="auto" w:val="clear"/>
                  <w:vAlign w:val="bottom"/>
                </w:tcPr>
                <w:p w:rsidR="00000000" w:rsidDel="00000000" w:rsidP="00000000" w:rsidRDefault="00000000" w:rsidRPr="00000000" w14:paraId="0000006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69">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10,34</w:t>
                  </w:r>
                  <w:r w:rsidDel="00000000" w:rsidR="00000000" w:rsidRPr="00000000">
                    <w:rPr>
                      <w:rtl w:val="0"/>
                    </w:rPr>
                  </w:r>
                </w:p>
              </w:tc>
            </w:tr>
            <w:tr>
              <w:trPr>
                <w:cantSplit w:val="0"/>
                <w:trHeight w:val="338" w:hRule="atLeast"/>
                <w:tblHeader w:val="0"/>
              </w:trPr>
              <w:tc>
                <w:tcPr>
                  <w:gridSpan w:val="2"/>
                  <w:shd w:fill="auto" w:val="clear"/>
                  <w:vAlign w:val="center"/>
                </w:tcPr>
                <w:p w:rsidR="00000000" w:rsidDel="00000000" w:rsidP="00000000" w:rsidRDefault="00000000" w:rsidRPr="00000000" w14:paraId="0000006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6C">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26,16</w:t>
                  </w:r>
                  <w:r w:rsidDel="00000000" w:rsidR="00000000" w:rsidRPr="00000000">
                    <w:rPr>
                      <w:rtl w:val="0"/>
                    </w:rPr>
                  </w:r>
                </w:p>
              </w:tc>
              <w:tc>
                <w:tcPr>
                  <w:shd w:fill="auto" w:val="clear"/>
                  <w:vAlign w:val="bottom"/>
                </w:tcPr>
                <w:p w:rsidR="00000000" w:rsidDel="00000000" w:rsidP="00000000" w:rsidRDefault="00000000" w:rsidRPr="00000000" w14:paraId="0000006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6E">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26,16</w:t>
                  </w:r>
                  <w:r w:rsidDel="00000000" w:rsidR="00000000" w:rsidRPr="00000000">
                    <w:rPr>
                      <w:rtl w:val="0"/>
                    </w:rPr>
                  </w:r>
                </w:p>
              </w:tc>
            </w:tr>
          </w:tbl>
          <w:p w:rsidR="00000000" w:rsidDel="00000000" w:rsidP="00000000" w:rsidRDefault="00000000" w:rsidRPr="00000000" w14:paraId="0000006F">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Mapa de usos del suelo predio Mil Hojas </w:t>
            </w:r>
          </w:p>
          <w:p w:rsidR="00000000" w:rsidDel="00000000" w:rsidP="00000000" w:rsidRDefault="00000000" w:rsidRPr="00000000" w14:paraId="00000072">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w:t>
            </w:r>
          </w:p>
        </w:tc>
        <w:tc>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4"/>
              <w:tblW w:w="7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7"/>
              <w:gridCol w:w="1555"/>
              <w:gridCol w:w="2056"/>
              <w:gridCol w:w="800"/>
              <w:gridCol w:w="1491"/>
              <w:tblGridChange w:id="0">
                <w:tblGrid>
                  <w:gridCol w:w="1457"/>
                  <w:gridCol w:w="1555"/>
                  <w:gridCol w:w="2056"/>
                  <w:gridCol w:w="800"/>
                  <w:gridCol w:w="1491"/>
                </w:tblGrid>
              </w:tblGridChange>
            </w:tblGrid>
            <w:tr>
              <w:trPr>
                <w:cantSplit w:val="0"/>
                <w:trHeight w:val="404" w:hRule="atLeast"/>
                <w:tblHeader w:val="0"/>
              </w:trPr>
              <w:tc>
                <w:tcPr>
                  <w:vMerge w:val="restart"/>
                  <w:shd w:fill="auto" w:val="clear"/>
                  <w:vAlign w:val="center"/>
                </w:tcPr>
                <w:p w:rsidR="00000000" w:rsidDel="00000000" w:rsidP="00000000" w:rsidRDefault="00000000" w:rsidRPr="00000000" w14:paraId="00000075">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Área Total del Predio </w:t>
                  </w:r>
                </w:p>
              </w:tc>
              <w:tc>
                <w:tcPr>
                  <w:vMerge w:val="restart"/>
                  <w:shd w:fill="auto" w:val="clear"/>
                  <w:vAlign w:val="center"/>
                </w:tcPr>
                <w:p w:rsidR="00000000" w:rsidDel="00000000" w:rsidP="00000000" w:rsidRDefault="00000000" w:rsidRPr="00000000" w14:paraId="00000076">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Zonificación</w:t>
                  </w:r>
                </w:p>
              </w:tc>
              <w:tc>
                <w:tcPr>
                  <w:vMerge w:val="restart"/>
                  <w:shd w:fill="auto" w:val="clear"/>
                  <w:vAlign w:val="center"/>
                </w:tcPr>
                <w:p w:rsidR="00000000" w:rsidDel="00000000" w:rsidP="00000000" w:rsidRDefault="00000000" w:rsidRPr="00000000" w14:paraId="00000077">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Área-Ha Total por coberturas </w:t>
                  </w:r>
                </w:p>
              </w:tc>
              <w:tc>
                <w:tcPr>
                  <w:gridSpan w:val="2"/>
                  <w:shd w:fill="auto" w:val="clear"/>
                  <w:vAlign w:val="center"/>
                </w:tcPr>
                <w:p w:rsidR="00000000" w:rsidDel="00000000" w:rsidP="00000000" w:rsidRDefault="00000000" w:rsidRPr="00000000" w14:paraId="00000078">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LUGAR</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7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PNN- (has) </w:t>
                  </w:r>
                </w:p>
              </w:tc>
              <w:tc>
                <w:tcPr>
                  <w:shd w:fill="auto" w:val="clear"/>
                  <w:vAlign w:val="center"/>
                </w:tcPr>
                <w:p w:rsidR="00000000" w:rsidDel="00000000" w:rsidP="00000000" w:rsidRDefault="00000000" w:rsidRPr="00000000" w14:paraId="0000007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FUERA DE AP (has) </w:t>
                  </w:r>
                </w:p>
              </w:tc>
            </w:tr>
            <w:tr>
              <w:trPr>
                <w:cantSplit w:val="0"/>
                <w:trHeight w:val="404" w:hRule="atLeast"/>
                <w:tblHeader w:val="0"/>
              </w:trPr>
              <w:tc>
                <w:tcPr>
                  <w:vMerge w:val="restart"/>
                  <w:shd w:fill="auto" w:val="clear"/>
                  <w:vAlign w:val="center"/>
                </w:tcPr>
                <w:p w:rsidR="00000000" w:rsidDel="00000000" w:rsidP="00000000" w:rsidRDefault="00000000" w:rsidRPr="00000000" w14:paraId="0000007F">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26,16</w:t>
                  </w:r>
                  <w:r w:rsidDel="00000000" w:rsidR="00000000" w:rsidRPr="00000000">
                    <w:rPr>
                      <w:rFonts w:ascii="Times New Roman" w:cs="Times New Roman" w:eastAsia="Times New Roman" w:hAnsi="Times New Roman"/>
                      <w:sz w:val="20"/>
                      <w:szCs w:val="20"/>
                      <w:rtl w:val="0"/>
                    </w:rPr>
                    <w:t xml:space="preserve"> has</w:t>
                  </w: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vAlign w:val="bottom"/>
                </w:tcPr>
                <w:p w:rsidR="00000000" w:rsidDel="00000000" w:rsidP="00000000" w:rsidRDefault="00000000" w:rsidRPr="00000000" w14:paraId="00000080">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Restauración</w:t>
                  </w:r>
                </w:p>
              </w:tc>
              <w:tc>
                <w:tcPr>
                  <w:shd w:fill="auto" w:val="clear"/>
                  <w:vAlign w:val="bottom"/>
                </w:tcPr>
                <w:p w:rsidR="00000000" w:rsidDel="00000000" w:rsidP="00000000" w:rsidRDefault="00000000" w:rsidRPr="00000000" w14:paraId="00000081">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11,631</w:t>
                  </w:r>
                  <w:r w:rsidDel="00000000" w:rsidR="00000000" w:rsidRPr="00000000">
                    <w:rPr>
                      <w:rtl w:val="0"/>
                    </w:rPr>
                  </w:r>
                </w:p>
              </w:tc>
              <w:tc>
                <w:tcPr>
                  <w:shd w:fill="auto" w:val="clear"/>
                  <w:vAlign w:val="bottom"/>
                </w:tcPr>
                <w:p w:rsidR="00000000" w:rsidDel="00000000" w:rsidP="00000000" w:rsidRDefault="00000000" w:rsidRPr="00000000" w14:paraId="00000082">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8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11,631</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85">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Sistemas sostenibles</w:t>
                  </w:r>
                </w:p>
              </w:tc>
              <w:tc>
                <w:tcPr>
                  <w:shd w:fill="auto" w:val="clear"/>
                  <w:vAlign w:val="bottom"/>
                </w:tcPr>
                <w:p w:rsidR="00000000" w:rsidDel="00000000" w:rsidP="00000000" w:rsidRDefault="00000000" w:rsidRPr="00000000" w14:paraId="00000086">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14,534</w:t>
                  </w:r>
                  <w:r w:rsidDel="00000000" w:rsidR="00000000" w:rsidRPr="00000000">
                    <w:rPr>
                      <w:rtl w:val="0"/>
                    </w:rPr>
                  </w:r>
                </w:p>
              </w:tc>
              <w:tc>
                <w:tcPr>
                  <w:shd w:fill="auto" w:val="clear"/>
                  <w:vAlign w:val="bottom"/>
                </w:tcPr>
                <w:p w:rsidR="00000000" w:rsidDel="00000000" w:rsidP="00000000" w:rsidRDefault="00000000" w:rsidRPr="00000000" w14:paraId="0000008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8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14,534</w:t>
                  </w:r>
                </w:p>
              </w:tc>
            </w:tr>
            <w:tr>
              <w:trPr>
                <w:cantSplit w:val="0"/>
                <w:trHeight w:val="404" w:hRule="atLeast"/>
                <w:tblHeader w:val="0"/>
              </w:trPr>
              <w:tc>
                <w:tcPr>
                  <w:gridSpan w:val="2"/>
                  <w:shd w:fill="auto" w:val="clear"/>
                  <w:vAlign w:val="center"/>
                </w:tcPr>
                <w:p w:rsidR="00000000" w:rsidDel="00000000" w:rsidP="00000000" w:rsidRDefault="00000000" w:rsidRPr="00000000" w14:paraId="00000089">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8B">
                  <w:pPr>
                    <w:spacing w:line="276"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26,165</w:t>
                  </w:r>
                  <w:r w:rsidDel="00000000" w:rsidR="00000000" w:rsidRPr="00000000">
                    <w:rPr>
                      <w:rtl w:val="0"/>
                    </w:rPr>
                  </w:r>
                </w:p>
              </w:tc>
              <w:tc>
                <w:tcPr>
                  <w:shd w:fill="auto" w:val="clear"/>
                  <w:vAlign w:val="bottom"/>
                </w:tcPr>
                <w:p w:rsidR="00000000" w:rsidDel="00000000" w:rsidP="00000000" w:rsidRDefault="00000000" w:rsidRPr="00000000" w14:paraId="0000008C">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8D">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26,165</w:t>
                  </w:r>
                  <w:r w:rsidDel="00000000" w:rsidR="00000000" w:rsidRPr="00000000">
                    <w:rPr>
                      <w:rtl w:val="0"/>
                    </w:rPr>
                  </w:r>
                </w:p>
              </w:tc>
            </w:tr>
          </w:tbl>
          <w:p w:rsidR="00000000" w:rsidDel="00000000" w:rsidP="00000000" w:rsidRDefault="00000000" w:rsidRPr="00000000" w14:paraId="0000008E">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F">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Zonificación predio Mil Hojas </w:t>
            </w:r>
          </w:p>
        </w:tc>
      </w:tr>
      <w:tr>
        <w:trPr>
          <w:cantSplit w:val="0"/>
          <w:trHeight w:val="3671" w:hRule="atLeast"/>
          <w:tblHeader w:val="0"/>
        </w:trPr>
        <w:tc>
          <w:tcPr/>
          <w:p w:rsidR="00000000" w:rsidDel="00000000" w:rsidP="00000000" w:rsidRDefault="00000000" w:rsidRPr="00000000" w14:paraId="0000009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Acciones para desarrollar </w:t>
            </w:r>
          </w:p>
        </w:tc>
        <w:tc>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bl>
            <w:tblPr>
              <w:tblStyle w:val="Table5"/>
              <w:tblW w:w="729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2.0000000000002"/>
              <w:gridCol w:w="3033"/>
              <w:gridCol w:w="1350"/>
              <w:gridCol w:w="1485"/>
              <w:tblGridChange w:id="0">
                <w:tblGrid>
                  <w:gridCol w:w="1422.0000000000002"/>
                  <w:gridCol w:w="3033"/>
                  <w:gridCol w:w="1350"/>
                  <w:gridCol w:w="1485"/>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9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y restauración</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Retirar o eliminar los factores tensionantes o los disturbios que causan la degradación del ecosistema respecto a su composición, estructura y funcionamiento para garantizar la conservación de especies, del ecosistema en general, así como de la mayoría de sus bienes y servicios.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Acción/ Tratamiento</w:t>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Materiales</w:t>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condiciones de Vida</w:t>
                  </w:r>
                </w:p>
              </w:tc>
              <w:tc>
                <w:tcPr>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de Conservación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 de protección </w:t>
                  </w:r>
                </w:p>
              </w:tc>
              <w:tc>
                <w:tcPr>
                  <w:shd w:fill="auto" w:val="clear"/>
                  <w:tcMar>
                    <w:top w:w="100.0" w:type="dxa"/>
                    <w:left w:w="100.0" w:type="dxa"/>
                    <w:bottom w:w="100.0" w:type="dxa"/>
                    <w:right w:w="100.0" w:type="dxa"/>
                  </w:tcMar>
                </w:tcPr>
                <w:p w:rsidR="00000000" w:rsidDel="00000000" w:rsidP="00000000" w:rsidRDefault="00000000" w:rsidRPr="00000000" w14:paraId="000000A1">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558  Und. Poste de acero T ceba para Aislamiento de Protección.</w:t>
                  </w:r>
                </w:p>
                <w:p w:rsidR="00000000" w:rsidDel="00000000" w:rsidP="00000000" w:rsidRDefault="00000000" w:rsidRPr="00000000" w14:paraId="000000A2">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09 Und. Alambre de Pua  calibre 14 x 500 metros. </w:t>
                  </w:r>
                </w:p>
                <w:p w:rsidR="00000000" w:rsidDel="00000000" w:rsidP="00000000" w:rsidRDefault="00000000" w:rsidRPr="00000000" w14:paraId="000000A3">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02 Und. Alambre liso Galvanizado por 100 metros. </w:t>
                  </w:r>
                </w:p>
                <w:p w:rsidR="00000000" w:rsidDel="00000000" w:rsidP="00000000" w:rsidRDefault="00000000" w:rsidRPr="00000000" w14:paraId="000000A4">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01 Und. Martillo para poste en T Ceba 1,82. </w:t>
                  </w:r>
                </w:p>
                <w:p w:rsidR="00000000" w:rsidDel="00000000" w:rsidP="00000000" w:rsidRDefault="00000000" w:rsidRPr="00000000" w14:paraId="000000A5">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1700 Ud. Clip galvanizado pua-malla.</w:t>
                  </w:r>
                </w:p>
                <w:p w:rsidR="00000000" w:rsidDel="00000000" w:rsidP="00000000" w:rsidRDefault="00000000" w:rsidRPr="00000000" w14:paraId="000000A6">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380 Und. Aislador poste en T Amarillo </w:t>
                  </w:r>
                </w:p>
                <w:p w:rsidR="00000000" w:rsidDel="00000000" w:rsidP="00000000" w:rsidRDefault="00000000" w:rsidRPr="00000000" w14:paraId="000000A7">
                  <w:pPr>
                    <w:widowControl w:val="0"/>
                    <w:spacing w:line="276" w:lineRule="auto"/>
                    <w:ind w:left="0" w:firstLine="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01 Und. Kit de herramienta Pala Draga, Machete, Alicate diablo, Lima, Martillo</w:t>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Percepción comunitaria sobre calidad del agua y salud digestiva</w:t>
                  </w: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0A9">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B">
                  <w:pPr>
                    <w:widowControl w:val="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Superficie de cambio de cobertura vegetal.</w:t>
                  </w:r>
                </w:p>
                <w:p w:rsidR="00000000" w:rsidDel="00000000" w:rsidP="00000000" w:rsidRDefault="00000000" w:rsidRPr="00000000" w14:paraId="000000AD">
                  <w:pPr>
                    <w:widowControl w:val="0"/>
                    <w:rPr>
                      <w:rFonts w:ascii="Times New Roman" w:cs="Times New Roman" w:eastAsia="Times New Roman" w:hAnsi="Times New Roman"/>
                      <w:sz w:val="20"/>
                      <w:szCs w:val="20"/>
                    </w:rPr>
                  </w:pPr>
                  <w:r w:rsidDel="00000000" w:rsidR="00000000" w:rsidRPr="00000000">
                    <w:rPr>
                      <w:rtl w:val="0"/>
                    </w:rPr>
                  </w:r>
                </w:p>
              </w:tc>
            </w:tr>
            <w:tr>
              <w:trPr>
                <w:cantSplit w:val="0"/>
                <w:trHeight w:val="349.9804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A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sostenibles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2">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B3">
                  <w:pPr>
                    <w:widowControl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Ordenar formas de producción o aprovechamiento bajo criterios de sostenibilidad, orientando sus acciones a apoyar y/o complementar mecanismos de conservación y restauración de la biodiversidad, el suelo y las fuentes hídricas; minimizar procesos de fragmentación y/o potenciar usos y adaptaciones del hombre con su entorno que favorezcan los atributos de los ecosistemas en algunas zonas, buscando consolidar propuestas de desarrollo social en armonía con el medio natural. Estos sistemas se implementan en los territorios colindantes de las áreas protegidas</w:t>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Acueducto Ganadero sostenible</w:t>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03 Und. Rollo manguera 100 mt *3/4''.</w:t>
                  </w:r>
                </w:p>
                <w:p w:rsidR="00000000" w:rsidDel="00000000" w:rsidP="00000000" w:rsidRDefault="00000000" w:rsidRPr="00000000" w14:paraId="000000B8">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01 Und. Bebedero 250 lts.</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B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Litros/vaca/día</w:t>
                  </w:r>
                </w:p>
                <w:p w:rsidR="00000000" w:rsidDel="00000000" w:rsidP="00000000" w:rsidRDefault="00000000" w:rsidRPr="00000000" w14:paraId="000000BA">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B">
                  <w:pPr>
                    <w:widowControl w:val="0"/>
                    <w:rPr>
                      <w:rFonts w:ascii="Times New Roman" w:cs="Times New Roman" w:eastAsia="Times New Roman" w:hAnsi="Times New Roman"/>
                      <w:sz w:val="20"/>
                      <w:szCs w:val="20"/>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BC">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Porcentaje de cobertura arbórea en sistemas silvopastoriles</w:t>
                  </w:r>
                  <w:r w:rsidDel="00000000" w:rsidR="00000000" w:rsidRPr="00000000">
                    <w:rPr>
                      <w:rFonts w:ascii="Times New Roman" w:cs="Times New Roman" w:eastAsia="Times New Roman" w:hAnsi="Times New Roman"/>
                      <w:b w:val="1"/>
                      <w:bCs w:val="1"/>
                      <w:sz w:val="20"/>
                      <w:szCs w:val="20"/>
                      <w:rtl w:val="0"/>
                    </w:rPr>
                    <w:br w:type="textWrapping"/>
                  </w:r>
                </w:p>
                <w:p w:rsidR="00000000" w:rsidDel="00000000" w:rsidP="00000000" w:rsidRDefault="00000000" w:rsidRPr="00000000" w14:paraId="000000BD">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E">
                  <w:pPr>
                    <w:widowControl w:val="0"/>
                    <w:rPr>
                      <w:rFonts w:ascii="Times New Roman" w:cs="Times New Roman" w:eastAsia="Times New Roman" w:hAnsi="Times New Roman"/>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silvopastoriles/reconversión ganadera</w:t>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 Unid. Alambre de Púa 1040 Rx25Kg C.E.</w:t>
                  </w:r>
                </w:p>
                <w:p w:rsidR="00000000" w:rsidDel="00000000" w:rsidP="00000000" w:rsidRDefault="00000000" w:rsidRPr="00000000" w14:paraId="000000C1">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270 Und. Poste de acero T ceba 1,50 cm.</w:t>
                  </w:r>
                </w:p>
                <w:p w:rsidR="00000000" w:rsidDel="00000000" w:rsidP="00000000" w:rsidRDefault="00000000" w:rsidRPr="00000000" w14:paraId="000000C2">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Und. Martillo para poste en T Ceba 1,82.</w:t>
                  </w:r>
                </w:p>
                <w:p w:rsidR="00000000" w:rsidDel="00000000" w:rsidP="00000000" w:rsidRDefault="00000000" w:rsidRPr="00000000" w14:paraId="000000C3">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Und. Tensor metálico pequeño</w:t>
                  </w:r>
                </w:p>
                <w:p w:rsidR="00000000" w:rsidDel="00000000" w:rsidP="00000000" w:rsidRDefault="00000000" w:rsidRPr="00000000" w14:paraId="000000C4">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 Und. Varilla Coop Well50MIC.</w:t>
                  </w:r>
                </w:p>
                <w:p w:rsidR="00000000" w:rsidDel="00000000" w:rsidP="00000000" w:rsidRDefault="00000000" w:rsidRPr="00000000" w14:paraId="000000C5">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Und. Cable aislador x 50 mts.</w:t>
                  </w:r>
                </w:p>
                <w:p w:rsidR="00000000" w:rsidDel="00000000" w:rsidP="00000000" w:rsidRDefault="00000000" w:rsidRPr="00000000" w14:paraId="000000C6">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Und Desviador de rayos. </w:t>
                  </w:r>
                </w:p>
                <w:p w:rsidR="00000000" w:rsidDel="00000000" w:rsidP="00000000" w:rsidRDefault="00000000" w:rsidRPr="00000000" w14:paraId="000000C7">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550 Und. Aislador poste en T.</w:t>
                  </w:r>
                </w:p>
                <w:p w:rsidR="00000000" w:rsidDel="00000000" w:rsidP="00000000" w:rsidRDefault="00000000" w:rsidRPr="00000000" w14:paraId="000000C8">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Und. Aislador tipo pera.</w:t>
                  </w:r>
                </w:p>
                <w:p w:rsidR="00000000" w:rsidDel="00000000" w:rsidP="00000000" w:rsidRDefault="00000000" w:rsidRPr="00000000" w14:paraId="000000C9">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 Und. Kit de manigueta portillo de 3 mts (Recibidor de manigueta portillo y resorte galvanizado).</w:t>
                  </w:r>
                </w:p>
                <w:p w:rsidR="00000000" w:rsidDel="00000000" w:rsidP="00000000" w:rsidRDefault="00000000" w:rsidRPr="00000000" w14:paraId="000000CA">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Und. Gabinete preensamblado para cerca eléctrica, incluye batería, regulador panel solar, cuchillas, voltímetro.</w:t>
                  </w:r>
                </w:p>
                <w:p w:rsidR="00000000" w:rsidDel="00000000" w:rsidP="00000000" w:rsidRDefault="00000000" w:rsidRPr="00000000" w14:paraId="000000CB">
                  <w:pPr>
                    <w:widowControl w:val="0"/>
                    <w:spacing w:after="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Und. Llave tensora múltiple.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CE">
            <w:pPr>
              <w:spacing w:line="276" w:lineRule="auto"/>
              <w:jc w:val="both"/>
              <w:rPr>
                <w:rFonts w:ascii="Times New Roman" w:cs="Times New Roman" w:eastAsia="Times New Roman" w:hAnsi="Times New Roman"/>
                <w:sz w:val="20"/>
                <w:szCs w:val="20"/>
                <w:highlight w:val="red"/>
              </w:rPr>
            </w:pPr>
            <w:r w:rsidDel="00000000" w:rsidR="00000000" w:rsidRPr="00000000">
              <w:rPr>
                <w:rtl w:val="0"/>
              </w:rPr>
            </w:r>
          </w:p>
          <w:p w:rsidR="00000000" w:rsidDel="00000000" w:rsidP="00000000" w:rsidRDefault="00000000" w:rsidRPr="00000000" w14:paraId="000000CF">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CRONOGRAMA DE EJECUCIÓN 2025</w:t>
            </w:r>
          </w:p>
          <w:tbl>
            <w:tblPr>
              <w:tblStyle w:val="Table6"/>
              <w:tblW w:w="7185.0" w:type="dxa"/>
              <w:jc w:val="left"/>
              <w:tblInd w:w="55.0" w:type="dxa"/>
              <w:tblLayout w:type="fixed"/>
              <w:tblLook w:val="0400"/>
            </w:tblPr>
            <w:tblGrid>
              <w:gridCol w:w="4320"/>
              <w:gridCol w:w="315"/>
              <w:gridCol w:w="420"/>
              <w:gridCol w:w="465"/>
              <w:gridCol w:w="390"/>
              <w:gridCol w:w="435"/>
              <w:gridCol w:w="450"/>
              <w:gridCol w:w="390"/>
              <w:tblGridChange w:id="0">
                <w:tblGrid>
                  <w:gridCol w:w="4320"/>
                  <w:gridCol w:w="315"/>
                  <w:gridCol w:w="420"/>
                  <w:gridCol w:w="465"/>
                  <w:gridCol w:w="390"/>
                  <w:gridCol w:w="435"/>
                  <w:gridCol w:w="450"/>
                  <w:gridCol w:w="390"/>
                </w:tblGrid>
              </w:tblGridChange>
            </w:tblGrid>
            <w:tr>
              <w:trPr>
                <w:cantSplit w:val="0"/>
                <w:trHeight w:val="2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ACTIVIDAD /MESES</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3">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4">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5">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r>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D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Aprestamiento (caracterización, insumos, materiales, acuerdos, GDB)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E">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Aislamientos de protección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Enriquecimiento con material vegetal nativo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39.94140624999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herramientas de manejo del paisaje-HMP (SSC en ganadería)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Taller y capacitaciones en RE y SSC.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Firma de acuerdos voluntarios de conservación con beneficiarios.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x</w:t>
                  </w: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Seguimiento al funcionamiento de las diferentes implementaciones.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r>
          </w:tbl>
          <w:p w:rsidR="00000000" w:rsidDel="00000000" w:rsidP="00000000" w:rsidRDefault="00000000" w:rsidRPr="00000000" w14:paraId="00000110">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11">
            <w:pPr>
              <w:spacing w:line="276" w:lineRule="auto"/>
              <w:jc w:val="center"/>
              <w:rPr>
                <w:rFonts w:ascii="Times New Roman" w:cs="Times New Roman" w:eastAsia="Times New Roman" w:hAnsi="Times New Roman"/>
                <w:sz w:val="20"/>
                <w:szCs w:val="20"/>
                <w:highlight w:val="red"/>
              </w:rPr>
            </w:pPr>
            <w:r w:rsidDel="00000000" w:rsidR="00000000" w:rsidRPr="00000000">
              <w:rPr>
                <w:rtl w:val="0"/>
              </w:rPr>
            </w:r>
          </w:p>
        </w:tc>
      </w:tr>
    </w:tbl>
    <w:p w:rsidR="00000000" w:rsidDel="00000000" w:rsidP="00000000" w:rsidRDefault="00000000" w:rsidRPr="00000000" w14:paraId="00000112">
      <w:pPr>
        <w:rPr>
          <w:rFonts w:ascii="Times New Roman" w:cs="Times New Roman" w:eastAsia="Times New Roman" w:hAnsi="Times New Roman"/>
          <w:sz w:val="20"/>
          <w:szCs w:val="20"/>
        </w:rPr>
      </w:pPr>
      <w:r w:rsidDel="00000000" w:rsidR="00000000" w:rsidRPr="00000000">
        <w:rPr>
          <w:rtl w:val="0"/>
        </w:rPr>
      </w:r>
    </w:p>
    <w:sectPr>
      <w:headerReference r:id="rId9" w:type="default"/>
      <w:pgSz w:h="15840" w:w="12240" w:orient="portrait"/>
      <w:pgMar w:bottom="1417" w:top="1417" w:left="1701" w:right="1701" w:header="11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firstLine="708"/>
      <w:jc w:val="center"/>
      <w:rPr>
        <w:color w:val="000000"/>
      </w:rPr>
    </w:pPr>
    <w:r w:rsidDel="00000000" w:rsidR="00000000" w:rsidRPr="00000000">
      <w:rPr/>
      <w:drawing>
        <wp:inline distB="114300" distT="114300" distL="114300" distR="114300">
          <wp:extent cx="923925" cy="838200"/>
          <wp:effectExtent b="0" l="0" r="0" t="0"/>
          <wp:docPr id="2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23925" cy="838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a" w:customStyle="1">
    <w:basedOn w:val="TableNormal3"/>
    <w:pPr>
      <w:spacing w:after="0" w:line="240" w:lineRule="auto"/>
    </w:pPr>
    <w:tblPr>
      <w:tblStyleRowBandSize w:val="1"/>
      <w:tblStyleColBandSize w:val="1"/>
      <w:tblCellMar>
        <w:left w:w="70.0" w:type="dxa"/>
        <w:right w:w="70.0" w:type="dxa"/>
      </w:tblCellMar>
    </w:tblPr>
  </w:style>
  <w:style w:type="table" w:styleId="a0" w:customStyle="1">
    <w:basedOn w:val="TableNormal3"/>
    <w:pPr>
      <w:spacing w:after="0" w:line="240" w:lineRule="auto"/>
    </w:pPr>
    <w:tblPr>
      <w:tblStyleRowBandSize w:val="1"/>
      <w:tblStyleColBandSize w:val="1"/>
      <w:tblCellMar>
        <w:left w:w="70.0" w:type="dxa"/>
        <w:right w:w="70.0" w:type="dxa"/>
      </w:tblCellMar>
    </w:tblPr>
  </w:style>
  <w:style w:type="table" w:styleId="a1" w:customStyle="1">
    <w:basedOn w:val="TableNormal3"/>
    <w:pPr>
      <w:spacing w:after="0" w:line="240" w:lineRule="auto"/>
    </w:pPr>
    <w:tblPr>
      <w:tblStyleRowBandSize w:val="1"/>
      <w:tblStyleColBandSize w:val="1"/>
      <w:tblCellMar>
        <w:left w:w="70.0" w:type="dxa"/>
        <w:right w:w="70.0" w:type="dxa"/>
      </w:tblCellMar>
    </w:tblPr>
  </w:style>
  <w:style w:type="table" w:styleId="a2" w:customStyle="1">
    <w:basedOn w:val="TableNormal3"/>
    <w:pPr>
      <w:spacing w:after="0" w:line="240" w:lineRule="auto"/>
    </w:pPr>
    <w:tblPr>
      <w:tblStyleRowBandSize w:val="1"/>
      <w:tblStyleColBandSize w:val="1"/>
      <w:tblCellMar>
        <w:left w:w="70.0" w:type="dxa"/>
        <w:right w:w="70.0" w:type="dxa"/>
      </w:tblCellMar>
    </w:tblPr>
  </w:style>
  <w:style w:type="table" w:styleId="a3" w:customStyle="1">
    <w:basedOn w:val="TableNormal3"/>
    <w:pPr>
      <w:spacing w:after="0" w:line="240" w:lineRule="auto"/>
    </w:pPr>
    <w:tblPr>
      <w:tblStyleRowBandSize w:val="1"/>
      <w:tblStyleColBandSize w:val="1"/>
      <w:tblCellMar>
        <w:left w:w="70.0" w:type="dxa"/>
        <w:right w:w="70.0" w:type="dxa"/>
      </w:tblCellMar>
    </w:tblPr>
  </w:style>
  <w:style w:type="table" w:styleId="a4" w:customStyle="1">
    <w:basedOn w:val="TableNormal3"/>
    <w:pPr>
      <w:spacing w:after="0" w:line="240" w:lineRule="auto"/>
    </w:pPr>
    <w:tblPr>
      <w:tblStyleRowBandSize w:val="1"/>
      <w:tblStyleColBandSize w:val="1"/>
      <w:tblCellMar>
        <w:left w:w="70.0" w:type="dxa"/>
        <w:right w:w="70.0" w:type="dxa"/>
      </w:tblCellMar>
    </w:tblPr>
  </w:style>
  <w:style w:type="table" w:styleId="a5" w:customStyle="1">
    <w:basedOn w:val="TableNormal3"/>
    <w:pPr>
      <w:spacing w:after="0" w:line="240" w:lineRule="auto"/>
    </w:pPr>
    <w:tblPr>
      <w:tblStyleRowBandSize w:val="1"/>
      <w:tblStyleColBandSize w:val="1"/>
      <w:tblCellMar>
        <w:left w:w="70.0" w:type="dxa"/>
        <w:right w:w="70.0" w:type="dxa"/>
      </w:tblCellMar>
    </w:tblPr>
  </w:style>
  <w:style w:type="table" w:styleId="a6" w:customStyle="1">
    <w:basedOn w:val="TableNormal3"/>
    <w:pPr>
      <w:spacing w:after="0" w:line="240" w:lineRule="auto"/>
    </w:pPr>
    <w:tblPr>
      <w:tblStyleRowBandSize w:val="1"/>
      <w:tblStyleColBandSize w:val="1"/>
      <w:tblCellMar>
        <w:left w:w="70.0" w:type="dxa"/>
        <w:right w:w="70.0" w:type="dxa"/>
      </w:tblCellMar>
    </w:tblPr>
  </w:style>
  <w:style w:type="table" w:styleId="a7" w:customStyle="1">
    <w:basedOn w:val="TableNormal3"/>
    <w:pPr>
      <w:spacing w:after="0" w:line="240" w:lineRule="auto"/>
    </w:pPr>
    <w:tblPr>
      <w:tblStyleRowBandSize w:val="1"/>
      <w:tblStyleColBandSize w:val="1"/>
      <w:tblCellMar>
        <w:left w:w="70.0" w:type="dxa"/>
        <w:right w:w="70.0" w:type="dxa"/>
      </w:tblCellMar>
    </w:tblPr>
  </w:style>
  <w:style w:type="table" w:styleId="a8" w:customStyle="1">
    <w:basedOn w:val="TableNormal3"/>
    <w:pPr>
      <w:spacing w:after="0" w:line="240" w:lineRule="auto"/>
    </w:pPr>
    <w:tblPr>
      <w:tblStyleRowBandSize w:val="1"/>
      <w:tblStyleColBandSize w:val="1"/>
      <w:tblCellMar>
        <w:left w:w="70.0" w:type="dxa"/>
        <w:right w:w="70.0" w:type="dxa"/>
      </w:tblCellMar>
    </w:tblPr>
  </w:style>
  <w:style w:type="table" w:styleId="a9" w:customStyle="1">
    <w:basedOn w:val="TableNormal3"/>
    <w:pPr>
      <w:spacing w:after="0" w:line="240" w:lineRule="auto"/>
    </w:pPr>
    <w:tblPr>
      <w:tblStyleRowBandSize w:val="1"/>
      <w:tblStyleColBandSize w:val="1"/>
      <w:tblCellMar>
        <w:left w:w="70.0" w:type="dxa"/>
        <w:right w:w="70.0" w:type="dxa"/>
      </w:tblCellMar>
    </w:tblPr>
  </w:style>
  <w:style w:type="table" w:styleId="aa" w:customStyle="1">
    <w:basedOn w:val="TableNormal3"/>
    <w:pPr>
      <w:spacing w:after="0" w:line="240" w:lineRule="auto"/>
    </w:pPr>
    <w:tblPr>
      <w:tblStyleRowBandSize w:val="1"/>
      <w:tblStyleColBandSize w:val="1"/>
      <w:tblCellMar>
        <w:left w:w="70.0" w:type="dxa"/>
        <w:right w:w="70.0" w:type="dxa"/>
      </w:tblCellMar>
    </w:tblPr>
  </w:style>
  <w:style w:type="table" w:styleId="ab" w:customStyle="1">
    <w:basedOn w:val="TableNormal3"/>
    <w:pPr>
      <w:spacing w:after="0" w:line="240" w:lineRule="auto"/>
    </w:pPr>
    <w:tblPr>
      <w:tblStyleRowBandSize w:val="1"/>
      <w:tblStyleColBandSize w:val="1"/>
      <w:tblCellMar>
        <w:left w:w="70.0" w:type="dxa"/>
        <w:right w:w="70.0" w:type="dxa"/>
      </w:tblCellMar>
    </w:tblPr>
  </w:style>
  <w:style w:type="table" w:styleId="ac" w:customStyle="1">
    <w:basedOn w:val="TableNormal3"/>
    <w:pPr>
      <w:spacing w:after="0" w:line="240" w:lineRule="auto"/>
    </w:pPr>
    <w:tblPr>
      <w:tblStyleRowBandSize w:val="1"/>
      <w:tblStyleColBandSize w:val="1"/>
      <w:tblCellMar>
        <w:left w:w="70.0" w:type="dxa"/>
        <w:right w:w="70.0" w:type="dxa"/>
      </w:tblCellMar>
    </w:tblPr>
  </w:style>
  <w:style w:type="table" w:styleId="ad" w:customStyle="1">
    <w:basedOn w:val="TableNormal3"/>
    <w:pPr>
      <w:spacing w:after="0" w:line="240" w:lineRule="auto"/>
    </w:pPr>
    <w:tblPr>
      <w:tblStyleRowBandSize w:val="1"/>
      <w:tblStyleColBandSize w:val="1"/>
      <w:tblCellMar>
        <w:left w:w="70.0" w:type="dxa"/>
        <w:right w:w="70.0" w:type="dxa"/>
      </w:tblCellMar>
    </w:tblPr>
  </w:style>
  <w:style w:type="table" w:styleId="ae" w:customStyle="1">
    <w:basedOn w:val="TableNormal3"/>
    <w:pPr>
      <w:spacing w:after="0" w:line="240" w:lineRule="auto"/>
    </w:pPr>
    <w:tblPr>
      <w:tblStyleRowBandSize w:val="1"/>
      <w:tblStyleColBandSize w:val="1"/>
      <w:tblCellMar>
        <w:left w:w="70.0" w:type="dxa"/>
        <w:right w:w="7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Tablaconcuadrcula">
    <w:name w:val="Table Grid"/>
    <w:basedOn w:val="Tablanormal"/>
    <w:uiPriority w:val="39"/>
    <w:rsid w:val="00DB78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454B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54B6D"/>
    <w:rPr>
      <w:rFonts w:ascii="Segoe UI" w:cs="Segoe UI" w:hAnsi="Segoe UI"/>
      <w:sz w:val="18"/>
      <w:szCs w:val="18"/>
    </w:rPr>
  </w:style>
  <w:style w:type="table" w:styleId="af" w:customStyle="1">
    <w:basedOn w:val="TableNormal0"/>
    <w:pPr>
      <w:spacing w:after="0" w:line="240" w:lineRule="auto"/>
    </w:pPr>
    <w:tblPr>
      <w:tblStyleRowBandSize w:val="1"/>
      <w:tblStyleColBandSize w:val="1"/>
      <w:tblCellMar>
        <w:left w:w="70.0" w:type="dxa"/>
        <w:right w:w="70.0" w:type="dxa"/>
      </w:tblCellMar>
    </w:tblPr>
  </w:style>
  <w:style w:type="table" w:styleId="af0" w:customStyle="1">
    <w:basedOn w:val="TableNormal0"/>
    <w:pPr>
      <w:spacing w:after="0" w:line="240" w:lineRule="auto"/>
    </w:pPr>
    <w:tblPr>
      <w:tblStyleRowBandSize w:val="1"/>
      <w:tblStyleColBandSize w:val="1"/>
      <w:tblCellMar>
        <w:left w:w="108.0" w:type="dxa"/>
        <w:right w:w="108.0" w:type="dxa"/>
      </w:tblCellMar>
    </w:tblPr>
  </w:style>
  <w:style w:type="table" w:styleId="af1" w:customStyle="1">
    <w:basedOn w:val="TableNormal0"/>
    <w:pPr>
      <w:spacing w:after="0" w:line="240" w:lineRule="auto"/>
    </w:pPr>
    <w:tblPr>
      <w:tblStyleRowBandSize w:val="1"/>
      <w:tblStyleColBandSize w:val="1"/>
      <w:tblCellMar>
        <w:left w:w="70.0" w:type="dxa"/>
        <w:right w:w="70.0" w:type="dxa"/>
      </w:tblCellMar>
    </w:tblPr>
  </w:style>
  <w:style w:type="table" w:styleId="af2" w:customStyle="1">
    <w:basedOn w:val="TableNormal0"/>
    <w:pPr>
      <w:spacing w:after="0" w:line="240" w:lineRule="auto"/>
    </w:pPr>
    <w:tblPr>
      <w:tblStyleRowBandSize w:val="1"/>
      <w:tblStyleColBandSize w:val="1"/>
      <w:tblCellMar>
        <w:left w:w="70.0" w:type="dxa"/>
        <w:right w:w="70.0" w:type="dxa"/>
      </w:tblCellMar>
    </w:tblPr>
  </w:style>
  <w:style w:type="table" w:styleId="af3" w:customStyle="1">
    <w:basedOn w:val="TableNormal0"/>
    <w:pPr>
      <w:spacing w:after="0" w:line="240" w:lineRule="auto"/>
    </w:pPr>
    <w:tblPr>
      <w:tblStyleRowBandSize w:val="1"/>
      <w:tblStyleColBandSize w:val="1"/>
      <w:tblCellMar>
        <w:left w:w="70.0" w:type="dxa"/>
        <w:right w:w="70.0" w:type="dxa"/>
      </w:tblCellMar>
    </w:tblPr>
  </w:style>
  <w:style w:type="table" w:styleId="af4" w:customStyle="1">
    <w:basedOn w:val="TableNormal0"/>
    <w:pPr>
      <w:spacing w:after="0" w:line="240" w:lineRule="auto"/>
    </w:pPr>
    <w:tblPr>
      <w:tblStyleRowBandSize w:val="1"/>
      <w:tblStyleColBandSize w:val="1"/>
      <w:tblCellMar>
        <w:left w:w="7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6XudcVWphpjmnEJ5K3Uq6c+tQ==">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2024-10-04T03:29:00Z</dcterms:created>
  <dc:creator>Acer</dc:creator>
</cp:coreProperties>
</file>