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7D4D42" w:rsidRDefault="004A5328" w:rsidP="007D4D42">
      <w:pPr>
        <w:spacing w:line="276" w:lineRule="auto"/>
        <w:jc w:val="center"/>
        <w:rPr>
          <w:rFonts w:ascii="Arial" w:eastAsia="Tahoma" w:hAnsi="Arial" w:cs="Arial"/>
          <w:b/>
        </w:rPr>
      </w:pPr>
      <w:bookmarkStart w:id="0" w:name="_Hlk155191474"/>
      <w:r w:rsidRPr="007D4D42">
        <w:rPr>
          <w:rFonts w:ascii="Arial" w:eastAsia="Tahoma" w:hAnsi="Arial" w:cs="Arial"/>
          <w:b/>
        </w:rPr>
        <w:t xml:space="preserve">ANÁLISIS DEL SECTOR ECONÓMICO </w:t>
      </w:r>
    </w:p>
    <w:p w14:paraId="0B67E3DB" w14:textId="77777777" w:rsidR="004A5328" w:rsidRPr="007D4D42" w:rsidRDefault="004A5328" w:rsidP="007D4D42">
      <w:pPr>
        <w:spacing w:line="276" w:lineRule="auto"/>
        <w:jc w:val="both"/>
        <w:rPr>
          <w:rFonts w:ascii="Arial" w:eastAsia="Tahoma" w:hAnsi="Arial" w:cs="Arial"/>
        </w:rPr>
      </w:pPr>
      <w:r w:rsidRPr="007D4D42">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Pr="007D4D42" w:rsidRDefault="004A5328" w:rsidP="007D4D42">
      <w:pPr>
        <w:spacing w:line="276" w:lineRule="auto"/>
        <w:jc w:val="both"/>
        <w:rPr>
          <w:rFonts w:ascii="Arial" w:eastAsia="Tahoma" w:hAnsi="Arial" w:cs="Arial"/>
        </w:rPr>
      </w:pPr>
      <w:r w:rsidRPr="007D4D42">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7D4D42" w:rsidRDefault="00E97EE3" w:rsidP="007D4D42">
      <w:pPr>
        <w:spacing w:line="276" w:lineRule="auto"/>
        <w:jc w:val="both"/>
        <w:rPr>
          <w:rFonts w:ascii="Arial" w:eastAsia="Tahoma" w:hAnsi="Arial" w:cs="Arial"/>
        </w:rPr>
      </w:pPr>
    </w:p>
    <w:p w14:paraId="6A533CF6" w14:textId="183EC28D" w:rsidR="00C87722" w:rsidRPr="007D4D42" w:rsidRDefault="004A5328" w:rsidP="007D4D42">
      <w:pPr>
        <w:spacing w:line="276" w:lineRule="auto"/>
        <w:jc w:val="both"/>
        <w:rPr>
          <w:rFonts w:ascii="Arial" w:hAnsi="Arial" w:cs="Arial"/>
          <w:b/>
          <w:bCs/>
          <w:iCs/>
        </w:rPr>
      </w:pPr>
      <w:r w:rsidRPr="007D4D42">
        <w:rPr>
          <w:rFonts w:ascii="Arial" w:eastAsia="Tahoma" w:hAnsi="Arial" w:cs="Arial"/>
          <w:b/>
          <w:bCs/>
        </w:rPr>
        <w:t>OBJETO</w:t>
      </w:r>
      <w:r w:rsidRPr="007D4D42">
        <w:rPr>
          <w:rFonts w:ascii="Arial" w:eastAsia="Tahoma" w:hAnsi="Arial" w:cs="Arial"/>
        </w:rPr>
        <w:t xml:space="preserve">: </w:t>
      </w:r>
      <w:r w:rsidR="007D4D42" w:rsidRPr="007D4D42">
        <w:rPr>
          <w:rFonts w:ascii="Arial" w:hAnsi="Arial" w:cs="Arial"/>
          <w:b/>
          <w:bCs/>
        </w:rPr>
        <w:t>PRESTACIÓN DE SERVICIOS PARA LA IMPLEMENTACIÓN DE UN MODELO INTEGRAL DE ATENCIÓN Y REHABILITACIÓN INTEGRAL A LAS PERSONAS EN CONDICIÓN DE DISCAPACIDAD Y CUIDADORES EN EL MUNICIPIO DE SAN JACINTO.</w:t>
      </w:r>
    </w:p>
    <w:p w14:paraId="576B87DD" w14:textId="3955D5C6" w:rsidR="004A5328" w:rsidRPr="007D4D42" w:rsidRDefault="004A5328" w:rsidP="007D4D42">
      <w:pPr>
        <w:pStyle w:val="Prrafodelista"/>
        <w:numPr>
          <w:ilvl w:val="0"/>
          <w:numId w:val="25"/>
        </w:numPr>
        <w:spacing w:line="276" w:lineRule="auto"/>
        <w:jc w:val="both"/>
        <w:rPr>
          <w:rFonts w:ascii="Arial" w:eastAsia="Tahoma" w:hAnsi="Arial" w:cs="Arial"/>
          <w:b/>
        </w:rPr>
      </w:pPr>
      <w:r w:rsidRPr="007D4D42">
        <w:rPr>
          <w:rFonts w:ascii="Arial" w:eastAsia="Tahoma" w:hAnsi="Arial" w:cs="Arial"/>
          <w:b/>
        </w:rPr>
        <w:t>ANTECEDENTES</w:t>
      </w:r>
    </w:p>
    <w:p w14:paraId="48EBDE36" w14:textId="77777777" w:rsidR="00695214" w:rsidRPr="007D4D42" w:rsidRDefault="00695214" w:rsidP="007D4D42">
      <w:pPr>
        <w:widowControl w:val="0"/>
        <w:autoSpaceDE w:val="0"/>
        <w:autoSpaceDN w:val="0"/>
        <w:adjustRightInd w:val="0"/>
        <w:spacing w:after="0" w:line="276" w:lineRule="auto"/>
        <w:ind w:right="82"/>
        <w:jc w:val="both"/>
        <w:rPr>
          <w:rFonts w:ascii="Arial" w:hAnsi="Arial" w:cs="Arial"/>
        </w:rPr>
      </w:pPr>
    </w:p>
    <w:p w14:paraId="41EFF2BB" w14:textId="77777777" w:rsidR="007D4D42" w:rsidRPr="007D4D42" w:rsidRDefault="007D4D42" w:rsidP="007D4D42">
      <w:pPr>
        <w:spacing w:line="276" w:lineRule="auto"/>
        <w:jc w:val="both"/>
        <w:rPr>
          <w:rFonts w:ascii="Arial" w:hAnsi="Arial" w:cs="Arial"/>
          <w:i/>
          <w:iCs/>
        </w:rPr>
      </w:pPr>
      <w:bookmarkStart w:id="1" w:name="_Hlk178265924"/>
      <w:r w:rsidRPr="007D4D42">
        <w:rPr>
          <w:rFonts w:ascii="Arial" w:hAnsi="Arial" w:cs="Arial"/>
        </w:rPr>
        <w:t xml:space="preserve">La Constitución Política de Colombia estableció en su artículo 2° que son fines esenciales del Estado: </w:t>
      </w:r>
      <w:r w:rsidRPr="007D4D42">
        <w:rPr>
          <w:rFonts w:ascii="Arial" w:hAnsi="Arial" w:cs="Arial"/>
          <w:i/>
          <w:iC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2D3FCEDF" w14:textId="77777777" w:rsidR="007D4D42" w:rsidRPr="007D4D42" w:rsidRDefault="007D4D42" w:rsidP="007D4D42">
      <w:pPr>
        <w:spacing w:line="276" w:lineRule="auto"/>
        <w:jc w:val="both"/>
        <w:rPr>
          <w:rFonts w:ascii="Arial" w:hAnsi="Arial" w:cs="Arial"/>
        </w:rPr>
      </w:pPr>
      <w:r w:rsidRPr="007D4D42">
        <w:rPr>
          <w:rFonts w:ascii="Arial" w:hAnsi="Arial" w:cs="Arial"/>
        </w:rPr>
        <w:t>Asimismo, en su artículo 311 ibidem, estableció que: “El municipio es la Entidad fundamental de la división político-administrativa y en tal medida le impone como su responsabilidad la prestación de los servicios públicos que determine la ley, construir la obras que demande el progreso local, ordenar el desarrollo de su territorio, promover la participación comunitaria, el mejoramiento social y cultural de sus habitantes…”.</w:t>
      </w:r>
    </w:p>
    <w:p w14:paraId="03EFF9D0" w14:textId="77777777" w:rsidR="007D4D42" w:rsidRPr="007D4D42" w:rsidRDefault="007D4D42" w:rsidP="007D4D42">
      <w:pPr>
        <w:pStyle w:val="Sinespaciado"/>
        <w:spacing w:line="276" w:lineRule="auto"/>
        <w:jc w:val="both"/>
        <w:rPr>
          <w:rFonts w:ascii="Arial" w:hAnsi="Arial" w:cs="Arial"/>
        </w:rPr>
      </w:pPr>
      <w:r w:rsidRPr="007D4D42">
        <w:rPr>
          <w:rFonts w:ascii="Arial" w:hAnsi="Arial" w:cs="Arial"/>
        </w:rPr>
        <w:t>Como entidad descentralizada territorialmente cuenta con autonomía para adelantar y desarrollar los procesos contractuales orientados a desarrollar el plan de desarrollo municipal, para de esta manera cumplir con los fines que la constitución política le señala al estado, tal como lo dispone el artículo 2° de la carta superior y 3° de la Ley 80 de 1993.</w:t>
      </w:r>
    </w:p>
    <w:p w14:paraId="284F47E7" w14:textId="77777777" w:rsidR="007D4D42" w:rsidRPr="007D4D42" w:rsidRDefault="007D4D42" w:rsidP="007D4D42">
      <w:pPr>
        <w:pStyle w:val="Sinespaciado"/>
        <w:spacing w:line="276" w:lineRule="auto"/>
        <w:jc w:val="both"/>
        <w:rPr>
          <w:rFonts w:ascii="Arial" w:hAnsi="Arial" w:cs="Arial"/>
        </w:rPr>
      </w:pPr>
    </w:p>
    <w:p w14:paraId="04862A42" w14:textId="77777777" w:rsidR="007D4D42" w:rsidRPr="007D4D42" w:rsidRDefault="007D4D42" w:rsidP="007D4D42">
      <w:pPr>
        <w:spacing w:line="276" w:lineRule="auto"/>
        <w:jc w:val="both"/>
        <w:rPr>
          <w:rFonts w:ascii="Arial" w:hAnsi="Arial" w:cs="Arial"/>
        </w:rPr>
      </w:pPr>
      <w:r w:rsidRPr="007D4D42">
        <w:rPr>
          <w:rFonts w:ascii="Arial" w:hAnsi="Arial" w:cs="Arial"/>
        </w:rPr>
        <w:t>Que dentro de las funciones que corresponde asumir al MUNICIPIO, están las de prestar los servicios públicos que determine la Ley, igualmente ordenar el desarrollo de su territorio y construir las obras que demande el progreso municipal; la promoción de la participación comunitaria y el mejoramiento social y cultural de sus habitantes, planificar el desarrollo económico, social y ambiental de su jurisdicción de conformidad con la Ley y en coordinación con otras necesidades, solucionar las necesidades insatisfechas de salud, educación, saneamiento ambiental, agua potable, servicios públicos domiciliarios, vivienda, recreación y deporte, con especial énfasis en la niñez, la mujer, la tercera edad y los sectores discapacitados, directamente y en concurrencia, complementariedad y coordinación con las demás entidades territoriales y la nación, al temor de la Ley, velar por el adecuado manejo de los recursos naturales y del medio ambiente; promover el mejoramiento económico y social de los habitantes del municipio y las demás funciones y competencias que le señale la constitución y la Ley.</w:t>
      </w:r>
    </w:p>
    <w:p w14:paraId="2A0FE871" w14:textId="77777777" w:rsidR="007D4D42" w:rsidRPr="007D4D42" w:rsidRDefault="007D4D42" w:rsidP="007D4D42">
      <w:pPr>
        <w:spacing w:line="276" w:lineRule="auto"/>
        <w:jc w:val="both"/>
        <w:rPr>
          <w:rFonts w:ascii="Arial" w:hAnsi="Arial" w:cs="Arial"/>
        </w:rPr>
      </w:pPr>
      <w:r w:rsidRPr="007D4D42">
        <w:rPr>
          <w:rFonts w:ascii="Arial" w:hAnsi="Arial" w:cs="Arial"/>
        </w:rPr>
        <w:t>El municipio de San Jacinto, Bolívar, cuenta con una población significativa de personas en condición de discapacidad que requieren atención especializada, continua e integral, orientada a la rehabilitación física, psicosocial y funcional, con el fin de mejorar su calidad de vida, promover su inclusión social y garantizar el goce efectivo de sus derechos fundamentales.</w:t>
      </w:r>
    </w:p>
    <w:p w14:paraId="3F54EEF3" w14:textId="77777777" w:rsidR="007D4D42" w:rsidRPr="007D4D42" w:rsidRDefault="007D4D42" w:rsidP="007D4D42">
      <w:pPr>
        <w:spacing w:line="276" w:lineRule="auto"/>
        <w:jc w:val="both"/>
        <w:rPr>
          <w:rFonts w:ascii="Arial" w:hAnsi="Arial" w:cs="Arial"/>
        </w:rPr>
      </w:pPr>
      <w:r w:rsidRPr="007D4D42">
        <w:rPr>
          <w:rFonts w:ascii="Arial" w:hAnsi="Arial" w:cs="Arial"/>
        </w:rPr>
        <w:lastRenderedPageBreak/>
        <w:t>Actualmente, el municipio no dispone de la capacidad técnica, humana ni operativa suficiente para prestar directamente estos servicios especializados, tales como terapias físicas, ocupacionales, de lenguaje, acompañamiento psicosocial, orientación familiar y procesos de rehabilitación integral, los cuales demandan personal calificado, infraestructura adecuada y experiencia específica en la atención a esta población.</w:t>
      </w:r>
    </w:p>
    <w:p w14:paraId="385FA716" w14:textId="77777777" w:rsidR="007D4D42" w:rsidRPr="007D4D42" w:rsidRDefault="007D4D42" w:rsidP="007D4D42">
      <w:pPr>
        <w:spacing w:line="276" w:lineRule="auto"/>
        <w:jc w:val="both"/>
        <w:rPr>
          <w:rFonts w:ascii="Arial" w:hAnsi="Arial" w:cs="Arial"/>
        </w:rPr>
      </w:pPr>
      <w:r w:rsidRPr="007D4D42">
        <w:rPr>
          <w:rFonts w:ascii="Arial" w:hAnsi="Arial" w:cs="Arial"/>
        </w:rPr>
        <w:t>En este sentido, se hace necesaria la celebración de un contrato de prestación de servicios con una entidad idónea y legalmente habilitada, que cuente con el talento humano especializado y los medios técnicos requeridos para garantizar una atención oportuna, eficiente y de calidad a las personas en condición de discapacidad del municipio.</w:t>
      </w:r>
    </w:p>
    <w:p w14:paraId="4899C36B" w14:textId="77777777" w:rsidR="007D4D42" w:rsidRPr="007D4D42" w:rsidRDefault="007D4D42" w:rsidP="007D4D42">
      <w:pPr>
        <w:spacing w:line="276" w:lineRule="auto"/>
        <w:jc w:val="both"/>
        <w:rPr>
          <w:rFonts w:ascii="Arial" w:hAnsi="Arial" w:cs="Arial"/>
        </w:rPr>
      </w:pPr>
      <w:r w:rsidRPr="007D4D42">
        <w:rPr>
          <w:rFonts w:ascii="Arial" w:hAnsi="Arial" w:cs="Arial"/>
        </w:rPr>
        <w:t>La contratación de estos servicios resulta indispensable para dar cumplimiento a los mandatos constitucionales y legales, en especial los principios de dignidad humana, igualdad, inclusión social y protección especial a las personas en condición de discapacidad, consagrados en la Constitución Política de Colombia, la Ley 1346 de 2009, la Ley 1618 de 2013 y demás normas concordantes.</w:t>
      </w:r>
    </w:p>
    <w:p w14:paraId="4DEAC433" w14:textId="77777777" w:rsidR="007D4D42" w:rsidRPr="007D4D42" w:rsidRDefault="007D4D42" w:rsidP="007D4D42">
      <w:pPr>
        <w:spacing w:line="276" w:lineRule="auto"/>
        <w:jc w:val="both"/>
        <w:rPr>
          <w:rFonts w:ascii="Arial" w:hAnsi="Arial" w:cs="Arial"/>
        </w:rPr>
      </w:pPr>
      <w:r w:rsidRPr="007D4D42">
        <w:rPr>
          <w:rFonts w:ascii="Arial" w:hAnsi="Arial" w:cs="Arial"/>
        </w:rPr>
        <w:t>Así mismo, este contrato permitirá mitigar factores de exclusión, dependencia y deterioro funcional, contribuyendo al fortalecimiento de la autonomía personal, la integración familiar y comunitaria, y la reducción de riesgos asociados a la falta de atención especializada.</w:t>
      </w:r>
    </w:p>
    <w:p w14:paraId="4275BAAF" w14:textId="77777777" w:rsidR="007D4D42" w:rsidRPr="007D4D42" w:rsidRDefault="007D4D42" w:rsidP="007D4D42">
      <w:pPr>
        <w:spacing w:line="276" w:lineRule="auto"/>
        <w:jc w:val="both"/>
        <w:rPr>
          <w:rFonts w:ascii="Arial" w:hAnsi="Arial" w:cs="Arial"/>
        </w:rPr>
      </w:pPr>
      <w:r w:rsidRPr="007D4D42">
        <w:rPr>
          <w:rFonts w:ascii="Arial" w:hAnsi="Arial" w:cs="Arial"/>
        </w:rPr>
        <w:t>La necesidad de un contrato de prestación de servicios para la atención y rehabilitación integral de personas en condición de discapacidad en San Jacinto, Bolívar, surge como respuesta a la obligación del Estado y de las entidades territoriales de garantizar los derechos fundamentales de esta población, conforme a la Constitución Política de Colombia, la Ley 1618 de 2013 y la Ley 1145 de 2007, que establecen el marco para la inclusión, la atención integral y la equiparación de oportunidades.</w:t>
      </w:r>
    </w:p>
    <w:p w14:paraId="3987A377" w14:textId="77777777" w:rsidR="007D4D42" w:rsidRPr="007D4D42" w:rsidRDefault="007D4D42" w:rsidP="007D4D42">
      <w:pPr>
        <w:spacing w:line="276" w:lineRule="auto"/>
        <w:jc w:val="both"/>
        <w:rPr>
          <w:rFonts w:ascii="Arial" w:hAnsi="Arial" w:cs="Arial"/>
        </w:rPr>
      </w:pPr>
      <w:r w:rsidRPr="007D4D42">
        <w:rPr>
          <w:rFonts w:ascii="Arial" w:hAnsi="Arial" w:cs="Arial"/>
        </w:rPr>
        <w:t>Estas barreras incluyen la falta de infraestructura adecuada, la escasez de personal capacitado en rehabilitación funcional y psicosocial, así como la limitada oferta institucional en zonas rurales y de difícil acceso. Por tanto, la suscripción de un contrato de prestación de servicios se hace necesaria para garantizar una atención oportuna, continua y con calidad, que permita mejorar las condiciones de vida de estas personas y fortalecer la inclusión social.</w:t>
      </w:r>
    </w:p>
    <w:p w14:paraId="2396E88B" w14:textId="77777777" w:rsidR="007D4D42" w:rsidRPr="007D4D42" w:rsidRDefault="007D4D42" w:rsidP="007D4D42">
      <w:pPr>
        <w:spacing w:line="276" w:lineRule="auto"/>
        <w:jc w:val="both"/>
        <w:rPr>
          <w:rFonts w:ascii="Arial" w:hAnsi="Arial" w:cs="Arial"/>
        </w:rPr>
      </w:pPr>
      <w:r w:rsidRPr="007D4D42">
        <w:rPr>
          <w:rFonts w:ascii="Arial" w:hAnsi="Arial" w:cs="Arial"/>
        </w:rPr>
        <w:t>Este contrato tendría como objeto la prestación de servicios especializados de valoración, atención terapéutica, orientación psicosocial, acompañamiento familiar y rehabilitación integral de personas en condición de discapacidad, en coordinación con las entidades del Sistema General de Seguridad Social en Salud y la administración municipal. Su implementación permitiría ofrecer terapias físicas, ocupacionales, del lenguaje y psicológicas, así como actividades de inclusión social, formación a cuidadores y asesorías en adaptación de entornos accesibles.</w:t>
      </w:r>
    </w:p>
    <w:p w14:paraId="6F63EDF1" w14:textId="77777777" w:rsidR="007D4D42" w:rsidRPr="007D4D42" w:rsidRDefault="007D4D42" w:rsidP="007D4D42">
      <w:pPr>
        <w:spacing w:line="276" w:lineRule="auto"/>
        <w:jc w:val="both"/>
        <w:rPr>
          <w:rFonts w:ascii="Arial" w:hAnsi="Arial" w:cs="Arial"/>
        </w:rPr>
      </w:pPr>
      <w:r w:rsidRPr="007D4D42">
        <w:rPr>
          <w:rFonts w:ascii="Arial" w:hAnsi="Arial" w:cs="Arial"/>
        </w:rPr>
        <w:t>Además, la contratación de profesionales especializados —como fisioterapeutas, terapeutas ocupacionales, psicólogos, trabajadores sociales y fonoaudiólogos— garantizaría un abordaje interdisciplinario acorde con las necesidades específicas de cada usuario. Esto no solo contribuiría al bienestar físico y emocional de las personas con discapacidad, sino que también favorecería su autonomía y la participación activa en la comunidad.</w:t>
      </w:r>
    </w:p>
    <w:p w14:paraId="67AC2165" w14:textId="77777777" w:rsidR="007D4D42" w:rsidRPr="007D4D42" w:rsidRDefault="007D4D42" w:rsidP="007D4D42">
      <w:pPr>
        <w:spacing w:line="276" w:lineRule="auto"/>
        <w:jc w:val="both"/>
        <w:rPr>
          <w:rFonts w:ascii="Arial" w:hAnsi="Arial" w:cs="Arial"/>
        </w:rPr>
      </w:pPr>
      <w:r w:rsidRPr="007D4D42">
        <w:rPr>
          <w:rFonts w:ascii="Arial" w:hAnsi="Arial" w:cs="Arial"/>
        </w:rPr>
        <w:t>Desde el punto de vista administrativo y de gestión pública, la formalización de un contrato de prestación de servicios permite optimizar recursos, cumplir con los planes de desarrollo municipal y responder a los lineamientos de política pública de discapacidad. Asimismo, facilita la articulación interinstitucional con entes departamentales y nacionales, asegurando la sostenibilidad de los programas y el seguimiento a los resultados en términos de impacto social.</w:t>
      </w:r>
    </w:p>
    <w:p w14:paraId="518A20CB" w14:textId="77777777" w:rsidR="007D4D42" w:rsidRPr="007D4D42" w:rsidRDefault="007D4D42" w:rsidP="007D4D42">
      <w:pPr>
        <w:spacing w:line="276" w:lineRule="auto"/>
        <w:jc w:val="both"/>
        <w:rPr>
          <w:rFonts w:ascii="Arial" w:hAnsi="Arial" w:cs="Arial"/>
        </w:rPr>
      </w:pPr>
      <w:r w:rsidRPr="007D4D42">
        <w:rPr>
          <w:rFonts w:ascii="Arial" w:hAnsi="Arial" w:cs="Arial"/>
        </w:rPr>
        <w:t xml:space="preserve">En conclusión, la necesidad de este contrato se fundamenta en la garantía del derecho a la rehabilitación integral, la promoción de la inclusión social y el fortalecimiento de las capacidades </w:t>
      </w:r>
      <w:r w:rsidRPr="007D4D42">
        <w:rPr>
          <w:rFonts w:ascii="Arial" w:hAnsi="Arial" w:cs="Arial"/>
        </w:rPr>
        <w:lastRenderedPageBreak/>
        <w:t>locales para atender de manera digna y eficiente a las personas en condición de discapacidad del municipio de San Jacinto, Bolívar, contribuyendo así al desarrollo humano y social de esta población históricamente vulnerable</w:t>
      </w:r>
    </w:p>
    <w:p w14:paraId="3B18E450" w14:textId="77777777" w:rsidR="007D4D42" w:rsidRPr="007D4D42" w:rsidRDefault="007D4D42" w:rsidP="007D4D42">
      <w:pPr>
        <w:spacing w:line="276" w:lineRule="auto"/>
        <w:jc w:val="both"/>
        <w:rPr>
          <w:rFonts w:ascii="Arial" w:hAnsi="Arial" w:cs="Arial"/>
        </w:rPr>
      </w:pPr>
      <w:r w:rsidRPr="007D4D42">
        <w:rPr>
          <w:rFonts w:ascii="Arial" w:hAnsi="Arial" w:cs="Arial"/>
        </w:rPr>
        <w:t>En consecuencia, la contratación del servicio de atención y rehabilitación integral se constituye en una necesidad real, prioritaria y justificada, orientada al cumplimiento de los fines del Estado, la garantía de derechos de una población vulnerable y el mejoramiento de las condiciones de vida de las personas en condición de discapacidad del municipio de San Jacinto, Bolívar.</w:t>
      </w:r>
    </w:p>
    <w:p w14:paraId="44FB9F5D" w14:textId="77777777" w:rsidR="007D4D42" w:rsidRPr="007D4D42" w:rsidRDefault="007D4D42" w:rsidP="007D4D42">
      <w:pPr>
        <w:spacing w:line="276" w:lineRule="auto"/>
        <w:jc w:val="both"/>
        <w:rPr>
          <w:rFonts w:ascii="Arial" w:hAnsi="Arial" w:cs="Arial"/>
        </w:rPr>
      </w:pPr>
      <w:r w:rsidRPr="007D4D42">
        <w:rPr>
          <w:rFonts w:ascii="Arial" w:hAnsi="Arial" w:cs="Arial"/>
        </w:rPr>
        <w:t>El Municipio de San Jacinto Bolívar requiere contratar a una persona natural o jurídica que preste sus servicios para la ejecución del objeto que este estudio plantea, haciendo uso de la posibilidad que otorga la ley, para lo cual se obtendrá una oferta que permita contratar con la persona idónea y con experiencia requerida en el tema de conformidad con los postulados del Decreto 1082 de 2015.</w:t>
      </w:r>
    </w:p>
    <w:p w14:paraId="041D8583" w14:textId="77777777" w:rsidR="007D4D42" w:rsidRPr="007D4D42" w:rsidRDefault="007D4D42" w:rsidP="007D4D42">
      <w:pPr>
        <w:spacing w:line="276" w:lineRule="auto"/>
        <w:jc w:val="both"/>
        <w:rPr>
          <w:rFonts w:ascii="Arial" w:hAnsi="Arial" w:cs="Arial"/>
        </w:rPr>
      </w:pPr>
      <w:r w:rsidRPr="007D4D42">
        <w:rPr>
          <w:rFonts w:ascii="Arial" w:hAnsi="Arial" w:cs="Arial"/>
        </w:rPr>
        <w:t>Teniendo presente los postulados anteriores es menester y necesidad del Municipio contratar al profesional que realice las actividades según el cronograma anexo al presente estudio previo.</w:t>
      </w:r>
    </w:p>
    <w:bookmarkEnd w:id="1"/>
    <w:p w14:paraId="79CE9274" w14:textId="77777777" w:rsidR="007D4D42" w:rsidRPr="007D4D42" w:rsidRDefault="007D4D42" w:rsidP="007D4D42">
      <w:pPr>
        <w:widowControl w:val="0"/>
        <w:autoSpaceDE w:val="0"/>
        <w:autoSpaceDN w:val="0"/>
        <w:adjustRightInd w:val="0"/>
        <w:spacing w:after="0" w:line="276" w:lineRule="auto"/>
        <w:ind w:right="82"/>
        <w:jc w:val="both"/>
        <w:rPr>
          <w:rFonts w:ascii="Arial" w:hAnsi="Arial" w:cs="Arial"/>
        </w:rPr>
      </w:pPr>
    </w:p>
    <w:p w14:paraId="15F4A126" w14:textId="50D27FEB" w:rsidR="00976B4B" w:rsidRPr="007D4D42" w:rsidRDefault="007D4D42" w:rsidP="007D4D42">
      <w:pPr>
        <w:pStyle w:val="Prrafodelista"/>
        <w:numPr>
          <w:ilvl w:val="0"/>
          <w:numId w:val="25"/>
        </w:numPr>
        <w:autoSpaceDE w:val="0"/>
        <w:autoSpaceDN w:val="0"/>
        <w:adjustRightInd w:val="0"/>
        <w:spacing w:after="0" w:line="276" w:lineRule="auto"/>
        <w:rPr>
          <w:rFonts w:ascii="Arial" w:eastAsiaTheme="minorHAnsi" w:hAnsi="Arial" w:cs="Arial"/>
          <w:b/>
          <w:bCs/>
          <w:lang w:eastAsia="en-US"/>
        </w:rPr>
      </w:pPr>
      <w:r w:rsidRPr="007D4D42">
        <w:rPr>
          <w:rFonts w:ascii="Arial" w:eastAsiaTheme="minorHAnsi" w:hAnsi="Arial" w:cs="Arial"/>
          <w:b/>
          <w:bCs/>
          <w:lang w:eastAsia="en-US"/>
        </w:rPr>
        <w:t>A</w:t>
      </w:r>
      <w:r w:rsidR="00976B4B" w:rsidRPr="007D4D42">
        <w:rPr>
          <w:rFonts w:ascii="Arial" w:eastAsiaTheme="minorHAnsi" w:hAnsi="Arial" w:cs="Arial"/>
          <w:b/>
          <w:bCs/>
          <w:lang w:eastAsia="en-US"/>
        </w:rPr>
        <w:t>NALISIS DE LA DEMANDA</w:t>
      </w:r>
    </w:p>
    <w:p w14:paraId="64D6E01B" w14:textId="77777777" w:rsidR="00976B4B" w:rsidRPr="007D4D42" w:rsidRDefault="00976B4B" w:rsidP="007D4D42">
      <w:pPr>
        <w:adjustRightInd w:val="0"/>
        <w:spacing w:line="276" w:lineRule="auto"/>
        <w:rPr>
          <w:rFonts w:ascii="Arial" w:eastAsiaTheme="minorHAnsi" w:hAnsi="Arial" w:cs="Arial"/>
          <w:b/>
          <w:bCs/>
          <w:lang w:eastAsia="en-US"/>
        </w:rPr>
      </w:pPr>
    </w:p>
    <w:p w14:paraId="22605995" w14:textId="77777777" w:rsidR="00976B4B" w:rsidRPr="007D4D42" w:rsidRDefault="00976B4B" w:rsidP="007D4D42">
      <w:pPr>
        <w:adjustRightInd w:val="0"/>
        <w:spacing w:line="276" w:lineRule="auto"/>
        <w:rPr>
          <w:rFonts w:ascii="Arial" w:eastAsiaTheme="minorHAnsi" w:hAnsi="Arial" w:cs="Arial"/>
          <w:b/>
          <w:bCs/>
          <w:lang w:eastAsia="en-US"/>
        </w:rPr>
      </w:pPr>
      <w:r w:rsidRPr="007D4D42">
        <w:rPr>
          <w:rFonts w:ascii="Arial" w:eastAsiaTheme="minorHAnsi" w:hAnsi="Arial" w:cs="Arial"/>
          <w:b/>
          <w:bCs/>
          <w:lang w:eastAsia="en-US"/>
        </w:rPr>
        <w:t>ADQUISICIONES PREVIAS DE LA ENTIDAD</w:t>
      </w:r>
    </w:p>
    <w:p w14:paraId="30DAD121" w14:textId="2A4D5D80" w:rsidR="00976B4B" w:rsidRPr="007D4D42" w:rsidRDefault="00976B4B" w:rsidP="007D4D42">
      <w:pPr>
        <w:spacing w:line="276" w:lineRule="auto"/>
        <w:jc w:val="both"/>
        <w:rPr>
          <w:rFonts w:ascii="Arial" w:hAnsi="Arial" w:cs="Arial"/>
        </w:rPr>
      </w:pPr>
      <w:r w:rsidRPr="007D4D42">
        <w:rPr>
          <w:rFonts w:ascii="Arial" w:hAnsi="Arial" w:cs="Arial"/>
        </w:rPr>
        <w:t xml:space="preserve">Para el análisis del sector se partió de la búsqueda en el SECOP </w:t>
      </w:r>
      <w:r w:rsidR="0001472F" w:rsidRPr="007D4D42">
        <w:rPr>
          <w:rFonts w:ascii="Arial" w:hAnsi="Arial" w:cs="Arial"/>
        </w:rPr>
        <w:t xml:space="preserve">II </w:t>
      </w:r>
      <w:r w:rsidRPr="007D4D42">
        <w:rPr>
          <w:rFonts w:ascii="Arial" w:hAnsi="Arial" w:cs="Arial"/>
        </w:rPr>
        <w:t>de los procesos adelantados por la entidad en vigencias anteriores relacionados con el objeto a contratar:</w:t>
      </w:r>
    </w:p>
    <w:p w14:paraId="2ADA150D" w14:textId="0271FAF2" w:rsidR="007F4F64" w:rsidRPr="007D4D42" w:rsidRDefault="0001472F" w:rsidP="00E97EE3">
      <w:pPr>
        <w:spacing w:line="276" w:lineRule="auto"/>
        <w:jc w:val="both"/>
        <w:rPr>
          <w:rFonts w:ascii="Arial" w:eastAsia="Tahoma" w:hAnsi="Arial" w:cs="Arial"/>
        </w:rPr>
      </w:pPr>
      <w:bookmarkStart w:id="2" w:name="_heading=h.gjdgxs" w:colFirst="0" w:colLast="0"/>
      <w:bookmarkEnd w:id="2"/>
      <w:r w:rsidRPr="007D4D42">
        <w:rPr>
          <w:rFonts w:ascii="Arial" w:eastAsia="Tahoma" w:hAnsi="Arial" w:cs="Arial"/>
          <w:noProof/>
        </w:rPr>
        <w:drawing>
          <wp:inline distT="0" distB="0" distL="0" distR="0" wp14:anchorId="69B4B874" wp14:editId="0179E1FC">
            <wp:extent cx="5133975" cy="2247211"/>
            <wp:effectExtent l="0" t="0" r="0" b="1270"/>
            <wp:docPr id="1416640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40827" name=""/>
                    <pic:cNvPicPr/>
                  </pic:nvPicPr>
                  <pic:blipFill>
                    <a:blip r:embed="rId7"/>
                    <a:stretch>
                      <a:fillRect/>
                    </a:stretch>
                  </pic:blipFill>
                  <pic:spPr>
                    <a:xfrm>
                      <a:off x="0" y="0"/>
                      <a:ext cx="5141564" cy="2250533"/>
                    </a:xfrm>
                    <a:prstGeom prst="rect">
                      <a:avLst/>
                    </a:prstGeom>
                  </pic:spPr>
                </pic:pic>
              </a:graphicData>
            </a:graphic>
          </wp:inline>
        </w:drawing>
      </w:r>
    </w:p>
    <w:p w14:paraId="326962A2" w14:textId="7BCA011E" w:rsidR="00E97EE3" w:rsidRPr="007D4D42" w:rsidRDefault="0001472F" w:rsidP="00E97EE3">
      <w:pPr>
        <w:spacing w:line="276" w:lineRule="auto"/>
        <w:jc w:val="both"/>
        <w:rPr>
          <w:rFonts w:ascii="Arial" w:eastAsia="Tahoma" w:hAnsi="Arial" w:cs="Arial"/>
        </w:rPr>
      </w:pPr>
      <w:r w:rsidRPr="007D4D42">
        <w:rPr>
          <w:rFonts w:ascii="Arial" w:eastAsia="Tahoma" w:hAnsi="Arial" w:cs="Arial"/>
          <w:noProof/>
        </w:rPr>
        <w:drawing>
          <wp:inline distT="0" distB="0" distL="0" distR="0" wp14:anchorId="0F99E2EC" wp14:editId="4EA96BDF">
            <wp:extent cx="5095875" cy="2224545"/>
            <wp:effectExtent l="0" t="0" r="0" b="4445"/>
            <wp:docPr id="63787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592" name=""/>
                    <pic:cNvPicPr/>
                  </pic:nvPicPr>
                  <pic:blipFill>
                    <a:blip r:embed="rId8"/>
                    <a:stretch>
                      <a:fillRect/>
                    </a:stretch>
                  </pic:blipFill>
                  <pic:spPr>
                    <a:xfrm>
                      <a:off x="0" y="0"/>
                      <a:ext cx="5103419" cy="2227838"/>
                    </a:xfrm>
                    <a:prstGeom prst="rect">
                      <a:avLst/>
                    </a:prstGeom>
                  </pic:spPr>
                </pic:pic>
              </a:graphicData>
            </a:graphic>
          </wp:inline>
        </w:drawing>
      </w:r>
    </w:p>
    <w:p w14:paraId="1A531648" w14:textId="7BFBCDB5" w:rsidR="00C87722" w:rsidRPr="007D4D42" w:rsidRDefault="00C87722" w:rsidP="00695214">
      <w:pPr>
        <w:spacing w:line="276" w:lineRule="auto"/>
        <w:jc w:val="both"/>
        <w:rPr>
          <w:rFonts w:ascii="Arial" w:eastAsia="Tahoma" w:hAnsi="Arial" w:cs="Arial"/>
        </w:rPr>
      </w:pPr>
      <w:r w:rsidRPr="007D4D42">
        <w:rPr>
          <w:rFonts w:ascii="Arial" w:eastAsia="Tahoma" w:hAnsi="Arial" w:cs="Arial"/>
          <w:noProof/>
        </w:rPr>
        <w:lastRenderedPageBreak/>
        <w:drawing>
          <wp:inline distT="0" distB="0" distL="0" distR="0" wp14:anchorId="060F985C" wp14:editId="237DAFFA">
            <wp:extent cx="5457825" cy="3695443"/>
            <wp:effectExtent l="0" t="0" r="0" b="635"/>
            <wp:docPr id="953700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00988" name=""/>
                    <pic:cNvPicPr/>
                  </pic:nvPicPr>
                  <pic:blipFill>
                    <a:blip r:embed="rId9"/>
                    <a:stretch>
                      <a:fillRect/>
                    </a:stretch>
                  </pic:blipFill>
                  <pic:spPr>
                    <a:xfrm>
                      <a:off x="0" y="0"/>
                      <a:ext cx="5479114" cy="3709857"/>
                    </a:xfrm>
                    <a:prstGeom prst="rect">
                      <a:avLst/>
                    </a:prstGeom>
                  </pic:spPr>
                </pic:pic>
              </a:graphicData>
            </a:graphic>
          </wp:inline>
        </w:drawing>
      </w:r>
    </w:p>
    <w:p w14:paraId="0EE3DAC0" w14:textId="77777777" w:rsidR="007D4D42" w:rsidRPr="007D4D42" w:rsidRDefault="004A5328" w:rsidP="007D4D42">
      <w:pPr>
        <w:spacing w:line="276" w:lineRule="auto"/>
        <w:jc w:val="both"/>
        <w:rPr>
          <w:rFonts w:ascii="Arial" w:hAnsi="Arial" w:cs="Arial"/>
          <w:b/>
          <w:bCs/>
          <w:iCs/>
        </w:rPr>
      </w:pPr>
      <w:r w:rsidRPr="007D4D42">
        <w:rPr>
          <w:rFonts w:ascii="Arial" w:eastAsia="Tahoma" w:hAnsi="Arial" w:cs="Arial"/>
        </w:rPr>
        <w:t>Con base en lo antes mencionado y en las implicaciones que tiene la toma de decisiones en la entidad que involucran recursos públicos del orden de la ALCALDÍA MUNICIPAL mental, y como quiera que la necesidad es cierta y evidente, se advierte que resulta necesario</w:t>
      </w:r>
      <w:r w:rsidRPr="007D4D42">
        <w:rPr>
          <w:rFonts w:ascii="Arial" w:eastAsia="Tahoma" w:hAnsi="Arial" w:cs="Arial"/>
          <w:bCs/>
        </w:rPr>
        <w:t xml:space="preserve"> </w:t>
      </w:r>
      <w:r w:rsidR="007D4D42" w:rsidRPr="007D4D42">
        <w:rPr>
          <w:rFonts w:ascii="Arial" w:hAnsi="Arial" w:cs="Arial"/>
          <w:b/>
          <w:bCs/>
        </w:rPr>
        <w:t>PRESTACIÓN DE SERVICIOS PARA LA IMPLEMENTACIÓN DE UN MODELO INTEGRAL DE ATENCIÓN Y REHABILITACIÓN INTEGRAL A LAS PERSONAS EN CONDICIÓN DE DISCAPACIDAD Y CUIDADORES EN EL MUNICIPIO DE SAN JACINTO.</w:t>
      </w:r>
    </w:p>
    <w:p w14:paraId="6B9E74B9" w14:textId="564BA06F" w:rsidR="004A5328" w:rsidRPr="007D4D42" w:rsidRDefault="004A5328" w:rsidP="00E97EE3">
      <w:pPr>
        <w:spacing w:line="276" w:lineRule="auto"/>
        <w:jc w:val="both"/>
        <w:rPr>
          <w:rFonts w:ascii="Arial" w:eastAsia="Tahoma" w:hAnsi="Arial" w:cs="Arial"/>
        </w:rPr>
      </w:pPr>
      <w:r w:rsidRPr="007D4D42">
        <w:rPr>
          <w:rFonts w:ascii="Arial" w:eastAsia="Tahoma" w:hAnsi="Arial" w:cs="Arial"/>
        </w:rPr>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4A5564" w:rsidRPr="007D4D42" w14:paraId="51E7C34C" w14:textId="77777777" w:rsidTr="00C50E62">
        <w:trPr>
          <w:jc w:val="center"/>
        </w:trPr>
        <w:tc>
          <w:tcPr>
            <w:tcW w:w="1526" w:type="dxa"/>
          </w:tcPr>
          <w:p w14:paraId="4E68ABAD" w14:textId="77777777" w:rsidR="004A5564" w:rsidRPr="007D4D42" w:rsidRDefault="004A5564" w:rsidP="00C50E62">
            <w:pPr>
              <w:widowControl w:val="0"/>
              <w:autoSpaceDE w:val="0"/>
              <w:autoSpaceDN w:val="0"/>
              <w:adjustRightInd w:val="0"/>
              <w:spacing w:before="9" w:line="276" w:lineRule="auto"/>
              <w:jc w:val="center"/>
              <w:rPr>
                <w:rFonts w:ascii="Arial" w:hAnsi="Arial" w:cs="Arial"/>
                <w:b/>
                <w:bCs/>
              </w:rPr>
            </w:pPr>
            <w:r w:rsidRPr="007D4D42">
              <w:rPr>
                <w:rFonts w:ascii="Arial" w:hAnsi="Arial" w:cs="Arial"/>
                <w:b/>
                <w:bCs/>
              </w:rPr>
              <w:t>SEGMENTO</w:t>
            </w:r>
          </w:p>
        </w:tc>
        <w:tc>
          <w:tcPr>
            <w:tcW w:w="1134" w:type="dxa"/>
          </w:tcPr>
          <w:p w14:paraId="208EDA4D" w14:textId="77777777" w:rsidR="004A5564" w:rsidRPr="007D4D42" w:rsidRDefault="004A5564" w:rsidP="00C50E62">
            <w:pPr>
              <w:widowControl w:val="0"/>
              <w:autoSpaceDE w:val="0"/>
              <w:autoSpaceDN w:val="0"/>
              <w:adjustRightInd w:val="0"/>
              <w:spacing w:before="9" w:line="276" w:lineRule="auto"/>
              <w:jc w:val="center"/>
              <w:rPr>
                <w:rFonts w:ascii="Arial" w:hAnsi="Arial" w:cs="Arial"/>
                <w:b/>
                <w:bCs/>
              </w:rPr>
            </w:pPr>
            <w:r w:rsidRPr="007D4D42">
              <w:rPr>
                <w:rFonts w:ascii="Arial" w:hAnsi="Arial" w:cs="Arial"/>
                <w:b/>
                <w:bCs/>
              </w:rPr>
              <w:t>FAMILIA</w:t>
            </w:r>
          </w:p>
        </w:tc>
        <w:tc>
          <w:tcPr>
            <w:tcW w:w="1559" w:type="dxa"/>
          </w:tcPr>
          <w:p w14:paraId="23597645" w14:textId="77777777" w:rsidR="004A5564" w:rsidRPr="007D4D42" w:rsidRDefault="004A5564" w:rsidP="00C50E62">
            <w:pPr>
              <w:widowControl w:val="0"/>
              <w:autoSpaceDE w:val="0"/>
              <w:autoSpaceDN w:val="0"/>
              <w:adjustRightInd w:val="0"/>
              <w:spacing w:before="9" w:line="276" w:lineRule="auto"/>
              <w:jc w:val="center"/>
              <w:rPr>
                <w:rFonts w:ascii="Arial" w:hAnsi="Arial" w:cs="Arial"/>
                <w:b/>
                <w:bCs/>
              </w:rPr>
            </w:pPr>
            <w:r w:rsidRPr="007D4D42">
              <w:rPr>
                <w:rFonts w:ascii="Arial" w:hAnsi="Arial" w:cs="Arial"/>
                <w:b/>
                <w:bCs/>
              </w:rPr>
              <w:t>CLASE</w:t>
            </w:r>
          </w:p>
        </w:tc>
        <w:tc>
          <w:tcPr>
            <w:tcW w:w="1985" w:type="dxa"/>
          </w:tcPr>
          <w:p w14:paraId="3A1AF4AE" w14:textId="77777777" w:rsidR="004A5564" w:rsidRPr="007D4D42" w:rsidRDefault="004A5564" w:rsidP="00C50E62">
            <w:pPr>
              <w:widowControl w:val="0"/>
              <w:autoSpaceDE w:val="0"/>
              <w:autoSpaceDN w:val="0"/>
              <w:adjustRightInd w:val="0"/>
              <w:spacing w:before="9" w:line="276" w:lineRule="auto"/>
              <w:jc w:val="center"/>
              <w:rPr>
                <w:rFonts w:ascii="Arial" w:hAnsi="Arial" w:cs="Arial"/>
                <w:b/>
                <w:bCs/>
              </w:rPr>
            </w:pPr>
            <w:r w:rsidRPr="007D4D42">
              <w:rPr>
                <w:rFonts w:ascii="Arial" w:hAnsi="Arial" w:cs="Arial"/>
                <w:b/>
                <w:bCs/>
              </w:rPr>
              <w:t>PRODUCTO</w:t>
            </w:r>
          </w:p>
        </w:tc>
        <w:tc>
          <w:tcPr>
            <w:tcW w:w="2776" w:type="dxa"/>
          </w:tcPr>
          <w:p w14:paraId="37299938" w14:textId="77777777" w:rsidR="004A5564" w:rsidRPr="007D4D42" w:rsidRDefault="004A5564" w:rsidP="00C50E62">
            <w:pPr>
              <w:widowControl w:val="0"/>
              <w:autoSpaceDE w:val="0"/>
              <w:autoSpaceDN w:val="0"/>
              <w:adjustRightInd w:val="0"/>
              <w:spacing w:before="9" w:line="276" w:lineRule="auto"/>
              <w:jc w:val="center"/>
              <w:rPr>
                <w:rFonts w:ascii="Arial" w:hAnsi="Arial" w:cs="Arial"/>
                <w:b/>
                <w:bCs/>
              </w:rPr>
            </w:pPr>
            <w:r w:rsidRPr="007D4D42">
              <w:rPr>
                <w:rFonts w:ascii="Arial" w:hAnsi="Arial" w:cs="Arial"/>
                <w:b/>
                <w:bCs/>
              </w:rPr>
              <w:t>DESCRIPCIÓN DEL PRODUCTO</w:t>
            </w:r>
          </w:p>
        </w:tc>
      </w:tr>
      <w:tr w:rsidR="004A5564" w:rsidRPr="007D4D42" w14:paraId="4548B717" w14:textId="77777777" w:rsidTr="00C50E62">
        <w:trPr>
          <w:jc w:val="center"/>
        </w:trPr>
        <w:tc>
          <w:tcPr>
            <w:tcW w:w="1526" w:type="dxa"/>
          </w:tcPr>
          <w:p w14:paraId="433C1F2A" w14:textId="77777777" w:rsidR="004A5564" w:rsidRPr="007D4D42" w:rsidRDefault="004A5564" w:rsidP="00C50E62">
            <w:pPr>
              <w:widowControl w:val="0"/>
              <w:autoSpaceDE w:val="0"/>
              <w:autoSpaceDN w:val="0"/>
              <w:adjustRightInd w:val="0"/>
              <w:spacing w:before="9" w:line="276" w:lineRule="auto"/>
              <w:jc w:val="center"/>
              <w:rPr>
                <w:rFonts w:ascii="Arial" w:hAnsi="Arial" w:cs="Arial"/>
              </w:rPr>
            </w:pPr>
            <w:r w:rsidRPr="007D4D42">
              <w:rPr>
                <w:rFonts w:ascii="Arial" w:hAnsi="Arial" w:cs="Arial"/>
              </w:rPr>
              <w:t>80</w:t>
            </w:r>
          </w:p>
        </w:tc>
        <w:tc>
          <w:tcPr>
            <w:tcW w:w="1134" w:type="dxa"/>
          </w:tcPr>
          <w:p w14:paraId="74845EF4" w14:textId="77777777" w:rsidR="004A5564" w:rsidRPr="007D4D42" w:rsidRDefault="004A5564" w:rsidP="00C50E62">
            <w:pPr>
              <w:widowControl w:val="0"/>
              <w:autoSpaceDE w:val="0"/>
              <w:autoSpaceDN w:val="0"/>
              <w:adjustRightInd w:val="0"/>
              <w:spacing w:before="9" w:line="276" w:lineRule="auto"/>
              <w:jc w:val="center"/>
              <w:rPr>
                <w:rFonts w:ascii="Arial" w:hAnsi="Arial" w:cs="Arial"/>
              </w:rPr>
            </w:pPr>
            <w:r w:rsidRPr="007D4D42">
              <w:rPr>
                <w:rFonts w:ascii="Arial" w:hAnsi="Arial" w:cs="Arial"/>
              </w:rPr>
              <w:t>8011</w:t>
            </w:r>
          </w:p>
        </w:tc>
        <w:tc>
          <w:tcPr>
            <w:tcW w:w="1559" w:type="dxa"/>
          </w:tcPr>
          <w:p w14:paraId="153BA889" w14:textId="77777777" w:rsidR="004A5564" w:rsidRPr="007D4D42" w:rsidRDefault="004A5564" w:rsidP="00C50E62">
            <w:pPr>
              <w:widowControl w:val="0"/>
              <w:autoSpaceDE w:val="0"/>
              <w:autoSpaceDN w:val="0"/>
              <w:adjustRightInd w:val="0"/>
              <w:spacing w:before="9" w:line="276" w:lineRule="auto"/>
              <w:jc w:val="center"/>
              <w:rPr>
                <w:rFonts w:ascii="Arial" w:hAnsi="Arial" w:cs="Arial"/>
              </w:rPr>
            </w:pPr>
            <w:r w:rsidRPr="007D4D42">
              <w:rPr>
                <w:rFonts w:ascii="Arial" w:hAnsi="Arial" w:cs="Arial"/>
              </w:rPr>
              <w:t>801116</w:t>
            </w:r>
          </w:p>
        </w:tc>
        <w:tc>
          <w:tcPr>
            <w:tcW w:w="1985" w:type="dxa"/>
          </w:tcPr>
          <w:p w14:paraId="2CBD46D8" w14:textId="77777777" w:rsidR="004A5564" w:rsidRPr="007D4D42" w:rsidRDefault="004A5564" w:rsidP="00C50E62">
            <w:pPr>
              <w:widowControl w:val="0"/>
              <w:autoSpaceDE w:val="0"/>
              <w:autoSpaceDN w:val="0"/>
              <w:adjustRightInd w:val="0"/>
              <w:spacing w:before="9" w:line="276" w:lineRule="auto"/>
              <w:jc w:val="center"/>
              <w:rPr>
                <w:rFonts w:ascii="Arial" w:hAnsi="Arial" w:cs="Arial"/>
              </w:rPr>
            </w:pPr>
            <w:r w:rsidRPr="007D4D42">
              <w:rPr>
                <w:rFonts w:ascii="Arial" w:hAnsi="Arial" w:cs="Arial"/>
              </w:rPr>
              <w:t>80111620</w:t>
            </w:r>
          </w:p>
        </w:tc>
        <w:tc>
          <w:tcPr>
            <w:tcW w:w="2776" w:type="dxa"/>
          </w:tcPr>
          <w:p w14:paraId="74539359" w14:textId="77777777" w:rsidR="004A5564" w:rsidRPr="007D4D42" w:rsidRDefault="004A5564" w:rsidP="00C50E62">
            <w:pPr>
              <w:widowControl w:val="0"/>
              <w:autoSpaceDE w:val="0"/>
              <w:autoSpaceDN w:val="0"/>
              <w:adjustRightInd w:val="0"/>
              <w:spacing w:before="9" w:line="276" w:lineRule="auto"/>
              <w:jc w:val="center"/>
              <w:rPr>
                <w:rFonts w:ascii="Arial" w:hAnsi="Arial" w:cs="Arial"/>
              </w:rPr>
            </w:pPr>
            <w:r w:rsidRPr="007D4D42">
              <w:rPr>
                <w:rFonts w:ascii="Arial" w:hAnsi="Arial" w:cs="Arial"/>
              </w:rPr>
              <w:t>Servicios temporales de recursos humanos</w:t>
            </w:r>
          </w:p>
        </w:tc>
      </w:tr>
    </w:tbl>
    <w:p w14:paraId="521017AA" w14:textId="77777777" w:rsidR="004A5564" w:rsidRPr="007D4D42" w:rsidRDefault="004A5564" w:rsidP="00E97EE3">
      <w:pPr>
        <w:spacing w:line="276" w:lineRule="auto"/>
        <w:ind w:right="309"/>
        <w:jc w:val="both"/>
        <w:rPr>
          <w:rFonts w:ascii="Arial" w:eastAsia="Tahoma" w:hAnsi="Arial" w:cs="Arial"/>
        </w:rPr>
      </w:pPr>
    </w:p>
    <w:p w14:paraId="3D6A0E2E" w14:textId="77777777" w:rsidR="00B04F2E" w:rsidRPr="007D4D42" w:rsidRDefault="00B04F2E" w:rsidP="00B04F2E">
      <w:pPr>
        <w:numPr>
          <w:ilvl w:val="0"/>
          <w:numId w:val="10"/>
        </w:numPr>
        <w:autoSpaceDE w:val="0"/>
        <w:autoSpaceDN w:val="0"/>
        <w:adjustRightInd w:val="0"/>
        <w:spacing w:after="0" w:line="276" w:lineRule="auto"/>
        <w:jc w:val="both"/>
        <w:rPr>
          <w:rFonts w:ascii="Arial" w:hAnsi="Arial" w:cs="Arial"/>
          <w:b/>
          <w:iCs/>
        </w:rPr>
      </w:pPr>
      <w:r w:rsidRPr="007D4D42">
        <w:rPr>
          <w:rFonts w:ascii="Arial" w:hAnsi="Arial" w:cs="Arial"/>
          <w:b/>
          <w:iCs/>
        </w:rPr>
        <w:t>DEFINICION DE RIESGO:</w:t>
      </w:r>
    </w:p>
    <w:p w14:paraId="28AED47A"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7D4D42" w:rsidRDefault="00B04F2E" w:rsidP="00B04F2E">
      <w:pPr>
        <w:autoSpaceDE w:val="0"/>
        <w:autoSpaceDN w:val="0"/>
        <w:adjustRightInd w:val="0"/>
        <w:spacing w:line="276" w:lineRule="auto"/>
        <w:jc w:val="both"/>
        <w:rPr>
          <w:rFonts w:ascii="Arial" w:hAnsi="Arial" w:cs="Arial"/>
          <w:iCs/>
        </w:rPr>
      </w:pPr>
      <w:r w:rsidRPr="007D4D42">
        <w:rPr>
          <w:rFonts w:ascii="Arial" w:hAnsi="Arial" w:cs="Arial"/>
          <w:iCs/>
          <w:spacing w:val="-2"/>
          <w:w w:val="101"/>
        </w:rPr>
        <w:t>El suceso que prevé el riesgo deberá tener relación directa con la ejecución y valor del contrato, para que sea asumido</w:t>
      </w:r>
      <w:r w:rsidRPr="007D4D42">
        <w:rPr>
          <w:rFonts w:ascii="Arial" w:hAnsi="Arial" w:cs="Arial"/>
          <w:iCs/>
        </w:rPr>
        <w:t>.</w:t>
      </w:r>
    </w:p>
    <w:p w14:paraId="41F21EB1" w14:textId="77777777" w:rsidR="00B04F2E" w:rsidRPr="007D4D42" w:rsidRDefault="00B04F2E" w:rsidP="00B04F2E">
      <w:pPr>
        <w:pStyle w:val="Prrafodelista"/>
        <w:numPr>
          <w:ilvl w:val="0"/>
          <w:numId w:val="10"/>
        </w:numPr>
        <w:spacing w:after="0" w:line="276" w:lineRule="auto"/>
        <w:jc w:val="both"/>
        <w:rPr>
          <w:rFonts w:ascii="Arial" w:hAnsi="Arial" w:cs="Arial"/>
          <w:b/>
          <w:iCs/>
        </w:rPr>
      </w:pPr>
      <w:r w:rsidRPr="007D4D42">
        <w:rPr>
          <w:rFonts w:ascii="Arial" w:hAnsi="Arial" w:cs="Arial"/>
          <w:b/>
          <w:iCs/>
        </w:rPr>
        <w:t>CLASIFICACION DE LOS RIESGOS</w:t>
      </w:r>
    </w:p>
    <w:p w14:paraId="00903A28" w14:textId="77777777" w:rsidR="00B04F2E" w:rsidRPr="007D4D42" w:rsidRDefault="00B04F2E" w:rsidP="00B04F2E">
      <w:pPr>
        <w:spacing w:line="276" w:lineRule="auto"/>
        <w:jc w:val="both"/>
        <w:rPr>
          <w:rFonts w:ascii="Arial" w:hAnsi="Arial" w:cs="Arial"/>
          <w:iCs/>
        </w:rPr>
      </w:pPr>
    </w:p>
    <w:p w14:paraId="3813B971" w14:textId="77777777" w:rsidR="00B04F2E" w:rsidRPr="007D4D42" w:rsidRDefault="00B04F2E" w:rsidP="00B04F2E">
      <w:pPr>
        <w:spacing w:line="276" w:lineRule="auto"/>
        <w:jc w:val="both"/>
        <w:rPr>
          <w:rFonts w:ascii="Arial" w:hAnsi="Arial" w:cs="Arial"/>
          <w:iCs/>
          <w:spacing w:val="-2"/>
          <w:w w:val="101"/>
        </w:rPr>
      </w:pPr>
      <w:r w:rsidRPr="007D4D42">
        <w:rPr>
          <w:rFonts w:ascii="Arial" w:hAnsi="Arial" w:cs="Arial"/>
          <w:iCs/>
          <w:spacing w:val="-2"/>
          <w:w w:val="101"/>
        </w:rPr>
        <w:t>Existen diversas formas de clasificar los riesgos:</w:t>
      </w:r>
    </w:p>
    <w:p w14:paraId="67BE04A2" w14:textId="77777777" w:rsidR="00B04F2E" w:rsidRPr="007D4D42" w:rsidRDefault="00B04F2E" w:rsidP="00B04F2E">
      <w:pPr>
        <w:pStyle w:val="Prrafodelista"/>
        <w:numPr>
          <w:ilvl w:val="0"/>
          <w:numId w:val="12"/>
        </w:numPr>
        <w:spacing w:after="200" w:line="276" w:lineRule="auto"/>
        <w:jc w:val="both"/>
        <w:rPr>
          <w:rFonts w:ascii="Arial" w:hAnsi="Arial" w:cs="Arial"/>
          <w:iCs/>
          <w:spacing w:val="-2"/>
          <w:w w:val="101"/>
        </w:rPr>
      </w:pPr>
      <w:r w:rsidRPr="007D4D42">
        <w:rPr>
          <w:rFonts w:ascii="Arial" w:hAnsi="Arial" w:cs="Arial"/>
          <w:iCs/>
          <w:spacing w:val="-2"/>
          <w:w w:val="101"/>
        </w:rPr>
        <w:t>Por su procedencia</w:t>
      </w:r>
    </w:p>
    <w:p w14:paraId="7FC4A552" w14:textId="77777777" w:rsidR="00B04F2E" w:rsidRPr="007D4D42" w:rsidRDefault="00B04F2E" w:rsidP="00B04F2E">
      <w:pPr>
        <w:pStyle w:val="Prrafodelista"/>
        <w:numPr>
          <w:ilvl w:val="0"/>
          <w:numId w:val="12"/>
        </w:numPr>
        <w:spacing w:after="200" w:line="276" w:lineRule="auto"/>
        <w:jc w:val="both"/>
        <w:rPr>
          <w:rFonts w:ascii="Arial" w:hAnsi="Arial" w:cs="Arial"/>
          <w:iCs/>
          <w:spacing w:val="-2"/>
          <w:w w:val="101"/>
        </w:rPr>
      </w:pPr>
      <w:r w:rsidRPr="007D4D42">
        <w:rPr>
          <w:rFonts w:ascii="Arial" w:hAnsi="Arial" w:cs="Arial"/>
          <w:iCs/>
          <w:spacing w:val="-2"/>
          <w:w w:val="101"/>
        </w:rPr>
        <w:t>Por el momento en que se pueda producir</w:t>
      </w:r>
    </w:p>
    <w:p w14:paraId="36073F43" w14:textId="77777777" w:rsidR="00B04F2E" w:rsidRPr="007D4D42" w:rsidRDefault="00B04F2E" w:rsidP="00B04F2E">
      <w:pPr>
        <w:pStyle w:val="Prrafodelista"/>
        <w:numPr>
          <w:ilvl w:val="0"/>
          <w:numId w:val="12"/>
        </w:numPr>
        <w:spacing w:after="200" w:line="276" w:lineRule="auto"/>
        <w:jc w:val="both"/>
        <w:rPr>
          <w:rFonts w:ascii="Arial" w:hAnsi="Arial" w:cs="Arial"/>
          <w:iCs/>
          <w:spacing w:val="-2"/>
          <w:w w:val="101"/>
        </w:rPr>
      </w:pPr>
      <w:r w:rsidRPr="007D4D42">
        <w:rPr>
          <w:rFonts w:ascii="Arial" w:hAnsi="Arial" w:cs="Arial"/>
          <w:iCs/>
          <w:spacing w:val="-2"/>
          <w:w w:val="101"/>
        </w:rPr>
        <w:t>Por las causas desde las cuales se produce</w:t>
      </w:r>
    </w:p>
    <w:p w14:paraId="4F12CC93" w14:textId="77777777" w:rsidR="00B04F2E" w:rsidRPr="007D4D42" w:rsidRDefault="00B04F2E" w:rsidP="00B04F2E">
      <w:pPr>
        <w:pStyle w:val="Prrafodelista"/>
        <w:numPr>
          <w:ilvl w:val="0"/>
          <w:numId w:val="12"/>
        </w:numPr>
        <w:spacing w:after="200" w:line="276" w:lineRule="auto"/>
        <w:jc w:val="both"/>
        <w:rPr>
          <w:rFonts w:ascii="Arial" w:hAnsi="Arial" w:cs="Arial"/>
          <w:iCs/>
          <w:spacing w:val="-2"/>
          <w:w w:val="101"/>
        </w:rPr>
      </w:pPr>
      <w:r w:rsidRPr="007D4D42">
        <w:rPr>
          <w:rFonts w:ascii="Arial" w:hAnsi="Arial" w:cs="Arial"/>
          <w:iCs/>
          <w:spacing w:val="-2"/>
          <w:w w:val="101"/>
        </w:rPr>
        <w:t>Por las Áreas que llegue a afectar</w:t>
      </w:r>
    </w:p>
    <w:p w14:paraId="1F3EF813" w14:textId="77777777" w:rsidR="00B04F2E" w:rsidRPr="007D4D42" w:rsidRDefault="00B04F2E" w:rsidP="00B04F2E">
      <w:pPr>
        <w:spacing w:line="276" w:lineRule="auto"/>
        <w:jc w:val="both"/>
        <w:rPr>
          <w:rFonts w:ascii="Arial" w:hAnsi="Arial" w:cs="Arial"/>
          <w:iCs/>
          <w:spacing w:val="-2"/>
          <w:w w:val="101"/>
        </w:rPr>
      </w:pPr>
      <w:r w:rsidRPr="007D4D42">
        <w:rPr>
          <w:rFonts w:ascii="Arial" w:hAnsi="Arial" w:cs="Arial"/>
          <w:iCs/>
          <w:spacing w:val="-2"/>
          <w:w w:val="101"/>
        </w:rPr>
        <w:lastRenderedPageBreak/>
        <w:t>Para el municipio los riesgos del futuro proceso de contratación se clasificarán según su procedencia, sin tener en cuenta las causas y las áreas que llegue a afectar toda vez que tal daño será siempre dentro de la ejecución del contrato.</w:t>
      </w:r>
    </w:p>
    <w:p w14:paraId="4DBFAE1E" w14:textId="77777777" w:rsidR="00B04F2E" w:rsidRPr="007D4D42" w:rsidRDefault="00B04F2E" w:rsidP="00B04F2E">
      <w:pPr>
        <w:pStyle w:val="Prrafodelista"/>
        <w:numPr>
          <w:ilvl w:val="0"/>
          <w:numId w:val="10"/>
        </w:numPr>
        <w:spacing w:after="0" w:line="276" w:lineRule="auto"/>
        <w:jc w:val="both"/>
        <w:rPr>
          <w:rFonts w:ascii="Arial" w:hAnsi="Arial" w:cs="Arial"/>
          <w:b/>
          <w:iCs/>
        </w:rPr>
      </w:pPr>
      <w:r w:rsidRPr="007D4D42">
        <w:rPr>
          <w:rFonts w:ascii="Arial" w:hAnsi="Arial" w:cs="Arial"/>
          <w:b/>
          <w:iCs/>
        </w:rPr>
        <w:t>CLASIFICACION DEL RIESGO POR SU PROCEDENCIA</w:t>
      </w:r>
    </w:p>
    <w:p w14:paraId="4D879E19" w14:textId="77777777" w:rsidR="00B04F2E" w:rsidRPr="007D4D42" w:rsidRDefault="00B04F2E" w:rsidP="00B04F2E">
      <w:pPr>
        <w:spacing w:line="276" w:lineRule="auto"/>
        <w:jc w:val="both"/>
        <w:rPr>
          <w:rFonts w:ascii="Arial" w:hAnsi="Arial" w:cs="Arial"/>
          <w:iCs/>
          <w:spacing w:val="-2"/>
          <w:w w:val="101"/>
        </w:rPr>
      </w:pPr>
    </w:p>
    <w:p w14:paraId="66C8FFD1" w14:textId="77777777" w:rsidR="00B04F2E" w:rsidRPr="007D4D42" w:rsidRDefault="00B04F2E" w:rsidP="00B04F2E">
      <w:pPr>
        <w:spacing w:line="276" w:lineRule="auto"/>
        <w:jc w:val="both"/>
        <w:rPr>
          <w:rFonts w:ascii="Arial" w:hAnsi="Arial" w:cs="Arial"/>
          <w:iCs/>
          <w:spacing w:val="-2"/>
          <w:w w:val="101"/>
        </w:rPr>
      </w:pPr>
      <w:r w:rsidRPr="007D4D42">
        <w:rPr>
          <w:rFonts w:ascii="Arial" w:hAnsi="Arial" w:cs="Arial"/>
          <w:iCs/>
          <w:spacing w:val="-2"/>
          <w:w w:val="101"/>
        </w:rPr>
        <w:t>Se clasifican y tipifican los riesgos por su procedencia así:</w:t>
      </w:r>
    </w:p>
    <w:p w14:paraId="480AF3DB" w14:textId="77777777" w:rsidR="00B04F2E" w:rsidRPr="007D4D4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7D4D42">
        <w:rPr>
          <w:rFonts w:ascii="Arial" w:hAnsi="Arial" w:cs="Arial"/>
          <w:iCs/>
          <w:spacing w:val="-2"/>
          <w:w w:val="101"/>
        </w:rPr>
        <w:t>Riesgo de carácter jurídico.</w:t>
      </w:r>
    </w:p>
    <w:p w14:paraId="6739E6DB" w14:textId="77777777" w:rsidR="00B04F2E" w:rsidRPr="007D4D4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7D4D42">
        <w:rPr>
          <w:rFonts w:ascii="Arial" w:hAnsi="Arial" w:cs="Arial"/>
          <w:iCs/>
          <w:spacing w:val="-2"/>
          <w:w w:val="101"/>
        </w:rPr>
        <w:t>Riesgo de carácter financiero.</w:t>
      </w:r>
    </w:p>
    <w:p w14:paraId="335A58A5" w14:textId="77777777" w:rsidR="00B04F2E" w:rsidRPr="007D4D42" w:rsidRDefault="00B04F2E" w:rsidP="00B04F2E">
      <w:pPr>
        <w:autoSpaceDE w:val="0"/>
        <w:autoSpaceDN w:val="0"/>
        <w:adjustRightInd w:val="0"/>
        <w:spacing w:line="276" w:lineRule="auto"/>
        <w:jc w:val="both"/>
        <w:rPr>
          <w:rFonts w:ascii="Arial" w:hAnsi="Arial" w:cs="Arial"/>
          <w:iCs/>
        </w:rPr>
      </w:pPr>
    </w:p>
    <w:p w14:paraId="2C0779CD" w14:textId="37B3FEA2" w:rsidR="00B04F2E" w:rsidRPr="007D4D42" w:rsidRDefault="00B04F2E" w:rsidP="0094452D">
      <w:pPr>
        <w:pStyle w:val="Prrafodelista"/>
        <w:numPr>
          <w:ilvl w:val="1"/>
          <w:numId w:val="19"/>
        </w:numPr>
        <w:autoSpaceDE w:val="0"/>
        <w:autoSpaceDN w:val="0"/>
        <w:adjustRightInd w:val="0"/>
        <w:spacing w:after="200" w:line="276" w:lineRule="auto"/>
        <w:jc w:val="both"/>
        <w:rPr>
          <w:rFonts w:ascii="Arial" w:hAnsi="Arial" w:cs="Arial"/>
          <w:iCs/>
        </w:rPr>
      </w:pPr>
      <w:r w:rsidRPr="007D4D42">
        <w:rPr>
          <w:rFonts w:ascii="Arial" w:hAnsi="Arial" w:cs="Arial"/>
          <w:b/>
          <w:iCs/>
        </w:rPr>
        <w:t>RIESGO DE CARÁCTER JURIDICO.</w:t>
      </w:r>
    </w:p>
    <w:p w14:paraId="35D8685E" w14:textId="77777777" w:rsidR="00B04F2E" w:rsidRPr="007D4D42" w:rsidRDefault="00B04F2E" w:rsidP="00B04F2E">
      <w:pPr>
        <w:autoSpaceDE w:val="0"/>
        <w:autoSpaceDN w:val="0"/>
        <w:adjustRightInd w:val="0"/>
        <w:spacing w:line="276" w:lineRule="auto"/>
        <w:jc w:val="both"/>
        <w:rPr>
          <w:rFonts w:ascii="Arial" w:hAnsi="Arial" w:cs="Arial"/>
          <w:iCs/>
          <w:spacing w:val="3"/>
          <w:w w:val="101"/>
        </w:rPr>
      </w:pPr>
      <w:r w:rsidRPr="007D4D42">
        <w:rPr>
          <w:rFonts w:ascii="Arial" w:hAnsi="Arial" w:cs="Arial"/>
          <w:iCs/>
          <w:spacing w:val="-2"/>
          <w:w w:val="101"/>
        </w:rPr>
        <w:t>Las condiciones jurídicas del contrato se encuentran regidas especialmente por el régimen laboral, toda vez que el servicio se prestará básicamente con recurso human</w:t>
      </w:r>
      <w:r w:rsidRPr="007D4D42">
        <w:rPr>
          <w:rFonts w:ascii="Arial" w:hAnsi="Arial" w:cs="Arial"/>
          <w:iCs/>
          <w:spacing w:val="3"/>
          <w:w w:val="101"/>
        </w:rPr>
        <w:t>o.</w:t>
      </w:r>
    </w:p>
    <w:p w14:paraId="4A28AF25" w14:textId="6925356A" w:rsidR="00B04F2E" w:rsidRPr="007D4D42"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7D4D42">
        <w:rPr>
          <w:rFonts w:ascii="Arial" w:hAnsi="Arial" w:cs="Arial"/>
          <w:b/>
          <w:iCs/>
        </w:rPr>
        <w:t>RIESGO POR CAMBIOS EN EL REGIMEN LABORAL COLOMBIANO.</w:t>
      </w:r>
    </w:p>
    <w:p w14:paraId="15D405D8" w14:textId="77777777" w:rsidR="00B04F2E" w:rsidRPr="007D4D42" w:rsidRDefault="00B04F2E" w:rsidP="00B04F2E">
      <w:pPr>
        <w:autoSpaceDE w:val="0"/>
        <w:autoSpaceDN w:val="0"/>
        <w:adjustRightInd w:val="0"/>
        <w:spacing w:line="276" w:lineRule="auto"/>
        <w:jc w:val="both"/>
        <w:rPr>
          <w:rFonts w:ascii="Arial" w:hAnsi="Arial" w:cs="Arial"/>
          <w:b/>
          <w:iCs/>
        </w:rPr>
      </w:pPr>
      <w:r w:rsidRPr="007D4D42">
        <w:rPr>
          <w:rFonts w:ascii="Arial" w:hAnsi="Arial" w:cs="Arial"/>
          <w:b/>
          <w:iCs/>
        </w:rPr>
        <w:t>Riesgo por cambios en el régimen laboral colombiano que afecte el contrato y las condiciones pactadas en él.</w:t>
      </w:r>
    </w:p>
    <w:p w14:paraId="01F0FC6D"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b/>
          <w:iCs/>
        </w:rPr>
        <w:t xml:space="preserve">Tipificación: </w:t>
      </w:r>
      <w:r w:rsidRPr="007D4D42">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1510839E" w14:textId="77777777" w:rsidR="00B04F2E" w:rsidRPr="007D4D42" w:rsidRDefault="00B04F2E" w:rsidP="00B04F2E">
      <w:pPr>
        <w:autoSpaceDE w:val="0"/>
        <w:autoSpaceDN w:val="0"/>
        <w:adjustRightInd w:val="0"/>
        <w:spacing w:line="276" w:lineRule="auto"/>
        <w:jc w:val="both"/>
        <w:rPr>
          <w:rFonts w:ascii="Arial" w:hAnsi="Arial" w:cs="Arial"/>
          <w:iCs/>
        </w:rPr>
      </w:pPr>
      <w:r w:rsidRPr="007D4D42">
        <w:rPr>
          <w:rFonts w:ascii="Arial" w:hAnsi="Arial" w:cs="Arial"/>
          <w:b/>
          <w:iCs/>
        </w:rPr>
        <w:t>Asignación</w:t>
      </w:r>
      <w:r w:rsidRPr="007D4D42">
        <w:rPr>
          <w:rFonts w:ascii="Arial" w:hAnsi="Arial" w:cs="Arial"/>
          <w:iCs/>
          <w:spacing w:val="-2"/>
          <w:w w:val="101"/>
        </w:rPr>
        <w:t>: Este riesgo y sus consecuencias serán asumidos en su totalidad por el contratista</w:t>
      </w:r>
      <w:r w:rsidRPr="007D4D42">
        <w:rPr>
          <w:rFonts w:ascii="Arial" w:hAnsi="Arial" w:cs="Arial"/>
          <w:iCs/>
        </w:rPr>
        <w:t xml:space="preserve">. </w:t>
      </w:r>
    </w:p>
    <w:p w14:paraId="359609B6"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b/>
          <w:iCs/>
        </w:rPr>
        <w:t>Mitigación del Riesgo</w:t>
      </w:r>
      <w:r w:rsidRPr="007D4D42">
        <w:rPr>
          <w:rFonts w:ascii="Arial" w:hAnsi="Arial" w:cs="Arial"/>
          <w:b/>
          <w:iCs/>
          <w:spacing w:val="3"/>
          <w:w w:val="101"/>
        </w:rPr>
        <w:t>:</w:t>
      </w:r>
      <w:r w:rsidRPr="007D4D42">
        <w:rPr>
          <w:rFonts w:ascii="Arial" w:hAnsi="Arial" w:cs="Arial"/>
          <w:iCs/>
          <w:spacing w:val="3"/>
          <w:w w:val="101"/>
        </w:rPr>
        <w:t xml:space="preserve"> </w:t>
      </w:r>
      <w:r w:rsidRPr="007D4D42">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B1BCDCE" w:rsidR="00B04F2E" w:rsidRPr="007D4D42"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7D4D42">
        <w:rPr>
          <w:rFonts w:ascii="Arial" w:hAnsi="Arial" w:cs="Arial"/>
          <w:b/>
          <w:iCs/>
        </w:rPr>
        <w:t>RIESGO DE CARÁCTER FINANCIERO.</w:t>
      </w:r>
    </w:p>
    <w:p w14:paraId="37724944"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iCs/>
          <w:spacing w:val="-2"/>
          <w:w w:val="101"/>
        </w:rPr>
        <w:t>Son aquellos que se producen por modificaciones del régimen de impuestos que afecten el equilibrio contractual.</w:t>
      </w:r>
    </w:p>
    <w:p w14:paraId="3671880D" w14:textId="502A1F13" w:rsidR="00B04F2E" w:rsidRPr="007D4D42"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7D4D42">
        <w:rPr>
          <w:rFonts w:ascii="Arial" w:hAnsi="Arial" w:cs="Arial"/>
          <w:b/>
          <w:iCs/>
        </w:rPr>
        <w:t>RIESGO POR MODIFICACION DEL REGIMEN DE IMPUESTO.</w:t>
      </w:r>
    </w:p>
    <w:p w14:paraId="3C7D261A" w14:textId="77777777" w:rsidR="00B04F2E" w:rsidRPr="007D4D42"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7D4D42" w:rsidRDefault="00B04F2E" w:rsidP="00B04F2E">
      <w:pPr>
        <w:pStyle w:val="Prrafodelista"/>
        <w:autoSpaceDE w:val="0"/>
        <w:autoSpaceDN w:val="0"/>
        <w:adjustRightInd w:val="0"/>
        <w:ind w:left="0"/>
        <w:jc w:val="both"/>
        <w:rPr>
          <w:rFonts w:ascii="Arial" w:hAnsi="Arial" w:cs="Arial"/>
          <w:b/>
          <w:iCs/>
        </w:rPr>
      </w:pPr>
      <w:r w:rsidRPr="007D4D42">
        <w:rPr>
          <w:rFonts w:ascii="Arial" w:hAnsi="Arial" w:cs="Arial"/>
          <w:b/>
          <w:iCs/>
        </w:rPr>
        <w:t>Modificación del régimen de impuestos aplicables al contrato (Hecho del Príncipe).</w:t>
      </w:r>
    </w:p>
    <w:p w14:paraId="284B4D0A" w14:textId="77777777" w:rsidR="00B04F2E" w:rsidRPr="007D4D42" w:rsidRDefault="00B04F2E" w:rsidP="00B04F2E">
      <w:pPr>
        <w:autoSpaceDE w:val="0"/>
        <w:autoSpaceDN w:val="0"/>
        <w:adjustRightInd w:val="0"/>
        <w:spacing w:line="276" w:lineRule="auto"/>
        <w:jc w:val="both"/>
        <w:rPr>
          <w:rFonts w:ascii="Arial" w:hAnsi="Arial" w:cs="Arial"/>
          <w:iCs/>
          <w:spacing w:val="3"/>
          <w:w w:val="101"/>
        </w:rPr>
      </w:pPr>
      <w:r w:rsidRPr="007D4D42">
        <w:rPr>
          <w:rFonts w:ascii="Arial" w:hAnsi="Arial" w:cs="Arial"/>
          <w:b/>
          <w:iCs/>
        </w:rPr>
        <w:t xml:space="preserve">Tipificación: </w:t>
      </w:r>
      <w:r w:rsidRPr="007D4D42">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7D4D42">
        <w:rPr>
          <w:rFonts w:ascii="Arial" w:hAnsi="Arial" w:cs="Arial"/>
          <w:iCs/>
          <w:spacing w:val="3"/>
          <w:w w:val="101"/>
        </w:rPr>
        <w:t>; o se expida una norma de carácter municipal que afecte a ecuación financiera del contrato.</w:t>
      </w:r>
    </w:p>
    <w:p w14:paraId="6BD74B47"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b/>
          <w:iCs/>
        </w:rPr>
        <w:t xml:space="preserve">Asignación: </w:t>
      </w:r>
      <w:r w:rsidRPr="007D4D42">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w:t>
      </w:r>
      <w:r w:rsidRPr="007D4D42">
        <w:rPr>
          <w:rFonts w:ascii="Arial" w:hAnsi="Arial" w:cs="Arial"/>
          <w:iCs/>
          <w:spacing w:val="-2"/>
          <w:w w:val="101"/>
        </w:rPr>
        <w:lastRenderedPageBreak/>
        <w:t xml:space="preserve">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4C05C441" w14:textId="77777777" w:rsidR="0094452D" w:rsidRPr="007D4D42" w:rsidRDefault="0094452D" w:rsidP="0094452D">
      <w:pPr>
        <w:autoSpaceDE w:val="0"/>
        <w:autoSpaceDN w:val="0"/>
        <w:adjustRightInd w:val="0"/>
        <w:spacing w:after="0" w:line="276" w:lineRule="auto"/>
        <w:jc w:val="both"/>
        <w:rPr>
          <w:rFonts w:ascii="Arial" w:hAnsi="Arial" w:cs="Arial"/>
          <w:b/>
          <w:iCs/>
        </w:rPr>
      </w:pPr>
    </w:p>
    <w:p w14:paraId="3D6FCA0B" w14:textId="019790DB" w:rsidR="00B04F2E" w:rsidRPr="007D4D42" w:rsidRDefault="00B04F2E" w:rsidP="0094452D">
      <w:pPr>
        <w:pStyle w:val="Prrafodelista"/>
        <w:numPr>
          <w:ilvl w:val="1"/>
          <w:numId w:val="19"/>
        </w:numPr>
        <w:autoSpaceDE w:val="0"/>
        <w:autoSpaceDN w:val="0"/>
        <w:adjustRightInd w:val="0"/>
        <w:spacing w:after="0" w:line="276" w:lineRule="auto"/>
        <w:jc w:val="both"/>
        <w:rPr>
          <w:rFonts w:ascii="Arial" w:hAnsi="Arial" w:cs="Arial"/>
          <w:b/>
          <w:iCs/>
        </w:rPr>
      </w:pPr>
      <w:r w:rsidRPr="007D4D42">
        <w:rPr>
          <w:rFonts w:ascii="Arial" w:hAnsi="Arial" w:cs="Arial"/>
          <w:b/>
          <w:iCs/>
        </w:rPr>
        <w:t>Riesgo Económico o de Resultado.</w:t>
      </w:r>
    </w:p>
    <w:p w14:paraId="04A6ED87" w14:textId="77777777" w:rsidR="00B04F2E" w:rsidRPr="007D4D42" w:rsidRDefault="00B04F2E" w:rsidP="00B04F2E">
      <w:pPr>
        <w:autoSpaceDE w:val="0"/>
        <w:autoSpaceDN w:val="0"/>
        <w:adjustRightInd w:val="0"/>
        <w:spacing w:line="276" w:lineRule="auto"/>
        <w:jc w:val="both"/>
        <w:rPr>
          <w:rFonts w:ascii="Arial" w:hAnsi="Arial" w:cs="Arial"/>
          <w:iCs/>
        </w:rPr>
      </w:pPr>
    </w:p>
    <w:p w14:paraId="12F30C3E" w14:textId="77777777" w:rsidR="00B04F2E" w:rsidRPr="007D4D42" w:rsidRDefault="00B04F2E" w:rsidP="00B04F2E">
      <w:pPr>
        <w:autoSpaceDE w:val="0"/>
        <w:autoSpaceDN w:val="0"/>
        <w:adjustRightInd w:val="0"/>
        <w:spacing w:line="276" w:lineRule="auto"/>
        <w:jc w:val="both"/>
        <w:rPr>
          <w:rFonts w:ascii="Arial" w:hAnsi="Arial" w:cs="Arial"/>
          <w:iCs/>
          <w:spacing w:val="-2"/>
          <w:w w:val="101"/>
        </w:rPr>
      </w:pPr>
      <w:r w:rsidRPr="007D4D42">
        <w:rPr>
          <w:rFonts w:ascii="Arial" w:hAnsi="Arial" w:cs="Arial"/>
          <w:b/>
          <w:iCs/>
        </w:rPr>
        <w:t xml:space="preserve">Tipificación: </w:t>
      </w:r>
      <w:r w:rsidRPr="007D4D42">
        <w:rPr>
          <w:rFonts w:ascii="Arial" w:hAnsi="Arial" w:cs="Arial"/>
          <w:iCs/>
          <w:spacing w:val="-2"/>
          <w:w w:val="101"/>
        </w:rPr>
        <w:t>Se tipifica cuando el contratista no consigue la utilidad proyectada en su propuesta, por causas ajenas al contratante.</w:t>
      </w:r>
    </w:p>
    <w:p w14:paraId="112962D8" w14:textId="77777777" w:rsidR="00B04F2E" w:rsidRPr="007D4D42" w:rsidRDefault="00B04F2E" w:rsidP="00B04F2E">
      <w:pPr>
        <w:autoSpaceDE w:val="0"/>
        <w:autoSpaceDN w:val="0"/>
        <w:adjustRightInd w:val="0"/>
        <w:spacing w:line="276" w:lineRule="auto"/>
        <w:jc w:val="both"/>
        <w:rPr>
          <w:rFonts w:ascii="Arial" w:hAnsi="Arial" w:cs="Arial"/>
          <w:iCs/>
        </w:rPr>
      </w:pPr>
      <w:r w:rsidRPr="007D4D42">
        <w:rPr>
          <w:rFonts w:ascii="Arial" w:hAnsi="Arial" w:cs="Arial"/>
          <w:b/>
          <w:iCs/>
          <w:spacing w:val="-2"/>
          <w:w w:val="101"/>
        </w:rPr>
        <w:t>Asignación:</w:t>
      </w:r>
      <w:r w:rsidRPr="007D4D42">
        <w:rPr>
          <w:rFonts w:ascii="Arial" w:hAnsi="Arial" w:cs="Arial"/>
          <w:iCs/>
          <w:spacing w:val="-2"/>
          <w:w w:val="101"/>
        </w:rPr>
        <w:t xml:space="preserve"> Este riesgo lo asume única y exclusivamente el contratista</w:t>
      </w:r>
      <w:r w:rsidRPr="007D4D42">
        <w:rPr>
          <w:rFonts w:ascii="Arial" w:hAnsi="Arial" w:cs="Arial"/>
          <w:iCs/>
        </w:rPr>
        <w:t>.</w:t>
      </w:r>
    </w:p>
    <w:p w14:paraId="487B1789" w14:textId="77777777" w:rsidR="004A5564" w:rsidRPr="007D4D42" w:rsidRDefault="004A5564" w:rsidP="004A5564">
      <w:pPr>
        <w:spacing w:line="276" w:lineRule="auto"/>
        <w:jc w:val="both"/>
        <w:rPr>
          <w:rFonts w:ascii="Arial" w:eastAsia="Tahoma" w:hAnsi="Arial" w:cs="Arial"/>
        </w:rPr>
      </w:pPr>
    </w:p>
    <w:p w14:paraId="560F1CB0" w14:textId="77777777" w:rsidR="00C87722" w:rsidRPr="007D4D42" w:rsidRDefault="00C87722" w:rsidP="00E97EE3">
      <w:pPr>
        <w:spacing w:before="21" w:line="276" w:lineRule="auto"/>
        <w:ind w:right="72"/>
        <w:jc w:val="both"/>
        <w:rPr>
          <w:rFonts w:ascii="Arial" w:eastAsia="Tahoma" w:hAnsi="Arial" w:cs="Arial"/>
        </w:rPr>
      </w:pPr>
    </w:p>
    <w:p w14:paraId="3FB08BCD" w14:textId="07167A7A" w:rsidR="00C87722" w:rsidRPr="007D4D42" w:rsidRDefault="00C87722" w:rsidP="00C87722">
      <w:pPr>
        <w:pStyle w:val="Prrafodelista"/>
        <w:numPr>
          <w:ilvl w:val="0"/>
          <w:numId w:val="19"/>
        </w:numPr>
        <w:spacing w:line="276" w:lineRule="auto"/>
        <w:jc w:val="both"/>
        <w:rPr>
          <w:rFonts w:ascii="Arial" w:eastAsia="Tahoma" w:hAnsi="Arial" w:cs="Arial"/>
          <w:b/>
        </w:rPr>
      </w:pPr>
      <w:r w:rsidRPr="007D4D42">
        <w:rPr>
          <w:rFonts w:ascii="Arial" w:eastAsia="Tahoma" w:hAnsi="Arial" w:cs="Arial"/>
          <w:b/>
        </w:rPr>
        <w:t>ANÁLISIS ECONÓMICO</w:t>
      </w:r>
    </w:p>
    <w:p w14:paraId="72F00AF1"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Producto Interno Bruto (PIB) nacional trimestral</w:t>
      </w:r>
    </w:p>
    <w:p w14:paraId="7DE0A6B9"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Información actualizada el 18 de noviembre de 2025</w:t>
      </w:r>
    </w:p>
    <w:p w14:paraId="2E690C0E"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Información tercer trimestre 2025</w:t>
      </w:r>
      <w:r w:rsidRPr="007D4D42">
        <w:rPr>
          <w:rFonts w:ascii="Arial" w:eastAsia="Tahoma" w:hAnsi="Arial" w:cs="Arial"/>
          <w:b/>
          <w:bCs/>
          <w:vertAlign w:val="superscript"/>
        </w:rPr>
        <w:t>pr</w:t>
      </w:r>
    </w:p>
    <w:p w14:paraId="0F0050E0"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En el tercer trimestre de 2025</w:t>
      </w:r>
      <w:r w:rsidRPr="007D4D42">
        <w:rPr>
          <w:rFonts w:ascii="Arial" w:eastAsia="Tahoma" w:hAnsi="Arial" w:cs="Arial"/>
          <w:vertAlign w:val="superscript"/>
        </w:rPr>
        <w:t>pr</w:t>
      </w:r>
      <w:r w:rsidRPr="007D4D42">
        <w:rPr>
          <w:rFonts w:ascii="Arial" w:eastAsia="Tahoma" w:hAnsi="Arial" w:cs="Arial"/>
        </w:rPr>
        <w:t>, el Producto Interno Bruto en su serie original, crece 3,6% respecto al mismo periodo de 2024</w:t>
      </w:r>
      <w:r w:rsidRPr="007D4D42">
        <w:rPr>
          <w:rFonts w:ascii="Arial" w:eastAsia="Tahoma" w:hAnsi="Arial" w:cs="Arial"/>
          <w:vertAlign w:val="superscript"/>
        </w:rPr>
        <w:t>pr</w:t>
      </w:r>
      <w:r w:rsidRPr="007D4D42">
        <w:rPr>
          <w:rFonts w:ascii="Arial" w:eastAsia="Tahoma" w:hAnsi="Arial" w:cs="Arial"/>
        </w:rPr>
        <w:t>.</w:t>
      </w:r>
    </w:p>
    <w:p w14:paraId="1A2B6869"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drawing>
          <wp:inline distT="0" distB="0" distL="0" distR="0" wp14:anchorId="76F396E3" wp14:editId="79F067FD">
            <wp:extent cx="4324350" cy="2387171"/>
            <wp:effectExtent l="0" t="0" r="0" b="0"/>
            <wp:docPr id="830798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98896" name=""/>
                    <pic:cNvPicPr/>
                  </pic:nvPicPr>
                  <pic:blipFill>
                    <a:blip r:embed="rId10"/>
                    <a:stretch>
                      <a:fillRect/>
                    </a:stretch>
                  </pic:blipFill>
                  <pic:spPr>
                    <a:xfrm>
                      <a:off x="0" y="0"/>
                      <a:ext cx="4326459" cy="2388335"/>
                    </a:xfrm>
                    <a:prstGeom prst="rect">
                      <a:avLst/>
                    </a:prstGeom>
                  </pic:spPr>
                </pic:pic>
              </a:graphicData>
            </a:graphic>
          </wp:inline>
        </w:drawing>
      </w:r>
    </w:p>
    <w:p w14:paraId="0E513F1E"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Las actividades económicas que más contribuyen a la dinámica del valor agregado son:</w:t>
      </w:r>
    </w:p>
    <w:p w14:paraId="5DEF1380" w14:textId="77777777" w:rsidR="00C87722" w:rsidRPr="007D4D42" w:rsidRDefault="00C87722" w:rsidP="00C87722">
      <w:pPr>
        <w:numPr>
          <w:ilvl w:val="0"/>
          <w:numId w:val="26"/>
        </w:numPr>
        <w:spacing w:line="276" w:lineRule="auto"/>
        <w:jc w:val="both"/>
        <w:rPr>
          <w:rFonts w:ascii="Arial" w:eastAsia="Tahoma" w:hAnsi="Arial" w:cs="Arial"/>
        </w:rPr>
      </w:pPr>
      <w:r w:rsidRPr="007D4D42">
        <w:rPr>
          <w:rFonts w:ascii="Arial" w:eastAsia="Tahoma" w:hAnsi="Arial" w:cs="Arial"/>
        </w:rPr>
        <w:t>Administración pública y defensa; planes de seguridad social de afiliación obligatoria; Educación; Actividades de atención de la salud humana y de servicios sociales crece 8,0% (contribuye 1,3 puntos porcentuales a la variación anual).</w:t>
      </w:r>
    </w:p>
    <w:p w14:paraId="37CBF8C8" w14:textId="77777777" w:rsidR="00C87722" w:rsidRPr="007D4D42" w:rsidRDefault="00C87722" w:rsidP="00C87722">
      <w:pPr>
        <w:numPr>
          <w:ilvl w:val="0"/>
          <w:numId w:val="26"/>
        </w:numPr>
        <w:spacing w:line="276" w:lineRule="auto"/>
        <w:jc w:val="both"/>
        <w:rPr>
          <w:rFonts w:ascii="Arial" w:eastAsia="Tahoma" w:hAnsi="Arial" w:cs="Arial"/>
        </w:rPr>
      </w:pPr>
      <w:r w:rsidRPr="007D4D42">
        <w:rPr>
          <w:rFonts w:ascii="Arial" w:eastAsia="Tahoma" w:hAnsi="Arial" w:cs="Arial"/>
        </w:rPr>
        <w:t>Comercio al por mayor y al por menor; reparación de vehículos automotores y motocicletas; Transporte y almacenamiento; Alojamiento y servicios de comida crece 5,6% (contribuye 1,2 puntos porcentuales a la variación anual).</w:t>
      </w:r>
    </w:p>
    <w:p w14:paraId="2713DDFC" w14:textId="77777777" w:rsidR="00C87722" w:rsidRPr="007D4D42" w:rsidRDefault="00C87722" w:rsidP="00C87722">
      <w:pPr>
        <w:numPr>
          <w:ilvl w:val="0"/>
          <w:numId w:val="26"/>
        </w:numPr>
        <w:spacing w:line="276" w:lineRule="auto"/>
        <w:jc w:val="both"/>
        <w:rPr>
          <w:rFonts w:ascii="Arial" w:eastAsia="Tahoma" w:hAnsi="Arial" w:cs="Arial"/>
        </w:rPr>
      </w:pPr>
      <w:r w:rsidRPr="007D4D42">
        <w:rPr>
          <w:rFonts w:ascii="Arial" w:eastAsia="Tahoma" w:hAnsi="Arial" w:cs="Arial"/>
        </w:rPr>
        <w:lastRenderedPageBreak/>
        <w:t>Industrias manufactureras crece 4,1% (contribuye 0,5 puntos porcentuales a la variación anual).</w:t>
      </w:r>
    </w:p>
    <w:p w14:paraId="4037D168"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En lo corrido del año 2025</w:t>
      </w:r>
      <w:r w:rsidRPr="007D4D42">
        <w:rPr>
          <w:rFonts w:ascii="Arial" w:eastAsia="Tahoma" w:hAnsi="Arial" w:cs="Arial"/>
          <w:vertAlign w:val="superscript"/>
        </w:rPr>
        <w:t>pr</w:t>
      </w:r>
      <w:r w:rsidRPr="007D4D42">
        <w:rPr>
          <w:rFonts w:ascii="Arial" w:eastAsia="Tahoma" w:hAnsi="Arial" w:cs="Arial"/>
        </w:rPr>
        <w:t>, respecto al mismo periodo del año anterior, el Producto Interno Bruto presenta un crecimiento de 2,8%. Las actividades económicas que más contribuyen a la dinámica del valor agregado son:</w:t>
      </w:r>
    </w:p>
    <w:p w14:paraId="386959D9" w14:textId="77777777" w:rsidR="00C87722" w:rsidRPr="007D4D42" w:rsidRDefault="00C87722" w:rsidP="00C87722">
      <w:pPr>
        <w:numPr>
          <w:ilvl w:val="0"/>
          <w:numId w:val="27"/>
        </w:numPr>
        <w:spacing w:line="276" w:lineRule="auto"/>
        <w:jc w:val="both"/>
        <w:rPr>
          <w:rFonts w:ascii="Arial" w:eastAsia="Tahoma" w:hAnsi="Arial" w:cs="Arial"/>
        </w:rPr>
      </w:pPr>
      <w:r w:rsidRPr="007D4D42">
        <w:rPr>
          <w:rFonts w:ascii="Arial" w:eastAsia="Tahoma" w:hAnsi="Arial" w:cs="Arial"/>
        </w:rPr>
        <w:t>Comercio al por mayor y al por menor; reparación de vehículos automotores y motocicletas; Transporte y almacenamiento; Alojamiento y servicios de comida crece 5,1% (contribuye 1,0 puntos porcentuales a la variación anual).</w:t>
      </w:r>
    </w:p>
    <w:p w14:paraId="3CA8B638" w14:textId="77777777" w:rsidR="00C87722" w:rsidRPr="007D4D42" w:rsidRDefault="00C87722" w:rsidP="00C87722">
      <w:pPr>
        <w:numPr>
          <w:ilvl w:val="0"/>
          <w:numId w:val="27"/>
        </w:numPr>
        <w:spacing w:line="276" w:lineRule="auto"/>
        <w:jc w:val="both"/>
        <w:rPr>
          <w:rFonts w:ascii="Arial" w:eastAsia="Tahoma" w:hAnsi="Arial" w:cs="Arial"/>
        </w:rPr>
      </w:pPr>
      <w:r w:rsidRPr="007D4D42">
        <w:rPr>
          <w:rFonts w:ascii="Arial" w:eastAsia="Tahoma" w:hAnsi="Arial" w:cs="Arial"/>
        </w:rPr>
        <w:t>Administración pública y defensa; planes de seguridad social de afiliación obligatoria; Educación; Actividades de atención de la salud humana y de servicios sociales crece 4,4% (contribuye 0,7 puntos porcentuales a la variación anual).</w:t>
      </w:r>
    </w:p>
    <w:p w14:paraId="2F635AC3" w14:textId="77777777" w:rsidR="00C87722" w:rsidRPr="007D4D42" w:rsidRDefault="00C87722" w:rsidP="00C87722">
      <w:pPr>
        <w:numPr>
          <w:ilvl w:val="0"/>
          <w:numId w:val="27"/>
        </w:numPr>
        <w:spacing w:line="276" w:lineRule="auto"/>
        <w:jc w:val="both"/>
        <w:rPr>
          <w:rFonts w:ascii="Arial" w:eastAsia="Tahoma" w:hAnsi="Arial" w:cs="Arial"/>
        </w:rPr>
      </w:pPr>
      <w:r w:rsidRPr="007D4D42">
        <w:rPr>
          <w:rFonts w:ascii="Arial" w:eastAsia="Tahoma" w:hAnsi="Arial" w:cs="Arial"/>
        </w:rPr>
        <w:t>Agricultura, ganadería, caza, silvicultura y pesca crece 4,1% (contribuye 0,4 puntos porcentuales a la variación anual).</w:t>
      </w:r>
    </w:p>
    <w:p w14:paraId="119DAB35"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Respecto al trimestre inmediatamente anterior, el Producto Interno Bruto en su serie ajustada por efecto estacional y calendario crece 1,2%. Cuando se observa el comportamiento de las actividades económicas relacionadas:</w:t>
      </w:r>
    </w:p>
    <w:p w14:paraId="68BDC4DA" w14:textId="77777777" w:rsidR="00C87722" w:rsidRPr="007D4D42" w:rsidRDefault="00C87722" w:rsidP="00C87722">
      <w:pPr>
        <w:numPr>
          <w:ilvl w:val="0"/>
          <w:numId w:val="28"/>
        </w:numPr>
        <w:spacing w:line="276" w:lineRule="auto"/>
        <w:jc w:val="both"/>
        <w:rPr>
          <w:rFonts w:ascii="Arial" w:eastAsia="Tahoma" w:hAnsi="Arial" w:cs="Arial"/>
        </w:rPr>
      </w:pPr>
      <w:r w:rsidRPr="007D4D42">
        <w:rPr>
          <w:rFonts w:ascii="Arial" w:eastAsia="Tahoma" w:hAnsi="Arial" w:cs="Arial"/>
        </w:rPr>
        <w:t>Administración pública y defensa; planes de seguridad social de afiliación obligatoria; Educación; Actividades de atención de la salud humana y de servicios sociales crece 3,4%.</w:t>
      </w:r>
    </w:p>
    <w:p w14:paraId="5335CCAA" w14:textId="77777777" w:rsidR="00C87722" w:rsidRPr="007D4D42" w:rsidRDefault="00C87722" w:rsidP="00C87722">
      <w:pPr>
        <w:numPr>
          <w:ilvl w:val="0"/>
          <w:numId w:val="28"/>
        </w:numPr>
        <w:spacing w:line="276" w:lineRule="auto"/>
        <w:jc w:val="both"/>
        <w:rPr>
          <w:rFonts w:ascii="Arial" w:eastAsia="Tahoma" w:hAnsi="Arial" w:cs="Arial"/>
        </w:rPr>
      </w:pPr>
      <w:r w:rsidRPr="007D4D42">
        <w:rPr>
          <w:rFonts w:ascii="Arial" w:eastAsia="Tahoma" w:hAnsi="Arial" w:cs="Arial"/>
        </w:rPr>
        <w:t>Actividades financieras y de seguros crece 2,3%.</w:t>
      </w:r>
    </w:p>
    <w:p w14:paraId="51F97E0F" w14:textId="77777777" w:rsidR="00C87722" w:rsidRPr="007D4D42" w:rsidRDefault="00C87722" w:rsidP="00C87722">
      <w:pPr>
        <w:numPr>
          <w:ilvl w:val="0"/>
          <w:numId w:val="28"/>
        </w:numPr>
        <w:spacing w:line="276" w:lineRule="auto"/>
        <w:jc w:val="both"/>
        <w:rPr>
          <w:rFonts w:ascii="Arial" w:eastAsia="Tahoma" w:hAnsi="Arial" w:cs="Arial"/>
        </w:rPr>
      </w:pPr>
      <w:r w:rsidRPr="007D4D42">
        <w:rPr>
          <w:rFonts w:ascii="Arial" w:eastAsia="Tahoma" w:hAnsi="Arial" w:cs="Arial"/>
        </w:rPr>
        <w:t>Industrias manufactureras crece 1,5%.</w:t>
      </w:r>
    </w:p>
    <w:p w14:paraId="6B65D94B"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drawing>
          <wp:anchor distT="0" distB="0" distL="114300" distR="114300" simplePos="0" relativeHeight="251659264" behindDoc="1" locked="0" layoutInCell="1" allowOverlap="1" wp14:anchorId="16D259E9" wp14:editId="1ED00302">
            <wp:simplePos x="0" y="0"/>
            <wp:positionH relativeFrom="column">
              <wp:posOffset>1171575</wp:posOffset>
            </wp:positionH>
            <wp:positionV relativeFrom="paragraph">
              <wp:posOffset>13335</wp:posOffset>
            </wp:positionV>
            <wp:extent cx="4000123" cy="3115310"/>
            <wp:effectExtent l="0" t="0" r="635" b="8890"/>
            <wp:wrapNone/>
            <wp:docPr id="291488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88652" name=""/>
                    <pic:cNvPicPr/>
                  </pic:nvPicPr>
                  <pic:blipFill>
                    <a:blip r:embed="rId11">
                      <a:extLst>
                        <a:ext uri="{28A0092B-C50C-407E-A947-70E740481C1C}">
                          <a14:useLocalDpi xmlns:a14="http://schemas.microsoft.com/office/drawing/2010/main" val="0"/>
                        </a:ext>
                      </a:extLst>
                    </a:blip>
                    <a:stretch>
                      <a:fillRect/>
                    </a:stretch>
                  </pic:blipFill>
                  <pic:spPr>
                    <a:xfrm>
                      <a:off x="0" y="0"/>
                      <a:ext cx="4002675" cy="3117298"/>
                    </a:xfrm>
                    <a:prstGeom prst="rect">
                      <a:avLst/>
                    </a:prstGeom>
                  </pic:spPr>
                </pic:pic>
              </a:graphicData>
            </a:graphic>
            <wp14:sizeRelH relativeFrom="page">
              <wp14:pctWidth>0</wp14:pctWidth>
            </wp14:sizeRelH>
            <wp14:sizeRelV relativeFrom="page">
              <wp14:pctHeight>0</wp14:pctHeight>
            </wp14:sizeRelV>
          </wp:anchor>
        </w:drawing>
      </w:r>
    </w:p>
    <w:p w14:paraId="3D4DF5E7" w14:textId="77777777" w:rsidR="00C87722" w:rsidRPr="007D4D42" w:rsidRDefault="00C87722" w:rsidP="00C87722">
      <w:pPr>
        <w:spacing w:line="276" w:lineRule="auto"/>
        <w:jc w:val="both"/>
        <w:rPr>
          <w:rFonts w:ascii="Arial" w:eastAsia="Tahoma" w:hAnsi="Arial" w:cs="Arial"/>
        </w:rPr>
      </w:pPr>
    </w:p>
    <w:p w14:paraId="72DF68DF" w14:textId="77777777" w:rsidR="00C87722" w:rsidRPr="007D4D42" w:rsidRDefault="00C87722" w:rsidP="00C87722">
      <w:pPr>
        <w:spacing w:line="276" w:lineRule="auto"/>
        <w:jc w:val="both"/>
        <w:rPr>
          <w:rFonts w:ascii="Arial" w:eastAsia="Tahoma" w:hAnsi="Arial" w:cs="Arial"/>
        </w:rPr>
      </w:pPr>
    </w:p>
    <w:p w14:paraId="7FC71790" w14:textId="77777777" w:rsidR="00C87722" w:rsidRPr="007D4D42" w:rsidRDefault="00C87722" w:rsidP="00C87722">
      <w:pPr>
        <w:spacing w:line="276" w:lineRule="auto"/>
        <w:jc w:val="both"/>
        <w:rPr>
          <w:rFonts w:ascii="Arial" w:eastAsia="Tahoma" w:hAnsi="Arial" w:cs="Arial"/>
        </w:rPr>
      </w:pPr>
    </w:p>
    <w:p w14:paraId="13DFE687" w14:textId="77777777" w:rsidR="00C87722" w:rsidRPr="007D4D42" w:rsidRDefault="00C87722" w:rsidP="00C87722">
      <w:pPr>
        <w:spacing w:line="276" w:lineRule="auto"/>
        <w:jc w:val="both"/>
        <w:rPr>
          <w:rFonts w:ascii="Arial" w:eastAsia="Tahoma" w:hAnsi="Arial" w:cs="Arial"/>
        </w:rPr>
      </w:pPr>
    </w:p>
    <w:p w14:paraId="0F9B7C39" w14:textId="77777777" w:rsidR="00C87722" w:rsidRPr="007D4D42" w:rsidRDefault="00C87722" w:rsidP="00C87722">
      <w:pPr>
        <w:spacing w:line="276" w:lineRule="auto"/>
        <w:jc w:val="both"/>
        <w:rPr>
          <w:rFonts w:ascii="Arial" w:eastAsia="Tahoma" w:hAnsi="Arial" w:cs="Arial"/>
        </w:rPr>
      </w:pPr>
    </w:p>
    <w:p w14:paraId="5AF94C81" w14:textId="77777777" w:rsidR="00C87722" w:rsidRPr="007D4D42" w:rsidRDefault="00C87722" w:rsidP="00C87722">
      <w:pPr>
        <w:spacing w:line="276" w:lineRule="auto"/>
        <w:jc w:val="both"/>
        <w:rPr>
          <w:rFonts w:ascii="Arial" w:eastAsia="Tahoma" w:hAnsi="Arial" w:cs="Arial"/>
        </w:rPr>
      </w:pPr>
    </w:p>
    <w:p w14:paraId="28F8DABD" w14:textId="77777777" w:rsidR="00C87722" w:rsidRPr="007D4D42" w:rsidRDefault="00C87722" w:rsidP="00C87722">
      <w:pPr>
        <w:spacing w:line="276" w:lineRule="auto"/>
        <w:jc w:val="both"/>
        <w:rPr>
          <w:rFonts w:ascii="Arial" w:eastAsia="Tahoma" w:hAnsi="Arial" w:cs="Arial"/>
        </w:rPr>
      </w:pPr>
    </w:p>
    <w:p w14:paraId="6DEC5162" w14:textId="77777777" w:rsidR="00C87722" w:rsidRPr="007D4D42" w:rsidRDefault="00C87722" w:rsidP="00C87722">
      <w:pPr>
        <w:spacing w:line="276" w:lineRule="auto"/>
        <w:jc w:val="both"/>
        <w:rPr>
          <w:rFonts w:ascii="Arial" w:eastAsia="Tahoma" w:hAnsi="Arial" w:cs="Arial"/>
        </w:rPr>
      </w:pPr>
    </w:p>
    <w:p w14:paraId="1DFB1CCE" w14:textId="77777777" w:rsidR="00C87722" w:rsidRPr="007D4D42" w:rsidRDefault="00C87722" w:rsidP="00C87722">
      <w:pPr>
        <w:spacing w:line="276" w:lineRule="auto"/>
        <w:jc w:val="both"/>
        <w:rPr>
          <w:rFonts w:ascii="Arial" w:eastAsia="Tahoma" w:hAnsi="Arial" w:cs="Arial"/>
        </w:rPr>
      </w:pPr>
    </w:p>
    <w:p w14:paraId="458CDC95" w14:textId="77777777" w:rsidR="00C87722" w:rsidRPr="007D4D42" w:rsidRDefault="00C87722" w:rsidP="00C87722">
      <w:pPr>
        <w:spacing w:line="276" w:lineRule="auto"/>
        <w:jc w:val="both"/>
        <w:rPr>
          <w:rFonts w:ascii="Arial" w:eastAsia="Tahoma" w:hAnsi="Arial" w:cs="Arial"/>
        </w:rPr>
      </w:pPr>
    </w:p>
    <w:p w14:paraId="47F7207D"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 xml:space="preserve">Valor agregado por actividad económica </w:t>
      </w:r>
    </w:p>
    <w:p w14:paraId="6EA62583"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Agricultura, ganadería, caza, silvicultura y pesca </w:t>
      </w:r>
    </w:p>
    <w:p w14:paraId="76FA0514"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En el tercer trimestre de 2025pr, el valor agregado de la agricultura, ganadería, caza, silvicultura y pesca crece 2,4% en su serie original, respecto al mismo periodo de 2024pr. Esta dinámica se explica por los siguientes comportamientos: </w:t>
      </w:r>
    </w:p>
    <w:p w14:paraId="70A1BF15" w14:textId="77777777" w:rsidR="00C87722" w:rsidRPr="007D4D42" w:rsidRDefault="00C87722" w:rsidP="00C87722">
      <w:pPr>
        <w:pStyle w:val="Prrafodelista"/>
        <w:numPr>
          <w:ilvl w:val="0"/>
          <w:numId w:val="29"/>
        </w:numPr>
        <w:spacing w:line="276" w:lineRule="auto"/>
        <w:rPr>
          <w:rFonts w:ascii="Arial" w:hAnsi="Arial" w:cs="Arial"/>
        </w:rPr>
      </w:pPr>
      <w:r w:rsidRPr="007D4D42">
        <w:rPr>
          <w:rFonts w:ascii="Arial" w:hAnsi="Arial" w:cs="Arial"/>
        </w:rPr>
        <w:t xml:space="preserve">Cultivos agrícolas transitorios; cultivos agrícolas permanentes; propagación de plantas (actividades de viveros, excepto viveros forestales); actividades de apoyo a la </w:t>
      </w:r>
      <w:r w:rsidRPr="007D4D42">
        <w:rPr>
          <w:rFonts w:ascii="Arial" w:hAnsi="Arial" w:cs="Arial"/>
        </w:rPr>
        <w:lastRenderedPageBreak/>
        <w:t xml:space="preserve">agricultura y la ganadería y posteriores a la cosecha; explotación mixta (agrícola y pecuaria) y caza ordinaria y mediante trampas; y actividades de servicios conexas decrece 1,3%. </w:t>
      </w:r>
    </w:p>
    <w:p w14:paraId="082C7B59" w14:textId="77777777" w:rsidR="00C87722" w:rsidRPr="007D4D42" w:rsidRDefault="00C87722" w:rsidP="00C87722">
      <w:pPr>
        <w:pStyle w:val="Prrafodelista"/>
        <w:numPr>
          <w:ilvl w:val="0"/>
          <w:numId w:val="29"/>
        </w:numPr>
        <w:spacing w:line="276" w:lineRule="auto"/>
        <w:rPr>
          <w:rFonts w:ascii="Arial" w:hAnsi="Arial" w:cs="Arial"/>
        </w:rPr>
      </w:pPr>
      <w:r w:rsidRPr="007D4D42">
        <w:rPr>
          <w:rFonts w:ascii="Arial" w:hAnsi="Arial" w:cs="Arial"/>
        </w:rPr>
        <w:t>Cultivo permanente de café crece 9,8%.</w:t>
      </w:r>
    </w:p>
    <w:p w14:paraId="2D84BC68" w14:textId="77777777" w:rsidR="00C87722" w:rsidRPr="007D4D42" w:rsidRDefault="00C87722" w:rsidP="00C87722">
      <w:pPr>
        <w:pStyle w:val="Prrafodelista"/>
        <w:numPr>
          <w:ilvl w:val="0"/>
          <w:numId w:val="29"/>
        </w:numPr>
        <w:spacing w:line="276" w:lineRule="auto"/>
        <w:rPr>
          <w:rFonts w:ascii="Arial" w:hAnsi="Arial" w:cs="Arial"/>
        </w:rPr>
      </w:pPr>
      <w:r w:rsidRPr="007D4D42">
        <w:rPr>
          <w:rFonts w:ascii="Arial" w:hAnsi="Arial" w:cs="Arial"/>
        </w:rPr>
        <w:t xml:space="preserve">Ganadería crece 7,9%. </w:t>
      </w:r>
    </w:p>
    <w:p w14:paraId="583CA8AA" w14:textId="77777777" w:rsidR="00C87722" w:rsidRPr="007D4D42" w:rsidRDefault="00C87722" w:rsidP="00C87722">
      <w:pPr>
        <w:pStyle w:val="Prrafodelista"/>
        <w:numPr>
          <w:ilvl w:val="0"/>
          <w:numId w:val="29"/>
        </w:numPr>
        <w:spacing w:line="276" w:lineRule="auto"/>
        <w:rPr>
          <w:rFonts w:ascii="Arial" w:hAnsi="Arial" w:cs="Arial"/>
        </w:rPr>
      </w:pPr>
      <w:r w:rsidRPr="007D4D42">
        <w:rPr>
          <w:rFonts w:ascii="Arial" w:hAnsi="Arial" w:cs="Arial"/>
        </w:rPr>
        <w:t xml:space="preserve">Silvicultura y extracción de madera crece 9,4%. </w:t>
      </w:r>
    </w:p>
    <w:p w14:paraId="2A1F5528" w14:textId="77777777" w:rsidR="00C87722" w:rsidRPr="007D4D42" w:rsidRDefault="00C87722" w:rsidP="00C87722">
      <w:pPr>
        <w:pStyle w:val="Prrafodelista"/>
        <w:numPr>
          <w:ilvl w:val="0"/>
          <w:numId w:val="29"/>
        </w:numPr>
        <w:spacing w:line="276" w:lineRule="auto"/>
        <w:rPr>
          <w:rFonts w:ascii="Arial" w:hAnsi="Arial" w:cs="Arial"/>
        </w:rPr>
      </w:pPr>
      <w:r w:rsidRPr="007D4D42">
        <w:rPr>
          <w:rFonts w:ascii="Arial" w:hAnsi="Arial" w:cs="Arial"/>
        </w:rPr>
        <w:t>Pesca y acuicultura crece 16,4%.</w:t>
      </w:r>
    </w:p>
    <w:p w14:paraId="0F129961" w14:textId="77777777" w:rsidR="00C87722" w:rsidRPr="007D4D42" w:rsidRDefault="00C87722" w:rsidP="00C87722">
      <w:pPr>
        <w:spacing w:line="276" w:lineRule="auto"/>
        <w:jc w:val="both"/>
        <w:rPr>
          <w:rFonts w:ascii="Arial" w:eastAsia="Tahoma" w:hAnsi="Arial" w:cs="Arial"/>
        </w:rPr>
      </w:pPr>
    </w:p>
    <w:p w14:paraId="5792DA68"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Respecto al trimestre inmediatamente anterior en su serie ajustada por efecto estacional y calendario, el valor agregado de la agricultura, ganadería, caza, silvicultura y pesca crece en 1,0%, cuando se observa el comportamiento de las actividades económicas relacionadas:</w:t>
      </w:r>
    </w:p>
    <w:p w14:paraId="37D19C27" w14:textId="77777777" w:rsidR="00C87722" w:rsidRPr="007D4D42" w:rsidRDefault="00C87722" w:rsidP="00C87722">
      <w:pPr>
        <w:pStyle w:val="Prrafodelista"/>
        <w:numPr>
          <w:ilvl w:val="0"/>
          <w:numId w:val="30"/>
        </w:numPr>
        <w:spacing w:line="276" w:lineRule="auto"/>
        <w:jc w:val="both"/>
        <w:rPr>
          <w:rFonts w:ascii="Arial" w:eastAsia="Tahoma" w:hAnsi="Arial" w:cs="Arial"/>
        </w:rPr>
      </w:pPr>
      <w:r w:rsidRPr="007D4D42">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decrece 1,7%. </w:t>
      </w:r>
    </w:p>
    <w:p w14:paraId="7F604BDF" w14:textId="77777777" w:rsidR="00C87722" w:rsidRPr="007D4D42" w:rsidRDefault="00C87722" w:rsidP="00C87722">
      <w:pPr>
        <w:pStyle w:val="Prrafodelista"/>
        <w:numPr>
          <w:ilvl w:val="0"/>
          <w:numId w:val="30"/>
        </w:numPr>
        <w:spacing w:line="276" w:lineRule="auto"/>
        <w:jc w:val="both"/>
        <w:rPr>
          <w:rFonts w:ascii="Arial" w:eastAsia="Tahoma" w:hAnsi="Arial" w:cs="Arial"/>
        </w:rPr>
      </w:pPr>
      <w:r w:rsidRPr="007D4D42">
        <w:rPr>
          <w:rFonts w:ascii="Arial" w:eastAsia="Tahoma" w:hAnsi="Arial" w:cs="Arial"/>
        </w:rPr>
        <w:t xml:space="preserve">Cultivo permanente de café crece 32,0%. </w:t>
      </w:r>
    </w:p>
    <w:p w14:paraId="2C4BA3B2" w14:textId="77777777" w:rsidR="00C87722" w:rsidRPr="007D4D42" w:rsidRDefault="00C87722" w:rsidP="00C87722">
      <w:pPr>
        <w:pStyle w:val="Prrafodelista"/>
        <w:numPr>
          <w:ilvl w:val="0"/>
          <w:numId w:val="30"/>
        </w:numPr>
        <w:spacing w:line="276" w:lineRule="auto"/>
        <w:jc w:val="both"/>
        <w:rPr>
          <w:rFonts w:ascii="Arial" w:eastAsia="Tahoma" w:hAnsi="Arial" w:cs="Arial"/>
        </w:rPr>
      </w:pPr>
      <w:r w:rsidRPr="007D4D42">
        <w:rPr>
          <w:rFonts w:ascii="Arial" w:eastAsia="Tahoma" w:hAnsi="Arial" w:cs="Arial"/>
        </w:rPr>
        <w:t xml:space="preserve">Ganadería crece 1,1%. </w:t>
      </w:r>
    </w:p>
    <w:p w14:paraId="6CD3BCE7" w14:textId="77777777" w:rsidR="00C87722" w:rsidRPr="007D4D42" w:rsidRDefault="00C87722" w:rsidP="00C87722">
      <w:pPr>
        <w:pStyle w:val="Prrafodelista"/>
        <w:numPr>
          <w:ilvl w:val="0"/>
          <w:numId w:val="30"/>
        </w:numPr>
        <w:spacing w:line="276" w:lineRule="auto"/>
        <w:jc w:val="both"/>
        <w:rPr>
          <w:rFonts w:ascii="Arial" w:eastAsia="Tahoma" w:hAnsi="Arial" w:cs="Arial"/>
        </w:rPr>
      </w:pPr>
      <w:r w:rsidRPr="007D4D42">
        <w:rPr>
          <w:rFonts w:ascii="Arial" w:eastAsia="Tahoma" w:hAnsi="Arial" w:cs="Arial"/>
        </w:rPr>
        <w:t xml:space="preserve">Silvicultura y extracción de madera crece 4,5%. </w:t>
      </w:r>
    </w:p>
    <w:p w14:paraId="1202D093" w14:textId="77777777" w:rsidR="00C87722" w:rsidRPr="007D4D42" w:rsidRDefault="00C87722" w:rsidP="00C87722">
      <w:pPr>
        <w:pStyle w:val="Prrafodelista"/>
        <w:numPr>
          <w:ilvl w:val="0"/>
          <w:numId w:val="30"/>
        </w:numPr>
        <w:spacing w:line="276" w:lineRule="auto"/>
        <w:jc w:val="both"/>
        <w:rPr>
          <w:rFonts w:ascii="Arial" w:eastAsia="Tahoma" w:hAnsi="Arial" w:cs="Arial"/>
        </w:rPr>
      </w:pPr>
      <w:r w:rsidRPr="007D4D42">
        <w:rPr>
          <w:rFonts w:ascii="Arial" w:eastAsia="Tahoma" w:hAnsi="Arial" w:cs="Arial"/>
        </w:rPr>
        <w:t>Pesca y acuicultura crece 1,5%.</w:t>
      </w:r>
    </w:p>
    <w:p w14:paraId="11084530" w14:textId="77777777" w:rsidR="00C87722" w:rsidRPr="007D4D42" w:rsidRDefault="00C87722" w:rsidP="00C87722">
      <w:pPr>
        <w:spacing w:line="276" w:lineRule="auto"/>
        <w:jc w:val="both"/>
        <w:rPr>
          <w:rFonts w:ascii="Arial" w:eastAsia="Tahoma" w:hAnsi="Arial" w:cs="Arial"/>
        </w:rPr>
      </w:pPr>
    </w:p>
    <w:p w14:paraId="0552F53E"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drawing>
          <wp:inline distT="0" distB="0" distL="0" distR="0" wp14:anchorId="2D102285" wp14:editId="5F090408">
            <wp:extent cx="5943600" cy="3401060"/>
            <wp:effectExtent l="0" t="0" r="0" b="8890"/>
            <wp:docPr id="16783486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48623" name=""/>
                    <pic:cNvPicPr/>
                  </pic:nvPicPr>
                  <pic:blipFill>
                    <a:blip r:embed="rId12"/>
                    <a:stretch>
                      <a:fillRect/>
                    </a:stretch>
                  </pic:blipFill>
                  <pic:spPr>
                    <a:xfrm>
                      <a:off x="0" y="0"/>
                      <a:ext cx="5943600" cy="3401060"/>
                    </a:xfrm>
                    <a:prstGeom prst="rect">
                      <a:avLst/>
                    </a:prstGeom>
                  </pic:spPr>
                </pic:pic>
              </a:graphicData>
            </a:graphic>
          </wp:inline>
        </w:drawing>
      </w:r>
    </w:p>
    <w:p w14:paraId="5A9704D8" w14:textId="77777777" w:rsidR="00C87722" w:rsidRPr="007D4D42" w:rsidRDefault="00C87722" w:rsidP="00C87722">
      <w:pPr>
        <w:spacing w:line="276" w:lineRule="auto"/>
        <w:jc w:val="both"/>
        <w:rPr>
          <w:rFonts w:ascii="Arial" w:eastAsia="Tahoma" w:hAnsi="Arial" w:cs="Arial"/>
        </w:rPr>
      </w:pPr>
    </w:p>
    <w:p w14:paraId="6EA1AA95"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Actividades profesionales, científicas y técnicas</w:t>
      </w:r>
    </w:p>
    <w:p w14:paraId="4B1A0758"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En el tercer trimestre de 2025pr, el valor agregado de las actividades profesionales, científicas y técnicas; y actividades de servicios administrativos y de apoyo crece 1,1% en su serie original, respecto al mismo periodo de 2024pr. Esta dinámica se explica por los siguientes comportamientos: </w:t>
      </w:r>
    </w:p>
    <w:p w14:paraId="4098A67E" w14:textId="77777777" w:rsidR="00C87722" w:rsidRPr="007D4D42" w:rsidRDefault="00C87722" w:rsidP="00C87722">
      <w:pPr>
        <w:pStyle w:val="Prrafodelista"/>
        <w:numPr>
          <w:ilvl w:val="0"/>
          <w:numId w:val="31"/>
        </w:numPr>
        <w:spacing w:line="276" w:lineRule="auto"/>
        <w:jc w:val="both"/>
        <w:rPr>
          <w:rFonts w:ascii="Arial" w:eastAsia="Tahoma" w:hAnsi="Arial" w:cs="Arial"/>
        </w:rPr>
      </w:pPr>
      <w:r w:rsidRPr="007D4D42">
        <w:rPr>
          <w:rFonts w:ascii="Arial" w:eastAsia="Tahoma" w:hAnsi="Arial" w:cs="Arial"/>
        </w:rPr>
        <w:t>Actividades profesionales, científicas y técnicas crece 0,7%.</w:t>
      </w:r>
    </w:p>
    <w:p w14:paraId="3B37FC5A" w14:textId="77777777" w:rsidR="00C87722" w:rsidRPr="007D4D42" w:rsidRDefault="00C87722" w:rsidP="00C87722">
      <w:pPr>
        <w:pStyle w:val="Prrafodelista"/>
        <w:numPr>
          <w:ilvl w:val="0"/>
          <w:numId w:val="31"/>
        </w:numPr>
        <w:spacing w:line="276" w:lineRule="auto"/>
        <w:jc w:val="both"/>
        <w:rPr>
          <w:rFonts w:ascii="Arial" w:eastAsia="Tahoma" w:hAnsi="Arial" w:cs="Arial"/>
        </w:rPr>
      </w:pPr>
      <w:r w:rsidRPr="007D4D42">
        <w:rPr>
          <w:rFonts w:ascii="Arial" w:eastAsia="Tahoma" w:hAnsi="Arial" w:cs="Arial"/>
        </w:rPr>
        <w:t xml:space="preserve">Actividades de servicios administrativos y de apoyo crece 1,4%. </w:t>
      </w:r>
    </w:p>
    <w:p w14:paraId="6DD8D498"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lastRenderedPageBreak/>
        <w:t>Respecto al trimestre inmediatamente anterior en su serie ajustada por efecto estacional y calendario, el valor agregado de las actividades profesionales, científicas y técnicas; y actividades de servicios administrativos y de apoyo decrece en 0,1%, cuando se observa el comportamiento de las actividades económicas relacionadas:</w:t>
      </w:r>
    </w:p>
    <w:p w14:paraId="3260CB7F" w14:textId="77777777" w:rsidR="00C87722" w:rsidRPr="007D4D42" w:rsidRDefault="00C87722" w:rsidP="00C87722">
      <w:pPr>
        <w:pStyle w:val="Prrafodelista"/>
        <w:numPr>
          <w:ilvl w:val="0"/>
          <w:numId w:val="32"/>
        </w:numPr>
        <w:spacing w:line="276" w:lineRule="auto"/>
        <w:jc w:val="both"/>
        <w:rPr>
          <w:rFonts w:ascii="Arial" w:eastAsia="Tahoma" w:hAnsi="Arial" w:cs="Arial"/>
        </w:rPr>
      </w:pPr>
      <w:r w:rsidRPr="007D4D42">
        <w:rPr>
          <w:rFonts w:ascii="Arial" w:eastAsia="Tahoma" w:hAnsi="Arial" w:cs="Arial"/>
        </w:rPr>
        <w:t xml:space="preserve">Actividades profesionales, científicas y técnicas crece 0,1%. </w:t>
      </w:r>
    </w:p>
    <w:p w14:paraId="466B9FC7" w14:textId="77777777" w:rsidR="00C87722" w:rsidRPr="007D4D42" w:rsidRDefault="00C87722" w:rsidP="00C87722">
      <w:pPr>
        <w:pStyle w:val="Prrafodelista"/>
        <w:numPr>
          <w:ilvl w:val="0"/>
          <w:numId w:val="32"/>
        </w:numPr>
        <w:spacing w:line="276" w:lineRule="auto"/>
        <w:jc w:val="both"/>
        <w:rPr>
          <w:rFonts w:ascii="Arial" w:eastAsia="Tahoma" w:hAnsi="Arial" w:cs="Arial"/>
        </w:rPr>
      </w:pPr>
      <w:r w:rsidRPr="007D4D42">
        <w:rPr>
          <w:rFonts w:ascii="Arial" w:eastAsia="Tahoma" w:hAnsi="Arial" w:cs="Arial"/>
        </w:rPr>
        <w:t>Actividades de servicios administrativos y de apoyo crece 0,1%</w:t>
      </w:r>
    </w:p>
    <w:p w14:paraId="29DD6A90"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drawing>
          <wp:inline distT="0" distB="0" distL="0" distR="0" wp14:anchorId="77EC9E30" wp14:editId="4B7D9E3C">
            <wp:extent cx="5943600" cy="2734945"/>
            <wp:effectExtent l="0" t="0" r="0" b="8255"/>
            <wp:docPr id="2143773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73093" name=""/>
                    <pic:cNvPicPr/>
                  </pic:nvPicPr>
                  <pic:blipFill>
                    <a:blip r:embed="rId13"/>
                    <a:stretch>
                      <a:fillRect/>
                    </a:stretch>
                  </pic:blipFill>
                  <pic:spPr>
                    <a:xfrm>
                      <a:off x="0" y="0"/>
                      <a:ext cx="5943600" cy="2734945"/>
                    </a:xfrm>
                    <a:prstGeom prst="rect">
                      <a:avLst/>
                    </a:prstGeom>
                  </pic:spPr>
                </pic:pic>
              </a:graphicData>
            </a:graphic>
          </wp:inline>
        </w:drawing>
      </w:r>
    </w:p>
    <w:p w14:paraId="2E4DE4EA"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Administración pública y defensa</w:t>
      </w:r>
    </w:p>
    <w:p w14:paraId="7D53AD3C"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En el tercer trimestre de 2025pr, el valor agregado de la administración pública y defensa, planes de seguridad social de afiliación obligatoria; educación; actividades de atención de la salud humana y de servicios sociales crece 8,0% en su serie original, respecto al mismo periodo de 2024pr. Esta dinámica se explica por los siguientes comportamientos: </w:t>
      </w:r>
    </w:p>
    <w:p w14:paraId="0E29DAE6" w14:textId="77777777" w:rsidR="00C87722" w:rsidRPr="007D4D42" w:rsidRDefault="00C87722" w:rsidP="00C87722">
      <w:pPr>
        <w:pStyle w:val="Prrafodelista"/>
        <w:numPr>
          <w:ilvl w:val="0"/>
          <w:numId w:val="33"/>
        </w:numPr>
        <w:spacing w:line="276" w:lineRule="auto"/>
        <w:jc w:val="both"/>
        <w:rPr>
          <w:rFonts w:ascii="Arial" w:eastAsia="Tahoma" w:hAnsi="Arial" w:cs="Arial"/>
        </w:rPr>
      </w:pPr>
      <w:r w:rsidRPr="007D4D42">
        <w:rPr>
          <w:rFonts w:ascii="Arial" w:eastAsia="Tahoma" w:hAnsi="Arial" w:cs="Arial"/>
        </w:rPr>
        <w:t>Administración pública y defensa; planes de seguridad social de afiliación obligatoria crece 9,1%.</w:t>
      </w:r>
    </w:p>
    <w:p w14:paraId="76BF6605" w14:textId="77777777" w:rsidR="00C87722" w:rsidRPr="007D4D42" w:rsidRDefault="00C87722" w:rsidP="00C87722">
      <w:pPr>
        <w:pStyle w:val="Prrafodelista"/>
        <w:numPr>
          <w:ilvl w:val="0"/>
          <w:numId w:val="33"/>
        </w:numPr>
        <w:spacing w:line="276" w:lineRule="auto"/>
        <w:jc w:val="both"/>
        <w:rPr>
          <w:rFonts w:ascii="Arial" w:eastAsia="Tahoma" w:hAnsi="Arial" w:cs="Arial"/>
        </w:rPr>
      </w:pPr>
      <w:r w:rsidRPr="007D4D42">
        <w:rPr>
          <w:rFonts w:ascii="Arial" w:eastAsia="Tahoma" w:hAnsi="Arial" w:cs="Arial"/>
        </w:rPr>
        <w:t xml:space="preserve">Educación crece 11,0%. </w:t>
      </w:r>
    </w:p>
    <w:p w14:paraId="27B9BE10" w14:textId="77777777" w:rsidR="00C87722" w:rsidRPr="007D4D42" w:rsidRDefault="00C87722" w:rsidP="00C87722">
      <w:pPr>
        <w:pStyle w:val="Prrafodelista"/>
        <w:numPr>
          <w:ilvl w:val="0"/>
          <w:numId w:val="33"/>
        </w:numPr>
        <w:spacing w:line="276" w:lineRule="auto"/>
        <w:jc w:val="both"/>
        <w:rPr>
          <w:rFonts w:ascii="Arial" w:eastAsia="Tahoma" w:hAnsi="Arial" w:cs="Arial"/>
        </w:rPr>
      </w:pPr>
      <w:r w:rsidRPr="007D4D42">
        <w:rPr>
          <w:rFonts w:ascii="Arial" w:eastAsia="Tahoma" w:hAnsi="Arial" w:cs="Arial"/>
        </w:rPr>
        <w:t xml:space="preserve">Actividades de atención de la salud humana y de servicios sociales crece 3,8%. </w:t>
      </w:r>
    </w:p>
    <w:p w14:paraId="1BBD2330"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Respecto al trimestre inmediatamente anterior en su serie ajustada por efecto estacional y calendario, el valor agregado de la administración pública y defensa, planes de seguridad social de afiliación obligatoria; educación; actividades de atención de la salud humana y de servicios sociales crece en 3,4%, cuando se observa el comportamiento de las actividades económicas relacionadas: </w:t>
      </w:r>
    </w:p>
    <w:p w14:paraId="41FBA4D4" w14:textId="77777777" w:rsidR="00C87722" w:rsidRPr="007D4D42" w:rsidRDefault="00C87722" w:rsidP="00C87722">
      <w:pPr>
        <w:pStyle w:val="Prrafodelista"/>
        <w:numPr>
          <w:ilvl w:val="0"/>
          <w:numId w:val="34"/>
        </w:numPr>
        <w:spacing w:line="276" w:lineRule="auto"/>
        <w:jc w:val="both"/>
        <w:rPr>
          <w:rFonts w:ascii="Arial" w:eastAsia="Tahoma" w:hAnsi="Arial" w:cs="Arial"/>
        </w:rPr>
      </w:pPr>
      <w:r w:rsidRPr="007D4D42">
        <w:rPr>
          <w:rFonts w:ascii="Arial" w:eastAsia="Tahoma" w:hAnsi="Arial" w:cs="Arial"/>
        </w:rPr>
        <w:t>Administración pública y defensa; planes de seguridad social de afiliación obligatoria crece 1,7%.</w:t>
      </w:r>
    </w:p>
    <w:p w14:paraId="6DEF424A" w14:textId="77777777" w:rsidR="00C87722" w:rsidRPr="007D4D42" w:rsidRDefault="00C87722" w:rsidP="00C87722">
      <w:pPr>
        <w:pStyle w:val="Prrafodelista"/>
        <w:numPr>
          <w:ilvl w:val="0"/>
          <w:numId w:val="34"/>
        </w:numPr>
        <w:spacing w:line="276" w:lineRule="auto"/>
        <w:jc w:val="both"/>
        <w:rPr>
          <w:rFonts w:ascii="Arial" w:eastAsia="Tahoma" w:hAnsi="Arial" w:cs="Arial"/>
        </w:rPr>
      </w:pPr>
      <w:r w:rsidRPr="007D4D42">
        <w:rPr>
          <w:rFonts w:ascii="Arial" w:eastAsia="Tahoma" w:hAnsi="Arial" w:cs="Arial"/>
        </w:rPr>
        <w:t xml:space="preserve">Educación crece 4,3%. </w:t>
      </w:r>
    </w:p>
    <w:p w14:paraId="0ECEF298" w14:textId="77777777" w:rsidR="00C87722" w:rsidRPr="007D4D42" w:rsidRDefault="00C87722" w:rsidP="00C87722">
      <w:pPr>
        <w:pStyle w:val="Prrafodelista"/>
        <w:numPr>
          <w:ilvl w:val="0"/>
          <w:numId w:val="34"/>
        </w:numPr>
        <w:spacing w:line="276" w:lineRule="auto"/>
        <w:jc w:val="both"/>
        <w:rPr>
          <w:rFonts w:ascii="Arial" w:eastAsia="Tahoma" w:hAnsi="Arial" w:cs="Arial"/>
        </w:rPr>
      </w:pPr>
      <w:r w:rsidRPr="007D4D42">
        <w:rPr>
          <w:rFonts w:ascii="Arial" w:eastAsia="Tahoma" w:hAnsi="Arial" w:cs="Arial"/>
        </w:rPr>
        <w:t>Actividades de atención de la salud humana y de servicios sociales crece 3,0%</w:t>
      </w:r>
    </w:p>
    <w:p w14:paraId="343D5F4D"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lastRenderedPageBreak/>
        <w:drawing>
          <wp:inline distT="0" distB="0" distL="0" distR="0" wp14:anchorId="2D2C34F2" wp14:editId="13F7F6E4">
            <wp:extent cx="4624705" cy="2429452"/>
            <wp:effectExtent l="0" t="0" r="4445" b="9525"/>
            <wp:docPr id="1543775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75431" name=""/>
                    <pic:cNvPicPr/>
                  </pic:nvPicPr>
                  <pic:blipFill>
                    <a:blip r:embed="rId14"/>
                    <a:stretch>
                      <a:fillRect/>
                    </a:stretch>
                  </pic:blipFill>
                  <pic:spPr>
                    <a:xfrm>
                      <a:off x="0" y="0"/>
                      <a:ext cx="4629520" cy="2431982"/>
                    </a:xfrm>
                    <a:prstGeom prst="rect">
                      <a:avLst/>
                    </a:prstGeom>
                  </pic:spPr>
                </pic:pic>
              </a:graphicData>
            </a:graphic>
          </wp:inline>
        </w:drawing>
      </w:r>
    </w:p>
    <w:p w14:paraId="317DDBA6" w14:textId="77777777" w:rsidR="00C87722" w:rsidRPr="007D4D42" w:rsidRDefault="00C87722" w:rsidP="00C87722">
      <w:pPr>
        <w:spacing w:line="276" w:lineRule="auto"/>
        <w:jc w:val="both"/>
        <w:rPr>
          <w:rFonts w:ascii="Arial" w:eastAsia="Tahoma" w:hAnsi="Arial" w:cs="Arial"/>
        </w:rPr>
      </w:pPr>
    </w:p>
    <w:p w14:paraId="44603E81"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 xml:space="preserve">Actividades artísticas, de entretenimiento y recreación y otras actividades de servicios </w:t>
      </w:r>
    </w:p>
    <w:p w14:paraId="3B4AB47A"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En el tercer trimestre de 2025pr,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5,7% en su serie original, respecto al mismo periodo de 2024pr. Esta dinámica se explica por los siguientes comportamientos: </w:t>
      </w:r>
    </w:p>
    <w:p w14:paraId="3BFA8F73" w14:textId="77777777" w:rsidR="00C87722" w:rsidRPr="007D4D42" w:rsidRDefault="00C87722" w:rsidP="00C87722">
      <w:pPr>
        <w:pStyle w:val="Prrafodelista"/>
        <w:numPr>
          <w:ilvl w:val="0"/>
          <w:numId w:val="35"/>
        </w:numPr>
        <w:spacing w:line="276" w:lineRule="auto"/>
        <w:jc w:val="both"/>
        <w:rPr>
          <w:rFonts w:ascii="Arial" w:eastAsia="Tahoma" w:hAnsi="Arial" w:cs="Arial"/>
        </w:rPr>
      </w:pPr>
      <w:r w:rsidRPr="007D4D42">
        <w:rPr>
          <w:rFonts w:ascii="Arial" w:eastAsia="Tahoma" w:hAnsi="Arial" w:cs="Arial"/>
        </w:rPr>
        <w:t xml:space="preserve">Actividades artísticas, de entretenimiento y recreación y otras actividades de servicios crece 6,3%. </w:t>
      </w:r>
    </w:p>
    <w:p w14:paraId="165E1488" w14:textId="77777777" w:rsidR="00C87722" w:rsidRPr="007D4D42" w:rsidRDefault="00C87722" w:rsidP="00C87722">
      <w:pPr>
        <w:pStyle w:val="Prrafodelista"/>
        <w:numPr>
          <w:ilvl w:val="0"/>
          <w:numId w:val="35"/>
        </w:numPr>
        <w:spacing w:line="276" w:lineRule="auto"/>
        <w:jc w:val="both"/>
        <w:rPr>
          <w:rFonts w:ascii="Arial" w:eastAsia="Tahoma" w:hAnsi="Arial" w:cs="Arial"/>
        </w:rPr>
      </w:pPr>
      <w:r w:rsidRPr="007D4D42">
        <w:rPr>
          <w:rFonts w:ascii="Arial" w:eastAsia="Tahoma" w:hAnsi="Arial" w:cs="Arial"/>
        </w:rPr>
        <w:t xml:space="preserve">Actividades de los hogares individuales en calidad de empleadores; actividades no diferenciadas de los hogares individuales como productores de bienes y servicios para uso propio crece 2,1%. </w:t>
      </w:r>
    </w:p>
    <w:p w14:paraId="32467282"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 xml:space="preserve">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1,0%, cuando se observa el comportamiento de las actividades económicas relacionadas: </w:t>
      </w:r>
    </w:p>
    <w:p w14:paraId="53A3BB8B" w14:textId="77777777" w:rsidR="00C87722" w:rsidRPr="007D4D42" w:rsidRDefault="00C87722" w:rsidP="00C87722">
      <w:pPr>
        <w:pStyle w:val="Prrafodelista"/>
        <w:numPr>
          <w:ilvl w:val="0"/>
          <w:numId w:val="36"/>
        </w:numPr>
        <w:spacing w:line="276" w:lineRule="auto"/>
        <w:jc w:val="both"/>
        <w:rPr>
          <w:rFonts w:ascii="Arial" w:eastAsia="Tahoma" w:hAnsi="Arial" w:cs="Arial"/>
        </w:rPr>
      </w:pPr>
      <w:r w:rsidRPr="007D4D42">
        <w:rPr>
          <w:rFonts w:ascii="Arial" w:eastAsia="Tahoma" w:hAnsi="Arial" w:cs="Arial"/>
        </w:rPr>
        <w:t xml:space="preserve">Actividades artísticas, de entretenimiento y recreación y otras actividades de servicios crece 1,0%. </w:t>
      </w:r>
    </w:p>
    <w:p w14:paraId="4B5EA6ED" w14:textId="77777777" w:rsidR="00C87722" w:rsidRPr="007D4D42" w:rsidRDefault="00C87722" w:rsidP="00C87722">
      <w:pPr>
        <w:pStyle w:val="Prrafodelista"/>
        <w:numPr>
          <w:ilvl w:val="0"/>
          <w:numId w:val="36"/>
        </w:numPr>
        <w:spacing w:line="276" w:lineRule="auto"/>
        <w:jc w:val="both"/>
        <w:rPr>
          <w:rFonts w:ascii="Arial" w:eastAsia="Tahoma" w:hAnsi="Arial" w:cs="Arial"/>
        </w:rPr>
      </w:pPr>
      <w:r w:rsidRPr="007D4D42">
        <w:rPr>
          <w:rFonts w:ascii="Arial" w:eastAsia="Tahoma" w:hAnsi="Arial" w:cs="Arial"/>
        </w:rPr>
        <w:t>Actividades de los hogares individuales en calidad de empleadores; actividades no diferenciadas de los hogares individuales como productores de bienes y servicios para uso propio crece 1,6%.</w:t>
      </w:r>
    </w:p>
    <w:p w14:paraId="0936AD5D" w14:textId="77777777" w:rsidR="00C87722" w:rsidRPr="007D4D42" w:rsidRDefault="00C87722" w:rsidP="00C87722">
      <w:pPr>
        <w:spacing w:line="276" w:lineRule="auto"/>
        <w:jc w:val="both"/>
        <w:rPr>
          <w:rFonts w:ascii="Arial" w:eastAsia="Tahoma" w:hAnsi="Arial" w:cs="Arial"/>
        </w:rPr>
      </w:pPr>
    </w:p>
    <w:p w14:paraId="11A58568"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noProof/>
        </w:rPr>
        <w:lastRenderedPageBreak/>
        <w:drawing>
          <wp:inline distT="0" distB="0" distL="0" distR="0" wp14:anchorId="2AC74D8A" wp14:editId="3AF67043">
            <wp:extent cx="4618520" cy="2463704"/>
            <wp:effectExtent l="0" t="0" r="0" b="0"/>
            <wp:docPr id="1911429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29764" name=""/>
                    <pic:cNvPicPr/>
                  </pic:nvPicPr>
                  <pic:blipFill>
                    <a:blip r:embed="rId15"/>
                    <a:stretch>
                      <a:fillRect/>
                    </a:stretch>
                  </pic:blipFill>
                  <pic:spPr>
                    <a:xfrm>
                      <a:off x="0" y="0"/>
                      <a:ext cx="4631902" cy="2470843"/>
                    </a:xfrm>
                    <a:prstGeom prst="rect">
                      <a:avLst/>
                    </a:prstGeom>
                  </pic:spPr>
                </pic:pic>
              </a:graphicData>
            </a:graphic>
          </wp:inline>
        </w:drawing>
      </w:r>
    </w:p>
    <w:p w14:paraId="15FB983D"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00C0B23" w14:textId="77777777" w:rsidR="00C87722" w:rsidRPr="007D4D42" w:rsidRDefault="00C87722" w:rsidP="00C87722">
      <w:pPr>
        <w:spacing w:line="276" w:lineRule="auto"/>
        <w:jc w:val="both"/>
        <w:rPr>
          <w:rFonts w:ascii="Arial" w:eastAsia="Tahoma" w:hAnsi="Arial" w:cs="Arial"/>
          <w:b/>
          <w:bCs/>
        </w:rPr>
      </w:pPr>
      <w:r w:rsidRPr="007D4D42">
        <w:rPr>
          <w:rFonts w:ascii="Arial" w:eastAsia="Tahoma" w:hAnsi="Arial" w:cs="Arial"/>
          <w:b/>
          <w:bCs/>
        </w:rPr>
        <w:t>Información y comunicaciones</w:t>
      </w:r>
    </w:p>
    <w:p w14:paraId="191439A6" w14:textId="77777777" w:rsidR="00C87722" w:rsidRPr="007D4D42" w:rsidRDefault="00C87722" w:rsidP="00C87722">
      <w:pPr>
        <w:spacing w:line="276" w:lineRule="auto"/>
        <w:jc w:val="both"/>
        <w:rPr>
          <w:rFonts w:ascii="Arial" w:eastAsia="Tahoma" w:hAnsi="Arial" w:cs="Arial"/>
        </w:rPr>
      </w:pPr>
      <w:r w:rsidRPr="007D4D42">
        <w:rPr>
          <w:rFonts w:ascii="Arial" w:eastAsia="Tahoma" w:hAnsi="Arial" w:cs="Arial"/>
        </w:rPr>
        <w:t>En el tercer trimestre de 2025pr, el valor agregado de información y comunicaciones crece 1,9% en su serie original, respecto al mismo periodo de 2024</w:t>
      </w:r>
      <w:proofErr w:type="gramStart"/>
      <w:r w:rsidRPr="007D4D42">
        <w:rPr>
          <w:rFonts w:ascii="Arial" w:eastAsia="Tahoma" w:hAnsi="Arial" w:cs="Arial"/>
        </w:rPr>
        <w:t>pr .</w:t>
      </w:r>
      <w:proofErr w:type="gramEnd"/>
      <w:r w:rsidRPr="007D4D42">
        <w:rPr>
          <w:rFonts w:ascii="Arial" w:eastAsia="Tahoma" w:hAnsi="Arial" w:cs="Arial"/>
        </w:rPr>
        <w:t xml:space="preserve"> Para la serie ajustada por efecto estacional y calendario, el valor agregado crece en 0,4%, respecto al trimestre inmediatamente anterior:</w:t>
      </w:r>
    </w:p>
    <w:p w14:paraId="37F45991"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41CD55C"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drawing>
          <wp:inline distT="0" distB="0" distL="0" distR="0" wp14:anchorId="1B3D9EF9" wp14:editId="260867C3">
            <wp:extent cx="5400675" cy="2787463"/>
            <wp:effectExtent l="0" t="0" r="0" b="0"/>
            <wp:docPr id="431285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85592" name=""/>
                    <pic:cNvPicPr/>
                  </pic:nvPicPr>
                  <pic:blipFill>
                    <a:blip r:embed="rId16"/>
                    <a:stretch>
                      <a:fillRect/>
                    </a:stretch>
                  </pic:blipFill>
                  <pic:spPr>
                    <a:xfrm>
                      <a:off x="0" y="0"/>
                      <a:ext cx="5411162" cy="2792876"/>
                    </a:xfrm>
                    <a:prstGeom prst="rect">
                      <a:avLst/>
                    </a:prstGeom>
                  </pic:spPr>
                </pic:pic>
              </a:graphicData>
            </a:graphic>
          </wp:inline>
        </w:drawing>
      </w:r>
    </w:p>
    <w:p w14:paraId="5132016A"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66D14EE"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7D4D42">
        <w:rPr>
          <w:rFonts w:ascii="Arial" w:eastAsia="Tahoma" w:hAnsi="Arial" w:cs="Arial"/>
          <w:b/>
          <w:bCs/>
        </w:rPr>
        <w:t>Actividades financieras y de seguros</w:t>
      </w:r>
    </w:p>
    <w:p w14:paraId="21C8A4A3"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En el tercer trimestre de 2025pr, el valor agregado de las actividades financieras y de seguros crece 4,3% en su serie original, respecto al mismo periodo de 2024</w:t>
      </w:r>
      <w:proofErr w:type="gramStart"/>
      <w:r w:rsidRPr="007D4D42">
        <w:rPr>
          <w:rFonts w:ascii="Arial" w:eastAsia="Tahoma" w:hAnsi="Arial" w:cs="Arial"/>
        </w:rPr>
        <w:t>pr .</w:t>
      </w:r>
      <w:proofErr w:type="gramEnd"/>
      <w:r w:rsidRPr="007D4D42">
        <w:rPr>
          <w:rFonts w:ascii="Arial" w:eastAsia="Tahoma" w:hAnsi="Arial" w:cs="Arial"/>
        </w:rPr>
        <w:t xml:space="preserve"> Para la serie ajustada por efecto estacional y calendario, el valor agregado crece en 2,3%, respecto al trimestre inmediatamente anterior: </w:t>
      </w:r>
    </w:p>
    <w:p w14:paraId="2960C135"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lastRenderedPageBreak/>
        <w:drawing>
          <wp:inline distT="0" distB="0" distL="0" distR="0" wp14:anchorId="2B816B40" wp14:editId="1EFC2DB3">
            <wp:extent cx="5943600" cy="2256155"/>
            <wp:effectExtent l="0" t="0" r="0" b="0"/>
            <wp:docPr id="573992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92183" name=""/>
                    <pic:cNvPicPr/>
                  </pic:nvPicPr>
                  <pic:blipFill>
                    <a:blip r:embed="rId17"/>
                    <a:stretch>
                      <a:fillRect/>
                    </a:stretch>
                  </pic:blipFill>
                  <pic:spPr>
                    <a:xfrm>
                      <a:off x="0" y="0"/>
                      <a:ext cx="5943600" cy="2256155"/>
                    </a:xfrm>
                    <a:prstGeom prst="rect">
                      <a:avLst/>
                    </a:prstGeom>
                  </pic:spPr>
                </pic:pic>
              </a:graphicData>
            </a:graphic>
          </wp:inline>
        </w:drawing>
      </w:r>
    </w:p>
    <w:p w14:paraId="69481BD8"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7D4D42">
        <w:rPr>
          <w:rFonts w:ascii="Arial" w:eastAsia="Tahoma" w:hAnsi="Arial" w:cs="Arial"/>
          <w:b/>
          <w:bCs/>
        </w:rPr>
        <w:t>PIB desde el enfoque del gasto</w:t>
      </w:r>
    </w:p>
    <w:p w14:paraId="0E612236"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En el tercer trimestre de 2025pr, el Producto Interno Bruto en su serie original crece 3,6% respecto al mismo periodo de 2024pr. Esta dinámica se explica por los siguientes comportamientos del componente del gasto: </w:t>
      </w:r>
    </w:p>
    <w:p w14:paraId="3F6A24F2" w14:textId="77777777" w:rsidR="00C87722" w:rsidRPr="007D4D42" w:rsidRDefault="00C87722" w:rsidP="00C87722">
      <w:pPr>
        <w:pStyle w:val="Prrafodelista"/>
        <w:numPr>
          <w:ilvl w:val="0"/>
          <w:numId w:val="3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Gasto en consumo final crece 5,7%. </w:t>
      </w:r>
    </w:p>
    <w:p w14:paraId="66181BA6" w14:textId="77777777" w:rsidR="00C87722" w:rsidRPr="007D4D42" w:rsidRDefault="00C87722" w:rsidP="00C87722">
      <w:pPr>
        <w:pStyle w:val="Prrafodelista"/>
        <w:numPr>
          <w:ilvl w:val="0"/>
          <w:numId w:val="3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Formación bruta de capital crece 2,2%. • Exportaciones crecen 2,2%. </w:t>
      </w:r>
    </w:p>
    <w:p w14:paraId="45E990F0" w14:textId="77777777" w:rsidR="00C87722" w:rsidRPr="007D4D42" w:rsidRDefault="00C87722" w:rsidP="00C87722">
      <w:pPr>
        <w:pStyle w:val="Prrafodelista"/>
        <w:numPr>
          <w:ilvl w:val="0"/>
          <w:numId w:val="3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Importaciones crecen 10,0%. </w:t>
      </w:r>
    </w:p>
    <w:p w14:paraId="2C6A14AA"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Respecto al trimestre inmediatamente anterior, el Producto Interno Bruto crece en 1,2%, en su serie ajustada por efecto estacional y calendario. Cuando se observa el comportamiento de sus componentes: </w:t>
      </w:r>
    </w:p>
    <w:p w14:paraId="7CA7908D" w14:textId="77777777" w:rsidR="00C87722" w:rsidRPr="007D4D42" w:rsidRDefault="00C87722" w:rsidP="00C87722">
      <w:pPr>
        <w:pStyle w:val="Prrafodelista"/>
        <w:numPr>
          <w:ilvl w:val="0"/>
          <w:numId w:val="3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Gasto en consumo final crece 1,3%. </w:t>
      </w:r>
    </w:p>
    <w:p w14:paraId="43616669" w14:textId="77777777" w:rsidR="00C87722" w:rsidRPr="007D4D42" w:rsidRDefault="00C87722" w:rsidP="00C87722">
      <w:pPr>
        <w:pStyle w:val="Prrafodelista"/>
        <w:numPr>
          <w:ilvl w:val="0"/>
          <w:numId w:val="3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Formación bruta de capital crece 0,5%. </w:t>
      </w:r>
    </w:p>
    <w:p w14:paraId="0AA2A749" w14:textId="77777777" w:rsidR="00C87722" w:rsidRPr="007D4D42" w:rsidRDefault="00C87722" w:rsidP="00C87722">
      <w:pPr>
        <w:pStyle w:val="Prrafodelista"/>
        <w:numPr>
          <w:ilvl w:val="0"/>
          <w:numId w:val="3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xml:space="preserve">Exportaciones crecen 1,5%. </w:t>
      </w:r>
    </w:p>
    <w:p w14:paraId="1CF84688" w14:textId="77777777" w:rsidR="00C87722" w:rsidRPr="007D4D42" w:rsidRDefault="00C87722" w:rsidP="00C87722">
      <w:pPr>
        <w:pStyle w:val="Prrafodelista"/>
        <w:numPr>
          <w:ilvl w:val="0"/>
          <w:numId w:val="3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Importaciones crecen 2,4%</w:t>
      </w:r>
    </w:p>
    <w:p w14:paraId="7BB68CEB"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drawing>
          <wp:inline distT="0" distB="0" distL="0" distR="0" wp14:anchorId="4B71EF63" wp14:editId="6CF98E1E">
            <wp:extent cx="5619089" cy="3107307"/>
            <wp:effectExtent l="0" t="0" r="1270" b="0"/>
            <wp:docPr id="2055108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08732" name=""/>
                    <pic:cNvPicPr/>
                  </pic:nvPicPr>
                  <pic:blipFill>
                    <a:blip r:embed="rId18"/>
                    <a:stretch>
                      <a:fillRect/>
                    </a:stretch>
                  </pic:blipFill>
                  <pic:spPr>
                    <a:xfrm>
                      <a:off x="0" y="0"/>
                      <a:ext cx="5622297" cy="3109081"/>
                    </a:xfrm>
                    <a:prstGeom prst="rect">
                      <a:avLst/>
                    </a:prstGeom>
                  </pic:spPr>
                </pic:pic>
              </a:graphicData>
            </a:graphic>
          </wp:inline>
        </w:drawing>
      </w:r>
    </w:p>
    <w:p w14:paraId="11B1CC85" w14:textId="77777777" w:rsidR="007D4D42" w:rsidRPr="007D4D42" w:rsidRDefault="007D4D42" w:rsidP="007D4D42">
      <w:pPr>
        <w:pStyle w:val="Prrafodelista"/>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2ABC1F70" w14:textId="77777777" w:rsidR="007D4D42" w:rsidRPr="007D4D42" w:rsidRDefault="007D4D42" w:rsidP="007D4D42">
      <w:pPr>
        <w:pStyle w:val="Prrafodelista"/>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67DC7383" w14:textId="77777777" w:rsidR="007D4D42" w:rsidRPr="007D4D42" w:rsidRDefault="007D4D42" w:rsidP="007D4D42">
      <w:pPr>
        <w:pStyle w:val="Prrafodelista"/>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660BDAE2" w14:textId="77777777" w:rsidR="007D4D42" w:rsidRPr="007D4D42" w:rsidRDefault="007D4D42" w:rsidP="007D4D42">
      <w:pPr>
        <w:pStyle w:val="Prrafodelista"/>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25491872" w14:textId="361D00BB" w:rsidR="00C87722" w:rsidRPr="007D4D42" w:rsidRDefault="00C87722" w:rsidP="00C87722">
      <w:pPr>
        <w:pStyle w:val="Prrafodelista"/>
        <w:numPr>
          <w:ilvl w:val="0"/>
          <w:numId w:val="1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7D4D42">
        <w:rPr>
          <w:rFonts w:ascii="Arial" w:eastAsia="Tahoma" w:hAnsi="Arial" w:cs="Arial"/>
          <w:b/>
        </w:rPr>
        <w:lastRenderedPageBreak/>
        <w:t>DESEMPLEO</w:t>
      </w:r>
    </w:p>
    <w:p w14:paraId="09365530"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7D4D42">
        <w:rPr>
          <w:rFonts w:ascii="Arial" w:eastAsia="Tahoma" w:hAnsi="Arial" w:cs="Arial"/>
          <w:b/>
          <w:bCs/>
        </w:rPr>
        <w:t>Información noviembre 2025</w:t>
      </w:r>
    </w:p>
    <w:p w14:paraId="046ED2A8"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 Para el mes de noviembre de 2025, la tasa de desocupación del total nacional fue 7,0%, lo que representó una disminución de 1,1 puntos porcentuales respecto al mismo mes de 2024 (8,2%). La tasa global de participación se ubicó en 64,7%, lo que significó un aumento de 1,0 puntos porcentuales frente a noviembre de 2024 (63,7%). Finalmente, la tasa de ocupación fue 60,2%, lo que representó un aumento de 1,6 puntos porcentuales respecto al mismo mes del año anterior (58,5%).</w:t>
      </w:r>
    </w:p>
    <w:p w14:paraId="2A942C13"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drawing>
          <wp:inline distT="0" distB="0" distL="0" distR="0" wp14:anchorId="3CCDF6FB" wp14:editId="4488CC2E">
            <wp:extent cx="5943600" cy="2205355"/>
            <wp:effectExtent l="0" t="0" r="0" b="4445"/>
            <wp:docPr id="1684651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51780" name=""/>
                    <pic:cNvPicPr/>
                  </pic:nvPicPr>
                  <pic:blipFill>
                    <a:blip r:embed="rId19"/>
                    <a:stretch>
                      <a:fillRect/>
                    </a:stretch>
                  </pic:blipFill>
                  <pic:spPr>
                    <a:xfrm>
                      <a:off x="0" y="0"/>
                      <a:ext cx="5943600" cy="2205355"/>
                    </a:xfrm>
                    <a:prstGeom prst="rect">
                      <a:avLst/>
                    </a:prstGeom>
                  </pic:spPr>
                </pic:pic>
              </a:graphicData>
            </a:graphic>
          </wp:inline>
        </w:drawing>
      </w:r>
    </w:p>
    <w:p w14:paraId="116B9034"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En noviembre de 2025, la tasa de desocupación en el total de las 13 ciudades y áreas metropolitanas fue 7,3%, mientras que en noviembre de 2024 fue 8,0%. La tasa global de participación se ubicó en 67,4% y la tasa de ocupación en 62,5%, estas tasas en el mismo mes del año anterior fueron 66,7% y 61,4%, respectivamente.</w:t>
      </w:r>
    </w:p>
    <w:p w14:paraId="6687C96B"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7D4D42">
        <w:rPr>
          <w:rFonts w:ascii="Arial" w:eastAsia="Tahoma" w:hAnsi="Arial" w:cs="Arial"/>
          <w:b/>
          <w:bCs/>
        </w:rPr>
        <w:t>TOTAL, NACIONAL MENSUAL</w:t>
      </w:r>
    </w:p>
    <w:p w14:paraId="0247065C"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Para el mes de noviembre de 2025, la tasa de desocupación del total nacional fue 7,0%, lo que representó una disminución de 1,1 puntos porcentuales respecto al mismo mes de 2024 (8,2%). La tasa global de participación se ubicó en 64,7%, lo que significó un aumento de 1,0 puntos porcentuales frente a noviembre de 2024 (63,7%). Finalmente, la tasa de ocupación fue 60,2%, lo que representó un aumento de 1,6 puntos porcentuales respecto al mismo mes del año anterior (58,5%).</w:t>
      </w:r>
    </w:p>
    <w:p w14:paraId="79CBADE4"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drawing>
          <wp:inline distT="0" distB="0" distL="0" distR="0" wp14:anchorId="4F0DE81D" wp14:editId="638E6D7C">
            <wp:extent cx="5018739" cy="2836982"/>
            <wp:effectExtent l="0" t="0" r="0" b="1905"/>
            <wp:docPr id="1744904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04230" name=""/>
                    <pic:cNvPicPr/>
                  </pic:nvPicPr>
                  <pic:blipFill>
                    <a:blip r:embed="rId20"/>
                    <a:stretch>
                      <a:fillRect/>
                    </a:stretch>
                  </pic:blipFill>
                  <pic:spPr>
                    <a:xfrm>
                      <a:off x="0" y="0"/>
                      <a:ext cx="5023187" cy="2839496"/>
                    </a:xfrm>
                    <a:prstGeom prst="rect">
                      <a:avLst/>
                    </a:prstGeom>
                  </pic:spPr>
                </pic:pic>
              </a:graphicData>
            </a:graphic>
          </wp:inline>
        </w:drawing>
      </w:r>
    </w:p>
    <w:p w14:paraId="15DB060F"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7D4D42">
        <w:rPr>
          <w:rFonts w:ascii="Arial" w:eastAsia="Tahoma" w:hAnsi="Arial" w:cs="Arial"/>
          <w:b/>
          <w:bCs/>
        </w:rPr>
        <w:t>Total 13 ciudades y áreas metropolitanas mensual</w:t>
      </w:r>
    </w:p>
    <w:p w14:paraId="0E842C2B"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lastRenderedPageBreak/>
        <w:t>En noviembre de 2025, la tasa de desocupación en el total de las 13 ciudades y áreas metropolitanas fue 7,3%, mientras que en noviembre de 2024 fue 8,0%. La tasa global de participación se ubicó en 67,4% y la tasa de ocupación en 62,5%, estas tasas en el mismo mes del año anterior fueron 66,7% y 61,4%, respectivamente.</w:t>
      </w:r>
    </w:p>
    <w:p w14:paraId="7F9F225E"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noProof/>
        </w:rPr>
        <w:drawing>
          <wp:inline distT="0" distB="0" distL="0" distR="0" wp14:anchorId="6A0B1CCA" wp14:editId="475C5D0E">
            <wp:extent cx="5943600" cy="3385820"/>
            <wp:effectExtent l="0" t="0" r="0" b="5080"/>
            <wp:docPr id="20175850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85012" name=""/>
                    <pic:cNvPicPr/>
                  </pic:nvPicPr>
                  <pic:blipFill>
                    <a:blip r:embed="rId21"/>
                    <a:stretch>
                      <a:fillRect/>
                    </a:stretch>
                  </pic:blipFill>
                  <pic:spPr>
                    <a:xfrm>
                      <a:off x="0" y="0"/>
                      <a:ext cx="5943600" cy="3385820"/>
                    </a:xfrm>
                    <a:prstGeom prst="rect">
                      <a:avLst/>
                    </a:prstGeom>
                  </pic:spPr>
                </pic:pic>
              </a:graphicData>
            </a:graphic>
          </wp:inline>
        </w:drawing>
      </w:r>
    </w:p>
    <w:p w14:paraId="16F66B8F"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center"/>
        <w:rPr>
          <w:rFonts w:ascii="Arial" w:eastAsia="Tahoma" w:hAnsi="Arial" w:cs="Arial"/>
          <w:b/>
        </w:rPr>
      </w:pPr>
    </w:p>
    <w:p w14:paraId="068906B9" w14:textId="77777777" w:rsidR="00C87722" w:rsidRPr="007D4D42" w:rsidRDefault="00C87722" w:rsidP="00C87722">
      <w:pPr>
        <w:pStyle w:val="Prrafodelista"/>
        <w:numPr>
          <w:ilvl w:val="0"/>
          <w:numId w:val="1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7D4D42">
        <w:rPr>
          <w:rFonts w:ascii="Arial" w:eastAsia="Tahoma" w:hAnsi="Arial" w:cs="Arial"/>
          <w:b/>
        </w:rPr>
        <w:t>INFLACIÓN</w:t>
      </w:r>
    </w:p>
    <w:p w14:paraId="51D39C68"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7D4D42">
        <w:rPr>
          <w:rFonts w:ascii="Arial" w:eastAsia="Tahoma" w:hAnsi="Arial" w:cs="Arial"/>
          <w:b/>
          <w:noProof/>
        </w:rPr>
        <w:drawing>
          <wp:inline distT="0" distB="0" distL="0" distR="0" wp14:anchorId="3D6ABC9A" wp14:editId="42D2239B">
            <wp:extent cx="5943600" cy="2125980"/>
            <wp:effectExtent l="0" t="0" r="0" b="7620"/>
            <wp:docPr id="1203948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48940" name=""/>
                    <pic:cNvPicPr/>
                  </pic:nvPicPr>
                  <pic:blipFill>
                    <a:blip r:embed="rId22"/>
                    <a:stretch>
                      <a:fillRect/>
                    </a:stretch>
                  </pic:blipFill>
                  <pic:spPr>
                    <a:xfrm>
                      <a:off x="0" y="0"/>
                      <a:ext cx="5943600" cy="2125980"/>
                    </a:xfrm>
                    <a:prstGeom prst="rect">
                      <a:avLst/>
                    </a:prstGeom>
                  </pic:spPr>
                </pic:pic>
              </a:graphicData>
            </a:graphic>
          </wp:inline>
        </w:drawing>
      </w:r>
    </w:p>
    <w:p w14:paraId="3E241A46"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7D4D42">
        <w:rPr>
          <w:rFonts w:ascii="Arial" w:eastAsia="Tahoma" w:hAnsi="Arial" w:cs="Arial"/>
          <w:b/>
        </w:rPr>
        <w:t xml:space="preserve">Comportamiento de la variación anual del IPC </w:t>
      </w:r>
    </w:p>
    <w:p w14:paraId="0A10B6C4"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7D4D42">
        <w:rPr>
          <w:rFonts w:ascii="Arial" w:eastAsia="Tahoma" w:hAnsi="Arial" w:cs="Arial"/>
          <w:bCs/>
        </w:rPr>
        <w:t xml:space="preserve">según divisiones y subclases 1.1.1 Variación y contribución anual por divisiones de gasto En el mes de diciembre de 2025, el IPC registró una variación de 5,10% en comparación con diciembre de 2024. </w:t>
      </w:r>
    </w:p>
    <w:p w14:paraId="3E402DAF"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7D4D42">
        <w:rPr>
          <w:rFonts w:ascii="Arial" w:eastAsia="Tahoma" w:hAnsi="Arial" w:cs="Arial"/>
          <w:bCs/>
        </w:rPr>
        <w:t>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hogar (3,31%), Prendas de vestir y calzado (2,12%), Recreación</w:t>
      </w:r>
      <w:r w:rsidRPr="007D4D42">
        <w:rPr>
          <w:rFonts w:ascii="Arial" w:eastAsia="Tahoma" w:hAnsi="Arial" w:cs="Arial"/>
          <w:b/>
        </w:rPr>
        <w:t xml:space="preserve"> </w:t>
      </w:r>
      <w:r w:rsidRPr="007D4D42">
        <w:rPr>
          <w:rFonts w:ascii="Arial" w:eastAsia="Tahoma" w:hAnsi="Arial" w:cs="Arial"/>
          <w:bCs/>
        </w:rPr>
        <w:t>y cultura (1,85%) y; por último, Información y comunicación (1,22%) se ubicaron por debajo del promedio nacional.</w:t>
      </w:r>
    </w:p>
    <w:p w14:paraId="3F255A0E"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center"/>
        <w:rPr>
          <w:rFonts w:ascii="Arial" w:eastAsia="Tahoma" w:hAnsi="Arial" w:cs="Arial"/>
        </w:rPr>
      </w:pPr>
      <w:r w:rsidRPr="007D4D42">
        <w:rPr>
          <w:rFonts w:ascii="Arial" w:eastAsia="Tahoma" w:hAnsi="Arial" w:cs="Arial"/>
          <w:noProof/>
        </w:rPr>
        <w:lastRenderedPageBreak/>
        <w:drawing>
          <wp:inline distT="0" distB="0" distL="0" distR="0" wp14:anchorId="12ACCBFA" wp14:editId="0A19E10F">
            <wp:extent cx="5943600" cy="2992755"/>
            <wp:effectExtent l="0" t="0" r="0" b="0"/>
            <wp:docPr id="19411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756" name=""/>
                    <pic:cNvPicPr/>
                  </pic:nvPicPr>
                  <pic:blipFill>
                    <a:blip r:embed="rId23"/>
                    <a:stretch>
                      <a:fillRect/>
                    </a:stretch>
                  </pic:blipFill>
                  <pic:spPr>
                    <a:xfrm>
                      <a:off x="0" y="0"/>
                      <a:ext cx="5943600" cy="2992755"/>
                    </a:xfrm>
                    <a:prstGeom prst="rect">
                      <a:avLst/>
                    </a:prstGeom>
                  </pic:spPr>
                </pic:pic>
              </a:graphicData>
            </a:graphic>
          </wp:inline>
        </w:drawing>
      </w:r>
    </w:p>
    <w:p w14:paraId="16FCAFDE" w14:textId="77777777" w:rsidR="00C87722" w:rsidRPr="007D4D42" w:rsidRDefault="00C87722" w:rsidP="00C87722">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7D4D42">
        <w:rPr>
          <w:rFonts w:ascii="Arial" w:eastAsia="Tahoma" w:hAnsi="Arial" w:cs="Arial"/>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1C057031" w14:textId="3B8152F9" w:rsidR="004A5328" w:rsidRPr="007D4D42" w:rsidRDefault="004A5328" w:rsidP="00E97EE3">
      <w:pPr>
        <w:spacing w:before="21" w:line="276" w:lineRule="auto"/>
        <w:ind w:right="72"/>
        <w:jc w:val="both"/>
        <w:rPr>
          <w:rFonts w:ascii="Arial" w:eastAsia="Tahoma" w:hAnsi="Arial" w:cs="Arial"/>
        </w:rPr>
      </w:pPr>
      <w:r w:rsidRPr="007D4D42">
        <w:rPr>
          <w:rFonts w:ascii="Arial" w:eastAsia="Tahoma" w:hAnsi="Arial" w:cs="Arial"/>
        </w:rPr>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7D4D42" w:rsidRDefault="004A5328" w:rsidP="00E97EE3">
      <w:pPr>
        <w:spacing w:before="21" w:line="276" w:lineRule="auto"/>
        <w:ind w:right="72"/>
        <w:jc w:val="both"/>
        <w:rPr>
          <w:rFonts w:ascii="Arial" w:eastAsia="Tahoma" w:hAnsi="Arial" w:cs="Arial"/>
        </w:rPr>
      </w:pPr>
      <w:r w:rsidRPr="007D4D42">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7D4D42" w:rsidRDefault="004A5328" w:rsidP="00E97EE3">
      <w:pPr>
        <w:spacing w:before="21" w:line="276" w:lineRule="auto"/>
        <w:ind w:right="72"/>
        <w:jc w:val="both"/>
        <w:rPr>
          <w:rFonts w:ascii="Arial" w:eastAsia="Tahoma" w:hAnsi="Arial" w:cs="Arial"/>
        </w:rPr>
      </w:pPr>
      <w:r w:rsidRPr="007D4D42">
        <w:rPr>
          <w:rFonts w:ascii="Arial" w:eastAsia="Tahoma" w:hAnsi="Arial" w:cs="Arial"/>
        </w:rPr>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3284791C" w:rsidR="004A5328" w:rsidRPr="007D4D42" w:rsidRDefault="004A5328" w:rsidP="00E97EE3">
      <w:pPr>
        <w:spacing w:before="21" w:line="276" w:lineRule="auto"/>
        <w:ind w:right="72"/>
        <w:jc w:val="both"/>
        <w:rPr>
          <w:rFonts w:ascii="Arial" w:eastAsia="Tahoma" w:hAnsi="Arial" w:cs="Arial"/>
          <w:b/>
        </w:rPr>
      </w:pPr>
      <w:r w:rsidRPr="007D4D42">
        <w:rPr>
          <w:rFonts w:ascii="Arial" w:eastAsia="Tahoma" w:hAnsi="Arial" w:cs="Arial"/>
        </w:rPr>
        <w:t>En este sentido el Alcaldía municipal requiere para el desarrollo de su objeto y teniendo en cuenta los planes y proyectos a realizar durante la vigencia del 202</w:t>
      </w:r>
      <w:r w:rsidR="004A5564" w:rsidRPr="007D4D42">
        <w:rPr>
          <w:rFonts w:ascii="Arial" w:eastAsia="Tahoma" w:hAnsi="Arial" w:cs="Arial"/>
        </w:rPr>
        <w:t>5</w:t>
      </w:r>
      <w:r w:rsidRPr="007D4D42">
        <w:rPr>
          <w:rFonts w:ascii="Arial" w:eastAsia="Tahoma" w:hAnsi="Arial" w:cs="Arial"/>
        </w:rPr>
        <w:t xml:space="preserve">, satisfacer la necesidad de contratar mediante contrato de </w:t>
      </w:r>
      <w:r w:rsidRPr="007D4D42">
        <w:rPr>
          <w:rFonts w:ascii="Arial" w:eastAsia="Tahoma" w:hAnsi="Arial" w:cs="Arial"/>
          <w:b/>
        </w:rPr>
        <w:t>PRESTACIÓN DE SERVICIOS</w:t>
      </w:r>
      <w:r w:rsidRPr="007D4D42">
        <w:rPr>
          <w:rFonts w:ascii="Arial" w:eastAsia="Tahoma" w:hAnsi="Arial" w:cs="Arial"/>
        </w:rPr>
        <w:t xml:space="preserve"> para que preste sus servicios de manera independiente y externa, por el término de </w:t>
      </w:r>
      <w:r w:rsidR="007D4D42" w:rsidRPr="007D4D42">
        <w:rPr>
          <w:rFonts w:ascii="Arial" w:eastAsia="Tahoma" w:hAnsi="Arial" w:cs="Arial"/>
          <w:b/>
        </w:rPr>
        <w:t>SEIS (06</w:t>
      </w:r>
      <w:r w:rsidR="00695214" w:rsidRPr="007D4D42">
        <w:rPr>
          <w:rFonts w:ascii="Arial" w:eastAsia="Tahoma" w:hAnsi="Arial" w:cs="Arial"/>
          <w:b/>
        </w:rPr>
        <w:t>)</w:t>
      </w:r>
      <w:r w:rsidR="00E97EE3" w:rsidRPr="007D4D42">
        <w:rPr>
          <w:rFonts w:ascii="Arial" w:eastAsia="Tahoma" w:hAnsi="Arial" w:cs="Arial"/>
          <w:b/>
        </w:rPr>
        <w:t xml:space="preserve"> MES</w:t>
      </w:r>
      <w:r w:rsidR="004A5564" w:rsidRPr="007D4D42">
        <w:rPr>
          <w:rFonts w:ascii="Arial" w:eastAsia="Tahoma" w:hAnsi="Arial" w:cs="Arial"/>
          <w:b/>
        </w:rPr>
        <w:t>ES</w:t>
      </w:r>
      <w:r w:rsidR="00A13850" w:rsidRPr="007D4D42">
        <w:rPr>
          <w:rFonts w:ascii="Arial" w:eastAsia="Tahoma" w:hAnsi="Arial" w:cs="Arial"/>
        </w:rPr>
        <w:t xml:space="preserve">. </w:t>
      </w:r>
      <w:r w:rsidRPr="007D4D42">
        <w:rPr>
          <w:rFonts w:ascii="Arial" w:eastAsia="Tahoma" w:hAnsi="Arial" w:cs="Arial"/>
        </w:rPr>
        <w:t>El valor del contrato es por la suma de</w:t>
      </w:r>
      <w:r w:rsidR="004A5564" w:rsidRPr="007D4D42">
        <w:rPr>
          <w:rFonts w:ascii="Arial" w:eastAsia="Tahoma" w:hAnsi="Arial" w:cs="Arial"/>
        </w:rPr>
        <w:t xml:space="preserve"> </w:t>
      </w:r>
      <w:r w:rsidR="00C87722" w:rsidRPr="007D4D42">
        <w:rPr>
          <w:rFonts w:ascii="Arial" w:hAnsi="Arial" w:cs="Arial"/>
          <w:b/>
          <w:bCs/>
          <w:iCs/>
          <w:lang w:eastAsia="es-ES"/>
        </w:rPr>
        <w:t>CIEN MILLONES DE PESOS MCTE ($100.000.000</w:t>
      </w:r>
      <w:r w:rsidR="00695214" w:rsidRPr="007D4D42">
        <w:rPr>
          <w:rFonts w:ascii="Arial" w:hAnsi="Arial" w:cs="Arial"/>
          <w:b/>
          <w:bCs/>
          <w:iCs/>
          <w:lang w:eastAsia="es-ES"/>
        </w:rPr>
        <w:t>)</w:t>
      </w:r>
      <w:r w:rsidRPr="007D4D42">
        <w:rPr>
          <w:rFonts w:ascii="Arial" w:eastAsia="Tahoma" w:hAnsi="Arial" w:cs="Arial"/>
        </w:rPr>
        <w:t xml:space="preserve">. Se hace constar que los valor estimados están acorde con los precios que en el mercado se pagan por asesorías como la que demanda la entidad y que para ello se han consultado las tarifas de honorarios </w:t>
      </w:r>
      <w:r w:rsidRPr="007D4D42">
        <w:rPr>
          <w:rFonts w:ascii="Arial" w:eastAsia="Tahoma" w:hAnsi="Arial" w:cs="Arial"/>
        </w:rPr>
        <w:lastRenderedPageBreak/>
        <w:t>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299C3D43" w14:textId="250A273A" w:rsidR="00C87722" w:rsidRPr="007D4D42" w:rsidRDefault="004A5328" w:rsidP="00C87722">
      <w:pPr>
        <w:spacing w:line="276" w:lineRule="auto"/>
        <w:jc w:val="both"/>
        <w:rPr>
          <w:rFonts w:ascii="Arial" w:hAnsi="Arial" w:cs="Arial"/>
        </w:rPr>
      </w:pPr>
      <w:r w:rsidRPr="007D4D42">
        <w:rPr>
          <w:rFonts w:ascii="Arial" w:eastAsia="Tahoma" w:hAnsi="Arial" w:cs="Arial"/>
        </w:rPr>
        <w:t>En cuanto a la forma de pago, el</w:t>
      </w:r>
      <w:r w:rsidRPr="007D4D42">
        <w:rPr>
          <w:rFonts w:ascii="Arial" w:eastAsia="Tahoma" w:hAnsi="Arial" w:cs="Arial"/>
          <w:b/>
        </w:rPr>
        <w:t xml:space="preserve"> </w:t>
      </w:r>
      <w:r w:rsidR="00A13850" w:rsidRPr="007D4D42">
        <w:rPr>
          <w:rFonts w:ascii="Arial" w:eastAsia="Tahoma" w:hAnsi="Arial" w:cs="Arial"/>
          <w:b/>
        </w:rPr>
        <w:t>ALCALDÍA MUNICIPAL DE SAN JACINTO</w:t>
      </w:r>
      <w:r w:rsidR="00E97EE3" w:rsidRPr="007D4D42">
        <w:rPr>
          <w:rFonts w:ascii="Arial" w:eastAsia="Tahoma" w:hAnsi="Arial" w:cs="Arial"/>
          <w:b/>
        </w:rPr>
        <w:t xml:space="preserve">, </w:t>
      </w:r>
      <w:r w:rsidR="00A13850" w:rsidRPr="007D4D42">
        <w:rPr>
          <w:rFonts w:ascii="Arial" w:eastAsia="Tahoma" w:hAnsi="Arial" w:cs="Arial"/>
          <w:b/>
        </w:rPr>
        <w:t>BOLÍVAR</w:t>
      </w:r>
      <w:r w:rsidRPr="007D4D42">
        <w:rPr>
          <w:rFonts w:ascii="Arial" w:eastAsia="Tahoma" w:hAnsi="Arial" w:cs="Arial"/>
        </w:rPr>
        <w:t xml:space="preserve">, </w:t>
      </w:r>
      <w:bookmarkStart w:id="3" w:name="_Hlk165999649"/>
      <w:proofErr w:type="gramStart"/>
      <w:r w:rsidR="00C87722" w:rsidRPr="007D4D42">
        <w:rPr>
          <w:rFonts w:ascii="Arial" w:eastAsia="Tahoma" w:hAnsi="Arial" w:cs="Arial"/>
        </w:rPr>
        <w:t>realizara</w:t>
      </w:r>
      <w:proofErr w:type="gramEnd"/>
      <w:r w:rsidR="00C87722" w:rsidRPr="007D4D42">
        <w:rPr>
          <w:rFonts w:ascii="Arial" w:eastAsia="Tahoma" w:hAnsi="Arial" w:cs="Arial"/>
        </w:rPr>
        <w:t xml:space="preserve"> u</w:t>
      </w:r>
      <w:r w:rsidR="00C87722" w:rsidRPr="007D4D42">
        <w:rPr>
          <w:rFonts w:ascii="Arial" w:hAnsi="Arial" w:cs="Arial"/>
        </w:rPr>
        <w:t xml:space="preserve">n pago por concepto de anticipo del cuarenta por ciento (40%) del valor de contrato correspondiente por la suma de </w:t>
      </w:r>
      <w:r w:rsidR="00C87722" w:rsidRPr="007D4D42">
        <w:rPr>
          <w:rFonts w:ascii="Arial" w:hAnsi="Arial" w:cs="Arial"/>
          <w:b/>
          <w:bCs/>
        </w:rPr>
        <w:t xml:space="preserve">CUARENTA MILLONES DE PESOS MCTE ($40.000.000); </w:t>
      </w:r>
      <w:r w:rsidR="00C87722" w:rsidRPr="007D4D42">
        <w:rPr>
          <w:rFonts w:ascii="Arial" w:hAnsi="Arial" w:cs="Arial"/>
        </w:rPr>
        <w:t xml:space="preserve">y el otro 60%, se cancelará en dos cuotas del 30% cada una de acuerdo al avance del proyecto, realizando amortización del anticipo. </w:t>
      </w:r>
      <w:r w:rsidR="00C87722" w:rsidRPr="007D4D42">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bookmarkEnd w:id="3"/>
    <w:p w14:paraId="676DF683" w14:textId="42B152EC" w:rsidR="004A5328" w:rsidRPr="007D4D42" w:rsidRDefault="004A5328" w:rsidP="00C87722">
      <w:pPr>
        <w:pStyle w:val="Prrafodelista"/>
        <w:numPr>
          <w:ilvl w:val="1"/>
          <w:numId w:val="26"/>
        </w:numPr>
        <w:spacing w:line="276" w:lineRule="auto"/>
        <w:jc w:val="both"/>
        <w:rPr>
          <w:rFonts w:ascii="Arial" w:eastAsia="Tahoma" w:hAnsi="Arial" w:cs="Arial"/>
          <w:b/>
        </w:rPr>
      </w:pPr>
      <w:r w:rsidRPr="007D4D42">
        <w:rPr>
          <w:rFonts w:ascii="Arial" w:eastAsia="Tahoma" w:hAnsi="Arial" w:cs="Arial"/>
          <w:b/>
        </w:rPr>
        <w:t>ANÁLISIS TÉCNICO</w:t>
      </w:r>
    </w:p>
    <w:p w14:paraId="619129B8" w14:textId="77777777" w:rsidR="001E75ED" w:rsidRPr="007D4D42" w:rsidRDefault="001E75ED" w:rsidP="001E75ED">
      <w:pPr>
        <w:spacing w:after="200" w:line="276" w:lineRule="auto"/>
        <w:rPr>
          <w:rFonts w:ascii="Arial" w:hAnsi="Arial" w:cs="Arial"/>
          <w:b/>
          <w:bCs/>
        </w:rPr>
      </w:pPr>
      <w:r w:rsidRPr="007D4D42">
        <w:rPr>
          <w:rFonts w:ascii="Arial" w:hAnsi="Arial" w:cs="Arial"/>
          <w:b/>
          <w:bCs/>
        </w:rPr>
        <w:t>Obligaciones Especificas:</w:t>
      </w:r>
    </w:p>
    <w:p w14:paraId="40B2BE50"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Prestar servicios de rehabilitación integral que incluyan la integración sensorial, motora, cognitiva, emocional y social, con una adecuada planta física que contenga los implementos necesarios para el desarrollo del programa para la población en condición de discapacidad en el municipio de San Jacinto Bolívar.</w:t>
      </w:r>
    </w:p>
    <w:p w14:paraId="243BD7BC"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Prestar un servicio un eficiente servicio que optimice la funcionalidad de la población que presenta una condición de discapacidad de acuerdo a su edad biológica y cronológica, a través de la implementación de programas desarrollados por diferentes profesionales.</w:t>
      </w:r>
    </w:p>
    <w:p w14:paraId="26D00484"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Brindar acompañamiento a la población en su desarrollo motor en casa mediante la implementación de un plan casero, disponible en una plataforma virtual, al cual tendrán acceso como beneficio totalmente gratuito las personas inscritas en el programa.</w:t>
      </w:r>
    </w:p>
    <w:p w14:paraId="1549FECB"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 xml:space="preserve">Prestar servicios para la realización de terapias de rehabilitación integral en la población en condición de discapacidad en el municipio de San Jacinto. </w:t>
      </w:r>
    </w:p>
    <w:p w14:paraId="52C0661F"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Mejorar el aprendizaje motor y cognitivo a través de la aplicación de técnicas fisioterapéuticas que permitan una integración sensorial y motora con la activación de áreas cerebrales en la población en condición de discapacidad en el municipio de San Jacinto.</w:t>
      </w:r>
    </w:p>
    <w:p w14:paraId="3A1A8BD4"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Implementar estrategias y terapias para promover el bienestar emocional y social de los participantes, facilitando un entorno de apoyo y comprensión en la población en condición de discapacidad en el municipio de San Jacinto.</w:t>
      </w:r>
    </w:p>
    <w:p w14:paraId="27731251" w14:textId="77777777" w:rsidR="007D4D42" w:rsidRPr="007D4D42" w:rsidRDefault="007D4D42" w:rsidP="007D4D42">
      <w:pPr>
        <w:pStyle w:val="Prrafodelista"/>
        <w:numPr>
          <w:ilvl w:val="0"/>
          <w:numId w:val="40"/>
        </w:numPr>
        <w:spacing w:after="200" w:line="276" w:lineRule="auto"/>
        <w:ind w:left="1080"/>
        <w:jc w:val="both"/>
        <w:rPr>
          <w:rFonts w:ascii="Arial" w:hAnsi="Arial" w:cs="Arial"/>
        </w:rPr>
      </w:pPr>
      <w:r w:rsidRPr="007D4D42">
        <w:rPr>
          <w:rFonts w:ascii="Arial" w:hAnsi="Arial" w:cs="Arial"/>
        </w:rPr>
        <w:t>Ofrecer el servicio de transporte a la población en condición de discapacidad que lo necesite para acceder a las terapias y actividades del programa.</w:t>
      </w:r>
    </w:p>
    <w:p w14:paraId="69F2C5C5" w14:textId="4BAD707C" w:rsidR="004A5328" w:rsidRPr="007D4D42" w:rsidRDefault="004A5328" w:rsidP="00E97EE3">
      <w:pPr>
        <w:spacing w:line="276" w:lineRule="auto"/>
        <w:jc w:val="both"/>
        <w:rPr>
          <w:rFonts w:ascii="Arial" w:eastAsia="Tahoma" w:hAnsi="Arial" w:cs="Arial"/>
          <w:b/>
        </w:rPr>
      </w:pPr>
      <w:r w:rsidRPr="007D4D42">
        <w:rPr>
          <w:rFonts w:ascii="Arial" w:eastAsia="Tahoma" w:hAnsi="Arial" w:cs="Arial"/>
        </w:rPr>
        <w:t>b)</w:t>
      </w:r>
      <w:r w:rsidRPr="007D4D42">
        <w:rPr>
          <w:rFonts w:ascii="Arial" w:eastAsia="Tahoma" w:hAnsi="Arial" w:cs="Arial"/>
        </w:rPr>
        <w:tab/>
      </w:r>
      <w:r w:rsidRPr="007D4D42">
        <w:rPr>
          <w:rFonts w:ascii="Arial" w:eastAsia="Tahoma" w:hAnsi="Arial" w:cs="Arial"/>
          <w:b/>
        </w:rPr>
        <w:t>PARAMETRIZACIÓN DEL VALOR:</w:t>
      </w:r>
    </w:p>
    <w:p w14:paraId="2CDD4292" w14:textId="77777777" w:rsidR="004A5328" w:rsidRPr="007D4D42" w:rsidRDefault="004A5328" w:rsidP="00E97EE3">
      <w:pPr>
        <w:spacing w:line="276" w:lineRule="auto"/>
        <w:jc w:val="both"/>
        <w:rPr>
          <w:rFonts w:ascii="Arial" w:eastAsia="Tahoma" w:hAnsi="Arial" w:cs="Arial"/>
        </w:rPr>
      </w:pPr>
      <w:r w:rsidRPr="007D4D42">
        <w:rPr>
          <w:rFonts w:ascii="Arial" w:eastAsia="Tahoma" w:hAnsi="Arial" w:cs="Arial"/>
        </w:rPr>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65003D12" w14:textId="77777777" w:rsidR="0094452D" w:rsidRPr="007D4D42" w:rsidRDefault="0094452D" w:rsidP="0094452D">
      <w:pPr>
        <w:spacing w:before="202" w:line="276" w:lineRule="auto"/>
        <w:ind w:right="72"/>
        <w:rPr>
          <w:rFonts w:ascii="Arial" w:eastAsia="Tahoma" w:hAnsi="Arial" w:cs="Arial"/>
          <w:b/>
        </w:rPr>
      </w:pPr>
    </w:p>
    <w:p w14:paraId="2CF249B8" w14:textId="77777777" w:rsidR="00C87722" w:rsidRPr="007D4D42" w:rsidRDefault="00C87722" w:rsidP="0094452D">
      <w:pPr>
        <w:spacing w:before="202" w:line="276" w:lineRule="auto"/>
        <w:ind w:right="72"/>
        <w:rPr>
          <w:rFonts w:ascii="Arial" w:eastAsia="Tahoma" w:hAnsi="Arial" w:cs="Arial"/>
          <w:b/>
        </w:rPr>
      </w:pPr>
    </w:p>
    <w:p w14:paraId="1935614D" w14:textId="77777777" w:rsidR="00C87722" w:rsidRPr="007D4D42" w:rsidRDefault="00C87722" w:rsidP="0094452D">
      <w:pPr>
        <w:spacing w:before="202" w:line="276" w:lineRule="auto"/>
        <w:ind w:right="72"/>
        <w:rPr>
          <w:rFonts w:ascii="Arial" w:eastAsia="Tahoma" w:hAnsi="Arial" w:cs="Arial"/>
          <w:b/>
        </w:rPr>
      </w:pPr>
    </w:p>
    <w:p w14:paraId="216BBDD4" w14:textId="77777777" w:rsidR="00C87722" w:rsidRPr="007D4D42" w:rsidRDefault="00C87722" w:rsidP="0094452D">
      <w:pPr>
        <w:spacing w:before="202" w:line="276" w:lineRule="auto"/>
        <w:ind w:right="72"/>
        <w:rPr>
          <w:rFonts w:ascii="Arial" w:eastAsia="Tahoma" w:hAnsi="Arial" w:cs="Arial"/>
          <w:b/>
        </w:rPr>
      </w:pPr>
    </w:p>
    <w:p w14:paraId="7DF480C3" w14:textId="1660AC6E" w:rsidR="004A5328" w:rsidRPr="007D4D42" w:rsidRDefault="004A5328" w:rsidP="00C87722">
      <w:pPr>
        <w:pStyle w:val="Prrafodelista"/>
        <w:numPr>
          <w:ilvl w:val="1"/>
          <w:numId w:val="26"/>
        </w:numPr>
        <w:spacing w:before="202" w:line="276" w:lineRule="auto"/>
        <w:ind w:right="72"/>
        <w:rPr>
          <w:rFonts w:ascii="Arial" w:eastAsia="Tahoma" w:hAnsi="Arial" w:cs="Arial"/>
          <w:b/>
        </w:rPr>
      </w:pPr>
      <w:r w:rsidRPr="007D4D42">
        <w:rPr>
          <w:rFonts w:ascii="Arial" w:eastAsia="Tahoma" w:hAnsi="Arial" w:cs="Arial"/>
          <w:b/>
        </w:rPr>
        <w:t>ANÁLISIS DE RIESGOS.</w:t>
      </w:r>
    </w:p>
    <w:p w14:paraId="27FCAD48" w14:textId="77777777" w:rsidR="004A5328" w:rsidRPr="007D4D42" w:rsidRDefault="004A5328" w:rsidP="00E97EE3">
      <w:pPr>
        <w:spacing w:before="202" w:line="276" w:lineRule="auto"/>
        <w:ind w:right="72"/>
        <w:jc w:val="center"/>
        <w:rPr>
          <w:rFonts w:ascii="Arial" w:eastAsia="Tahoma" w:hAnsi="Arial" w:cs="Arial"/>
          <w:b/>
        </w:rPr>
      </w:pPr>
      <w:r w:rsidRPr="007D4D42">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7D4D42" w:rsidRDefault="004A5328" w:rsidP="00B04F2E">
      <w:pPr>
        <w:spacing w:before="202" w:line="276" w:lineRule="auto"/>
        <w:ind w:right="72"/>
        <w:jc w:val="both"/>
        <w:rPr>
          <w:rFonts w:ascii="Arial" w:eastAsia="Tahoma" w:hAnsi="Arial" w:cs="Arial"/>
        </w:rPr>
      </w:pPr>
      <w:r w:rsidRPr="007D4D42">
        <w:rPr>
          <w:rFonts w:ascii="Arial" w:eastAsia="Tahoma" w:hAnsi="Arial" w:cs="Arial"/>
          <w:b/>
        </w:rPr>
        <w:t>ANÁLISIS DEL RIESGO</w:t>
      </w:r>
      <w:r w:rsidRPr="007D4D42">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7D4D42"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7D4D42">
        <w:rPr>
          <w:rFonts w:ascii="Arial" w:eastAsia="Tahoma" w:hAnsi="Arial" w:cs="Arial"/>
        </w:rPr>
        <w:t xml:space="preserve">La Alcaldía </w:t>
      </w:r>
      <w:proofErr w:type="gramStart"/>
      <w:r w:rsidRPr="007D4D42">
        <w:rPr>
          <w:rFonts w:ascii="Arial" w:eastAsia="Tahoma" w:hAnsi="Arial" w:cs="Arial"/>
        </w:rPr>
        <w:t>municipal  en</w:t>
      </w:r>
      <w:proofErr w:type="gramEnd"/>
      <w:r w:rsidRPr="007D4D42">
        <w:rPr>
          <w:rFonts w:ascii="Arial" w:eastAsia="Tahoma" w:hAnsi="Arial" w:cs="Arial"/>
        </w:rPr>
        <w:t xml:space="preserve">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7D4D42"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7D4D42">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cual no hay necesidad de iniciar para el proceso de selección y la posterior ejecución del objeto del contrato, estudio, licencias o permisos en materia ambiental. </w:t>
      </w:r>
    </w:p>
    <w:p w14:paraId="53ED01A5" w14:textId="54426640" w:rsidR="004A5328" w:rsidRPr="007D4D42"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7D4D42">
        <w:rPr>
          <w:rFonts w:ascii="Arial" w:eastAsia="Tahoma" w:hAnsi="Arial" w:cs="Arial"/>
        </w:rPr>
        <w:t xml:space="preserve">La </w:t>
      </w:r>
      <w:r w:rsidR="00A13850" w:rsidRPr="007D4D42">
        <w:rPr>
          <w:rFonts w:ascii="Arial" w:eastAsia="Tahoma" w:hAnsi="Arial" w:cs="Arial"/>
          <w:b/>
        </w:rPr>
        <w:t>ALCALDÍA MUNICIPAL DE SAN JACINTO</w:t>
      </w:r>
      <w:r w:rsidR="00B04F2E" w:rsidRPr="007D4D42">
        <w:rPr>
          <w:rFonts w:ascii="Arial" w:eastAsia="Tahoma" w:hAnsi="Arial" w:cs="Arial"/>
          <w:b/>
        </w:rPr>
        <w:t xml:space="preserve">, </w:t>
      </w:r>
      <w:r w:rsidR="00A13850" w:rsidRPr="007D4D42">
        <w:rPr>
          <w:rFonts w:ascii="Arial" w:eastAsia="Tahoma" w:hAnsi="Arial" w:cs="Arial"/>
          <w:b/>
        </w:rPr>
        <w:t>BOLÍVAR</w:t>
      </w:r>
      <w:r w:rsidR="00A13850" w:rsidRPr="007D4D42">
        <w:rPr>
          <w:rFonts w:ascii="Arial" w:eastAsia="Tahoma" w:hAnsi="Arial" w:cs="Arial"/>
        </w:rPr>
        <w:t xml:space="preserve"> </w:t>
      </w:r>
      <w:r w:rsidRPr="007D4D42">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se han aplicado instrumentos legales de conminación al cumplimiento de obligaciones ni las cláusulas excepcionales pactadas. </w:t>
      </w:r>
    </w:p>
    <w:p w14:paraId="4664EDC9" w14:textId="77777777" w:rsidR="004A5328" w:rsidRPr="007D4D42" w:rsidRDefault="004A5328" w:rsidP="00B04F2E">
      <w:pPr>
        <w:spacing w:before="202" w:line="276" w:lineRule="auto"/>
        <w:ind w:right="72"/>
        <w:jc w:val="both"/>
        <w:rPr>
          <w:rFonts w:ascii="Arial" w:eastAsia="Tahoma" w:hAnsi="Arial" w:cs="Arial"/>
        </w:rPr>
      </w:pPr>
      <w:r w:rsidRPr="007D4D42">
        <w:rPr>
          <w:rFonts w:ascii="Arial" w:eastAsia="Tahoma" w:hAnsi="Arial" w:cs="Arial"/>
        </w:rPr>
        <w:lastRenderedPageBreak/>
        <w:t>De acuerdo con lo previsto en el artículo 4º de la Ley 1150 de 2007, el artículo 2.2.1.1.1.6.3 del Decreto 1082 de 2015, los lineamientos del manual de riesgos expedido por Colombia Compra 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7D4D42"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DESCRIPCIÓN</w:t>
            </w:r>
          </w:p>
          <w:p w14:paraId="7812A0E3"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7D4D42" w:rsidRDefault="004A5328" w:rsidP="00A13850">
            <w:pPr>
              <w:spacing w:before="202" w:line="276" w:lineRule="auto"/>
              <w:ind w:right="72"/>
              <w:jc w:val="center"/>
              <w:rPr>
                <w:rFonts w:ascii="Arial" w:eastAsia="Tahoma" w:hAnsi="Arial" w:cs="Arial"/>
                <w:b/>
                <w:sz w:val="10"/>
                <w:szCs w:val="10"/>
              </w:rPr>
            </w:pPr>
            <w:r w:rsidRPr="007D4D42">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b/>
                <w:sz w:val="10"/>
                <w:szCs w:val="10"/>
              </w:rPr>
              <w:t>Prioridad</w:t>
            </w:r>
          </w:p>
        </w:tc>
      </w:tr>
      <w:tr w:rsidR="004A5328" w:rsidRPr="007D4D42"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Alta</w:t>
            </w:r>
          </w:p>
        </w:tc>
      </w:tr>
      <w:tr w:rsidR="004A5328" w:rsidRPr="007D4D42"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Menor</w:t>
            </w:r>
          </w:p>
        </w:tc>
      </w:tr>
      <w:tr w:rsidR="004A5328" w:rsidRPr="007D4D42"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Alta</w:t>
            </w:r>
          </w:p>
        </w:tc>
      </w:tr>
      <w:tr w:rsidR="004A5328" w:rsidRPr="007D4D42"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 xml:space="preserve">Controversias </w:t>
            </w:r>
            <w:proofErr w:type="spellStart"/>
            <w:r w:rsidRPr="007D4D42">
              <w:rPr>
                <w:rFonts w:ascii="Arial" w:eastAsia="Tahoma" w:hAnsi="Arial" w:cs="Arial"/>
                <w:sz w:val="10"/>
                <w:szCs w:val="10"/>
              </w:rPr>
              <w:t>post-contractuales</w:t>
            </w:r>
            <w:proofErr w:type="spellEnd"/>
            <w:r w:rsidRPr="007D4D42">
              <w:rPr>
                <w:rFonts w:ascii="Arial" w:eastAsia="Tahoma" w:hAnsi="Arial" w:cs="Arial"/>
                <w:sz w:val="10"/>
                <w:szCs w:val="10"/>
              </w:rPr>
              <w:t xml:space="preserve"> (liquidación)</w:t>
            </w:r>
          </w:p>
        </w:tc>
        <w:tc>
          <w:tcPr>
            <w:tcW w:w="466" w:type="dxa"/>
            <w:tcBorders>
              <w:bottom w:val="single" w:sz="4" w:space="0" w:color="000000"/>
              <w:right w:val="single" w:sz="8" w:space="0" w:color="000000"/>
            </w:tcBorders>
            <w:shd w:val="clear" w:color="auto" w:fill="FFFFFF"/>
          </w:tcPr>
          <w:p w14:paraId="0A8F4F01"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7D4D42" w:rsidRDefault="004A5328" w:rsidP="00A13850">
            <w:pPr>
              <w:spacing w:before="202" w:line="276" w:lineRule="auto"/>
              <w:ind w:right="72"/>
              <w:jc w:val="center"/>
              <w:rPr>
                <w:rFonts w:ascii="Arial" w:eastAsia="Tahoma" w:hAnsi="Arial" w:cs="Arial"/>
                <w:sz w:val="10"/>
                <w:szCs w:val="10"/>
              </w:rPr>
            </w:pPr>
            <w:r w:rsidRPr="007D4D42">
              <w:rPr>
                <w:rFonts w:ascii="Arial" w:eastAsia="Tahoma" w:hAnsi="Arial" w:cs="Arial"/>
                <w:sz w:val="10"/>
                <w:szCs w:val="10"/>
              </w:rPr>
              <w:t>Menor</w:t>
            </w:r>
          </w:p>
        </w:tc>
      </w:tr>
    </w:tbl>
    <w:p w14:paraId="0FEC101B" w14:textId="77777777" w:rsidR="004A5328" w:rsidRPr="007D4D42" w:rsidRDefault="004A5328" w:rsidP="004A5328">
      <w:pPr>
        <w:spacing w:line="276" w:lineRule="auto"/>
        <w:jc w:val="both"/>
        <w:rPr>
          <w:rFonts w:ascii="Arial" w:eastAsia="Tahoma" w:hAnsi="Arial" w:cs="Arial"/>
          <w:b/>
        </w:rPr>
      </w:pPr>
    </w:p>
    <w:p w14:paraId="2A963B31" w14:textId="77777777" w:rsidR="00A13850" w:rsidRPr="007D4D42" w:rsidRDefault="00A13850" w:rsidP="00A13850">
      <w:pPr>
        <w:spacing w:line="276" w:lineRule="auto"/>
        <w:rPr>
          <w:rFonts w:ascii="Arial" w:hAnsi="Arial" w:cs="Arial"/>
        </w:rPr>
      </w:pPr>
    </w:p>
    <w:p w14:paraId="7B44159F" w14:textId="77777777" w:rsidR="00A13850" w:rsidRPr="007D4D42" w:rsidRDefault="00A13850" w:rsidP="00A13850">
      <w:pPr>
        <w:spacing w:line="276" w:lineRule="auto"/>
        <w:rPr>
          <w:rFonts w:ascii="Arial" w:hAnsi="Arial" w:cs="Arial"/>
        </w:rPr>
      </w:pPr>
    </w:p>
    <w:bookmarkEnd w:id="0"/>
    <w:p w14:paraId="133C37B6" w14:textId="77777777" w:rsidR="00B04F2E" w:rsidRPr="007D4D42" w:rsidRDefault="00B04F2E" w:rsidP="007D288D">
      <w:pPr>
        <w:spacing w:after="0" w:line="276" w:lineRule="auto"/>
        <w:ind w:right="425"/>
        <w:contextualSpacing/>
        <w:jc w:val="center"/>
        <w:rPr>
          <w:rFonts w:ascii="Arial" w:hAnsi="Arial" w:cs="Arial"/>
          <w:bCs/>
          <w:lang w:val="es-ES"/>
        </w:rPr>
      </w:pPr>
    </w:p>
    <w:p w14:paraId="10F2A8EC" w14:textId="77777777" w:rsidR="00695214" w:rsidRPr="007D4D42" w:rsidRDefault="00695214" w:rsidP="00695214">
      <w:pPr>
        <w:spacing w:after="0" w:line="276" w:lineRule="auto"/>
        <w:contextualSpacing/>
        <w:jc w:val="center"/>
        <w:rPr>
          <w:rFonts w:ascii="Arial" w:hAnsi="Arial" w:cs="Arial"/>
          <w:b/>
          <w:lang w:val="es-PE"/>
        </w:rPr>
      </w:pPr>
      <w:r w:rsidRPr="007D4D42">
        <w:rPr>
          <w:rFonts w:ascii="Arial" w:hAnsi="Arial" w:cs="Arial"/>
          <w:b/>
          <w:lang w:val="es-PE"/>
        </w:rPr>
        <w:t>ERICA PATRICIA RICO LLANOS</w:t>
      </w:r>
    </w:p>
    <w:p w14:paraId="484713F7" w14:textId="77777777" w:rsidR="00695214" w:rsidRPr="007D4D42" w:rsidRDefault="00695214" w:rsidP="00695214">
      <w:pPr>
        <w:spacing w:after="0" w:line="276" w:lineRule="auto"/>
        <w:ind w:right="425"/>
        <w:contextualSpacing/>
        <w:jc w:val="center"/>
        <w:rPr>
          <w:rFonts w:ascii="Arial" w:hAnsi="Arial" w:cs="Arial"/>
          <w:lang w:val="es-ES"/>
        </w:rPr>
      </w:pPr>
      <w:r w:rsidRPr="007D4D42">
        <w:rPr>
          <w:rFonts w:ascii="Arial" w:hAnsi="Arial" w:cs="Arial"/>
          <w:lang w:val="es-ES"/>
        </w:rPr>
        <w:t>Secretario de Interior y de Gobierno Municipal</w:t>
      </w:r>
    </w:p>
    <w:p w14:paraId="4019F413" w14:textId="77777777" w:rsidR="007D288D" w:rsidRPr="007D4D42" w:rsidRDefault="007D288D" w:rsidP="007D288D">
      <w:pPr>
        <w:jc w:val="center"/>
        <w:rPr>
          <w:rFonts w:ascii="Arial" w:hAnsi="Arial" w:cs="Arial"/>
        </w:rPr>
      </w:pPr>
    </w:p>
    <w:p w14:paraId="461E9AFC" w14:textId="77777777" w:rsidR="004A5328" w:rsidRPr="007D4D42" w:rsidRDefault="004A5328" w:rsidP="007D288D">
      <w:pPr>
        <w:spacing w:after="0" w:line="276" w:lineRule="auto"/>
        <w:jc w:val="center"/>
        <w:rPr>
          <w:rFonts w:ascii="Arial" w:hAnsi="Arial" w:cs="Arial"/>
        </w:rPr>
      </w:pPr>
    </w:p>
    <w:p w14:paraId="79F531F6" w14:textId="77777777" w:rsidR="004A5328" w:rsidRPr="007D4D42" w:rsidRDefault="004A5328" w:rsidP="004A5328">
      <w:pPr>
        <w:spacing w:line="276" w:lineRule="auto"/>
        <w:rPr>
          <w:rFonts w:ascii="Arial" w:hAnsi="Arial" w:cs="Arial"/>
        </w:rPr>
      </w:pPr>
    </w:p>
    <w:sectPr w:rsidR="004A5328" w:rsidRPr="007D4D42" w:rsidSect="003741AE">
      <w:headerReference w:type="even" r:id="rId25"/>
      <w:headerReference w:type="default" r:id="rId26"/>
      <w:footerReference w:type="default" r:id="rId27"/>
      <w:headerReference w:type="first" r:id="rId28"/>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E006F" w14:textId="77777777" w:rsidR="00EC71C0" w:rsidRDefault="00EC71C0">
      <w:pPr>
        <w:spacing w:after="0" w:line="240" w:lineRule="auto"/>
      </w:pPr>
      <w:r>
        <w:separator/>
      </w:r>
    </w:p>
  </w:endnote>
  <w:endnote w:type="continuationSeparator" w:id="0">
    <w:p w14:paraId="3274BD2A" w14:textId="77777777" w:rsidR="00EC71C0" w:rsidRDefault="00EC7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Default="00000000">
    <w:pPr>
      <w:pStyle w:val="Piedepgina"/>
    </w:pPr>
    <w:r>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929DE" w14:textId="77777777" w:rsidR="00EC71C0" w:rsidRDefault="00EC71C0">
      <w:pPr>
        <w:spacing w:after="0" w:line="240" w:lineRule="auto"/>
      </w:pPr>
      <w:r>
        <w:separator/>
      </w:r>
    </w:p>
  </w:footnote>
  <w:footnote w:type="continuationSeparator" w:id="0">
    <w:p w14:paraId="74F57145" w14:textId="77777777" w:rsidR="00EC71C0" w:rsidRDefault="00EC7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Default="00000000">
    <w:pPr>
      <w:pStyle w:val="Encabezado"/>
    </w:pPr>
    <w:r>
      <w:rPr>
        <w:noProof/>
      </w:rP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Default="00000000">
    <w:pPr>
      <w:pStyle w:val="Encabezado"/>
    </w:pPr>
    <w:r>
      <w:rPr>
        <w:noProof/>
      </w:rP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Default="00B12E25">
    <w:pPr>
      <w:pStyle w:val="Encabezado"/>
    </w:pPr>
  </w:p>
  <w:p w14:paraId="18CB75E5" w14:textId="77777777" w:rsidR="00B12E25" w:rsidRDefault="00B12E25">
    <w:pPr>
      <w:pStyle w:val="Encabezado"/>
    </w:pPr>
  </w:p>
  <w:p w14:paraId="507682AB" w14:textId="77777777" w:rsidR="00B12E25" w:rsidRDefault="00B12E25">
    <w:pPr>
      <w:pStyle w:val="Encabezado"/>
    </w:pPr>
  </w:p>
  <w:p w14:paraId="6D7FC7F7" w14:textId="77777777" w:rsidR="00B12E25"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Default="00000000">
    <w:pPr>
      <w:pStyle w:val="Encabezado"/>
    </w:pPr>
    <w:r>
      <w:rPr>
        <w:noProof/>
      </w:rP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1.25pt;height:11.25pt;visibility:visible;mso-wrap-style:square" o:bullet="t">
        <v:imagedata r:id="rId1" o:title=""/>
      </v:shape>
    </w:pict>
  </w:numPicBullet>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C930BE"/>
    <w:multiLevelType w:val="multilevel"/>
    <w:tmpl w:val="3D0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22C40"/>
    <w:multiLevelType w:val="multilevel"/>
    <w:tmpl w:val="8710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B975C3"/>
    <w:multiLevelType w:val="hybridMultilevel"/>
    <w:tmpl w:val="194AA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CF48FF"/>
    <w:multiLevelType w:val="hybridMultilevel"/>
    <w:tmpl w:val="45925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5B14CF"/>
    <w:multiLevelType w:val="hybridMultilevel"/>
    <w:tmpl w:val="CEDEC766"/>
    <w:lvl w:ilvl="0" w:tplc="6A12CA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6118D3"/>
    <w:multiLevelType w:val="hybridMultilevel"/>
    <w:tmpl w:val="A130219E"/>
    <w:lvl w:ilvl="0" w:tplc="D18A500E">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4F1D60"/>
    <w:multiLevelType w:val="hybridMultilevel"/>
    <w:tmpl w:val="329CF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0A4346"/>
    <w:multiLevelType w:val="multilevel"/>
    <w:tmpl w:val="491E8B2E"/>
    <w:lvl w:ilvl="0">
      <w:start w:val="1"/>
      <w:numFmt w:val="decimal"/>
      <w:lvlText w:val="%1."/>
      <w:lvlJc w:val="left"/>
      <w:pPr>
        <w:ind w:left="720" w:hanging="360"/>
      </w:pPr>
      <w:rPr>
        <w:rFonts w:eastAsia="Calibri" w:hint="default"/>
        <w:sz w:val="23"/>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BEB636B"/>
    <w:multiLevelType w:val="multilevel"/>
    <w:tmpl w:val="2326EC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D33CC0"/>
    <w:multiLevelType w:val="hybridMultilevel"/>
    <w:tmpl w:val="B094C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9072C4"/>
    <w:multiLevelType w:val="hybridMultilevel"/>
    <w:tmpl w:val="581CB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C04F6D"/>
    <w:multiLevelType w:val="hybridMultilevel"/>
    <w:tmpl w:val="87A67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7C1B67"/>
    <w:multiLevelType w:val="hybridMultilevel"/>
    <w:tmpl w:val="F618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3470EE"/>
    <w:multiLevelType w:val="hybridMultilevel"/>
    <w:tmpl w:val="422E3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3A4D12"/>
    <w:multiLevelType w:val="hybridMultilevel"/>
    <w:tmpl w:val="02909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F86369"/>
    <w:multiLevelType w:val="hybridMultilevel"/>
    <w:tmpl w:val="1F2C3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363B5B"/>
    <w:multiLevelType w:val="hybridMultilevel"/>
    <w:tmpl w:val="8FC88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1C4D62"/>
    <w:multiLevelType w:val="hybridMultilevel"/>
    <w:tmpl w:val="F21A5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A1A37EA"/>
    <w:multiLevelType w:val="hybridMultilevel"/>
    <w:tmpl w:val="A9D26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2C1435"/>
    <w:multiLevelType w:val="hybridMultilevel"/>
    <w:tmpl w:val="DC60E0D0"/>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F956E73"/>
    <w:multiLevelType w:val="hybridMultilevel"/>
    <w:tmpl w:val="183E5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B33134"/>
    <w:multiLevelType w:val="hybridMultilevel"/>
    <w:tmpl w:val="95824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2FE422A"/>
    <w:multiLevelType w:val="hybridMultilevel"/>
    <w:tmpl w:val="0608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C82C22"/>
    <w:multiLevelType w:val="multilevel"/>
    <w:tmpl w:val="1D40798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A54C36"/>
    <w:multiLevelType w:val="hybridMultilevel"/>
    <w:tmpl w:val="5DECBFE0"/>
    <w:lvl w:ilvl="0" w:tplc="9EE8CD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DCF3F57"/>
    <w:multiLevelType w:val="hybridMultilevel"/>
    <w:tmpl w:val="3B185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E04869"/>
    <w:multiLevelType w:val="hybridMultilevel"/>
    <w:tmpl w:val="3E2EF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578F2"/>
    <w:multiLevelType w:val="multilevel"/>
    <w:tmpl w:val="801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890363">
    <w:abstractNumId w:val="5"/>
  </w:num>
  <w:num w:numId="2" w16cid:durableId="2077429279">
    <w:abstractNumId w:val="11"/>
  </w:num>
  <w:num w:numId="3" w16cid:durableId="635338077">
    <w:abstractNumId w:val="6"/>
  </w:num>
  <w:num w:numId="4" w16cid:durableId="1760247307">
    <w:abstractNumId w:val="23"/>
  </w:num>
  <w:num w:numId="5" w16cid:durableId="1115716838">
    <w:abstractNumId w:val="36"/>
  </w:num>
  <w:num w:numId="6" w16cid:durableId="1265528053">
    <w:abstractNumId w:val="34"/>
  </w:num>
  <w:num w:numId="7" w16cid:durableId="440421359">
    <w:abstractNumId w:val="26"/>
  </w:num>
  <w:num w:numId="8" w16cid:durableId="1679891344">
    <w:abstractNumId w:val="1"/>
  </w:num>
  <w:num w:numId="9" w16cid:durableId="920257906">
    <w:abstractNumId w:val="0"/>
  </w:num>
  <w:num w:numId="10" w16cid:durableId="2040931166">
    <w:abstractNumId w:val="9"/>
  </w:num>
  <w:num w:numId="11" w16cid:durableId="70589599">
    <w:abstractNumId w:val="32"/>
  </w:num>
  <w:num w:numId="12" w16cid:durableId="1798792942">
    <w:abstractNumId w:val="2"/>
  </w:num>
  <w:num w:numId="13" w16cid:durableId="1383406373">
    <w:abstractNumId w:val="39"/>
  </w:num>
  <w:num w:numId="14" w16cid:durableId="455098253">
    <w:abstractNumId w:val="3"/>
  </w:num>
  <w:num w:numId="15" w16cid:durableId="160312814">
    <w:abstractNumId w:val="20"/>
  </w:num>
  <w:num w:numId="16" w16cid:durableId="1785035143">
    <w:abstractNumId w:val="31"/>
  </w:num>
  <w:num w:numId="17" w16cid:durableId="98960582">
    <w:abstractNumId w:val="22"/>
  </w:num>
  <w:num w:numId="18" w16cid:durableId="1051003565">
    <w:abstractNumId w:val="19"/>
  </w:num>
  <w:num w:numId="19" w16cid:durableId="362023869">
    <w:abstractNumId w:val="14"/>
  </w:num>
  <w:num w:numId="20" w16cid:durableId="505706510">
    <w:abstractNumId w:val="35"/>
  </w:num>
  <w:num w:numId="21" w16cid:durableId="538471625">
    <w:abstractNumId w:val="10"/>
  </w:num>
  <w:num w:numId="22" w16cid:durableId="380520235">
    <w:abstractNumId w:val="30"/>
  </w:num>
  <w:num w:numId="23" w16cid:durableId="1600790608">
    <w:abstractNumId w:val="21"/>
  </w:num>
  <w:num w:numId="24" w16cid:durableId="1129200346">
    <w:abstractNumId w:val="29"/>
  </w:num>
  <w:num w:numId="25" w16cid:durableId="158622058">
    <w:abstractNumId w:val="12"/>
  </w:num>
  <w:num w:numId="26" w16cid:durableId="734359070">
    <w:abstractNumId w:val="33"/>
  </w:num>
  <w:num w:numId="27" w16cid:durableId="488719364">
    <w:abstractNumId w:val="15"/>
  </w:num>
  <w:num w:numId="28" w16cid:durableId="112405347">
    <w:abstractNumId w:val="4"/>
  </w:num>
  <w:num w:numId="29" w16cid:durableId="1021517093">
    <w:abstractNumId w:val="24"/>
  </w:num>
  <w:num w:numId="30" w16cid:durableId="132987031">
    <w:abstractNumId w:val="18"/>
  </w:num>
  <w:num w:numId="31" w16cid:durableId="1654983863">
    <w:abstractNumId w:val="38"/>
  </w:num>
  <w:num w:numId="32" w16cid:durableId="98986516">
    <w:abstractNumId w:val="25"/>
  </w:num>
  <w:num w:numId="33" w16cid:durableId="713896183">
    <w:abstractNumId w:val="8"/>
  </w:num>
  <w:num w:numId="34" w16cid:durableId="514424516">
    <w:abstractNumId w:val="37"/>
  </w:num>
  <w:num w:numId="35" w16cid:durableId="454180209">
    <w:abstractNumId w:val="27"/>
  </w:num>
  <w:num w:numId="36" w16cid:durableId="82143266">
    <w:abstractNumId w:val="13"/>
  </w:num>
  <w:num w:numId="37" w16cid:durableId="664862886">
    <w:abstractNumId w:val="7"/>
  </w:num>
  <w:num w:numId="38" w16cid:durableId="685785857">
    <w:abstractNumId w:val="16"/>
  </w:num>
  <w:num w:numId="39" w16cid:durableId="501624074">
    <w:abstractNumId w:val="28"/>
  </w:num>
  <w:num w:numId="40" w16cid:durableId="11114332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01472F"/>
    <w:rsid w:val="000A502B"/>
    <w:rsid w:val="00132B5D"/>
    <w:rsid w:val="00170B87"/>
    <w:rsid w:val="00173599"/>
    <w:rsid w:val="001A7542"/>
    <w:rsid w:val="001D3D7B"/>
    <w:rsid w:val="001E75ED"/>
    <w:rsid w:val="002624B5"/>
    <w:rsid w:val="002F2104"/>
    <w:rsid w:val="00344C2C"/>
    <w:rsid w:val="003741AE"/>
    <w:rsid w:val="003C0726"/>
    <w:rsid w:val="003E0499"/>
    <w:rsid w:val="00427306"/>
    <w:rsid w:val="00430DAD"/>
    <w:rsid w:val="0043710C"/>
    <w:rsid w:val="004A5328"/>
    <w:rsid w:val="004A5564"/>
    <w:rsid w:val="004A7185"/>
    <w:rsid w:val="00505F34"/>
    <w:rsid w:val="00516D92"/>
    <w:rsid w:val="00541C95"/>
    <w:rsid w:val="0068043D"/>
    <w:rsid w:val="00695214"/>
    <w:rsid w:val="00792494"/>
    <w:rsid w:val="007D288D"/>
    <w:rsid w:val="007D4D42"/>
    <w:rsid w:val="007F4F64"/>
    <w:rsid w:val="00867DCA"/>
    <w:rsid w:val="0094452D"/>
    <w:rsid w:val="00976B4B"/>
    <w:rsid w:val="00983BCA"/>
    <w:rsid w:val="00986FDE"/>
    <w:rsid w:val="00995C01"/>
    <w:rsid w:val="00A13850"/>
    <w:rsid w:val="00A41865"/>
    <w:rsid w:val="00AD406A"/>
    <w:rsid w:val="00B04F2E"/>
    <w:rsid w:val="00B12E25"/>
    <w:rsid w:val="00B3694C"/>
    <w:rsid w:val="00C66FB4"/>
    <w:rsid w:val="00C87722"/>
    <w:rsid w:val="00D82EE0"/>
    <w:rsid w:val="00E97EE3"/>
    <w:rsid w:val="00EC71C0"/>
    <w:rsid w:val="00FF7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D42"/>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976B4B"/>
    <w:pPr>
      <w:ind w:left="720"/>
      <w:contextualSpacing/>
    </w:pPr>
  </w:style>
  <w:style w:type="table" w:styleId="Tablaconcuadrcula">
    <w:name w:val="Table Grid"/>
    <w:basedOn w:val="Tablanormal"/>
    <w:uiPriority w:val="39"/>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99"/>
    <w:qFormat/>
    <w:rsid w:val="0001472F"/>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
    <w:link w:val="Sinespaciado"/>
    <w:uiPriority w:val="99"/>
    <w:locked/>
    <w:rsid w:val="0001472F"/>
    <w:rPr>
      <w:rFonts w:ascii="Calibri" w:eastAsia="Calibri" w:hAnsi="Calibri" w:cs="Times New Roman"/>
      <w:kern w:val="0"/>
      <w14:ligatures w14:val="none"/>
    </w:rPr>
  </w:style>
  <w:style w:type="paragraph" w:customStyle="1" w:styleId="Default">
    <w:name w:val="Default"/>
    <w:rsid w:val="0001472F"/>
    <w:pPr>
      <w:autoSpaceDE w:val="0"/>
      <w:autoSpaceDN w:val="0"/>
      <w:adjustRightInd w:val="0"/>
      <w:spacing w:after="0" w:line="240" w:lineRule="auto"/>
    </w:pPr>
    <w:rPr>
      <w:rFonts w:ascii="Arial" w:hAnsi="Arial" w:cs="Arial"/>
      <w:color w:val="000000"/>
      <w:kern w:val="0"/>
      <w:sz w:val="24"/>
      <w:szCs w:val="24"/>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4A5564"/>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4981">
      <w:bodyDiv w:val="1"/>
      <w:marLeft w:val="0"/>
      <w:marRight w:val="0"/>
      <w:marTop w:val="0"/>
      <w:marBottom w:val="0"/>
      <w:divBdr>
        <w:top w:val="none" w:sz="0" w:space="0" w:color="auto"/>
        <w:left w:val="none" w:sz="0" w:space="0" w:color="auto"/>
        <w:bottom w:val="none" w:sz="0" w:space="0" w:color="auto"/>
        <w:right w:val="none" w:sz="0" w:space="0" w:color="auto"/>
      </w:divBdr>
    </w:div>
    <w:div w:id="548030105">
      <w:bodyDiv w:val="1"/>
      <w:marLeft w:val="0"/>
      <w:marRight w:val="0"/>
      <w:marTop w:val="0"/>
      <w:marBottom w:val="0"/>
      <w:divBdr>
        <w:top w:val="none" w:sz="0" w:space="0" w:color="auto"/>
        <w:left w:val="none" w:sz="0" w:space="0" w:color="auto"/>
        <w:bottom w:val="none" w:sz="0" w:space="0" w:color="auto"/>
        <w:right w:val="none" w:sz="0" w:space="0" w:color="auto"/>
      </w:divBdr>
    </w:div>
    <w:div w:id="1178886589">
      <w:bodyDiv w:val="1"/>
      <w:marLeft w:val="0"/>
      <w:marRight w:val="0"/>
      <w:marTop w:val="0"/>
      <w:marBottom w:val="0"/>
      <w:divBdr>
        <w:top w:val="none" w:sz="0" w:space="0" w:color="auto"/>
        <w:left w:val="none" w:sz="0" w:space="0" w:color="auto"/>
        <w:bottom w:val="none" w:sz="0" w:space="0" w:color="auto"/>
        <w:right w:val="none" w:sz="0" w:space="0" w:color="auto"/>
      </w:divBdr>
    </w:div>
    <w:div w:id="1489861246">
      <w:bodyDiv w:val="1"/>
      <w:marLeft w:val="0"/>
      <w:marRight w:val="0"/>
      <w:marTop w:val="0"/>
      <w:marBottom w:val="0"/>
      <w:divBdr>
        <w:top w:val="none" w:sz="0" w:space="0" w:color="auto"/>
        <w:left w:val="none" w:sz="0" w:space="0" w:color="auto"/>
        <w:bottom w:val="none" w:sz="0" w:space="0" w:color="auto"/>
        <w:right w:val="none" w:sz="0" w:space="0" w:color="auto"/>
      </w:divBdr>
    </w:div>
    <w:div w:id="1606838206">
      <w:bodyDiv w:val="1"/>
      <w:marLeft w:val="0"/>
      <w:marRight w:val="0"/>
      <w:marTop w:val="0"/>
      <w:marBottom w:val="0"/>
      <w:divBdr>
        <w:top w:val="none" w:sz="0" w:space="0" w:color="auto"/>
        <w:left w:val="none" w:sz="0" w:space="0" w:color="auto"/>
        <w:bottom w:val="none" w:sz="0" w:space="0" w:color="auto"/>
        <w:right w:val="none" w:sz="0" w:space="0" w:color="auto"/>
      </w:divBdr>
    </w:div>
    <w:div w:id="18164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2.jpeg"/></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png"/></Relationships>
</file>

<file path=word/_rels/header3.xml.rels><?xml version="1.0" encoding="UTF-8" standalone="yes"?>
<Relationships xmlns="http://schemas.openxmlformats.org/package/2006/relationships"><Relationship Id="rId1" Type="http://schemas.openxmlformats.org/officeDocument/2006/relationships/image" Target="media/image20.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18</Pages>
  <Words>5484</Words>
  <Characters>30166</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11</cp:revision>
  <dcterms:created xsi:type="dcterms:W3CDTF">2024-01-17T14:44:00Z</dcterms:created>
  <dcterms:modified xsi:type="dcterms:W3CDTF">2026-01-30T22:54:00Z</dcterms:modified>
</cp:coreProperties>
</file>