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C8524" w14:textId="0A88F173" w:rsidR="004A5328" w:rsidRPr="00E97EE3" w:rsidRDefault="004A5328" w:rsidP="00427306">
      <w:pPr>
        <w:spacing w:line="276" w:lineRule="auto"/>
        <w:jc w:val="center"/>
        <w:rPr>
          <w:rFonts w:ascii="Arial" w:eastAsia="Tahoma" w:hAnsi="Arial" w:cs="Arial"/>
          <w:b/>
        </w:rPr>
      </w:pPr>
      <w:bookmarkStart w:id="0" w:name="_Hlk155191474"/>
      <w:r w:rsidRPr="00E97EE3">
        <w:rPr>
          <w:rFonts w:ascii="Arial" w:eastAsia="Tahoma" w:hAnsi="Arial" w:cs="Arial"/>
          <w:b/>
        </w:rPr>
        <w:t xml:space="preserve">ANÁLISIS DEL SECTOR ECONÓMICO </w:t>
      </w:r>
    </w:p>
    <w:p w14:paraId="0B67E3DB" w14:textId="77777777" w:rsidR="004A5328" w:rsidRPr="00E97EE3" w:rsidRDefault="004A5328" w:rsidP="00427306">
      <w:pPr>
        <w:spacing w:line="276" w:lineRule="auto"/>
        <w:jc w:val="both"/>
        <w:rPr>
          <w:rFonts w:ascii="Arial" w:eastAsia="Tahoma" w:hAnsi="Arial" w:cs="Arial"/>
        </w:rPr>
      </w:pPr>
      <w:r w:rsidRPr="00E97EE3">
        <w:rPr>
          <w:rFonts w:ascii="Arial" w:eastAsia="Tahoma" w:hAnsi="Arial" w:cs="Arial"/>
        </w:rPr>
        <w:t>A continuación, se presentará el estudio del sector económico y de los oferentes por parte de la entidad conforme con lo dispuesto en el artículo 2.2.1.1.1.6.1 del Decreto 1082 de 2015, para adelantar el proceso de contratación y la consecuente aceptación de la oferta.</w:t>
      </w:r>
    </w:p>
    <w:p w14:paraId="421BA452" w14:textId="77777777" w:rsidR="004A5328" w:rsidRDefault="004A5328" w:rsidP="00427306">
      <w:pPr>
        <w:spacing w:line="276" w:lineRule="auto"/>
        <w:jc w:val="both"/>
        <w:rPr>
          <w:rFonts w:ascii="Arial" w:eastAsia="Tahoma" w:hAnsi="Arial" w:cs="Arial"/>
        </w:rPr>
      </w:pPr>
      <w:r w:rsidRPr="00E97EE3">
        <w:rPr>
          <w:rFonts w:ascii="Arial" w:eastAsia="Tahoma" w:hAnsi="Arial" w:cs="Arial"/>
        </w:rPr>
        <w:t>De acuerdo con la Guía para la Elaboración de Estudios de Sector publicada por Colombia Compra Eficiente G-EES-02, las Entidades Estatales deben entender claramente cuál es su necesidad y cómo pueden satisfacerla, por lo cual, deben conocer y entender cómo y con quién pueden establecer la relación que permite satisfacer la necesidad identificada.</w:t>
      </w:r>
    </w:p>
    <w:p w14:paraId="64913976" w14:textId="77777777" w:rsidR="00E97EE3" w:rsidRPr="00E97EE3" w:rsidRDefault="00E97EE3" w:rsidP="00427306">
      <w:pPr>
        <w:spacing w:line="276" w:lineRule="auto"/>
        <w:jc w:val="both"/>
        <w:rPr>
          <w:rFonts w:ascii="Arial" w:eastAsia="Tahoma" w:hAnsi="Arial" w:cs="Arial"/>
        </w:rPr>
      </w:pPr>
    </w:p>
    <w:p w14:paraId="12FC0AA3" w14:textId="77777777" w:rsidR="002C7D69" w:rsidRDefault="004A5328" w:rsidP="002C7D69">
      <w:pPr>
        <w:spacing w:line="276" w:lineRule="auto"/>
        <w:jc w:val="both"/>
        <w:rPr>
          <w:rFonts w:ascii="Arial" w:hAnsi="Arial" w:cs="Arial"/>
          <w:b/>
          <w:bCs/>
        </w:rPr>
      </w:pPr>
      <w:r w:rsidRPr="00E97EE3">
        <w:rPr>
          <w:rFonts w:ascii="Arial" w:eastAsia="Tahoma" w:hAnsi="Arial" w:cs="Arial"/>
          <w:b/>
          <w:bCs/>
        </w:rPr>
        <w:t>OBJETO</w:t>
      </w:r>
      <w:r w:rsidRPr="00E97EE3">
        <w:rPr>
          <w:rFonts w:ascii="Arial" w:eastAsia="Tahoma" w:hAnsi="Arial" w:cs="Arial"/>
        </w:rPr>
        <w:t xml:space="preserve">: </w:t>
      </w:r>
      <w:bookmarkStart w:id="1" w:name="_Hlk181022747"/>
      <w:r w:rsidR="002C7D69" w:rsidRPr="00C418B2">
        <w:rPr>
          <w:rFonts w:ascii="Arial" w:hAnsi="Arial" w:cs="Arial"/>
          <w:b/>
          <w:bCs/>
        </w:rPr>
        <w:t>PRESTACIÓN DE SERVICIOS PARA EL FORTALECIMIENTO DE LA PROTECCIÓN INTEGRAL DE LOS DERECHOS DE LOS NIÑOS, NIÑAS, ADOLESCENTES Y JÓVENES ORIENTADOS A LA CONSTRUCCIÓN DE ENTORNOS PROTECTORES, PARTICIPATIVOS Y DE BIENESTAR EN EL MUNICIPIO DE SAN JACINTO, BOLÍVAR.</w:t>
      </w:r>
      <w:bookmarkEnd w:id="1"/>
    </w:p>
    <w:p w14:paraId="576B87DD" w14:textId="7EE513A3" w:rsidR="004A5328" w:rsidRPr="002C7D69" w:rsidRDefault="004A5328" w:rsidP="002C7D69">
      <w:pPr>
        <w:pStyle w:val="Prrafodelista"/>
        <w:numPr>
          <w:ilvl w:val="0"/>
          <w:numId w:val="22"/>
        </w:numPr>
        <w:spacing w:line="276" w:lineRule="auto"/>
        <w:jc w:val="both"/>
        <w:rPr>
          <w:rFonts w:ascii="Arial" w:eastAsia="Tahoma" w:hAnsi="Arial" w:cs="Arial"/>
          <w:b/>
        </w:rPr>
      </w:pPr>
      <w:r w:rsidRPr="002C7D69">
        <w:rPr>
          <w:rFonts w:ascii="Arial" w:eastAsia="Tahoma" w:hAnsi="Arial" w:cs="Arial"/>
          <w:b/>
        </w:rPr>
        <w:t>ANTECEDENTES</w:t>
      </w:r>
    </w:p>
    <w:p w14:paraId="195EAE4F" w14:textId="77777777" w:rsidR="0001472F" w:rsidRDefault="0001472F" w:rsidP="00427306">
      <w:pPr>
        <w:widowControl w:val="0"/>
        <w:autoSpaceDE w:val="0"/>
        <w:autoSpaceDN w:val="0"/>
        <w:adjustRightInd w:val="0"/>
        <w:spacing w:after="0" w:line="276" w:lineRule="auto"/>
        <w:ind w:right="82"/>
        <w:jc w:val="both"/>
        <w:rPr>
          <w:rFonts w:ascii="Arial" w:eastAsia="Tahoma" w:hAnsi="Arial" w:cs="Arial"/>
        </w:rPr>
      </w:pPr>
    </w:p>
    <w:p w14:paraId="3CE6CDF2" w14:textId="77777777" w:rsidR="00A36F94" w:rsidRPr="00C418B2" w:rsidRDefault="00A36F94" w:rsidP="00A36F94">
      <w:pPr>
        <w:spacing w:line="276" w:lineRule="auto"/>
        <w:jc w:val="both"/>
        <w:rPr>
          <w:rFonts w:ascii="Arial" w:hAnsi="Arial" w:cs="Arial"/>
        </w:rPr>
      </w:pPr>
      <w:r w:rsidRPr="00C418B2">
        <w:rPr>
          <w:rFonts w:ascii="Arial" w:hAnsi="Arial" w:cs="Arial"/>
        </w:rPr>
        <w:t>El Municipio de San Jacinto, Bolívar como entidad descentralizada territorialmente, cuenta con autonomía para adelantar y desarrollar los procesos contractuales orientados a ejecutar el Plan de Desarrollo y el correspondiente Plan de Inversión Municipal, para de esta manera cumplir con los fines que la constitución Política le señala al Estado, tal como lo disponen los artículos 2 de la Carta Superior y 3° de la ley 80 de 1993.</w:t>
      </w:r>
    </w:p>
    <w:p w14:paraId="7D779686" w14:textId="77777777" w:rsidR="00A36F94" w:rsidRPr="00C418B2" w:rsidRDefault="00A36F94" w:rsidP="00A36F94">
      <w:pPr>
        <w:pStyle w:val="Default"/>
        <w:spacing w:line="276" w:lineRule="auto"/>
        <w:jc w:val="both"/>
        <w:rPr>
          <w:iCs/>
          <w:sz w:val="22"/>
          <w:szCs w:val="22"/>
        </w:rPr>
      </w:pPr>
      <w:r w:rsidRPr="00C418B2">
        <w:rPr>
          <w:iCs/>
          <w:sz w:val="22"/>
          <w:szCs w:val="22"/>
        </w:rPr>
        <w:t xml:space="preserve">El artículo 2 de la Constitución Política establece como fines del Estado “…garantizar la efectividad de los principios, derechos y deberes consagrados en la Constitución; facilitar la participación de todos en las decisiones que los afectan (…)”. El inciso segundo del precitado artículo señala que: </w:t>
      </w:r>
      <w:r w:rsidRPr="00C418B2">
        <w:rPr>
          <w:i/>
          <w:iCs/>
          <w:sz w:val="22"/>
          <w:szCs w:val="22"/>
        </w:rPr>
        <w:t>“Las autoridades de la República están instituidas para proteger a todas las personas residentes en Colombia, en su vida, honra, bienes, creencias y demás derechos y libertades, y para asegurar el cumplimiento de los deberes sociales del Estado y de los particulares”.</w:t>
      </w:r>
      <w:r w:rsidRPr="00C418B2">
        <w:rPr>
          <w:iCs/>
          <w:sz w:val="22"/>
          <w:szCs w:val="22"/>
        </w:rPr>
        <w:t xml:space="preserve"> </w:t>
      </w:r>
    </w:p>
    <w:p w14:paraId="6FD69C2C" w14:textId="77777777" w:rsidR="00A36F94" w:rsidRPr="00C418B2" w:rsidRDefault="00A36F94" w:rsidP="00A36F94">
      <w:pPr>
        <w:pStyle w:val="Default"/>
        <w:spacing w:line="276" w:lineRule="auto"/>
        <w:jc w:val="both"/>
        <w:rPr>
          <w:sz w:val="22"/>
          <w:szCs w:val="22"/>
        </w:rPr>
      </w:pPr>
    </w:p>
    <w:p w14:paraId="173229D1" w14:textId="77777777" w:rsidR="00A36F94" w:rsidRPr="00C418B2" w:rsidRDefault="00A36F94" w:rsidP="00A36F94">
      <w:pPr>
        <w:pStyle w:val="Default"/>
        <w:spacing w:line="276" w:lineRule="auto"/>
        <w:jc w:val="both"/>
        <w:rPr>
          <w:iCs/>
          <w:sz w:val="22"/>
          <w:szCs w:val="22"/>
        </w:rPr>
      </w:pPr>
      <w:r w:rsidRPr="00C418B2">
        <w:rPr>
          <w:iCs/>
          <w:sz w:val="22"/>
          <w:szCs w:val="22"/>
        </w:rPr>
        <w:t xml:space="preserve">Este deber de protección y garantía de derechos humanos, implica la adopción de medidas de carácter jurídico, político, administrativo y cultural que promuevan su reconocimiento; y además, conlleva que el Estado se organice de tal manera que sea capaz de asegurar jurídicamente su libre y pleno ejercicio, en consonancia con los postulados del Derecho Internacional de los Derechos Humanos, marco jurídico vinculante para Colombia en virtud de lo dispuesto en el artículo 93 de la Constitución Nacional. </w:t>
      </w:r>
    </w:p>
    <w:p w14:paraId="7A7AE4B4" w14:textId="77777777" w:rsidR="00A36F94" w:rsidRPr="00C418B2" w:rsidRDefault="00A36F94" w:rsidP="00A36F94">
      <w:pPr>
        <w:pStyle w:val="Default"/>
        <w:spacing w:line="276" w:lineRule="auto"/>
        <w:jc w:val="both"/>
        <w:rPr>
          <w:sz w:val="22"/>
          <w:szCs w:val="22"/>
        </w:rPr>
      </w:pPr>
    </w:p>
    <w:p w14:paraId="57A4CCEB" w14:textId="77777777" w:rsidR="00A36F94" w:rsidRPr="00C418B2" w:rsidRDefault="00A36F94" w:rsidP="00A36F94">
      <w:pPr>
        <w:spacing w:line="276" w:lineRule="auto"/>
        <w:jc w:val="both"/>
        <w:rPr>
          <w:rFonts w:ascii="Arial" w:hAnsi="Arial" w:cs="Arial"/>
        </w:rPr>
      </w:pPr>
      <w:r w:rsidRPr="00C418B2">
        <w:rPr>
          <w:rFonts w:ascii="Arial" w:hAnsi="Arial" w:cs="Arial"/>
          <w:iCs/>
        </w:rPr>
        <w:t>En este contexto de promoción y protección de derechos humanos el Ministerio del Interior, a través de la Dirección de Derechos apoya a las entidades territoriales en el impulso e incorporación del enfoque de derechos en los instrumentos de planeación y sus estrategias en el ámbito municipal y departamental, así como en el establecimiento de lineamientos generales para el diseño e implementación de mecanismos de prevención y protección de personas que se encuentren en situación de riesgo extraordinario o extremo, marco legal que promueve la ejecución de acciones a favor de las víctimas y población en condiciones de vulnerabilidad, a través de la formulación, diseño e impulso de política pública de Derechos Humanos y Derecho Internacional Humanitario.</w:t>
      </w:r>
    </w:p>
    <w:p w14:paraId="68563334"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En el municipio de San Jacinto, Bolívar, los niños, niñas, adolescentes y jóvenes constituyen un grupo poblacional estratégico para el desarrollo social del territorio, al representar aproximadamente el 46,8 % de la población municipal, equivalente a 12.120 personas, de las </w:t>
      </w:r>
      <w:r w:rsidRPr="00C418B2">
        <w:rPr>
          <w:rFonts w:ascii="Arial" w:hAnsi="Arial" w:cs="Arial"/>
        </w:rPr>
        <w:lastRenderedPageBreak/>
        <w:t xml:space="preserve">cuales el 31,16 % corresponde a población entre 0 y 18 años y el 15,62 % a jóvenes entre 19 y 28 años. </w:t>
      </w:r>
    </w:p>
    <w:p w14:paraId="4DF737F1" w14:textId="77777777" w:rsidR="00A36F94" w:rsidRPr="00C418B2" w:rsidRDefault="00A36F94" w:rsidP="00A36F94">
      <w:pPr>
        <w:autoSpaceDE w:val="0"/>
        <w:autoSpaceDN w:val="0"/>
        <w:adjustRightInd w:val="0"/>
        <w:spacing w:after="0" w:line="276" w:lineRule="auto"/>
        <w:jc w:val="both"/>
        <w:rPr>
          <w:rFonts w:ascii="Arial" w:hAnsi="Arial" w:cs="Arial"/>
        </w:rPr>
      </w:pPr>
    </w:p>
    <w:p w14:paraId="202A0187"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No obstante, este grupo enfrenta múltiples desafíos de carácter social, educativo, cultural y de salud que limitan su desarrollo integral y el ejercicio efectivo de sus derechos, agravados por indicadores de violencia interpersonal y sexual, que han presentado una tendencia al aumento en los últimos años, afectando principalmente a adolescentes y jóvenes, así como el incremento del consumo de sustancias psicoactivas, con impactos directos en la convivencia, la salud mental y la seguridad comunitaria.</w:t>
      </w:r>
    </w:p>
    <w:p w14:paraId="06895DE1" w14:textId="77777777" w:rsidR="00A36F94" w:rsidRPr="00C418B2" w:rsidRDefault="00A36F94" w:rsidP="00A36F94">
      <w:pPr>
        <w:autoSpaceDE w:val="0"/>
        <w:autoSpaceDN w:val="0"/>
        <w:adjustRightInd w:val="0"/>
        <w:spacing w:after="0" w:line="276" w:lineRule="auto"/>
        <w:jc w:val="both"/>
        <w:rPr>
          <w:rFonts w:ascii="Arial" w:hAnsi="Arial" w:cs="Arial"/>
        </w:rPr>
      </w:pPr>
    </w:p>
    <w:p w14:paraId="5EE33F4D"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Adicionalmente, el municipio enfrenta retos estructurales relacionados con bajas coberturas en educación media y superior, insuficiente atención integral a la primera infancia y escasez de espacios adecuados para el desarrollo cultural, recreativo y de liderazgo juvenil, lo que restringe la participación activa de esta población en la construcción de proyectos de vida y en los escenarios de incidencia social. Aunque existen instancias formales de participación juvenil, su impacto se ve limitado por debilidades en los procesos de acompañamiento y fortalecimiento institucional. </w:t>
      </w:r>
    </w:p>
    <w:p w14:paraId="4F006083" w14:textId="77777777" w:rsidR="00A36F94" w:rsidRPr="00C418B2" w:rsidRDefault="00A36F94" w:rsidP="00A36F94">
      <w:pPr>
        <w:autoSpaceDE w:val="0"/>
        <w:autoSpaceDN w:val="0"/>
        <w:adjustRightInd w:val="0"/>
        <w:spacing w:after="0" w:line="276" w:lineRule="auto"/>
        <w:jc w:val="both"/>
        <w:rPr>
          <w:rFonts w:ascii="Arial" w:hAnsi="Arial" w:cs="Arial"/>
        </w:rPr>
      </w:pPr>
    </w:p>
    <w:p w14:paraId="5C835EE0"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En respuesta a este contexto, el Plan de Desarrollo Municipal 2022–2026 prioriza una meta orientada al fortalecimiento de la prevención, promoción y protección integral de los derechos de niños, niñas, adolescentes y jóvenes, mediante la generación de entornos protectores, la reducción de factores de riesgo y el fortalecimiento de capacidades individuales y comunitarias. En coherencia con esta meta, el proyecto “Fortalecimiento de la Protección Integral de los Derechos de Niños, Niñas, Adolescentes y Jóvenes orientado a la Construcción de Entornos Protectores, Participativos y de Bienestar” se concibe como una intervención estratégica que articula acciones de prevención, formación, comunicación, participación y liderazgo juvenil.</w:t>
      </w:r>
    </w:p>
    <w:p w14:paraId="36DB96AF" w14:textId="77777777" w:rsidR="00A36F94" w:rsidRPr="00C418B2" w:rsidRDefault="00A36F94" w:rsidP="00A36F94">
      <w:pPr>
        <w:autoSpaceDE w:val="0"/>
        <w:autoSpaceDN w:val="0"/>
        <w:adjustRightInd w:val="0"/>
        <w:spacing w:after="0" w:line="276" w:lineRule="auto"/>
        <w:jc w:val="both"/>
        <w:rPr>
          <w:rFonts w:ascii="Arial" w:hAnsi="Arial" w:cs="Arial"/>
        </w:rPr>
      </w:pPr>
    </w:p>
    <w:p w14:paraId="21309337"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San Jacinto presenta un contexto social caracterizado por altos niveles de pobreza multidimensional, riesgos asociados al trabajo infantil, incremento de la violencia interpersonal y sexual, consumo de sustancias psicoactivas y limitadas oportunidades de acceso a educación, participación y bienestar integral para niños, niñas, adolescentes y jóvenes. </w:t>
      </w:r>
    </w:p>
    <w:p w14:paraId="5F8C5E13" w14:textId="77777777" w:rsidR="00A36F94" w:rsidRPr="00C418B2" w:rsidRDefault="00A36F94" w:rsidP="00A36F94">
      <w:pPr>
        <w:autoSpaceDE w:val="0"/>
        <w:autoSpaceDN w:val="0"/>
        <w:adjustRightInd w:val="0"/>
        <w:spacing w:after="0" w:line="276" w:lineRule="auto"/>
        <w:jc w:val="both"/>
        <w:rPr>
          <w:rFonts w:ascii="Arial" w:hAnsi="Arial" w:cs="Arial"/>
        </w:rPr>
      </w:pPr>
    </w:p>
    <w:p w14:paraId="2701E87A"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Estas problemáticas impactan de forma directa el ejercicio pleno de sus derechos y requieren intervenciones sostenidas, preventivas y articuladas que trasciendan acciones aisladas. Nuestro proyecto se justifica en la necesidad de fortalecer los mecanismos de prevención, identificación y activación de rutas de atención, así como de consolidar procesos formativos y comunitarios que promuevan la corresponsabilidad institucional, familiar y social. </w:t>
      </w:r>
    </w:p>
    <w:p w14:paraId="0F40678A" w14:textId="77777777" w:rsidR="00A36F94" w:rsidRPr="00C418B2" w:rsidRDefault="00A36F94" w:rsidP="00A36F94">
      <w:pPr>
        <w:autoSpaceDE w:val="0"/>
        <w:autoSpaceDN w:val="0"/>
        <w:adjustRightInd w:val="0"/>
        <w:spacing w:after="0" w:line="276" w:lineRule="auto"/>
        <w:jc w:val="both"/>
        <w:rPr>
          <w:rFonts w:ascii="Arial" w:hAnsi="Arial" w:cs="Arial"/>
        </w:rPr>
      </w:pPr>
    </w:p>
    <w:p w14:paraId="34D0DD18"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En este sentido, se capitalizan los aprendizajes y capacidades instaladas durante la vigencia 2025, mediante el fortalecimiento de estrategias como “Tu Ruta, Tu Meta”, orientada al bienestar emocional, la salud mental y la construcción de proyectos de vida, y la consolidación de los “Guardianes Escolares por la Paz” como agentes replicadores y líderes juveniles en la defensa de los derechos. La iniciativa se alinea de manera directa con la meta del Plan de Desarrollo Municipal 2022–2026 relacionada con la protección integral de la niñez y la juventud, y articula esfuerzos con la institucionalidad local, el ICBF, el sector educativo y actores comunitarios, garantizando una intervención integral basada en los enfoques de derechos, prevención, participación y bienestar. </w:t>
      </w:r>
    </w:p>
    <w:p w14:paraId="4BBEB1E4" w14:textId="77777777" w:rsidR="00A36F94" w:rsidRPr="00C418B2" w:rsidRDefault="00A36F94" w:rsidP="00A36F94">
      <w:pPr>
        <w:autoSpaceDE w:val="0"/>
        <w:autoSpaceDN w:val="0"/>
        <w:adjustRightInd w:val="0"/>
        <w:spacing w:after="0" w:line="276" w:lineRule="auto"/>
        <w:jc w:val="both"/>
        <w:rPr>
          <w:rFonts w:ascii="Arial" w:hAnsi="Arial" w:cs="Arial"/>
        </w:rPr>
      </w:pPr>
    </w:p>
    <w:p w14:paraId="6DBB5F4D"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Asimismo, incorpora metodologías innovadoras que integran el arte, el deporte y los canales de comunicación juvenil como herramientas efectivas de prevención y transformación social. En consecuencia, el proyecto no solo busca mitigar factores de riesgo, sino potenciar capacidades, liderazgos y entornos protectores, contribuyendo a la construcción de una cultura de garantía de </w:t>
      </w:r>
      <w:r w:rsidRPr="00C418B2">
        <w:rPr>
          <w:rFonts w:ascii="Arial" w:hAnsi="Arial" w:cs="Arial"/>
        </w:rPr>
        <w:lastRenderedPageBreak/>
        <w:t>derechos y a la sostenibilidad de las acciones en el territorio. Invertir en la protección integral de niños, niñas, adolescentes y jóvenes en San Jacinto representa una acción estratégica para el desarrollo social del municipio y para la consolidación de una comunidad más equitativa, participativa y comprometida con el bienestar de sus nuevas generaciones.</w:t>
      </w:r>
    </w:p>
    <w:p w14:paraId="48440741" w14:textId="77777777" w:rsidR="00A36F94" w:rsidRPr="00C418B2" w:rsidRDefault="00A36F94" w:rsidP="00A36F94">
      <w:pPr>
        <w:autoSpaceDE w:val="0"/>
        <w:autoSpaceDN w:val="0"/>
        <w:adjustRightInd w:val="0"/>
        <w:spacing w:after="0" w:line="276" w:lineRule="auto"/>
        <w:jc w:val="both"/>
        <w:rPr>
          <w:rFonts w:ascii="Arial" w:hAnsi="Arial" w:cs="Arial"/>
        </w:rPr>
      </w:pPr>
    </w:p>
    <w:p w14:paraId="74D7333C"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San Jacinto presenta un contexto social caracterizado por altos niveles de pobreza multidimensional, riesgos asociados al trabajo infantil, incremento de la violencia interpersonal y sexual, consumo de sustancias psicoactivas y limitadas oportunidades de acceso a educación, participación y bienestar integral para niños, niñas, adolescentes y jóvenes. </w:t>
      </w:r>
    </w:p>
    <w:p w14:paraId="7ED570D7" w14:textId="77777777" w:rsidR="00A36F94" w:rsidRPr="00C418B2" w:rsidRDefault="00A36F94" w:rsidP="00A36F94">
      <w:pPr>
        <w:autoSpaceDE w:val="0"/>
        <w:autoSpaceDN w:val="0"/>
        <w:adjustRightInd w:val="0"/>
        <w:spacing w:after="0" w:line="276" w:lineRule="auto"/>
        <w:jc w:val="both"/>
        <w:rPr>
          <w:rFonts w:ascii="Arial" w:hAnsi="Arial" w:cs="Arial"/>
        </w:rPr>
      </w:pPr>
    </w:p>
    <w:p w14:paraId="5D56E59C"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Estas problemáticas impactan de forma directa el ejercicio pleno de sus derechos y requieren intervenciones sostenidas, preventivas y articuladas que trasciendan acciones aisladas. Nuestro proyecto se justifica en la necesidad de fortalecer los mecanismos de prevención, identificación y activación de rutas de atención, así como de consolidar procesos formativos y comunitarios que promuevan la corresponsabilidad institucional, familiar y social. </w:t>
      </w:r>
    </w:p>
    <w:p w14:paraId="69B37519" w14:textId="77777777" w:rsidR="00A36F94" w:rsidRPr="00C418B2" w:rsidRDefault="00A36F94" w:rsidP="00A36F94">
      <w:pPr>
        <w:autoSpaceDE w:val="0"/>
        <w:autoSpaceDN w:val="0"/>
        <w:adjustRightInd w:val="0"/>
        <w:spacing w:after="0" w:line="276" w:lineRule="auto"/>
        <w:jc w:val="both"/>
        <w:rPr>
          <w:rFonts w:ascii="Arial" w:hAnsi="Arial" w:cs="Arial"/>
        </w:rPr>
      </w:pPr>
    </w:p>
    <w:p w14:paraId="24A041B6"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En este sentido, se capitalizan los aprendizajes y capacidades instaladas durante la vigencia 2025, mediante el fortalecimiento de estrategias como “Tu Ruta, Tu Meta”, orientada al bienestar emocional, la salud mental y la construcción de proyectos de vida, y la consolidación de los “Guardianes Escolares por la Paz” como agentes replicadores y líderes juveniles en la defensa de los derechos. La iniciativa se alinea de manera directa con la meta del Plan de Desarrollo Municipal 2022–2026 relacionada con la protección integral de la niñez y la juventud, y articula esfuerzos con la institucionalidad local, el ICBF, el sector educativo y actores comunitarios, garantizando una intervención integral basada en los enfoques de derechos, prevención, participación y bienestar. </w:t>
      </w:r>
    </w:p>
    <w:p w14:paraId="33059FBC" w14:textId="77777777" w:rsidR="00A36F94" w:rsidRPr="00C418B2" w:rsidRDefault="00A36F94" w:rsidP="00A36F94">
      <w:pPr>
        <w:autoSpaceDE w:val="0"/>
        <w:autoSpaceDN w:val="0"/>
        <w:adjustRightInd w:val="0"/>
        <w:spacing w:after="0" w:line="276" w:lineRule="auto"/>
        <w:jc w:val="both"/>
        <w:rPr>
          <w:rFonts w:ascii="Arial" w:hAnsi="Arial" w:cs="Arial"/>
        </w:rPr>
      </w:pPr>
    </w:p>
    <w:p w14:paraId="79CDC71C"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Asimismo, incorpora metodologías innovadoras que integran el arte, el deporte y los canales de comunicación juvenil como herramientas efectivas de prevención y transformación social. En consecuencia, el proyecto no solo busca mitigar factores de riesgo, sino potenciar capacidades, liderazgos y entornos protectores, contribuyendo a la construcción de una cultura de garantía de derechos y a la sostenibilidad de las acciones en el territorio. Invertir en la protección integral de niños, niñas, adolescentes y jóvenes en San Jacinto representa una acción estratégica para el desarrollo social del municipio y para la consolidación de una comunidad más equitativa, participativa y comprometida con el bienestar de sus nuevas generaciones.</w:t>
      </w:r>
    </w:p>
    <w:p w14:paraId="665C78E0" w14:textId="77777777" w:rsidR="00A36F94" w:rsidRPr="00C418B2" w:rsidRDefault="00A36F94" w:rsidP="00A36F94">
      <w:pPr>
        <w:autoSpaceDE w:val="0"/>
        <w:autoSpaceDN w:val="0"/>
        <w:adjustRightInd w:val="0"/>
        <w:spacing w:after="0" w:line="276" w:lineRule="auto"/>
        <w:jc w:val="both"/>
        <w:rPr>
          <w:rFonts w:ascii="Arial" w:hAnsi="Arial" w:cs="Arial"/>
        </w:rPr>
      </w:pPr>
    </w:p>
    <w:p w14:paraId="04962563"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La prestación de servicios orientados al fortalecimiento de la protección integral de los derechos de los NNAJ se hace necesaria para promover la construcción de </w:t>
      </w:r>
      <w:r w:rsidRPr="00C418B2">
        <w:rPr>
          <w:rFonts w:ascii="Arial" w:hAnsi="Arial" w:cs="Arial"/>
          <w:b/>
          <w:bCs/>
        </w:rPr>
        <w:t>entornos protectores, participativos y de bienestar</w:t>
      </w:r>
      <w:r w:rsidRPr="00C418B2">
        <w:rPr>
          <w:rFonts w:ascii="Arial" w:hAnsi="Arial" w:cs="Arial"/>
        </w:rPr>
        <w:t>, mediante acciones de formación, acompañamiento psicosocial, promoción de derechos, prevención de riesgos y fortalecimiento de capacidades en niños, niñas, adolescentes, jóvenes, familias y comunidades. Estas acciones contribuyen a la identificación temprana de situaciones de amenaza o vulneración de derechos y al desarrollo de factores protectores que favorecen la convivencia, la inclusión social y el ejercicio de la ciudadanía.</w:t>
      </w:r>
    </w:p>
    <w:p w14:paraId="0F24EBAF"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Asimismo, la administración municipal no cuenta con la capacidad operativa, técnica y especializada suficiente para ejecutar de manera directa todas las actividades requeridas para el cumplimiento de estos objetivos, lo que hace necesario acudir a la contratación de servicios con un operador idóneo que garantice la calidad, oportunidad y cobertura de las intervenciones. La contratación permitirá optimizar recursos, asegurar el enfoque diferencial y territorial, y generar impactos positivos y sostenibles en la población beneficiaria.</w:t>
      </w:r>
    </w:p>
    <w:p w14:paraId="16724C34" w14:textId="77777777" w:rsidR="00A36F94" w:rsidRPr="00C418B2" w:rsidRDefault="00A36F94" w:rsidP="00A36F94">
      <w:pPr>
        <w:autoSpaceDE w:val="0"/>
        <w:autoSpaceDN w:val="0"/>
        <w:adjustRightInd w:val="0"/>
        <w:spacing w:after="0" w:line="276" w:lineRule="auto"/>
        <w:jc w:val="both"/>
        <w:rPr>
          <w:rFonts w:ascii="Arial" w:hAnsi="Arial" w:cs="Arial"/>
        </w:rPr>
      </w:pPr>
    </w:p>
    <w:p w14:paraId="39E22023" w14:textId="77777777" w:rsidR="00A36F94" w:rsidRPr="00C418B2" w:rsidRDefault="00A36F94" w:rsidP="00A36F94">
      <w:pPr>
        <w:autoSpaceDE w:val="0"/>
        <w:autoSpaceDN w:val="0"/>
        <w:adjustRightInd w:val="0"/>
        <w:spacing w:after="0" w:line="276" w:lineRule="auto"/>
        <w:jc w:val="both"/>
        <w:rPr>
          <w:rFonts w:ascii="Arial" w:hAnsi="Arial" w:cs="Arial"/>
        </w:rPr>
      </w:pPr>
      <w:r w:rsidRPr="00C418B2">
        <w:rPr>
          <w:rFonts w:ascii="Arial" w:hAnsi="Arial" w:cs="Arial"/>
        </w:rPr>
        <w:t xml:space="preserve">En consecuencia, la presente contratación se justifica en la necesidad de dar cumplimiento a los fines esenciales del Estado, fortalecer la política pública de infancia, adolescencia y juventud en </w:t>
      </w:r>
      <w:r w:rsidRPr="00C418B2">
        <w:rPr>
          <w:rFonts w:ascii="Arial" w:hAnsi="Arial" w:cs="Arial"/>
        </w:rPr>
        <w:lastRenderedPageBreak/>
        <w:t>el municipio de San Jacinto, Bolívar, y contribuir de manera efectiva a la garantía de los derechos y al mejoramiento de la calidad de vida de los niños, niñas, adolescentes y jóvenes del territorio.</w:t>
      </w:r>
    </w:p>
    <w:p w14:paraId="32F7AFDD" w14:textId="77777777" w:rsidR="00A36F94" w:rsidRPr="00C418B2" w:rsidRDefault="00A36F94" w:rsidP="00A36F94">
      <w:pPr>
        <w:autoSpaceDE w:val="0"/>
        <w:autoSpaceDN w:val="0"/>
        <w:adjustRightInd w:val="0"/>
        <w:spacing w:after="0" w:line="276" w:lineRule="auto"/>
        <w:jc w:val="both"/>
        <w:rPr>
          <w:rFonts w:ascii="Arial" w:hAnsi="Arial" w:cs="Arial"/>
        </w:rPr>
      </w:pPr>
    </w:p>
    <w:p w14:paraId="63228042" w14:textId="77777777" w:rsidR="00A36F94" w:rsidRPr="00C418B2" w:rsidRDefault="00A36F94" w:rsidP="00A36F94">
      <w:pPr>
        <w:pStyle w:val="Default"/>
        <w:spacing w:line="276" w:lineRule="auto"/>
        <w:jc w:val="both"/>
        <w:rPr>
          <w:iCs/>
          <w:sz w:val="22"/>
          <w:szCs w:val="22"/>
        </w:rPr>
      </w:pPr>
      <w:r w:rsidRPr="00C418B2">
        <w:rPr>
          <w:iCs/>
          <w:sz w:val="22"/>
          <w:szCs w:val="22"/>
        </w:rPr>
        <w:t xml:space="preserve">Actualmente el Municipio no cuenta en su estructura administrativa el personal idóneo para que ejecute este tipo de actividades antes señalada; razón por la cual es necesario que el Municipio contrate con personal externo que nos apoye al </w:t>
      </w:r>
      <w:r w:rsidRPr="00C418B2">
        <w:rPr>
          <w:sz w:val="22"/>
          <w:szCs w:val="22"/>
        </w:rPr>
        <w:t>Fortalecimiento de la Protección Integral de los Derechos de Niños, Niñas, Adolescentes y Jóvenes en el Municipio de San Jacinto, Bolívar.</w:t>
      </w:r>
    </w:p>
    <w:p w14:paraId="403184FF" w14:textId="77777777" w:rsidR="00427306" w:rsidRDefault="00427306" w:rsidP="00427306">
      <w:pPr>
        <w:widowControl w:val="0"/>
        <w:autoSpaceDE w:val="0"/>
        <w:autoSpaceDN w:val="0"/>
        <w:adjustRightInd w:val="0"/>
        <w:spacing w:after="0" w:line="276" w:lineRule="auto"/>
        <w:ind w:right="82"/>
        <w:jc w:val="both"/>
        <w:rPr>
          <w:rFonts w:ascii="Arial" w:eastAsia="Tahoma" w:hAnsi="Arial" w:cs="Arial"/>
        </w:rPr>
      </w:pPr>
    </w:p>
    <w:p w14:paraId="15F4A126" w14:textId="5C874F6B" w:rsidR="00976B4B" w:rsidRPr="00A36F94" w:rsidRDefault="0001472F" w:rsidP="00A36F94">
      <w:pPr>
        <w:pStyle w:val="Prrafodelista"/>
        <w:numPr>
          <w:ilvl w:val="0"/>
          <w:numId w:val="22"/>
        </w:numPr>
        <w:autoSpaceDE w:val="0"/>
        <w:autoSpaceDN w:val="0"/>
        <w:adjustRightInd w:val="0"/>
        <w:spacing w:after="0" w:line="276" w:lineRule="auto"/>
        <w:rPr>
          <w:rFonts w:ascii="Arial" w:eastAsiaTheme="minorHAnsi" w:hAnsi="Arial" w:cs="Arial"/>
          <w:b/>
          <w:bCs/>
          <w:lang w:eastAsia="en-US"/>
        </w:rPr>
      </w:pPr>
      <w:r w:rsidRPr="00A36F94">
        <w:rPr>
          <w:rFonts w:ascii="Arial" w:eastAsiaTheme="minorHAnsi" w:hAnsi="Arial" w:cs="Arial"/>
          <w:b/>
          <w:bCs/>
          <w:lang w:eastAsia="en-US"/>
        </w:rPr>
        <w:t>A</w:t>
      </w:r>
      <w:r w:rsidR="00976B4B" w:rsidRPr="00A36F94">
        <w:rPr>
          <w:rFonts w:ascii="Arial" w:eastAsiaTheme="minorHAnsi" w:hAnsi="Arial" w:cs="Arial"/>
          <w:b/>
          <w:bCs/>
          <w:lang w:eastAsia="en-US"/>
        </w:rPr>
        <w:t>NALISIS DE LA DEMANDA</w:t>
      </w:r>
    </w:p>
    <w:p w14:paraId="64D6E01B" w14:textId="77777777" w:rsidR="00976B4B" w:rsidRPr="00E97EE3" w:rsidRDefault="00976B4B" w:rsidP="00E97EE3">
      <w:pPr>
        <w:adjustRightInd w:val="0"/>
        <w:spacing w:line="276" w:lineRule="auto"/>
        <w:rPr>
          <w:rFonts w:ascii="Arial" w:eastAsiaTheme="minorHAnsi" w:hAnsi="Arial" w:cs="Arial"/>
          <w:b/>
          <w:bCs/>
          <w:lang w:eastAsia="en-US"/>
        </w:rPr>
      </w:pPr>
    </w:p>
    <w:p w14:paraId="22605995" w14:textId="77777777" w:rsidR="00976B4B" w:rsidRPr="00E97EE3" w:rsidRDefault="00976B4B" w:rsidP="00E97EE3">
      <w:pPr>
        <w:adjustRightInd w:val="0"/>
        <w:spacing w:line="276" w:lineRule="auto"/>
        <w:rPr>
          <w:rFonts w:ascii="Arial" w:eastAsiaTheme="minorHAnsi" w:hAnsi="Arial" w:cs="Arial"/>
          <w:b/>
          <w:bCs/>
          <w:lang w:eastAsia="en-US"/>
        </w:rPr>
      </w:pPr>
      <w:r w:rsidRPr="00E97EE3">
        <w:rPr>
          <w:rFonts w:ascii="Arial" w:eastAsiaTheme="minorHAnsi" w:hAnsi="Arial" w:cs="Arial"/>
          <w:b/>
          <w:bCs/>
          <w:lang w:eastAsia="en-US"/>
        </w:rPr>
        <w:t>ADQUISICIONES PREVIAS DE LA ENTIDAD</w:t>
      </w:r>
    </w:p>
    <w:p w14:paraId="30DAD121" w14:textId="2A4D5D80" w:rsidR="00976B4B" w:rsidRPr="00E97EE3" w:rsidRDefault="00976B4B" w:rsidP="00E97EE3">
      <w:pPr>
        <w:spacing w:line="276" w:lineRule="auto"/>
        <w:jc w:val="both"/>
        <w:rPr>
          <w:rFonts w:ascii="Arial" w:hAnsi="Arial" w:cs="Arial"/>
        </w:rPr>
      </w:pPr>
      <w:r w:rsidRPr="00E97EE3">
        <w:rPr>
          <w:rFonts w:ascii="Arial" w:hAnsi="Arial" w:cs="Arial"/>
        </w:rPr>
        <w:t xml:space="preserve">Para el análisis del sector se partió de la búsqueda en el SECOP </w:t>
      </w:r>
      <w:r w:rsidR="0001472F">
        <w:rPr>
          <w:rFonts w:ascii="Arial" w:hAnsi="Arial" w:cs="Arial"/>
        </w:rPr>
        <w:t xml:space="preserve">II </w:t>
      </w:r>
      <w:r w:rsidRPr="00E97EE3">
        <w:rPr>
          <w:rFonts w:ascii="Arial" w:hAnsi="Arial" w:cs="Arial"/>
        </w:rPr>
        <w:t>de los procesos adelantados por la entidad en vigencias anteriores relacionados con el objeto a contratar:</w:t>
      </w:r>
    </w:p>
    <w:p w14:paraId="2ADA150D" w14:textId="0271FAF2" w:rsidR="007F4F64" w:rsidRPr="00E97EE3" w:rsidRDefault="0001472F" w:rsidP="00E97EE3">
      <w:pPr>
        <w:spacing w:line="276" w:lineRule="auto"/>
        <w:jc w:val="both"/>
        <w:rPr>
          <w:rFonts w:ascii="Arial" w:eastAsia="Tahoma" w:hAnsi="Arial" w:cs="Arial"/>
        </w:rPr>
      </w:pPr>
      <w:bookmarkStart w:id="2" w:name="_heading=h.gjdgxs" w:colFirst="0" w:colLast="0"/>
      <w:bookmarkEnd w:id="2"/>
      <w:r w:rsidRPr="0001472F">
        <w:rPr>
          <w:rFonts w:ascii="Arial" w:eastAsia="Tahoma" w:hAnsi="Arial" w:cs="Arial"/>
          <w:noProof/>
        </w:rPr>
        <w:drawing>
          <wp:inline distT="0" distB="0" distL="0" distR="0" wp14:anchorId="69B4B874" wp14:editId="4DD4F3FA">
            <wp:extent cx="5943600" cy="2601595"/>
            <wp:effectExtent l="0" t="0" r="0" b="8255"/>
            <wp:docPr id="14166408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40827" name=""/>
                    <pic:cNvPicPr/>
                  </pic:nvPicPr>
                  <pic:blipFill>
                    <a:blip r:embed="rId7"/>
                    <a:stretch>
                      <a:fillRect/>
                    </a:stretch>
                  </pic:blipFill>
                  <pic:spPr>
                    <a:xfrm>
                      <a:off x="0" y="0"/>
                      <a:ext cx="5943600" cy="2601595"/>
                    </a:xfrm>
                    <a:prstGeom prst="rect">
                      <a:avLst/>
                    </a:prstGeom>
                  </pic:spPr>
                </pic:pic>
              </a:graphicData>
            </a:graphic>
          </wp:inline>
        </w:drawing>
      </w:r>
    </w:p>
    <w:p w14:paraId="326962A2" w14:textId="7BCA011E" w:rsidR="00E97EE3" w:rsidRPr="00E97EE3" w:rsidRDefault="0001472F" w:rsidP="00E97EE3">
      <w:pPr>
        <w:spacing w:line="276" w:lineRule="auto"/>
        <w:jc w:val="both"/>
        <w:rPr>
          <w:rFonts w:ascii="Arial" w:eastAsia="Tahoma" w:hAnsi="Arial" w:cs="Arial"/>
        </w:rPr>
      </w:pPr>
      <w:r w:rsidRPr="0001472F">
        <w:rPr>
          <w:rFonts w:ascii="Arial" w:eastAsia="Tahoma" w:hAnsi="Arial" w:cs="Arial"/>
          <w:noProof/>
        </w:rPr>
        <w:drawing>
          <wp:inline distT="0" distB="0" distL="0" distR="0" wp14:anchorId="0F99E2EC" wp14:editId="49B7484D">
            <wp:extent cx="5943600" cy="2594610"/>
            <wp:effectExtent l="0" t="0" r="0" b="0"/>
            <wp:docPr id="637875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7592" name=""/>
                    <pic:cNvPicPr/>
                  </pic:nvPicPr>
                  <pic:blipFill>
                    <a:blip r:embed="rId8"/>
                    <a:stretch>
                      <a:fillRect/>
                    </a:stretch>
                  </pic:blipFill>
                  <pic:spPr>
                    <a:xfrm>
                      <a:off x="0" y="0"/>
                      <a:ext cx="5943600" cy="2594610"/>
                    </a:xfrm>
                    <a:prstGeom prst="rect">
                      <a:avLst/>
                    </a:prstGeom>
                  </pic:spPr>
                </pic:pic>
              </a:graphicData>
            </a:graphic>
          </wp:inline>
        </w:drawing>
      </w:r>
    </w:p>
    <w:p w14:paraId="0E47F35A" w14:textId="77777777" w:rsidR="00A36F94" w:rsidRDefault="004A5328" w:rsidP="00A36F94">
      <w:pPr>
        <w:spacing w:line="276" w:lineRule="auto"/>
        <w:jc w:val="both"/>
        <w:rPr>
          <w:rFonts w:ascii="Arial" w:hAnsi="Arial" w:cs="Arial"/>
          <w:b/>
          <w:bCs/>
        </w:rPr>
      </w:pPr>
      <w:r w:rsidRPr="004A5564">
        <w:rPr>
          <w:rFonts w:ascii="Arial" w:eastAsia="Tahoma" w:hAnsi="Arial" w:cs="Arial"/>
        </w:rPr>
        <w:t>Con base en lo antes mencionado y en las implicaciones que tiene la toma de decisiones en la entidad que involucran recursos públicos del orden de la ALCALDÍA MUNICIPAL mental, y como quiera que la necesidad es cierta y evidente, se advierte que resulta necesario</w:t>
      </w:r>
      <w:r w:rsidRPr="004A5564">
        <w:rPr>
          <w:rFonts w:ascii="Arial" w:eastAsia="Tahoma" w:hAnsi="Arial" w:cs="Arial"/>
          <w:bCs/>
        </w:rPr>
        <w:t xml:space="preserve"> </w:t>
      </w:r>
      <w:r w:rsidR="00A36F94" w:rsidRPr="00C418B2">
        <w:rPr>
          <w:rFonts w:ascii="Arial" w:hAnsi="Arial" w:cs="Arial"/>
          <w:b/>
          <w:bCs/>
        </w:rPr>
        <w:t>PRESTACIÓN DE SERVICIOS PARA EL FORTALECIMIENTO DE LA PROTECCIÓN INTEGRAL DE LOS DERECHOS DE LOS NIÑOS, NIÑAS, ADOLESCENTES Y JÓVENES ORIENTADOS A LA CONSTRUCCIÓN DE ENTORNOS PROTECTORES, PARTICIPATIVOS Y DE BIENESTAR EN EL MUNICIPIO DE SAN JACINTO, BOLÍVAR.</w:t>
      </w:r>
    </w:p>
    <w:p w14:paraId="6B9E74B9" w14:textId="794F7FC9" w:rsidR="004A5328" w:rsidRPr="004A5564" w:rsidRDefault="004A5328" w:rsidP="00E97EE3">
      <w:pPr>
        <w:spacing w:line="276" w:lineRule="auto"/>
        <w:jc w:val="both"/>
        <w:rPr>
          <w:rFonts w:ascii="Arial" w:eastAsia="Tahoma" w:hAnsi="Arial" w:cs="Arial"/>
        </w:rPr>
      </w:pPr>
      <w:r w:rsidRPr="004A5564">
        <w:rPr>
          <w:rFonts w:ascii="Arial" w:eastAsia="Tahoma" w:hAnsi="Arial" w:cs="Arial"/>
        </w:rPr>
        <w:lastRenderedPageBreak/>
        <w:t>El objeto del contrato se encuentra codificado en la clasificación UNSPSC de la siguiente manera:</w:t>
      </w:r>
    </w:p>
    <w:tbl>
      <w:tblPr>
        <w:tblStyle w:val="Tablaconcuadrcula"/>
        <w:tblW w:w="0" w:type="auto"/>
        <w:jc w:val="center"/>
        <w:tblLook w:val="04A0" w:firstRow="1" w:lastRow="0" w:firstColumn="1" w:lastColumn="0" w:noHBand="0" w:noVBand="1"/>
      </w:tblPr>
      <w:tblGrid>
        <w:gridCol w:w="1526"/>
        <w:gridCol w:w="1134"/>
        <w:gridCol w:w="1559"/>
        <w:gridCol w:w="1985"/>
        <w:gridCol w:w="2776"/>
      </w:tblGrid>
      <w:tr w:rsidR="004A5564" w:rsidRPr="00ED5903" w14:paraId="51E7C34C" w14:textId="77777777" w:rsidTr="00C50E62">
        <w:trPr>
          <w:jc w:val="center"/>
        </w:trPr>
        <w:tc>
          <w:tcPr>
            <w:tcW w:w="1526" w:type="dxa"/>
          </w:tcPr>
          <w:p w14:paraId="4E68ABAD"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SEGMENTO</w:t>
            </w:r>
          </w:p>
        </w:tc>
        <w:tc>
          <w:tcPr>
            <w:tcW w:w="1134" w:type="dxa"/>
          </w:tcPr>
          <w:p w14:paraId="208EDA4D"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FAMILIA</w:t>
            </w:r>
          </w:p>
        </w:tc>
        <w:tc>
          <w:tcPr>
            <w:tcW w:w="1559" w:type="dxa"/>
          </w:tcPr>
          <w:p w14:paraId="23597645"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CLASE</w:t>
            </w:r>
          </w:p>
        </w:tc>
        <w:tc>
          <w:tcPr>
            <w:tcW w:w="1985" w:type="dxa"/>
          </w:tcPr>
          <w:p w14:paraId="3A1AF4AE"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PRODUCTO</w:t>
            </w:r>
          </w:p>
        </w:tc>
        <w:tc>
          <w:tcPr>
            <w:tcW w:w="2776" w:type="dxa"/>
          </w:tcPr>
          <w:p w14:paraId="37299938"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DESCRIPCIÓN DEL PRODUCTO</w:t>
            </w:r>
          </w:p>
        </w:tc>
      </w:tr>
      <w:tr w:rsidR="004A5564" w:rsidRPr="00ED5903" w14:paraId="4548B717" w14:textId="77777777" w:rsidTr="00C50E62">
        <w:trPr>
          <w:jc w:val="center"/>
        </w:trPr>
        <w:tc>
          <w:tcPr>
            <w:tcW w:w="1526" w:type="dxa"/>
          </w:tcPr>
          <w:p w14:paraId="433C1F2A"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80</w:t>
            </w:r>
          </w:p>
        </w:tc>
        <w:tc>
          <w:tcPr>
            <w:tcW w:w="1134" w:type="dxa"/>
          </w:tcPr>
          <w:p w14:paraId="74845EF4"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8011</w:t>
            </w:r>
          </w:p>
        </w:tc>
        <w:tc>
          <w:tcPr>
            <w:tcW w:w="1559" w:type="dxa"/>
          </w:tcPr>
          <w:p w14:paraId="153BA889"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801116</w:t>
            </w:r>
          </w:p>
        </w:tc>
        <w:tc>
          <w:tcPr>
            <w:tcW w:w="1985" w:type="dxa"/>
          </w:tcPr>
          <w:p w14:paraId="2CBD46D8"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80111620</w:t>
            </w:r>
          </w:p>
        </w:tc>
        <w:tc>
          <w:tcPr>
            <w:tcW w:w="2776" w:type="dxa"/>
          </w:tcPr>
          <w:p w14:paraId="74539359"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Servicios temporales de recursos humanos</w:t>
            </w:r>
          </w:p>
        </w:tc>
      </w:tr>
    </w:tbl>
    <w:p w14:paraId="521017AA" w14:textId="77777777" w:rsidR="004A5564" w:rsidRPr="00E97EE3" w:rsidRDefault="004A5564" w:rsidP="00E97EE3">
      <w:pPr>
        <w:spacing w:line="276" w:lineRule="auto"/>
        <w:ind w:right="309"/>
        <w:jc w:val="both"/>
        <w:rPr>
          <w:rFonts w:ascii="Arial" w:eastAsia="Tahoma" w:hAnsi="Arial" w:cs="Arial"/>
        </w:rPr>
      </w:pPr>
    </w:p>
    <w:p w14:paraId="3D6A0E2E" w14:textId="77777777" w:rsidR="00B04F2E" w:rsidRPr="00A877D2" w:rsidRDefault="00B04F2E" w:rsidP="00B04F2E">
      <w:pPr>
        <w:numPr>
          <w:ilvl w:val="0"/>
          <w:numId w:val="10"/>
        </w:numPr>
        <w:autoSpaceDE w:val="0"/>
        <w:autoSpaceDN w:val="0"/>
        <w:adjustRightInd w:val="0"/>
        <w:spacing w:after="0" w:line="276" w:lineRule="auto"/>
        <w:jc w:val="both"/>
        <w:rPr>
          <w:rFonts w:ascii="Arial" w:hAnsi="Arial" w:cs="Arial"/>
          <w:b/>
          <w:iCs/>
        </w:rPr>
      </w:pPr>
      <w:r w:rsidRPr="00A877D2">
        <w:rPr>
          <w:rFonts w:ascii="Arial" w:hAnsi="Arial" w:cs="Arial"/>
          <w:b/>
          <w:iCs/>
        </w:rPr>
        <w:t>DEFINICION DE RIESGO:</w:t>
      </w:r>
    </w:p>
    <w:p w14:paraId="28AED47A"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El Municipio de San Jacinto entiende por riesgo cualquier posibilidad de afectación en la prestación del servicio que limite, retrase o suspenda la ejecución del contrato, que atente contra el equilibrio económico del contrato para las dos partes, o que perjudique en cualquier forma la ecuación contractual.</w:t>
      </w:r>
    </w:p>
    <w:p w14:paraId="561A1706" w14:textId="77777777" w:rsidR="00B04F2E" w:rsidRPr="00A877D2" w:rsidRDefault="00B04F2E" w:rsidP="00B04F2E">
      <w:pPr>
        <w:autoSpaceDE w:val="0"/>
        <w:autoSpaceDN w:val="0"/>
        <w:adjustRightInd w:val="0"/>
        <w:spacing w:line="276" w:lineRule="auto"/>
        <w:jc w:val="both"/>
        <w:rPr>
          <w:rFonts w:ascii="Arial" w:hAnsi="Arial" w:cs="Arial"/>
          <w:iCs/>
        </w:rPr>
      </w:pPr>
      <w:r w:rsidRPr="00A877D2">
        <w:rPr>
          <w:rFonts w:ascii="Arial" w:hAnsi="Arial" w:cs="Arial"/>
          <w:iCs/>
          <w:spacing w:val="-2"/>
          <w:w w:val="101"/>
        </w:rPr>
        <w:t>El suceso que prevé el riesgo deberá tener relación directa con la ejecución y valor del contrato, para que sea asumido</w:t>
      </w:r>
      <w:r w:rsidRPr="00A877D2">
        <w:rPr>
          <w:rFonts w:ascii="Arial" w:hAnsi="Arial" w:cs="Arial"/>
          <w:iCs/>
        </w:rPr>
        <w:t>.</w:t>
      </w:r>
    </w:p>
    <w:p w14:paraId="41F21EB1" w14:textId="77777777" w:rsidR="00B04F2E" w:rsidRPr="00A877D2" w:rsidRDefault="00B04F2E" w:rsidP="00B04F2E">
      <w:pPr>
        <w:pStyle w:val="Prrafodelista"/>
        <w:numPr>
          <w:ilvl w:val="0"/>
          <w:numId w:val="10"/>
        </w:numPr>
        <w:spacing w:after="0" w:line="276" w:lineRule="auto"/>
        <w:jc w:val="both"/>
        <w:rPr>
          <w:rFonts w:ascii="Arial" w:hAnsi="Arial" w:cs="Arial"/>
          <w:b/>
          <w:iCs/>
        </w:rPr>
      </w:pPr>
      <w:r w:rsidRPr="00A877D2">
        <w:rPr>
          <w:rFonts w:ascii="Arial" w:hAnsi="Arial" w:cs="Arial"/>
          <w:b/>
          <w:iCs/>
        </w:rPr>
        <w:t>CLASIFICACION DE LOS RIESGOS</w:t>
      </w:r>
    </w:p>
    <w:p w14:paraId="00903A28" w14:textId="77777777" w:rsidR="00B04F2E" w:rsidRPr="00A877D2" w:rsidRDefault="00B04F2E" w:rsidP="00B04F2E">
      <w:pPr>
        <w:spacing w:line="276" w:lineRule="auto"/>
        <w:jc w:val="both"/>
        <w:rPr>
          <w:rFonts w:ascii="Arial" w:hAnsi="Arial" w:cs="Arial"/>
          <w:iCs/>
        </w:rPr>
      </w:pPr>
    </w:p>
    <w:p w14:paraId="3813B971" w14:textId="77777777" w:rsidR="00B04F2E" w:rsidRPr="00A877D2" w:rsidRDefault="00B04F2E" w:rsidP="00B04F2E">
      <w:pPr>
        <w:spacing w:line="276" w:lineRule="auto"/>
        <w:jc w:val="both"/>
        <w:rPr>
          <w:rFonts w:ascii="Arial" w:hAnsi="Arial" w:cs="Arial"/>
          <w:iCs/>
          <w:spacing w:val="-2"/>
          <w:w w:val="101"/>
        </w:rPr>
      </w:pPr>
      <w:r w:rsidRPr="00A877D2">
        <w:rPr>
          <w:rFonts w:ascii="Arial" w:hAnsi="Arial" w:cs="Arial"/>
          <w:iCs/>
          <w:spacing w:val="-2"/>
          <w:w w:val="101"/>
        </w:rPr>
        <w:t>Existen diversas formas de clasificar los riesgos:</w:t>
      </w:r>
    </w:p>
    <w:p w14:paraId="67BE04A2"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su procedencia</w:t>
      </w:r>
    </w:p>
    <w:p w14:paraId="7FC4A552"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el momento en que se pueda producir</w:t>
      </w:r>
    </w:p>
    <w:p w14:paraId="36073F43"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las causas desde las cuales se produce</w:t>
      </w:r>
    </w:p>
    <w:p w14:paraId="4F12CC93"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las Áreas que llegue a afectar</w:t>
      </w:r>
    </w:p>
    <w:p w14:paraId="1F3EF813" w14:textId="77777777" w:rsidR="00B04F2E" w:rsidRDefault="00B04F2E" w:rsidP="00B04F2E">
      <w:pPr>
        <w:spacing w:line="276" w:lineRule="auto"/>
        <w:jc w:val="both"/>
        <w:rPr>
          <w:rFonts w:ascii="Arial" w:hAnsi="Arial" w:cs="Arial"/>
          <w:iCs/>
          <w:spacing w:val="-2"/>
          <w:w w:val="101"/>
        </w:rPr>
      </w:pPr>
      <w:r w:rsidRPr="00A877D2">
        <w:rPr>
          <w:rFonts w:ascii="Arial" w:hAnsi="Arial" w:cs="Arial"/>
          <w:iCs/>
          <w:spacing w:val="-2"/>
          <w:w w:val="101"/>
        </w:rPr>
        <w:t>Para el municipio los riesgos del futuro proceso de contratación se clasificarán según su procedencia, sin tener en cuenta las causas y las áreas que llegue a afectar toda vez que tal daño será siempre dentro de la ejecución del contrato.</w:t>
      </w:r>
    </w:p>
    <w:p w14:paraId="6A197EE6" w14:textId="77777777" w:rsidR="004A5564" w:rsidRDefault="004A5564" w:rsidP="00B04F2E">
      <w:pPr>
        <w:spacing w:line="276" w:lineRule="auto"/>
        <w:jc w:val="both"/>
        <w:rPr>
          <w:rFonts w:ascii="Arial" w:hAnsi="Arial" w:cs="Arial"/>
          <w:iCs/>
          <w:spacing w:val="-2"/>
          <w:w w:val="101"/>
        </w:rPr>
      </w:pPr>
    </w:p>
    <w:p w14:paraId="2747823B" w14:textId="77777777" w:rsidR="004A5564" w:rsidRPr="00A877D2" w:rsidRDefault="004A5564" w:rsidP="00B04F2E">
      <w:pPr>
        <w:spacing w:line="276" w:lineRule="auto"/>
        <w:jc w:val="both"/>
        <w:rPr>
          <w:rFonts w:ascii="Arial" w:hAnsi="Arial" w:cs="Arial"/>
          <w:iCs/>
          <w:spacing w:val="-2"/>
          <w:w w:val="101"/>
        </w:rPr>
      </w:pPr>
    </w:p>
    <w:p w14:paraId="4DBFAE1E" w14:textId="77777777" w:rsidR="00B04F2E" w:rsidRPr="00A877D2" w:rsidRDefault="00B04F2E" w:rsidP="00B04F2E">
      <w:pPr>
        <w:pStyle w:val="Prrafodelista"/>
        <w:numPr>
          <w:ilvl w:val="0"/>
          <w:numId w:val="10"/>
        </w:numPr>
        <w:spacing w:after="0" w:line="276" w:lineRule="auto"/>
        <w:jc w:val="both"/>
        <w:rPr>
          <w:rFonts w:ascii="Arial" w:hAnsi="Arial" w:cs="Arial"/>
          <w:b/>
          <w:iCs/>
        </w:rPr>
      </w:pPr>
      <w:r w:rsidRPr="00A877D2">
        <w:rPr>
          <w:rFonts w:ascii="Arial" w:hAnsi="Arial" w:cs="Arial"/>
          <w:b/>
          <w:iCs/>
        </w:rPr>
        <w:t>CLASIFICACION DEL RIESGO POR SU PROCEDENCIA</w:t>
      </w:r>
    </w:p>
    <w:p w14:paraId="4D879E19" w14:textId="77777777" w:rsidR="00B04F2E" w:rsidRDefault="00B04F2E" w:rsidP="00B04F2E">
      <w:pPr>
        <w:spacing w:line="276" w:lineRule="auto"/>
        <w:jc w:val="both"/>
        <w:rPr>
          <w:rFonts w:ascii="Arial" w:hAnsi="Arial" w:cs="Arial"/>
          <w:iCs/>
          <w:spacing w:val="-2"/>
          <w:w w:val="101"/>
        </w:rPr>
      </w:pPr>
    </w:p>
    <w:p w14:paraId="66C8FFD1" w14:textId="77777777" w:rsidR="00B04F2E" w:rsidRPr="00A877D2" w:rsidRDefault="00B04F2E" w:rsidP="00B04F2E">
      <w:pPr>
        <w:spacing w:line="276" w:lineRule="auto"/>
        <w:jc w:val="both"/>
        <w:rPr>
          <w:rFonts w:ascii="Arial" w:hAnsi="Arial" w:cs="Arial"/>
          <w:iCs/>
          <w:spacing w:val="-2"/>
          <w:w w:val="101"/>
        </w:rPr>
      </w:pPr>
      <w:r w:rsidRPr="00A877D2">
        <w:rPr>
          <w:rFonts w:ascii="Arial" w:hAnsi="Arial" w:cs="Arial"/>
          <w:iCs/>
          <w:spacing w:val="-2"/>
          <w:w w:val="101"/>
        </w:rPr>
        <w:t>Se clasifican y tipifican los riesgos por su procedencia así:</w:t>
      </w:r>
    </w:p>
    <w:p w14:paraId="480AF3DB" w14:textId="77777777" w:rsidR="00B04F2E" w:rsidRPr="00A877D2"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A877D2">
        <w:rPr>
          <w:rFonts w:ascii="Arial" w:hAnsi="Arial" w:cs="Arial"/>
          <w:iCs/>
          <w:spacing w:val="-2"/>
          <w:w w:val="101"/>
        </w:rPr>
        <w:t>Riesgo de carácter jurídico.</w:t>
      </w:r>
    </w:p>
    <w:p w14:paraId="6739E6DB" w14:textId="77777777" w:rsidR="00B04F2E" w:rsidRPr="00A877D2"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A877D2">
        <w:rPr>
          <w:rFonts w:ascii="Arial" w:hAnsi="Arial" w:cs="Arial"/>
          <w:iCs/>
          <w:spacing w:val="-2"/>
          <w:w w:val="101"/>
        </w:rPr>
        <w:t>Riesgo de carácter financiero.</w:t>
      </w:r>
    </w:p>
    <w:p w14:paraId="335A58A5" w14:textId="77777777" w:rsidR="00B04F2E" w:rsidRPr="00A877D2" w:rsidRDefault="00B04F2E" w:rsidP="00B04F2E">
      <w:pPr>
        <w:autoSpaceDE w:val="0"/>
        <w:autoSpaceDN w:val="0"/>
        <w:adjustRightInd w:val="0"/>
        <w:spacing w:line="276" w:lineRule="auto"/>
        <w:jc w:val="both"/>
        <w:rPr>
          <w:rFonts w:ascii="Arial" w:hAnsi="Arial" w:cs="Arial"/>
          <w:iCs/>
        </w:rPr>
      </w:pPr>
    </w:p>
    <w:p w14:paraId="2C0779CD" w14:textId="37B3FEA2" w:rsidR="00B04F2E" w:rsidRPr="0094452D" w:rsidRDefault="00B04F2E" w:rsidP="00A36F94">
      <w:pPr>
        <w:pStyle w:val="Prrafodelista"/>
        <w:numPr>
          <w:ilvl w:val="1"/>
          <w:numId w:val="22"/>
        </w:numPr>
        <w:autoSpaceDE w:val="0"/>
        <w:autoSpaceDN w:val="0"/>
        <w:adjustRightInd w:val="0"/>
        <w:spacing w:after="200" w:line="276" w:lineRule="auto"/>
        <w:jc w:val="both"/>
        <w:rPr>
          <w:rFonts w:ascii="Arial" w:hAnsi="Arial" w:cs="Arial"/>
          <w:iCs/>
        </w:rPr>
      </w:pPr>
      <w:r w:rsidRPr="0094452D">
        <w:rPr>
          <w:rFonts w:ascii="Arial" w:hAnsi="Arial" w:cs="Arial"/>
          <w:b/>
          <w:iCs/>
        </w:rPr>
        <w:t>RIESGO DE CARÁCTER JURIDICO.</w:t>
      </w:r>
    </w:p>
    <w:p w14:paraId="35D8685E" w14:textId="77777777" w:rsidR="00B04F2E" w:rsidRPr="00A877D2" w:rsidRDefault="00B04F2E" w:rsidP="00B04F2E">
      <w:pPr>
        <w:autoSpaceDE w:val="0"/>
        <w:autoSpaceDN w:val="0"/>
        <w:adjustRightInd w:val="0"/>
        <w:spacing w:line="276" w:lineRule="auto"/>
        <w:jc w:val="both"/>
        <w:rPr>
          <w:rFonts w:ascii="Arial" w:hAnsi="Arial" w:cs="Arial"/>
          <w:iCs/>
          <w:spacing w:val="3"/>
          <w:w w:val="101"/>
        </w:rPr>
      </w:pPr>
      <w:r w:rsidRPr="00A877D2">
        <w:rPr>
          <w:rFonts w:ascii="Arial" w:hAnsi="Arial" w:cs="Arial"/>
          <w:iCs/>
          <w:spacing w:val="-2"/>
          <w:w w:val="101"/>
        </w:rPr>
        <w:t>Las condiciones jurídicas del contrato se encuentran regidas especialmente por el régimen laboral, toda vez que el servicio se prestará básicamente con recurso human</w:t>
      </w:r>
      <w:r w:rsidRPr="00A877D2">
        <w:rPr>
          <w:rFonts w:ascii="Arial" w:hAnsi="Arial" w:cs="Arial"/>
          <w:iCs/>
          <w:spacing w:val="3"/>
          <w:w w:val="101"/>
        </w:rPr>
        <w:t>o.</w:t>
      </w:r>
    </w:p>
    <w:p w14:paraId="4A28AF25" w14:textId="6925356A" w:rsidR="00B04F2E" w:rsidRPr="0094452D" w:rsidRDefault="00B04F2E" w:rsidP="00A36F94">
      <w:pPr>
        <w:pStyle w:val="Prrafodelista"/>
        <w:numPr>
          <w:ilvl w:val="1"/>
          <w:numId w:val="22"/>
        </w:numPr>
        <w:autoSpaceDE w:val="0"/>
        <w:autoSpaceDN w:val="0"/>
        <w:adjustRightInd w:val="0"/>
        <w:spacing w:after="200" w:line="276" w:lineRule="auto"/>
        <w:jc w:val="both"/>
        <w:rPr>
          <w:rFonts w:ascii="Arial" w:hAnsi="Arial" w:cs="Arial"/>
          <w:b/>
          <w:iCs/>
        </w:rPr>
      </w:pPr>
      <w:r w:rsidRPr="0094452D">
        <w:rPr>
          <w:rFonts w:ascii="Arial" w:hAnsi="Arial" w:cs="Arial"/>
          <w:b/>
          <w:iCs/>
        </w:rPr>
        <w:t>RIESGO POR CAMBIOS EN EL REGIMEN LABORAL COLOMBIANO.</w:t>
      </w:r>
    </w:p>
    <w:p w14:paraId="15D405D8" w14:textId="77777777" w:rsidR="00B04F2E" w:rsidRPr="00A877D2" w:rsidRDefault="00B04F2E" w:rsidP="00B04F2E">
      <w:pPr>
        <w:autoSpaceDE w:val="0"/>
        <w:autoSpaceDN w:val="0"/>
        <w:adjustRightInd w:val="0"/>
        <w:spacing w:line="276" w:lineRule="auto"/>
        <w:jc w:val="both"/>
        <w:rPr>
          <w:rFonts w:ascii="Arial" w:hAnsi="Arial" w:cs="Arial"/>
          <w:b/>
          <w:iCs/>
        </w:rPr>
      </w:pPr>
      <w:r w:rsidRPr="00A877D2">
        <w:rPr>
          <w:rFonts w:ascii="Arial" w:hAnsi="Arial" w:cs="Arial"/>
          <w:b/>
          <w:iCs/>
        </w:rPr>
        <w:t>Riesgo por cambios en el régimen laboral colombiano que afecte el contrato y las condiciones pactadas en él.</w:t>
      </w:r>
    </w:p>
    <w:p w14:paraId="01F0FC6D"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 xml:space="preserve">Tipificación: </w:t>
      </w:r>
      <w:r w:rsidRPr="00A877D2">
        <w:rPr>
          <w:rFonts w:ascii="Arial" w:hAnsi="Arial" w:cs="Arial"/>
          <w:iCs/>
          <w:spacing w:val="-2"/>
          <w:w w:val="101"/>
        </w:rPr>
        <w:t xml:space="preserve">Toda norma de obligatorio cumplimiento para el Municipio que modifiquen las condiciones pactadas en el contrato y que afecte las condiciones laborales inicialmente tenidas en cuenta por el Contratista al momento de proyectar su propuesta, será introducida al contrato, sin que medie negociación alguna con el contratista. Ejemplo de este riesgo es en el evento que </w:t>
      </w:r>
      <w:r w:rsidRPr="00A877D2">
        <w:rPr>
          <w:rFonts w:ascii="Arial" w:hAnsi="Arial" w:cs="Arial"/>
          <w:iCs/>
          <w:spacing w:val="-2"/>
          <w:w w:val="101"/>
        </w:rPr>
        <w:lastRenderedPageBreak/>
        <w:t>mediante una norma se aumenten las cuantías que deba pagar el contratista por concepto de régimen de salud, pensiones, RL, entre otras.</w:t>
      </w:r>
    </w:p>
    <w:p w14:paraId="1510839E" w14:textId="77777777" w:rsidR="00B04F2E" w:rsidRPr="00A877D2" w:rsidRDefault="00B04F2E" w:rsidP="00B04F2E">
      <w:pPr>
        <w:autoSpaceDE w:val="0"/>
        <w:autoSpaceDN w:val="0"/>
        <w:adjustRightInd w:val="0"/>
        <w:spacing w:line="276" w:lineRule="auto"/>
        <w:jc w:val="both"/>
        <w:rPr>
          <w:rFonts w:ascii="Arial" w:hAnsi="Arial" w:cs="Arial"/>
          <w:iCs/>
        </w:rPr>
      </w:pPr>
      <w:r w:rsidRPr="00A877D2">
        <w:rPr>
          <w:rFonts w:ascii="Arial" w:hAnsi="Arial" w:cs="Arial"/>
          <w:b/>
          <w:iCs/>
        </w:rPr>
        <w:t>Asignación</w:t>
      </w:r>
      <w:r w:rsidRPr="00A877D2">
        <w:rPr>
          <w:rFonts w:ascii="Arial" w:hAnsi="Arial" w:cs="Arial"/>
          <w:iCs/>
          <w:spacing w:val="-2"/>
          <w:w w:val="101"/>
        </w:rPr>
        <w:t>: Este riesgo y sus consecuencias serán asumidos en su totalidad por el contratista</w:t>
      </w:r>
      <w:r w:rsidRPr="00A877D2">
        <w:rPr>
          <w:rFonts w:ascii="Arial" w:hAnsi="Arial" w:cs="Arial"/>
          <w:iCs/>
        </w:rPr>
        <w:t xml:space="preserve">. </w:t>
      </w:r>
    </w:p>
    <w:p w14:paraId="359609B6"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En el caso de que afecte el equilibrio económico del contrato, serán objeto de modificación de las condiciones económicas siempre y cuando la afectación supere el porcentaje de imprevistos incluidos dentro del valor de la oferta económica. La carga de la prueba le corresponde, en este caso en particular, al CONTRATISTA, por ser la parte afectada.</w:t>
      </w:r>
    </w:p>
    <w:p w14:paraId="57FF5645" w14:textId="77777777" w:rsidR="00B04F2E"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Mitigación del Riesgo</w:t>
      </w:r>
      <w:r w:rsidRPr="00A877D2">
        <w:rPr>
          <w:rFonts w:ascii="Arial" w:hAnsi="Arial" w:cs="Arial"/>
          <w:b/>
          <w:iCs/>
          <w:spacing w:val="3"/>
          <w:w w:val="101"/>
        </w:rPr>
        <w:t>:</w:t>
      </w:r>
      <w:r w:rsidRPr="00A877D2">
        <w:rPr>
          <w:rFonts w:ascii="Arial" w:hAnsi="Arial" w:cs="Arial"/>
          <w:iCs/>
          <w:spacing w:val="3"/>
          <w:w w:val="101"/>
        </w:rPr>
        <w:t xml:space="preserve"> </w:t>
      </w:r>
      <w:r w:rsidRPr="00A877D2">
        <w:rPr>
          <w:rFonts w:ascii="Arial" w:hAnsi="Arial" w:cs="Arial"/>
          <w:iCs/>
          <w:spacing w:val="-2"/>
          <w:w w:val="101"/>
        </w:rPr>
        <w:t>Se llevará a cabo una permanente vigilancia de los cambios normativos que afecten la ejecución de los contratos del MUNICIPIO y se aplicarán las medidas obligatorias a que haya lugar. Para el análisis del valor del desequilibrio económico, de ser necesario, la Entidad podrá contratar los peritos que considere necesarios y que informen con exactitud el valor real de tal desequilibrio.</w:t>
      </w:r>
    </w:p>
    <w:p w14:paraId="408B34B8" w14:textId="7B1BCDCE" w:rsidR="00B04F2E" w:rsidRPr="0094452D" w:rsidRDefault="00B04F2E" w:rsidP="00A36F94">
      <w:pPr>
        <w:pStyle w:val="Prrafodelista"/>
        <w:numPr>
          <w:ilvl w:val="1"/>
          <w:numId w:val="22"/>
        </w:numPr>
        <w:autoSpaceDE w:val="0"/>
        <w:autoSpaceDN w:val="0"/>
        <w:adjustRightInd w:val="0"/>
        <w:spacing w:after="200" w:line="276" w:lineRule="auto"/>
        <w:jc w:val="both"/>
        <w:rPr>
          <w:rFonts w:ascii="Arial" w:hAnsi="Arial" w:cs="Arial"/>
          <w:b/>
          <w:iCs/>
        </w:rPr>
      </w:pPr>
      <w:r w:rsidRPr="0094452D">
        <w:rPr>
          <w:rFonts w:ascii="Arial" w:hAnsi="Arial" w:cs="Arial"/>
          <w:b/>
          <w:iCs/>
        </w:rPr>
        <w:t>RIESGO DE CARÁCTER FINANCIERO.</w:t>
      </w:r>
    </w:p>
    <w:p w14:paraId="37724944"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Son aquellos que se producen por modificaciones del régimen de impuestos que afecten el equilibrio contractual.</w:t>
      </w:r>
    </w:p>
    <w:p w14:paraId="3671880D" w14:textId="502A1F13" w:rsidR="00B04F2E" w:rsidRPr="0094452D" w:rsidRDefault="00B04F2E" w:rsidP="00A36F94">
      <w:pPr>
        <w:pStyle w:val="Prrafodelista"/>
        <w:numPr>
          <w:ilvl w:val="1"/>
          <w:numId w:val="22"/>
        </w:numPr>
        <w:autoSpaceDE w:val="0"/>
        <w:autoSpaceDN w:val="0"/>
        <w:adjustRightInd w:val="0"/>
        <w:spacing w:after="200" w:line="276" w:lineRule="auto"/>
        <w:jc w:val="both"/>
        <w:rPr>
          <w:rFonts w:ascii="Arial" w:hAnsi="Arial" w:cs="Arial"/>
          <w:b/>
          <w:iCs/>
        </w:rPr>
      </w:pPr>
      <w:r w:rsidRPr="0094452D">
        <w:rPr>
          <w:rFonts w:ascii="Arial" w:hAnsi="Arial" w:cs="Arial"/>
          <w:b/>
          <w:iCs/>
        </w:rPr>
        <w:t>RIESGO POR MODIFICACION DEL REGIMEN DE IMPUESTO.</w:t>
      </w:r>
    </w:p>
    <w:p w14:paraId="3C7D261A" w14:textId="77777777" w:rsidR="00B04F2E" w:rsidRPr="00A877D2" w:rsidRDefault="00B04F2E" w:rsidP="00B04F2E">
      <w:pPr>
        <w:pStyle w:val="Prrafodelista"/>
        <w:autoSpaceDE w:val="0"/>
        <w:autoSpaceDN w:val="0"/>
        <w:adjustRightInd w:val="0"/>
        <w:ind w:left="0"/>
        <w:jc w:val="both"/>
        <w:rPr>
          <w:rFonts w:ascii="Arial" w:hAnsi="Arial" w:cs="Arial"/>
          <w:b/>
          <w:iCs/>
        </w:rPr>
      </w:pPr>
    </w:p>
    <w:p w14:paraId="282B82F2" w14:textId="77777777" w:rsidR="00B04F2E" w:rsidRPr="00A877D2" w:rsidRDefault="00B04F2E" w:rsidP="00B04F2E">
      <w:pPr>
        <w:pStyle w:val="Prrafodelista"/>
        <w:autoSpaceDE w:val="0"/>
        <w:autoSpaceDN w:val="0"/>
        <w:adjustRightInd w:val="0"/>
        <w:ind w:left="0"/>
        <w:jc w:val="both"/>
        <w:rPr>
          <w:rFonts w:ascii="Arial" w:hAnsi="Arial" w:cs="Arial"/>
          <w:b/>
          <w:iCs/>
        </w:rPr>
      </w:pPr>
      <w:r w:rsidRPr="00A877D2">
        <w:rPr>
          <w:rFonts w:ascii="Arial" w:hAnsi="Arial" w:cs="Arial"/>
          <w:b/>
          <w:iCs/>
        </w:rPr>
        <w:t>Modificación del régimen de impuestos aplicables al contrato (Hecho del Príncipe).</w:t>
      </w:r>
    </w:p>
    <w:p w14:paraId="284B4D0A" w14:textId="77777777" w:rsidR="00B04F2E" w:rsidRPr="00A877D2" w:rsidRDefault="00B04F2E" w:rsidP="00B04F2E">
      <w:pPr>
        <w:autoSpaceDE w:val="0"/>
        <w:autoSpaceDN w:val="0"/>
        <w:adjustRightInd w:val="0"/>
        <w:spacing w:line="276" w:lineRule="auto"/>
        <w:jc w:val="both"/>
        <w:rPr>
          <w:rFonts w:ascii="Arial" w:hAnsi="Arial" w:cs="Arial"/>
          <w:iCs/>
          <w:spacing w:val="3"/>
          <w:w w:val="101"/>
        </w:rPr>
      </w:pPr>
      <w:r w:rsidRPr="00A877D2">
        <w:rPr>
          <w:rFonts w:ascii="Arial" w:hAnsi="Arial" w:cs="Arial"/>
          <w:b/>
          <w:iCs/>
        </w:rPr>
        <w:t xml:space="preserve">Tipificación: </w:t>
      </w:r>
      <w:r w:rsidRPr="00A877D2">
        <w:rPr>
          <w:rFonts w:ascii="Arial" w:hAnsi="Arial" w:cs="Arial"/>
          <w:iCs/>
          <w:spacing w:val="-2"/>
          <w:w w:val="101"/>
        </w:rPr>
        <w:t>Se configura cuando en el desarrollo del contrato se modifican las tarifas de los impuestos o se crean nuevos impuestos o se eliminan los ya existentes, siempre y cuando sean aplicables al contrato</w:t>
      </w:r>
      <w:r w:rsidRPr="00A877D2">
        <w:rPr>
          <w:rFonts w:ascii="Arial" w:hAnsi="Arial" w:cs="Arial"/>
          <w:iCs/>
          <w:spacing w:val="3"/>
          <w:w w:val="101"/>
        </w:rPr>
        <w:t>; o se expida una norma de carácter municipal que afecte a ecuación financiera del contrato.</w:t>
      </w:r>
    </w:p>
    <w:p w14:paraId="6BD74B47"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 xml:space="preserve">Asignación: </w:t>
      </w:r>
      <w:r w:rsidRPr="00A877D2">
        <w:rPr>
          <w:rFonts w:ascii="Arial" w:hAnsi="Arial" w:cs="Arial"/>
          <w:iCs/>
          <w:spacing w:val="-2"/>
          <w:w w:val="101"/>
        </w:rPr>
        <w:t xml:space="preserve">Cuando en el desarrollo del contrato se modifican las tarifas de los impuestos o se crean nuevos impuestos o se eliminan los ya existentes o cuando se modifiquen en la ejecución del contrato las tarifas de impuestos establecidas, generando desequilibrio económico por un valor superior al establecido, se modificará el contrato, adicionando el valor faltante para que el equilibrio económico se mantenga. Este riesgo será asumido por el contratante. Si el desequilibrio económico genera un menor valor del contrato, el Municipio se reserva el derecho de disminuir tal valor hasta por aquella suma que mantenga el equilibrio económico o aumentar el plazo del contrato hasta por un tiempo igual al valor diferencial, sin negociación alguna con el contratista. Si por el contrario genera mayor costo en la ejecución del contrato, este deberá ser demostrado por quien lo alega, y una vez demostrado la entidad contratante procederá a mitigarlo hasta el punto de equilibrio financiero inicial. </w:t>
      </w:r>
    </w:p>
    <w:p w14:paraId="4C05C441" w14:textId="77777777" w:rsidR="0094452D" w:rsidRDefault="0094452D" w:rsidP="0094452D">
      <w:pPr>
        <w:autoSpaceDE w:val="0"/>
        <w:autoSpaceDN w:val="0"/>
        <w:adjustRightInd w:val="0"/>
        <w:spacing w:after="0" w:line="276" w:lineRule="auto"/>
        <w:jc w:val="both"/>
        <w:rPr>
          <w:rFonts w:ascii="Arial" w:hAnsi="Arial" w:cs="Arial"/>
          <w:b/>
          <w:iCs/>
        </w:rPr>
      </w:pPr>
    </w:p>
    <w:p w14:paraId="3D6FCA0B" w14:textId="019790DB" w:rsidR="00B04F2E" w:rsidRPr="0094452D" w:rsidRDefault="00B04F2E" w:rsidP="00A36F94">
      <w:pPr>
        <w:pStyle w:val="Prrafodelista"/>
        <w:numPr>
          <w:ilvl w:val="1"/>
          <w:numId w:val="22"/>
        </w:numPr>
        <w:autoSpaceDE w:val="0"/>
        <w:autoSpaceDN w:val="0"/>
        <w:adjustRightInd w:val="0"/>
        <w:spacing w:after="0" w:line="276" w:lineRule="auto"/>
        <w:jc w:val="both"/>
        <w:rPr>
          <w:rFonts w:ascii="Arial" w:hAnsi="Arial" w:cs="Arial"/>
          <w:b/>
          <w:iCs/>
        </w:rPr>
      </w:pPr>
      <w:r w:rsidRPr="0094452D">
        <w:rPr>
          <w:rFonts w:ascii="Arial" w:hAnsi="Arial" w:cs="Arial"/>
          <w:b/>
          <w:iCs/>
        </w:rPr>
        <w:t>Riesgo Económico o de Resultado.</w:t>
      </w:r>
    </w:p>
    <w:p w14:paraId="04A6ED87" w14:textId="77777777" w:rsidR="00B04F2E" w:rsidRPr="00A877D2" w:rsidRDefault="00B04F2E" w:rsidP="00B04F2E">
      <w:pPr>
        <w:autoSpaceDE w:val="0"/>
        <w:autoSpaceDN w:val="0"/>
        <w:adjustRightInd w:val="0"/>
        <w:spacing w:line="276" w:lineRule="auto"/>
        <w:jc w:val="both"/>
        <w:rPr>
          <w:rFonts w:ascii="Arial" w:hAnsi="Arial" w:cs="Arial"/>
          <w:iCs/>
        </w:rPr>
      </w:pPr>
    </w:p>
    <w:p w14:paraId="12F30C3E"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 xml:space="preserve">Tipificación: </w:t>
      </w:r>
      <w:r w:rsidRPr="00A877D2">
        <w:rPr>
          <w:rFonts w:ascii="Arial" w:hAnsi="Arial" w:cs="Arial"/>
          <w:iCs/>
          <w:spacing w:val="-2"/>
          <w:w w:val="101"/>
        </w:rPr>
        <w:t>Se tipifica cuando el contratista no consigue la utilidad proyectada en su propuesta, por causas ajenas al contratante.</w:t>
      </w:r>
    </w:p>
    <w:p w14:paraId="112962D8" w14:textId="77777777" w:rsidR="00B04F2E" w:rsidRDefault="00B04F2E" w:rsidP="00B04F2E">
      <w:pPr>
        <w:autoSpaceDE w:val="0"/>
        <w:autoSpaceDN w:val="0"/>
        <w:adjustRightInd w:val="0"/>
        <w:spacing w:line="276" w:lineRule="auto"/>
        <w:jc w:val="both"/>
        <w:rPr>
          <w:rFonts w:ascii="Arial" w:hAnsi="Arial" w:cs="Arial"/>
          <w:iCs/>
        </w:rPr>
      </w:pPr>
      <w:r w:rsidRPr="00A877D2">
        <w:rPr>
          <w:rFonts w:ascii="Arial" w:hAnsi="Arial" w:cs="Arial"/>
          <w:b/>
          <w:iCs/>
          <w:spacing w:val="-2"/>
          <w:w w:val="101"/>
        </w:rPr>
        <w:t>Asignación:</w:t>
      </w:r>
      <w:r w:rsidRPr="00A877D2">
        <w:rPr>
          <w:rFonts w:ascii="Arial" w:hAnsi="Arial" w:cs="Arial"/>
          <w:iCs/>
          <w:spacing w:val="-2"/>
          <w:w w:val="101"/>
        </w:rPr>
        <w:t xml:space="preserve"> Este riesgo lo asume única y exclusivamente el contratista</w:t>
      </w:r>
      <w:r w:rsidRPr="00A877D2">
        <w:rPr>
          <w:rFonts w:ascii="Arial" w:hAnsi="Arial" w:cs="Arial"/>
          <w:iCs/>
        </w:rPr>
        <w:t>.</w:t>
      </w:r>
    </w:p>
    <w:p w14:paraId="487B1789" w14:textId="77777777" w:rsidR="004A5564" w:rsidRDefault="004A5564" w:rsidP="004A5564">
      <w:pPr>
        <w:spacing w:line="276" w:lineRule="auto"/>
        <w:jc w:val="both"/>
        <w:rPr>
          <w:rFonts w:ascii="Arial" w:eastAsia="Tahoma" w:hAnsi="Arial" w:cs="Arial"/>
        </w:rPr>
      </w:pPr>
    </w:p>
    <w:p w14:paraId="41F71E79" w14:textId="116CAE5B" w:rsidR="004A5328" w:rsidRPr="004A5564" w:rsidRDefault="004A5328" w:rsidP="00A36F94">
      <w:pPr>
        <w:pStyle w:val="Prrafodelista"/>
        <w:numPr>
          <w:ilvl w:val="0"/>
          <w:numId w:val="22"/>
        </w:numPr>
        <w:spacing w:line="276" w:lineRule="auto"/>
        <w:jc w:val="both"/>
        <w:rPr>
          <w:rFonts w:ascii="Arial" w:eastAsia="Tahoma" w:hAnsi="Arial" w:cs="Arial"/>
          <w:b/>
        </w:rPr>
      </w:pPr>
      <w:r w:rsidRPr="004A5564">
        <w:rPr>
          <w:rFonts w:ascii="Arial" w:eastAsia="Tahoma" w:hAnsi="Arial" w:cs="Arial"/>
          <w:b/>
        </w:rPr>
        <w:t>ANÁLISIS ECONÓMICO</w:t>
      </w:r>
    </w:p>
    <w:p w14:paraId="380444A7" w14:textId="647EB867" w:rsidR="00516D92" w:rsidRDefault="00516D92" w:rsidP="00E97EE3">
      <w:pPr>
        <w:spacing w:line="276" w:lineRule="auto"/>
        <w:jc w:val="both"/>
        <w:rPr>
          <w:rFonts w:ascii="Arial" w:eastAsia="Tahoma" w:hAnsi="Arial" w:cs="Arial"/>
        </w:rPr>
      </w:pPr>
      <w:r w:rsidRPr="00516D92">
        <w:rPr>
          <w:rFonts w:ascii="Arial" w:eastAsia="Tahoma" w:hAnsi="Arial" w:cs="Arial"/>
        </w:rPr>
        <w:t xml:space="preserve">El Departamento Administrativo Nacional de Estadística (DANE) informa sobre la reprogramación de la publicación de los resultados del Producto Interno Bruto (PIB) III Trimestre de 2024, para el </w:t>
      </w:r>
      <w:r w:rsidRPr="00516D92">
        <w:rPr>
          <w:rFonts w:ascii="Arial" w:eastAsia="Tahoma" w:hAnsi="Arial" w:cs="Arial"/>
        </w:rPr>
        <w:lastRenderedPageBreak/>
        <w:t>lunes 18 de noviembre del 2024 debido a que Colombia será sede del Foro Mundial de Datos de Naciones Unidas, entre el 12 al 15 de noviembre de 2024.</w:t>
      </w:r>
    </w:p>
    <w:p w14:paraId="244E5728" w14:textId="77777777" w:rsidR="00516D92" w:rsidRPr="00516D92" w:rsidRDefault="00516D92" w:rsidP="00516D92">
      <w:pPr>
        <w:spacing w:line="276" w:lineRule="auto"/>
        <w:jc w:val="both"/>
        <w:rPr>
          <w:rFonts w:ascii="Arial" w:eastAsia="Tahoma" w:hAnsi="Arial" w:cs="Arial"/>
        </w:rPr>
      </w:pPr>
      <w:r w:rsidRPr="00516D92">
        <w:rPr>
          <w:rFonts w:ascii="Arial" w:eastAsia="Tahoma" w:hAnsi="Arial" w:cs="Arial"/>
        </w:rPr>
        <w:t>En el tercer trimestre de 2024</w:t>
      </w:r>
      <w:r w:rsidRPr="00516D92">
        <w:rPr>
          <w:rFonts w:ascii="Arial" w:eastAsia="Tahoma" w:hAnsi="Arial" w:cs="Arial"/>
          <w:vertAlign w:val="superscript"/>
        </w:rPr>
        <w:t>pr</w:t>
      </w:r>
      <w:r w:rsidRPr="00516D92">
        <w:rPr>
          <w:rFonts w:ascii="Arial" w:eastAsia="Tahoma" w:hAnsi="Arial" w:cs="Arial"/>
        </w:rPr>
        <w:t>, el Producto Interno Bruto en su serie original, crece 2,0% respecto al mismo periodo de 2023</w:t>
      </w:r>
      <w:r w:rsidRPr="00516D92">
        <w:rPr>
          <w:rFonts w:ascii="Arial" w:eastAsia="Tahoma" w:hAnsi="Arial" w:cs="Arial"/>
          <w:vertAlign w:val="superscript"/>
        </w:rPr>
        <w:t>pr</w:t>
      </w:r>
    </w:p>
    <w:p w14:paraId="72D2E65D" w14:textId="77F7ACB8" w:rsidR="00516D92" w:rsidRDefault="00516D92" w:rsidP="00516D92">
      <w:pPr>
        <w:spacing w:line="276" w:lineRule="auto"/>
        <w:jc w:val="center"/>
        <w:rPr>
          <w:rFonts w:ascii="Arial" w:eastAsia="Tahoma" w:hAnsi="Arial" w:cs="Arial"/>
        </w:rPr>
      </w:pPr>
      <w:r w:rsidRPr="00516D92">
        <w:rPr>
          <w:rFonts w:ascii="Arial" w:eastAsia="Tahoma" w:hAnsi="Arial" w:cs="Arial"/>
          <w:noProof/>
        </w:rPr>
        <w:drawing>
          <wp:inline distT="0" distB="0" distL="0" distR="0" wp14:anchorId="73AA193C" wp14:editId="554C3384">
            <wp:extent cx="5191125" cy="2612201"/>
            <wp:effectExtent l="0" t="0" r="0" b="0"/>
            <wp:docPr id="6402602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60237" name=""/>
                    <pic:cNvPicPr/>
                  </pic:nvPicPr>
                  <pic:blipFill>
                    <a:blip r:embed="rId9"/>
                    <a:stretch>
                      <a:fillRect/>
                    </a:stretch>
                  </pic:blipFill>
                  <pic:spPr>
                    <a:xfrm>
                      <a:off x="0" y="0"/>
                      <a:ext cx="5194315" cy="2613806"/>
                    </a:xfrm>
                    <a:prstGeom prst="rect">
                      <a:avLst/>
                    </a:prstGeom>
                  </pic:spPr>
                </pic:pic>
              </a:graphicData>
            </a:graphic>
          </wp:inline>
        </w:drawing>
      </w:r>
    </w:p>
    <w:p w14:paraId="4DAAEB6E" w14:textId="77777777" w:rsidR="00516D92" w:rsidRPr="00516D92" w:rsidRDefault="00516D92" w:rsidP="00516D92">
      <w:pPr>
        <w:spacing w:line="276" w:lineRule="auto"/>
        <w:jc w:val="both"/>
        <w:rPr>
          <w:rFonts w:ascii="Arial" w:eastAsia="Tahoma" w:hAnsi="Arial" w:cs="Arial"/>
        </w:rPr>
      </w:pPr>
      <w:r w:rsidRPr="00516D92">
        <w:rPr>
          <w:rFonts w:ascii="Arial" w:eastAsia="Tahoma" w:hAnsi="Arial" w:cs="Arial"/>
        </w:rPr>
        <w:t>Las actividades económicas que más contribuyen a la dinámica del valor agregado son:</w:t>
      </w:r>
    </w:p>
    <w:p w14:paraId="3116C968" w14:textId="77777777" w:rsidR="00516D92" w:rsidRPr="00516D92" w:rsidRDefault="00516D92" w:rsidP="00516D92">
      <w:pPr>
        <w:numPr>
          <w:ilvl w:val="0"/>
          <w:numId w:val="13"/>
        </w:numPr>
        <w:spacing w:line="276" w:lineRule="auto"/>
        <w:jc w:val="both"/>
        <w:rPr>
          <w:rFonts w:ascii="Arial" w:eastAsia="Tahoma" w:hAnsi="Arial" w:cs="Arial"/>
        </w:rPr>
      </w:pPr>
      <w:r w:rsidRPr="00516D92">
        <w:rPr>
          <w:rFonts w:ascii="Arial" w:eastAsia="Tahoma" w:hAnsi="Arial" w:cs="Arial"/>
        </w:rPr>
        <w:t>Agricultura, ganadería, caza, silvicultura y pesca crece 10,7% (contribuye 1,1 puntos porcentuales a la variación anual).</w:t>
      </w:r>
    </w:p>
    <w:p w14:paraId="52396A94" w14:textId="77777777" w:rsidR="00516D92" w:rsidRPr="00516D92" w:rsidRDefault="00516D92" w:rsidP="00516D92">
      <w:pPr>
        <w:numPr>
          <w:ilvl w:val="0"/>
          <w:numId w:val="13"/>
        </w:numPr>
        <w:spacing w:line="276" w:lineRule="auto"/>
        <w:jc w:val="both"/>
        <w:rPr>
          <w:rFonts w:ascii="Arial" w:eastAsia="Tahoma" w:hAnsi="Arial" w:cs="Arial"/>
        </w:rPr>
      </w:pPr>
      <w:r w:rsidRPr="00516D92">
        <w:rPr>
          <w:rFonts w:ascii="Arial" w:eastAsia="Tahoma"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14,1% (contribuye 0,5 puntos porcentuales a la variación anual).</w:t>
      </w:r>
    </w:p>
    <w:p w14:paraId="7FBA9AC2" w14:textId="77777777" w:rsidR="00516D92" w:rsidRPr="00516D92" w:rsidRDefault="00516D92" w:rsidP="00516D92">
      <w:pPr>
        <w:numPr>
          <w:ilvl w:val="0"/>
          <w:numId w:val="13"/>
        </w:numPr>
        <w:spacing w:line="276" w:lineRule="auto"/>
        <w:jc w:val="both"/>
        <w:rPr>
          <w:rFonts w:ascii="Arial" w:eastAsia="Tahoma" w:hAnsi="Arial" w:cs="Arial"/>
        </w:rPr>
      </w:pPr>
      <w:r w:rsidRPr="00516D92">
        <w:rPr>
          <w:rFonts w:ascii="Arial" w:eastAsia="Tahoma" w:hAnsi="Arial" w:cs="Arial"/>
        </w:rPr>
        <w:t>Administración pública y defensa; planes de seguridad social de afiliación obligatoria; Educación; Actividades de atención de la salud humana y de servicios sociales crece 2,1% (contribuye 0,3 puntos porcentuales a la variación anual)</w:t>
      </w:r>
    </w:p>
    <w:p w14:paraId="2D83BF9C" w14:textId="24C49113" w:rsidR="00516D92" w:rsidRPr="00516D92" w:rsidRDefault="00516D92" w:rsidP="00516D92">
      <w:pPr>
        <w:spacing w:line="276" w:lineRule="auto"/>
        <w:jc w:val="both"/>
        <w:rPr>
          <w:rFonts w:ascii="Arial" w:eastAsia="Tahoma" w:hAnsi="Arial" w:cs="Arial"/>
        </w:rPr>
      </w:pPr>
      <w:r w:rsidRPr="00516D92">
        <w:rPr>
          <w:rFonts w:ascii="Arial" w:eastAsia="Tahoma" w:hAnsi="Arial" w:cs="Arial"/>
        </w:rPr>
        <w:t>En lo corrido del año 2024</w:t>
      </w:r>
      <w:r w:rsidRPr="00516D92">
        <w:rPr>
          <w:rFonts w:ascii="Arial" w:eastAsia="Tahoma" w:hAnsi="Arial" w:cs="Arial"/>
          <w:vertAlign w:val="superscript"/>
        </w:rPr>
        <w:t>pr</w:t>
      </w:r>
      <w:r w:rsidRPr="00516D92">
        <w:rPr>
          <w:rFonts w:ascii="Arial" w:eastAsia="Tahoma" w:hAnsi="Arial" w:cs="Arial"/>
        </w:rPr>
        <w:t>, respecto al mismo periodo del año anterior, el Producto Interno Bruto presenta un crecimiento de 1,6%. Las actividades económicas que más contribuyen a la dinámica del valor agregado son:</w:t>
      </w:r>
    </w:p>
    <w:p w14:paraId="325AA1EF" w14:textId="77777777" w:rsidR="00516D92" w:rsidRPr="00516D92" w:rsidRDefault="00516D92" w:rsidP="00516D92">
      <w:pPr>
        <w:numPr>
          <w:ilvl w:val="0"/>
          <w:numId w:val="14"/>
        </w:numPr>
        <w:spacing w:line="276" w:lineRule="auto"/>
        <w:jc w:val="both"/>
        <w:rPr>
          <w:rFonts w:ascii="Arial" w:eastAsia="Tahoma" w:hAnsi="Arial" w:cs="Arial"/>
        </w:rPr>
      </w:pPr>
      <w:r w:rsidRPr="00516D92">
        <w:rPr>
          <w:rFonts w:ascii="Arial" w:eastAsia="Tahoma" w:hAnsi="Arial" w:cs="Arial"/>
        </w:rPr>
        <w:t>Agricultura, ganadería, caza, silvicultura y pesca crece 8,9% (contribuye 0,9 puntos porcentuales a la variación anual).</w:t>
      </w:r>
    </w:p>
    <w:p w14:paraId="5A0314A1" w14:textId="77777777" w:rsidR="00516D92" w:rsidRPr="00516D92" w:rsidRDefault="00516D92" w:rsidP="00516D92">
      <w:pPr>
        <w:numPr>
          <w:ilvl w:val="0"/>
          <w:numId w:val="14"/>
        </w:numPr>
        <w:spacing w:line="276" w:lineRule="auto"/>
        <w:jc w:val="both"/>
        <w:rPr>
          <w:rFonts w:ascii="Arial" w:eastAsia="Tahoma" w:hAnsi="Arial" w:cs="Arial"/>
        </w:rPr>
      </w:pPr>
      <w:r w:rsidRPr="00516D92">
        <w:rPr>
          <w:rFonts w:ascii="Arial" w:eastAsia="Tahoma" w:hAnsi="Arial" w:cs="Arial"/>
        </w:rPr>
        <w:t>Administración pública y defensa; planes de seguridad social de afiliación obligatoria; Educación; Actividades de atención de la salud humana y de servicios sociales crece 4,2% (contribuye 0,7 puntos porcentuales a la variación anual).</w:t>
      </w:r>
    </w:p>
    <w:p w14:paraId="433B5747" w14:textId="77777777" w:rsidR="00516D92" w:rsidRPr="00516D92" w:rsidRDefault="00516D92" w:rsidP="00516D92">
      <w:pPr>
        <w:numPr>
          <w:ilvl w:val="0"/>
          <w:numId w:val="14"/>
        </w:numPr>
        <w:spacing w:line="276" w:lineRule="auto"/>
        <w:jc w:val="both"/>
        <w:rPr>
          <w:rFonts w:ascii="Arial" w:eastAsia="Tahoma" w:hAnsi="Arial" w:cs="Arial"/>
        </w:rPr>
      </w:pPr>
      <w:r w:rsidRPr="00516D92">
        <w:rPr>
          <w:rFonts w:ascii="Arial" w:eastAsia="Tahoma"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9,8% (contribuye 0,4 puntos porcentuales a la variación anual).</w:t>
      </w:r>
    </w:p>
    <w:p w14:paraId="717EC087" w14:textId="3ABA921A" w:rsidR="004A5328" w:rsidRPr="00E97EE3" w:rsidRDefault="00516D92" w:rsidP="004A5564">
      <w:pPr>
        <w:spacing w:line="276" w:lineRule="auto"/>
        <w:jc w:val="both"/>
        <w:rPr>
          <w:rFonts w:ascii="Arial" w:eastAsia="Tahoma" w:hAnsi="Arial" w:cs="Arial"/>
        </w:rPr>
      </w:pPr>
      <w:r w:rsidRPr="00516D92">
        <w:rPr>
          <w:rFonts w:ascii="Arial" w:eastAsia="Tahoma" w:hAnsi="Arial" w:cs="Arial"/>
        </w:rPr>
        <w:t> </w:t>
      </w:r>
    </w:p>
    <w:p w14:paraId="30138017" w14:textId="54531D39" w:rsidR="004A5328" w:rsidRPr="00E97EE3" w:rsidRDefault="00AD406A"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r w:rsidRPr="00AD406A">
        <w:rPr>
          <w:rFonts w:ascii="Arial" w:eastAsia="Tahoma" w:hAnsi="Arial" w:cs="Arial"/>
          <w:noProof/>
        </w:rPr>
        <w:lastRenderedPageBreak/>
        <w:drawing>
          <wp:inline distT="0" distB="0" distL="0" distR="0" wp14:anchorId="1394F56B" wp14:editId="5497B7F3">
            <wp:extent cx="4525006" cy="4039164"/>
            <wp:effectExtent l="0" t="0" r="0" b="0"/>
            <wp:docPr id="1443965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65566" name=""/>
                    <pic:cNvPicPr/>
                  </pic:nvPicPr>
                  <pic:blipFill>
                    <a:blip r:embed="rId10"/>
                    <a:stretch>
                      <a:fillRect/>
                    </a:stretch>
                  </pic:blipFill>
                  <pic:spPr>
                    <a:xfrm>
                      <a:off x="0" y="0"/>
                      <a:ext cx="4525006" cy="4039164"/>
                    </a:xfrm>
                    <a:prstGeom prst="rect">
                      <a:avLst/>
                    </a:prstGeom>
                  </pic:spPr>
                </pic:pic>
              </a:graphicData>
            </a:graphic>
          </wp:inline>
        </w:drawing>
      </w:r>
    </w:p>
    <w:p w14:paraId="198212A1" w14:textId="77777777" w:rsidR="00AD406A" w:rsidRPr="00AD406A"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AD406A">
        <w:rPr>
          <w:rFonts w:ascii="Arial" w:eastAsia="Tahoma" w:hAnsi="Arial" w:cs="Arial"/>
          <w:b/>
          <w:bCs/>
        </w:rPr>
        <w:t xml:space="preserve">Valor agregado por actividad económica </w:t>
      </w:r>
    </w:p>
    <w:p w14:paraId="55C028FB" w14:textId="76D1AFAF" w:rsidR="00AD406A"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Agricultura, ganadería, caza, silvicultura y pesca</w:t>
      </w:r>
      <w:r>
        <w:rPr>
          <w:rFonts w:ascii="Arial" w:eastAsia="Tahoma" w:hAnsi="Arial" w:cs="Arial"/>
        </w:rPr>
        <w:t>.</w:t>
      </w:r>
    </w:p>
    <w:p w14:paraId="75A1756F" w14:textId="47B52424" w:rsidR="00AD406A"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En el segundo trimestre de 2024pr, el valor agregado de la agricultura, ganadería, caza, silvicultura y pesca crece 10,2% en su serie original, respecto al mismo periodo de 2023pr. Esta dinámica se explica por los siguientes comportamientos</w:t>
      </w:r>
      <w:r>
        <w:rPr>
          <w:rFonts w:ascii="Arial" w:eastAsia="Tahoma" w:hAnsi="Arial" w:cs="Arial"/>
        </w:rPr>
        <w:t>:</w:t>
      </w:r>
    </w:p>
    <w:p w14:paraId="275F1C60"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10,9%. </w:t>
      </w:r>
    </w:p>
    <w:p w14:paraId="417890F7"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Cultivo permanente de café crece 25,8%. </w:t>
      </w:r>
    </w:p>
    <w:p w14:paraId="283DC620"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Ganadería crece 6,5%. </w:t>
      </w:r>
    </w:p>
    <w:p w14:paraId="5B59E280"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Silvicultura y extracción de madera decrece 7,3%. </w:t>
      </w:r>
    </w:p>
    <w:p w14:paraId="1436701F"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Pesca y acuicultura decrece 9,1%.</w:t>
      </w:r>
    </w:p>
    <w:p w14:paraId="0D80D423" w14:textId="77777777" w:rsidR="00AD406A" w:rsidRDefault="00AD406A" w:rsidP="00AD406A">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Respecto al trimestre inmediatamente anterior en su serie ajustada por efecto estacional y calendario, el valor agregado de la agricultura, ganadería, caza, silvicultura y pesca crece en 1,5%, cuando se observa el comportamiento de las actividades económicas relacionadas: </w:t>
      </w:r>
    </w:p>
    <w:p w14:paraId="51A18233" w14:textId="77777777" w:rsidR="00AD406A" w:rsidRDefault="00AD406A" w:rsidP="00AD406A">
      <w:pPr>
        <w:pStyle w:val="Prrafodelista"/>
        <w:numPr>
          <w:ilvl w:val="0"/>
          <w:numId w:val="16"/>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1,5%. </w:t>
      </w:r>
    </w:p>
    <w:p w14:paraId="7725BDF4" w14:textId="5CA8C52F" w:rsidR="004A5328" w:rsidRPr="00AD406A" w:rsidRDefault="00AD406A" w:rsidP="00AD406A">
      <w:pPr>
        <w:pStyle w:val="Prrafodelista"/>
        <w:numPr>
          <w:ilvl w:val="0"/>
          <w:numId w:val="16"/>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Cultivo permanente de café crece 10,9%. • Ganadería crece 1,1%. • Silvicultura y extracción de madera decrece 2,1%. • Pesca y acuicultura decrece 0,2%.</w:t>
      </w:r>
    </w:p>
    <w:p w14:paraId="0B9ECB24" w14:textId="77777777" w:rsidR="00AD406A"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1D0546C5" w14:textId="68D6AD91" w:rsidR="00AD406A" w:rsidRDefault="00FF77EB" w:rsidP="00FF77EB">
      <w:pPr>
        <w:pBdr>
          <w:top w:val="nil"/>
          <w:left w:val="nil"/>
          <w:bottom w:val="nil"/>
          <w:right w:val="nil"/>
          <w:between w:val="nil"/>
        </w:pBdr>
        <w:tabs>
          <w:tab w:val="center" w:pos="4252"/>
          <w:tab w:val="right" w:pos="8504"/>
        </w:tabs>
        <w:spacing w:line="276" w:lineRule="auto"/>
        <w:rPr>
          <w:rFonts w:ascii="Arial" w:eastAsia="Tahoma" w:hAnsi="Arial" w:cs="Arial"/>
        </w:rPr>
      </w:pPr>
      <w:r w:rsidRPr="00FF77EB">
        <w:rPr>
          <w:rFonts w:ascii="Arial" w:eastAsia="Tahoma" w:hAnsi="Arial" w:cs="Arial"/>
          <w:noProof/>
        </w:rPr>
        <w:lastRenderedPageBreak/>
        <w:drawing>
          <wp:anchor distT="0" distB="0" distL="114300" distR="114300" simplePos="0" relativeHeight="251659264" behindDoc="0" locked="0" layoutInCell="1" allowOverlap="1" wp14:anchorId="2C3C60F5" wp14:editId="313F7292">
            <wp:simplePos x="0" y="0"/>
            <wp:positionH relativeFrom="column">
              <wp:posOffset>514350</wp:posOffset>
            </wp:positionH>
            <wp:positionV relativeFrom="paragraph">
              <wp:posOffset>9525</wp:posOffset>
            </wp:positionV>
            <wp:extent cx="4295332" cy="3365415"/>
            <wp:effectExtent l="0" t="0" r="0" b="6985"/>
            <wp:wrapSquare wrapText="bothSides"/>
            <wp:docPr id="1005432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32321" name=""/>
                    <pic:cNvPicPr/>
                  </pic:nvPicPr>
                  <pic:blipFill>
                    <a:blip r:embed="rId11">
                      <a:extLst>
                        <a:ext uri="{28A0092B-C50C-407E-A947-70E740481C1C}">
                          <a14:useLocalDpi xmlns:a14="http://schemas.microsoft.com/office/drawing/2010/main" val="0"/>
                        </a:ext>
                      </a:extLst>
                    </a:blip>
                    <a:stretch>
                      <a:fillRect/>
                    </a:stretch>
                  </pic:blipFill>
                  <pic:spPr>
                    <a:xfrm>
                      <a:off x="0" y="0"/>
                      <a:ext cx="4295332" cy="3365415"/>
                    </a:xfrm>
                    <a:prstGeom prst="rect">
                      <a:avLst/>
                    </a:prstGeom>
                  </pic:spPr>
                </pic:pic>
              </a:graphicData>
            </a:graphic>
          </wp:anchor>
        </w:drawing>
      </w:r>
      <w:r>
        <w:rPr>
          <w:rFonts w:ascii="Arial" w:eastAsia="Tahoma" w:hAnsi="Arial" w:cs="Arial"/>
        </w:rPr>
        <w:br w:type="textWrapping" w:clear="all"/>
      </w:r>
    </w:p>
    <w:p w14:paraId="4470863D" w14:textId="178FA558" w:rsidR="00FF77EB" w:rsidRPr="00FF77EB"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FF77EB">
        <w:rPr>
          <w:rFonts w:ascii="Arial" w:eastAsia="Tahoma" w:hAnsi="Arial" w:cs="Arial"/>
          <w:b/>
          <w:bCs/>
        </w:rPr>
        <w:t>PIB desde el enfoque del gasto</w:t>
      </w:r>
    </w:p>
    <w:p w14:paraId="38785523" w14:textId="533A1287" w:rsidR="00FF77EB"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En el segundo trimestre de 2024pr, el Producto Interno Bruto en su serie original crece 2,1% respecto al mismo periodo de 2023pr. Esta dinámica se explica por los siguientes comportamientos del componente del gasto</w:t>
      </w:r>
      <w:r>
        <w:rPr>
          <w:rFonts w:ascii="Arial" w:eastAsia="Tahoma" w:hAnsi="Arial" w:cs="Arial"/>
        </w:rPr>
        <w:t>:</w:t>
      </w:r>
    </w:p>
    <w:p w14:paraId="1B00A4A7" w14:textId="77777777" w:rsidR="00FF77EB"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Gasto en consumo final crece 1,6%. </w:t>
      </w:r>
    </w:p>
    <w:p w14:paraId="59489252" w14:textId="6BC597A5" w:rsidR="00FF77EB"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Formación bruta de capital crece 1,7%. </w:t>
      </w:r>
    </w:p>
    <w:p w14:paraId="05679B9F" w14:textId="77777777" w:rsidR="00FF77EB"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Exportaciones crecen 4,8%. </w:t>
      </w:r>
    </w:p>
    <w:p w14:paraId="42160BE3" w14:textId="1E56B478" w:rsidR="00FF77EB"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Importaciones crecen 2,2%. </w:t>
      </w:r>
    </w:p>
    <w:p w14:paraId="3F97EC3B" w14:textId="5A2A4146" w:rsidR="00FF77EB" w:rsidRDefault="00FF77EB" w:rsidP="00FF77EB">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Respecto al trimestre inmediatamente anterior, el Producto Interno Bruto crece en 0,1%, en su serie ajustada por efecto estacional y calendario. Cuando se observa el comportamiento de sus componentes: </w:t>
      </w:r>
    </w:p>
    <w:p w14:paraId="57BC6683" w14:textId="088389AA" w:rsidR="00FF77EB"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Gasto en consumo final crece 0,9%. </w:t>
      </w:r>
    </w:p>
    <w:p w14:paraId="597D7290" w14:textId="316D663D" w:rsidR="00FF77EB"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Formación bruta de capital crece 0,7%. </w:t>
      </w:r>
    </w:p>
    <w:p w14:paraId="13B3BA31" w14:textId="446E2C45" w:rsidR="00FF77EB"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Exportaciones crecen 0,8%. </w:t>
      </w:r>
    </w:p>
    <w:p w14:paraId="2A86EACD" w14:textId="5F5E0A3E" w:rsidR="00AD406A" w:rsidRPr="00FF77EB"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Importaciones crecen 5,7%.</w:t>
      </w:r>
    </w:p>
    <w:p w14:paraId="03E72E28" w14:textId="35BBE409" w:rsidR="00AD406A" w:rsidRDefault="004A5564"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noProof/>
        </w:rPr>
        <w:drawing>
          <wp:anchor distT="0" distB="0" distL="114300" distR="114300" simplePos="0" relativeHeight="251658240" behindDoc="1" locked="0" layoutInCell="1" allowOverlap="1" wp14:anchorId="0C5FF4D9" wp14:editId="6A1AE0C6">
            <wp:simplePos x="0" y="0"/>
            <wp:positionH relativeFrom="column">
              <wp:posOffset>1542197</wp:posOffset>
            </wp:positionH>
            <wp:positionV relativeFrom="paragraph">
              <wp:posOffset>7145</wp:posOffset>
            </wp:positionV>
            <wp:extent cx="3079330" cy="2085997"/>
            <wp:effectExtent l="0" t="0" r="6985" b="0"/>
            <wp:wrapNone/>
            <wp:docPr id="1557885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8573" name=""/>
                    <pic:cNvPicPr/>
                  </pic:nvPicPr>
                  <pic:blipFill>
                    <a:blip r:embed="rId12">
                      <a:extLst>
                        <a:ext uri="{28A0092B-C50C-407E-A947-70E740481C1C}">
                          <a14:useLocalDpi xmlns:a14="http://schemas.microsoft.com/office/drawing/2010/main" val="0"/>
                        </a:ext>
                      </a:extLst>
                    </a:blip>
                    <a:stretch>
                      <a:fillRect/>
                    </a:stretch>
                  </pic:blipFill>
                  <pic:spPr>
                    <a:xfrm>
                      <a:off x="0" y="0"/>
                      <a:ext cx="3083528" cy="2088841"/>
                    </a:xfrm>
                    <a:prstGeom prst="rect">
                      <a:avLst/>
                    </a:prstGeom>
                  </pic:spPr>
                </pic:pic>
              </a:graphicData>
            </a:graphic>
            <wp14:sizeRelH relativeFrom="page">
              <wp14:pctWidth>0</wp14:pctWidth>
            </wp14:sizeRelH>
            <wp14:sizeRelV relativeFrom="page">
              <wp14:pctHeight>0</wp14:pctHeight>
            </wp14:sizeRelV>
          </wp:anchor>
        </w:drawing>
      </w:r>
    </w:p>
    <w:p w14:paraId="360EBB5C" w14:textId="0DA6E749" w:rsidR="004A5328" w:rsidRPr="00E97EE3" w:rsidRDefault="004A5328" w:rsidP="00E97EE3">
      <w:pPr>
        <w:pBdr>
          <w:top w:val="nil"/>
          <w:left w:val="nil"/>
          <w:bottom w:val="nil"/>
          <w:right w:val="nil"/>
          <w:between w:val="nil"/>
        </w:pBdr>
        <w:tabs>
          <w:tab w:val="center" w:pos="4252"/>
          <w:tab w:val="right" w:pos="8504"/>
        </w:tabs>
        <w:spacing w:line="276" w:lineRule="auto"/>
        <w:rPr>
          <w:rFonts w:ascii="Arial" w:eastAsia="Tahoma" w:hAnsi="Arial" w:cs="Arial"/>
        </w:rPr>
      </w:pPr>
    </w:p>
    <w:p w14:paraId="6E367F14" w14:textId="43B4AAEF" w:rsidR="004A5328" w:rsidRPr="00E97EE3"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3BB6071F" w14:textId="77777777" w:rsidR="004A5328" w:rsidRPr="00E97EE3"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13BF69E" w14:textId="70FA98EE" w:rsidR="004A5328" w:rsidRPr="00E97EE3"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0470FABF" w14:textId="77777777" w:rsidR="004A5328" w:rsidRPr="00E97EE3"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D5021B6" w14:textId="77777777" w:rsidR="004A5328" w:rsidRPr="00E97EE3"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1EBC296F" w14:textId="77777777" w:rsidR="00FF77EB"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062A4964" w14:textId="0C3C5AEA" w:rsidR="004A5328" w:rsidRPr="0094452D" w:rsidRDefault="004A5328" w:rsidP="00A36F94">
      <w:pPr>
        <w:pStyle w:val="Prrafodelista"/>
        <w:numPr>
          <w:ilvl w:val="0"/>
          <w:numId w:val="22"/>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94452D">
        <w:rPr>
          <w:rFonts w:ascii="Arial" w:eastAsia="Tahoma" w:hAnsi="Arial" w:cs="Arial"/>
          <w:b/>
        </w:rPr>
        <w:t>DESEMPLEO</w:t>
      </w:r>
    </w:p>
    <w:p w14:paraId="192C7367" w14:textId="50AFE039" w:rsidR="004A5328"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A7542">
        <w:rPr>
          <w:rFonts w:ascii="Arial" w:eastAsia="Tahoma" w:hAnsi="Arial" w:cs="Arial"/>
        </w:rPr>
        <w:lastRenderedPageBreak/>
        <w:t>Para el mes de noviembre de 2024, la tasa de desocupación del total nacional fue 8,2%, lo que representó una disminución de 0,8 puntos porcentuales respecto al mismo mes de 2023 (9,0%). La tasa global de participación se ubicó en 63,7%, mientras que en noviembre de 2023 fue 64,1%. Finalmente, la tasa de ocupación fue 58,5%.</w:t>
      </w:r>
    </w:p>
    <w:p w14:paraId="7BAD9ACF" w14:textId="0639DB54" w:rsidR="001A7542"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A7542">
        <w:rPr>
          <w:rFonts w:ascii="Arial" w:eastAsia="Tahoma" w:hAnsi="Arial" w:cs="Arial"/>
          <w:noProof/>
        </w:rPr>
        <w:drawing>
          <wp:anchor distT="0" distB="0" distL="114300" distR="114300" simplePos="0" relativeHeight="251660288" behindDoc="1" locked="0" layoutInCell="1" allowOverlap="1" wp14:anchorId="09B2128B" wp14:editId="335CF98F">
            <wp:simplePos x="0" y="0"/>
            <wp:positionH relativeFrom="column">
              <wp:posOffset>313055</wp:posOffset>
            </wp:positionH>
            <wp:positionV relativeFrom="paragraph">
              <wp:posOffset>-4445</wp:posOffset>
            </wp:positionV>
            <wp:extent cx="4483100" cy="1769110"/>
            <wp:effectExtent l="0" t="0" r="0" b="2540"/>
            <wp:wrapNone/>
            <wp:docPr id="975586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86534" name=""/>
                    <pic:cNvPicPr/>
                  </pic:nvPicPr>
                  <pic:blipFill>
                    <a:blip r:embed="rId13">
                      <a:extLst>
                        <a:ext uri="{28A0092B-C50C-407E-A947-70E740481C1C}">
                          <a14:useLocalDpi xmlns:a14="http://schemas.microsoft.com/office/drawing/2010/main" val="0"/>
                        </a:ext>
                      </a:extLst>
                    </a:blip>
                    <a:stretch>
                      <a:fillRect/>
                    </a:stretch>
                  </pic:blipFill>
                  <pic:spPr>
                    <a:xfrm>
                      <a:off x="0" y="0"/>
                      <a:ext cx="4483100" cy="1769110"/>
                    </a:xfrm>
                    <a:prstGeom prst="rect">
                      <a:avLst/>
                    </a:prstGeom>
                  </pic:spPr>
                </pic:pic>
              </a:graphicData>
            </a:graphic>
            <wp14:sizeRelH relativeFrom="page">
              <wp14:pctWidth>0</wp14:pctWidth>
            </wp14:sizeRelH>
            <wp14:sizeRelV relativeFrom="page">
              <wp14:pctHeight>0</wp14:pctHeight>
            </wp14:sizeRelV>
          </wp:anchor>
        </w:drawing>
      </w:r>
    </w:p>
    <w:p w14:paraId="2F8D1418" w14:textId="77777777" w:rsidR="001A7542"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482C192B" w14:textId="77777777" w:rsidR="001A7542" w:rsidRPr="00E97EE3"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953FCA0" w14:textId="175698B2" w:rsidR="004A5328" w:rsidRPr="00E97EE3"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1803AB58" w14:textId="77777777" w:rsidR="004A5328" w:rsidRPr="00E97EE3"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123B7E7" w14:textId="77777777" w:rsidR="004A5328"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C6A9100" w14:textId="77777777" w:rsidR="001A7542" w:rsidRPr="00E97EE3"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974B3A2" w14:textId="77777777" w:rsidR="001E75ED" w:rsidRPr="001E75ED"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bCs/>
        </w:rPr>
      </w:pPr>
      <w:r w:rsidRPr="001E75ED">
        <w:rPr>
          <w:rFonts w:ascii="Arial" w:eastAsia="Tahoma" w:hAnsi="Arial" w:cs="Arial"/>
          <w:bCs/>
        </w:rPr>
        <w:t>En noviembre de 2024, la tasa de desocupación en el total de las 13 ciudades y áreas metropolitanas fue 8,0%, mientras que en el mismo mes de 2023 fue 8,7%. La tasa global de participación se ubicó en 66,7% y la tasa de ocupación fue 61,4%. En noviembre de 2023 estas tasas fueron 67,3% y 61,4%, respectivamente.</w:t>
      </w:r>
    </w:p>
    <w:p w14:paraId="0D1C485D" w14:textId="2BA1C35E" w:rsidR="001E75ED" w:rsidRPr="001E75ED" w:rsidRDefault="001E75ED" w:rsidP="001E75ED">
      <w:pPr>
        <w:pBdr>
          <w:top w:val="nil"/>
          <w:left w:val="nil"/>
          <w:bottom w:val="nil"/>
          <w:right w:val="nil"/>
          <w:between w:val="nil"/>
        </w:pBdr>
        <w:tabs>
          <w:tab w:val="center" w:pos="4252"/>
          <w:tab w:val="right" w:pos="8504"/>
        </w:tabs>
        <w:spacing w:line="276" w:lineRule="auto"/>
        <w:jc w:val="center"/>
        <w:rPr>
          <w:rFonts w:ascii="Arial" w:eastAsia="Tahoma" w:hAnsi="Arial" w:cs="Arial"/>
          <w:b/>
        </w:rPr>
      </w:pPr>
      <w:r w:rsidRPr="001E75ED">
        <w:rPr>
          <w:rFonts w:ascii="Arial" w:eastAsia="Tahoma" w:hAnsi="Arial" w:cs="Arial"/>
          <w:b/>
        </w:rPr>
        <w:t> </w:t>
      </w:r>
    </w:p>
    <w:p w14:paraId="1CA6A8A5" w14:textId="6DE6E505" w:rsidR="004A5328" w:rsidRDefault="004A5328" w:rsidP="00A36F94">
      <w:pPr>
        <w:pStyle w:val="Prrafodelista"/>
        <w:numPr>
          <w:ilvl w:val="0"/>
          <w:numId w:val="22"/>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E97EE3">
        <w:rPr>
          <w:rFonts w:ascii="Arial" w:eastAsia="Tahoma" w:hAnsi="Arial" w:cs="Arial"/>
          <w:b/>
        </w:rPr>
        <w:t>INFLACIÓN</w:t>
      </w:r>
    </w:p>
    <w:p w14:paraId="309C177E" w14:textId="4DECE149" w:rsidR="001E75ED" w:rsidRDefault="0094452D" w:rsidP="001E75ED">
      <w:p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1E75ED">
        <w:rPr>
          <w:rFonts w:ascii="Arial" w:eastAsia="Tahoma" w:hAnsi="Arial" w:cs="Arial"/>
          <w:b/>
          <w:noProof/>
        </w:rPr>
        <w:drawing>
          <wp:anchor distT="0" distB="0" distL="114300" distR="114300" simplePos="0" relativeHeight="251661312" behindDoc="1" locked="0" layoutInCell="1" allowOverlap="1" wp14:anchorId="50833377" wp14:editId="363168DC">
            <wp:simplePos x="0" y="0"/>
            <wp:positionH relativeFrom="column">
              <wp:posOffset>340730</wp:posOffset>
            </wp:positionH>
            <wp:positionV relativeFrom="paragraph">
              <wp:posOffset>78996</wp:posOffset>
            </wp:positionV>
            <wp:extent cx="3970020" cy="2510790"/>
            <wp:effectExtent l="0" t="0" r="0" b="3810"/>
            <wp:wrapNone/>
            <wp:docPr id="656004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004461" name=""/>
                    <pic:cNvPicPr/>
                  </pic:nvPicPr>
                  <pic:blipFill>
                    <a:blip r:embed="rId14">
                      <a:extLst>
                        <a:ext uri="{28A0092B-C50C-407E-A947-70E740481C1C}">
                          <a14:useLocalDpi xmlns:a14="http://schemas.microsoft.com/office/drawing/2010/main" val="0"/>
                        </a:ext>
                      </a:extLst>
                    </a:blip>
                    <a:stretch>
                      <a:fillRect/>
                    </a:stretch>
                  </pic:blipFill>
                  <pic:spPr>
                    <a:xfrm>
                      <a:off x="0" y="0"/>
                      <a:ext cx="3970020" cy="2510790"/>
                    </a:xfrm>
                    <a:prstGeom prst="rect">
                      <a:avLst/>
                    </a:prstGeom>
                  </pic:spPr>
                </pic:pic>
              </a:graphicData>
            </a:graphic>
            <wp14:sizeRelH relativeFrom="page">
              <wp14:pctWidth>0</wp14:pctWidth>
            </wp14:sizeRelH>
            <wp14:sizeRelV relativeFrom="page">
              <wp14:pctHeight>0</wp14:pctHeight>
            </wp14:sizeRelV>
          </wp:anchor>
        </w:drawing>
      </w:r>
    </w:p>
    <w:p w14:paraId="0C029B1D" w14:textId="79408E81" w:rsidR="001E75ED" w:rsidRPr="001E75ED"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40A080BB" w14:textId="29110376" w:rsidR="004A5328"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410C22F9" w14:textId="77777777" w:rsidR="001E75ED" w:rsidRPr="00E97EE3" w:rsidRDefault="001E75ED"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67E41D1A"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0D5DEF6D"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6BB886FF"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D7B965E"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04FF4943"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2ED4FD78"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323F6D4F" w14:textId="50AA42E4" w:rsidR="004A5328"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E75ED">
        <w:rPr>
          <w:rFonts w:ascii="Arial" w:eastAsia="Tahoma" w:hAnsi="Arial" w:cs="Arial"/>
        </w:rPr>
        <w:t xml:space="preserve">En el mes de diciembre de 2024, el IPC registró una variación de 5,20% en comparación con diciembre de 2023. En el último año, las divisiones Educación (10,62%), Restaurantes y hoteles (7,87%), Alojamiento, agua, electricidad, gas y otros combustibles (6,96%), Bebidas alcohólicas y tabaco (5,57%) </w:t>
      </w:r>
      <w:proofErr w:type="gramStart"/>
      <w:r w:rsidRPr="001E75ED">
        <w:rPr>
          <w:rFonts w:ascii="Arial" w:eastAsia="Tahoma" w:hAnsi="Arial" w:cs="Arial"/>
        </w:rPr>
        <w:t>y</w:t>
      </w:r>
      <w:proofErr w:type="gramEnd"/>
      <w:r w:rsidRPr="001E75ED">
        <w:rPr>
          <w:rFonts w:ascii="Arial" w:eastAsia="Tahoma" w:hAnsi="Arial" w:cs="Arial"/>
        </w:rPr>
        <w:t xml:space="preserve"> por último, Salud (5,54%) se ubicaron por encima del promedio nacional (5,20%). Entre tanto, las divisiones Transporte (5,19%), Bienes y servicios diversos (3,33%), Alimentos y bebidas no alcohólicas (3,31%), Muebles, artículos para el hogar y para la conservación ordinaria del hogar (2,18%), Prendas de vestir y calzado (2,06%), Recreación y cultura (-0,21%) </w:t>
      </w:r>
      <w:proofErr w:type="gramStart"/>
      <w:r w:rsidRPr="001E75ED">
        <w:rPr>
          <w:rFonts w:ascii="Arial" w:eastAsia="Tahoma" w:hAnsi="Arial" w:cs="Arial"/>
        </w:rPr>
        <w:t>y</w:t>
      </w:r>
      <w:proofErr w:type="gramEnd"/>
      <w:r w:rsidRPr="001E75ED">
        <w:rPr>
          <w:rFonts w:ascii="Arial" w:eastAsia="Tahoma" w:hAnsi="Arial" w:cs="Arial"/>
        </w:rPr>
        <w:t xml:space="preserve"> por último, Información y comunicación (-0,93%) se ubicaron por debajo del promedio nacional.</w:t>
      </w:r>
    </w:p>
    <w:p w14:paraId="267D3100" w14:textId="3FDCF273" w:rsidR="001E75ED"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E75ED">
        <w:rPr>
          <w:rFonts w:ascii="Arial" w:eastAsia="Tahoma" w:hAnsi="Arial" w:cs="Arial"/>
          <w:noProof/>
        </w:rPr>
        <w:lastRenderedPageBreak/>
        <w:drawing>
          <wp:inline distT="0" distB="0" distL="0" distR="0" wp14:anchorId="1A4DF428" wp14:editId="15928577">
            <wp:extent cx="5943600" cy="3163570"/>
            <wp:effectExtent l="0" t="0" r="0" b="0"/>
            <wp:docPr id="19637288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28805" name=""/>
                    <pic:cNvPicPr/>
                  </pic:nvPicPr>
                  <pic:blipFill>
                    <a:blip r:embed="rId15"/>
                    <a:stretch>
                      <a:fillRect/>
                    </a:stretch>
                  </pic:blipFill>
                  <pic:spPr>
                    <a:xfrm>
                      <a:off x="0" y="0"/>
                      <a:ext cx="5943600" cy="3163570"/>
                    </a:xfrm>
                    <a:prstGeom prst="rect">
                      <a:avLst/>
                    </a:prstGeom>
                  </pic:spPr>
                </pic:pic>
              </a:graphicData>
            </a:graphic>
          </wp:inline>
        </w:drawing>
      </w:r>
    </w:p>
    <w:p w14:paraId="0827FE94" w14:textId="77777777" w:rsidR="001E75ED"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38B9C705" w14:textId="52203FBC" w:rsidR="004A5328" w:rsidRPr="00E97EE3"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E75ED">
        <w:rPr>
          <w:rFonts w:ascii="Arial" w:eastAsia="Tahoma" w:hAnsi="Arial" w:cs="Arial"/>
        </w:rPr>
        <w:t>Los mayores aportes a la variación anual se registraron en las divisiones de: Alojamiento, agua, electricidad, gas y otros combustibles, Restaurantes y hoteles, Transporte y Alimentos y bebidas no alcohólicas, las cuales en conjunto contribuyeron con 4,31 puntos porcentuales al acumulado anual de dicha variación.</w:t>
      </w:r>
    </w:p>
    <w:p w14:paraId="1C057031" w14:textId="77777777"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Durante los últimos años la entidad viene realizando esfuerzos para optimizar las herramientas tecnológicas y aumentar su infraestructura y capacidad técnica en el marco de modernización tecnológica. La demanda de servicios que exige la atención al ciudadano y sus tiempos de respuesta, deben ser atendidas con tecnología de punta y estas herramientas han demostrado ser un instrumento eficaz para fortalecer las funciones misionales y la cultura de calidad en la Entidad. Las aplicaciones se han convertido en mecanismos eficaces para el desempeño institucional, mejorando la prestación de servicios, aumento de recaudo y fortaleciendo el desarrollo integral de apoyo con misión crítica en actividades que son fundamentales a la hora de toma de decisiones, resguardo de información y mejora de prácticas basadas en procedimientos ITIL. </w:t>
      </w:r>
    </w:p>
    <w:p w14:paraId="01B984A8" w14:textId="77777777"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El propósito es el de contribuir al fortalecimiento de las competencias y conjunto de normas que ofrezcan servicios con altos estándares de calidad. Por otro lado, los agentes en la economía del sector de las tecnologías de información y comunicación, han presentado crecimiento por encima del promedio de la economía nacional, es decir el 3,1%, constituyéndose en una actividad que jalona la economía del país respondiendo a los retos que en la actualidad se exigen en este campo, posicionando la mano de obra nacional eficientemente y logrando posicionar el mercado laboral colombiano. </w:t>
      </w:r>
    </w:p>
    <w:p w14:paraId="61BB6DDE" w14:textId="77777777"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Con esta visión global se puede concluir que aparecen numerosos retos a nivel global, donde Colombia no puede continuar con las brechas actuales en aspectos y políticas digitales, la inteligencia artificial, la Internet de las Cosas, los macro datos, entre otras revoluciones tecnológicas, presentan oportunidades y desafíos que no podemos desconocer, teniendo en cuenta que repercutirán en la economía y el quehacer diario de las personas y empresas. </w:t>
      </w:r>
    </w:p>
    <w:p w14:paraId="45B33D04" w14:textId="4043EDB7" w:rsidR="004A5328" w:rsidRPr="00E97EE3" w:rsidRDefault="004A5328" w:rsidP="00E97EE3">
      <w:pPr>
        <w:spacing w:before="21" w:line="276" w:lineRule="auto"/>
        <w:ind w:right="72"/>
        <w:jc w:val="both"/>
        <w:rPr>
          <w:rFonts w:ascii="Arial" w:eastAsia="Tahoma" w:hAnsi="Arial" w:cs="Arial"/>
          <w:b/>
        </w:rPr>
      </w:pPr>
      <w:r w:rsidRPr="00E97EE3">
        <w:rPr>
          <w:rFonts w:ascii="Arial" w:eastAsia="Tahoma" w:hAnsi="Arial" w:cs="Arial"/>
        </w:rPr>
        <w:t>En este sentido el Alcaldía municipal requiere para el desarrollo de su objeto y teniendo en cuenta los planes y proyectos a realizar durante la vigencia del 202</w:t>
      </w:r>
      <w:r w:rsidR="004A5564">
        <w:rPr>
          <w:rFonts w:ascii="Arial" w:eastAsia="Tahoma" w:hAnsi="Arial" w:cs="Arial"/>
        </w:rPr>
        <w:t>5</w:t>
      </w:r>
      <w:r w:rsidRPr="00E97EE3">
        <w:rPr>
          <w:rFonts w:ascii="Arial" w:eastAsia="Tahoma" w:hAnsi="Arial" w:cs="Arial"/>
        </w:rPr>
        <w:t xml:space="preserve">, satisfacer la necesidad de contratar mediante contrato de </w:t>
      </w:r>
      <w:r w:rsidRPr="00E97EE3">
        <w:rPr>
          <w:rFonts w:ascii="Arial" w:eastAsia="Tahoma" w:hAnsi="Arial" w:cs="Arial"/>
          <w:b/>
        </w:rPr>
        <w:t>PRESTACIÓN DE SERVICIOS</w:t>
      </w:r>
      <w:r w:rsidRPr="00E97EE3">
        <w:rPr>
          <w:rFonts w:ascii="Arial" w:eastAsia="Tahoma" w:hAnsi="Arial" w:cs="Arial"/>
        </w:rPr>
        <w:t xml:space="preserve"> para que preste sus servicios de manera independiente y externa, por el término de </w:t>
      </w:r>
      <w:r w:rsidR="007D288D">
        <w:rPr>
          <w:rFonts w:ascii="Arial" w:eastAsia="Tahoma" w:hAnsi="Arial" w:cs="Arial"/>
          <w:b/>
        </w:rPr>
        <w:t>S</w:t>
      </w:r>
      <w:r w:rsidR="00A36F94">
        <w:rPr>
          <w:rFonts w:ascii="Arial" w:eastAsia="Tahoma" w:hAnsi="Arial" w:cs="Arial"/>
          <w:b/>
        </w:rPr>
        <w:t>IETE (07</w:t>
      </w:r>
      <w:r w:rsidR="007D288D">
        <w:rPr>
          <w:rFonts w:ascii="Arial" w:eastAsia="Tahoma" w:hAnsi="Arial" w:cs="Arial"/>
          <w:b/>
        </w:rPr>
        <w:t>)</w:t>
      </w:r>
      <w:r w:rsidR="00E97EE3" w:rsidRPr="00E97EE3">
        <w:rPr>
          <w:rFonts w:ascii="Arial" w:eastAsia="Tahoma" w:hAnsi="Arial" w:cs="Arial"/>
          <w:b/>
        </w:rPr>
        <w:t xml:space="preserve"> MES</w:t>
      </w:r>
      <w:r w:rsidR="004A5564">
        <w:rPr>
          <w:rFonts w:ascii="Arial" w:eastAsia="Tahoma" w:hAnsi="Arial" w:cs="Arial"/>
          <w:b/>
        </w:rPr>
        <w:t>ES</w:t>
      </w:r>
      <w:r w:rsidR="00A13850" w:rsidRPr="00E97EE3">
        <w:rPr>
          <w:rFonts w:ascii="Arial" w:eastAsia="Tahoma" w:hAnsi="Arial" w:cs="Arial"/>
        </w:rPr>
        <w:t xml:space="preserve">. </w:t>
      </w:r>
      <w:r w:rsidRPr="00E97EE3">
        <w:rPr>
          <w:rFonts w:ascii="Arial" w:eastAsia="Tahoma" w:hAnsi="Arial" w:cs="Arial"/>
        </w:rPr>
        <w:t xml:space="preserve">El valor del contrato es </w:t>
      </w:r>
      <w:r w:rsidRPr="00E97EE3">
        <w:rPr>
          <w:rFonts w:ascii="Arial" w:eastAsia="Tahoma" w:hAnsi="Arial" w:cs="Arial"/>
        </w:rPr>
        <w:lastRenderedPageBreak/>
        <w:t>por la suma de</w:t>
      </w:r>
      <w:r w:rsidR="004A5564">
        <w:rPr>
          <w:rFonts w:ascii="Arial" w:eastAsia="Tahoma" w:hAnsi="Arial" w:cs="Arial"/>
        </w:rPr>
        <w:t xml:space="preserve"> </w:t>
      </w:r>
      <w:r w:rsidR="00A36F94">
        <w:rPr>
          <w:rFonts w:ascii="Arial" w:hAnsi="Arial" w:cs="Arial"/>
          <w:b/>
          <w:bCs/>
          <w:iCs/>
          <w:lang w:eastAsia="es-ES"/>
        </w:rPr>
        <w:t>DOSCIENTOS CUARENTA Y CINCO MILLONES DE PESOS MCTE ($245.000.000</w:t>
      </w:r>
      <w:r w:rsidR="007D288D">
        <w:rPr>
          <w:rFonts w:ascii="Arial" w:hAnsi="Arial" w:cs="Arial"/>
          <w:b/>
          <w:bCs/>
          <w:iCs/>
          <w:lang w:eastAsia="es-ES"/>
        </w:rPr>
        <w:t>)</w:t>
      </w:r>
      <w:r w:rsidR="00E97EE3" w:rsidRPr="00E97EE3">
        <w:rPr>
          <w:rFonts w:ascii="Arial" w:eastAsia="Tahoma" w:hAnsi="Arial" w:cs="Arial"/>
          <w:b/>
        </w:rPr>
        <w:t>,</w:t>
      </w:r>
      <w:r w:rsidRPr="00E97EE3">
        <w:rPr>
          <w:rFonts w:ascii="Arial" w:eastAsia="Tahoma" w:hAnsi="Arial" w:cs="Arial"/>
        </w:rPr>
        <w:t xml:space="preserve"> Se hace constar que los valor estimados están acorde con los precios que en el mercado se pagan por asesorías como la que demanda la entidad y que para ello se han consultado las tarifas de honorarios profesionales y técnicos  fijadas para este tipo de servicios integrales por la administración central y sus entes descentralizados; de igual forma, conveniente es señalar que acudir a la valoración del apoyo legal en la modalidad "por servicio requerido", que implica pagos individuales por cada concepto, asistencia a reuniones, horas, encarecería el costo de la satisfacción de la necesidad y el costo administrativo de su atención, lo que hace más conveniente asumir de manera integral la contratación de los servicios.</w:t>
      </w:r>
    </w:p>
    <w:p w14:paraId="2F927D4C" w14:textId="1CDC6879" w:rsidR="00A36F94" w:rsidRDefault="004A5328" w:rsidP="00A36F94">
      <w:pPr>
        <w:spacing w:line="276" w:lineRule="auto"/>
        <w:jc w:val="both"/>
        <w:rPr>
          <w:rFonts w:ascii="Arial" w:eastAsia="Tahoma" w:hAnsi="Arial" w:cs="Arial"/>
        </w:rPr>
      </w:pPr>
      <w:r w:rsidRPr="00E97EE3">
        <w:rPr>
          <w:rFonts w:ascii="Arial" w:eastAsia="Tahoma" w:hAnsi="Arial" w:cs="Arial"/>
        </w:rPr>
        <w:t>En cuanto a la forma de pago, el</w:t>
      </w:r>
      <w:r w:rsidRPr="00E97EE3">
        <w:rPr>
          <w:rFonts w:ascii="Arial" w:eastAsia="Tahoma" w:hAnsi="Arial" w:cs="Arial"/>
          <w:b/>
        </w:rPr>
        <w:t xml:space="preserve"> </w:t>
      </w:r>
      <w:r w:rsidR="00A13850" w:rsidRPr="00E97EE3">
        <w:rPr>
          <w:rFonts w:ascii="Arial" w:eastAsia="Tahoma" w:hAnsi="Arial" w:cs="Arial"/>
          <w:b/>
        </w:rPr>
        <w:t>ALCALDÍA MUNICIPAL DE SAN JACINTO</w:t>
      </w:r>
      <w:r w:rsidR="00E97EE3" w:rsidRPr="00E97EE3">
        <w:rPr>
          <w:rFonts w:ascii="Arial" w:eastAsia="Tahoma" w:hAnsi="Arial" w:cs="Arial"/>
          <w:b/>
        </w:rPr>
        <w:t xml:space="preserve">, </w:t>
      </w:r>
      <w:r w:rsidR="00A13850" w:rsidRPr="00E97EE3">
        <w:rPr>
          <w:rFonts w:ascii="Arial" w:eastAsia="Tahoma" w:hAnsi="Arial" w:cs="Arial"/>
          <w:b/>
        </w:rPr>
        <w:t>BOLÍVAR</w:t>
      </w:r>
      <w:r w:rsidRPr="00E97EE3">
        <w:rPr>
          <w:rFonts w:ascii="Arial" w:eastAsia="Tahoma" w:hAnsi="Arial" w:cs="Arial"/>
        </w:rPr>
        <w:t xml:space="preserve">, </w:t>
      </w:r>
      <w:r w:rsidR="007D288D">
        <w:rPr>
          <w:rFonts w:ascii="Arial" w:eastAsia="Tahoma" w:hAnsi="Arial" w:cs="Arial"/>
        </w:rPr>
        <w:t>realizar</w:t>
      </w:r>
      <w:r w:rsidR="00A36F94">
        <w:rPr>
          <w:rFonts w:ascii="Arial" w:eastAsia="Tahoma" w:hAnsi="Arial" w:cs="Arial"/>
        </w:rPr>
        <w:t>á u</w:t>
      </w:r>
      <w:r w:rsidR="00A36F94" w:rsidRPr="00ED5903">
        <w:rPr>
          <w:rFonts w:ascii="Arial" w:hAnsi="Arial" w:cs="Arial"/>
        </w:rPr>
        <w:t xml:space="preserve">n pago por concepto de anticipo del cincuenta por ciento (50%) del valor de contrato correspondiente por la suma de </w:t>
      </w:r>
      <w:r w:rsidR="00A36F94">
        <w:rPr>
          <w:rFonts w:ascii="Arial" w:hAnsi="Arial" w:cs="Arial"/>
          <w:b/>
          <w:bCs/>
        </w:rPr>
        <w:t>CIENTO VEINTIDOS MILLONES QUINIENTOS MIL PESOS MCTE ($122.500.000)</w:t>
      </w:r>
      <w:r w:rsidR="00A36F94" w:rsidRPr="00ED5903">
        <w:rPr>
          <w:rFonts w:ascii="Arial" w:hAnsi="Arial" w:cs="Arial"/>
          <w:b/>
          <w:bCs/>
        </w:rPr>
        <w:t xml:space="preserve">; </w:t>
      </w:r>
      <w:r w:rsidR="00A36F94" w:rsidRPr="00ED5903">
        <w:rPr>
          <w:rFonts w:ascii="Arial" w:hAnsi="Arial" w:cs="Arial"/>
        </w:rPr>
        <w:t xml:space="preserve">y el 50% restante del valor del contrato, </w:t>
      </w:r>
      <w:r w:rsidR="00A36F94">
        <w:rPr>
          <w:rFonts w:ascii="Arial" w:hAnsi="Arial" w:cs="Arial"/>
        </w:rPr>
        <w:t xml:space="preserve">se cancelará en dos cuotas del 25% cada una de acuerdo al avance del proyecto, realizando amortización del anticipo. </w:t>
      </w:r>
      <w:r w:rsidR="00A36F94" w:rsidRPr="00ED5903">
        <w:rPr>
          <w:rFonts w:ascii="Arial" w:eastAsia="Tahoma" w:hAnsi="Arial" w:cs="Arial"/>
        </w:rPr>
        <w:t>El contratista deberá presentar: informe de actividades, recibo a satisfacción expedido por el supervisor del contrato y acreditar el cumplimiento de las obligaciones según lo dispuesto en el artículo 23 de la Ley 1150 de 2007 sobre el pago de las obligaciones de seguridad social Integral (Salud, Pensión y ARL).</w:t>
      </w:r>
    </w:p>
    <w:p w14:paraId="676DF683" w14:textId="4239BB7E" w:rsidR="004A5328" w:rsidRPr="0094452D" w:rsidRDefault="004A5328" w:rsidP="00A36F94">
      <w:pPr>
        <w:pStyle w:val="Prrafodelista"/>
        <w:numPr>
          <w:ilvl w:val="0"/>
          <w:numId w:val="22"/>
        </w:numPr>
        <w:spacing w:line="276" w:lineRule="auto"/>
        <w:jc w:val="both"/>
        <w:rPr>
          <w:rFonts w:ascii="Arial" w:eastAsia="Tahoma" w:hAnsi="Arial" w:cs="Arial"/>
          <w:b/>
        </w:rPr>
      </w:pPr>
      <w:r w:rsidRPr="0094452D">
        <w:rPr>
          <w:rFonts w:ascii="Arial" w:eastAsia="Tahoma" w:hAnsi="Arial" w:cs="Arial"/>
          <w:b/>
        </w:rPr>
        <w:t>ANÁLISIS TÉCNICO</w:t>
      </w:r>
    </w:p>
    <w:p w14:paraId="619129B8" w14:textId="77777777" w:rsidR="001E75ED" w:rsidRPr="001E75ED" w:rsidRDefault="001E75ED" w:rsidP="001E75ED">
      <w:pPr>
        <w:spacing w:after="200" w:line="276" w:lineRule="auto"/>
        <w:rPr>
          <w:rFonts w:ascii="Arial" w:hAnsi="Arial" w:cs="Arial"/>
          <w:b/>
          <w:bCs/>
        </w:rPr>
      </w:pPr>
      <w:r w:rsidRPr="001E75ED">
        <w:rPr>
          <w:rFonts w:ascii="Arial" w:hAnsi="Arial" w:cs="Arial"/>
          <w:b/>
          <w:bCs/>
        </w:rPr>
        <w:t>Obligaciones Especificas:</w:t>
      </w:r>
    </w:p>
    <w:p w14:paraId="2AAEC419" w14:textId="77777777" w:rsidR="00A36F94" w:rsidRPr="00C418B2" w:rsidRDefault="00A36F94" w:rsidP="00A36F94">
      <w:pPr>
        <w:pStyle w:val="Prrafodelista"/>
        <w:numPr>
          <w:ilvl w:val="0"/>
          <w:numId w:val="23"/>
        </w:numPr>
        <w:spacing w:after="200" w:line="276" w:lineRule="auto"/>
        <w:jc w:val="both"/>
        <w:rPr>
          <w:rFonts w:ascii="Arial" w:hAnsi="Arial" w:cs="Arial"/>
        </w:rPr>
      </w:pPr>
      <w:r w:rsidRPr="00C418B2">
        <w:rPr>
          <w:rFonts w:ascii="Arial" w:hAnsi="Arial" w:cs="Arial"/>
        </w:rPr>
        <w:t xml:space="preserve">Implementar estrategias integrales de prevención ante amenazas y vulneración de derechos, orientadas al reconocimiento y la activación oportuna de las rutas de atención. </w:t>
      </w:r>
    </w:p>
    <w:p w14:paraId="0DA5C761" w14:textId="77777777" w:rsidR="00A36F94" w:rsidRPr="00C418B2" w:rsidRDefault="00A36F94" w:rsidP="00A36F94">
      <w:pPr>
        <w:pStyle w:val="Prrafodelista"/>
        <w:numPr>
          <w:ilvl w:val="0"/>
          <w:numId w:val="23"/>
        </w:numPr>
        <w:spacing w:after="200" w:line="276" w:lineRule="auto"/>
        <w:jc w:val="both"/>
        <w:rPr>
          <w:rFonts w:ascii="Arial" w:hAnsi="Arial" w:cs="Arial"/>
        </w:rPr>
      </w:pPr>
      <w:r w:rsidRPr="00C418B2">
        <w:rPr>
          <w:rFonts w:ascii="Arial" w:hAnsi="Arial" w:cs="Arial"/>
        </w:rPr>
        <w:t xml:space="preserve">Fortalecer las capacidades de liderazgo, convivencia y réplica comunitaria de los Guardianes Escolares por la Paz. </w:t>
      </w:r>
    </w:p>
    <w:p w14:paraId="2BDE94FA" w14:textId="77777777" w:rsidR="00A36F94" w:rsidRPr="00C418B2" w:rsidRDefault="00A36F94" w:rsidP="00A36F94">
      <w:pPr>
        <w:pStyle w:val="Prrafodelista"/>
        <w:numPr>
          <w:ilvl w:val="0"/>
          <w:numId w:val="23"/>
        </w:numPr>
        <w:spacing w:after="200" w:line="276" w:lineRule="auto"/>
        <w:jc w:val="both"/>
        <w:rPr>
          <w:rFonts w:ascii="Arial" w:hAnsi="Arial" w:cs="Arial"/>
        </w:rPr>
      </w:pPr>
      <w:r w:rsidRPr="00C418B2">
        <w:rPr>
          <w:rFonts w:ascii="Arial" w:hAnsi="Arial" w:cs="Arial"/>
        </w:rPr>
        <w:t>Desarrollar acciones de promoción y socialización de los derechos de niños, niñas y adolescentes, a través de estrategias pedagógicas y uso de canales de comunicación y redes sociales, que fortalezcan su reconocimiento como sujetos de derechos y fomenten prácticas de cuidado, protección y corresponsabilidad en los entornos educativos, familiares y comunitarios.</w:t>
      </w:r>
    </w:p>
    <w:p w14:paraId="15061244" w14:textId="77777777" w:rsidR="00A36F94" w:rsidRPr="00C418B2" w:rsidRDefault="00A36F94" w:rsidP="00A36F94">
      <w:pPr>
        <w:pStyle w:val="Prrafodelista"/>
        <w:numPr>
          <w:ilvl w:val="0"/>
          <w:numId w:val="23"/>
        </w:numPr>
        <w:spacing w:after="200" w:line="276" w:lineRule="auto"/>
        <w:jc w:val="both"/>
        <w:rPr>
          <w:rFonts w:ascii="Arial" w:hAnsi="Arial" w:cs="Arial"/>
        </w:rPr>
      </w:pPr>
      <w:r w:rsidRPr="00C418B2">
        <w:rPr>
          <w:rFonts w:ascii="Arial" w:hAnsi="Arial" w:cs="Arial"/>
        </w:rPr>
        <w:t xml:space="preserve">Fortalecer el bienestar integral de la juventud mediante la implementación de la estrategia Tu Ruta, Tu Meta, articulando procesos formativos y expresiones artístico-deportivas como herramientas pedagógicas de prevención de riesgos psicosociales y desarrollo de habilidades socioemocionales. </w:t>
      </w:r>
    </w:p>
    <w:p w14:paraId="24F76D35" w14:textId="77777777" w:rsidR="00A36F94" w:rsidRPr="00C418B2" w:rsidRDefault="00A36F94" w:rsidP="00A36F94">
      <w:pPr>
        <w:pStyle w:val="Prrafodelista"/>
        <w:numPr>
          <w:ilvl w:val="0"/>
          <w:numId w:val="23"/>
        </w:numPr>
        <w:spacing w:after="200" w:line="276" w:lineRule="auto"/>
        <w:jc w:val="both"/>
        <w:rPr>
          <w:rFonts w:ascii="Arial" w:hAnsi="Arial" w:cs="Arial"/>
        </w:rPr>
      </w:pPr>
      <w:r w:rsidRPr="00C418B2">
        <w:rPr>
          <w:rFonts w:ascii="Arial" w:hAnsi="Arial" w:cs="Arial"/>
        </w:rPr>
        <w:t xml:space="preserve">Acompañar la fase de socialización de la Política Pública de Infancia, Niñez y Adolescencia del municipio, mediante acciones pedagógicas y participativas, que fortalezcan su apropiación y corresponsabilidad en la garantía y protección integral de los derechos. </w:t>
      </w:r>
    </w:p>
    <w:p w14:paraId="43254E10" w14:textId="77777777" w:rsidR="00A36F94" w:rsidRPr="00C418B2" w:rsidRDefault="00A36F94" w:rsidP="00A36F94">
      <w:pPr>
        <w:pStyle w:val="Prrafodelista"/>
        <w:numPr>
          <w:ilvl w:val="0"/>
          <w:numId w:val="23"/>
        </w:numPr>
        <w:spacing w:after="200" w:line="276" w:lineRule="auto"/>
        <w:jc w:val="both"/>
        <w:rPr>
          <w:rFonts w:ascii="Arial" w:hAnsi="Arial" w:cs="Arial"/>
        </w:rPr>
      </w:pPr>
      <w:r w:rsidRPr="00C418B2">
        <w:rPr>
          <w:rFonts w:ascii="Arial" w:hAnsi="Arial" w:cs="Arial"/>
        </w:rPr>
        <w:t>Consolidar espacios de participación juvenil efectivos y representativos, promoviendo el ejercicio activo de la ciudadanía, el liderazgo juvenil y la incidencia en los asuntos públicos.</w:t>
      </w:r>
    </w:p>
    <w:p w14:paraId="69F2C5C5" w14:textId="0E61762B" w:rsidR="004A5328" w:rsidRPr="00E97EE3" w:rsidRDefault="004A5328" w:rsidP="00E97EE3">
      <w:pPr>
        <w:spacing w:line="276" w:lineRule="auto"/>
        <w:jc w:val="both"/>
        <w:rPr>
          <w:rFonts w:ascii="Arial" w:eastAsia="Tahoma" w:hAnsi="Arial" w:cs="Arial"/>
          <w:b/>
        </w:rPr>
      </w:pPr>
      <w:r w:rsidRPr="00E97EE3">
        <w:rPr>
          <w:rFonts w:ascii="Arial" w:eastAsia="Tahoma" w:hAnsi="Arial" w:cs="Arial"/>
        </w:rPr>
        <w:t>b)</w:t>
      </w:r>
      <w:r w:rsidRPr="00E97EE3">
        <w:rPr>
          <w:rFonts w:ascii="Arial" w:eastAsia="Tahoma" w:hAnsi="Arial" w:cs="Arial"/>
        </w:rPr>
        <w:tab/>
      </w:r>
      <w:r w:rsidRPr="00E97EE3">
        <w:rPr>
          <w:rFonts w:ascii="Arial" w:eastAsia="Tahoma" w:hAnsi="Arial" w:cs="Arial"/>
          <w:b/>
        </w:rPr>
        <w:t>PARAMETRIZACIÓN DEL VALOR:</w:t>
      </w:r>
    </w:p>
    <w:p w14:paraId="2CDD4292" w14:textId="77777777" w:rsidR="004A5328" w:rsidRPr="00E97EE3" w:rsidRDefault="004A5328" w:rsidP="00E97EE3">
      <w:pPr>
        <w:spacing w:line="276" w:lineRule="auto"/>
        <w:jc w:val="both"/>
        <w:rPr>
          <w:rFonts w:ascii="Arial" w:eastAsia="Tahoma" w:hAnsi="Arial" w:cs="Arial"/>
        </w:rPr>
      </w:pPr>
      <w:r w:rsidRPr="00E97EE3">
        <w:rPr>
          <w:rFonts w:ascii="Arial" w:eastAsia="Tahoma" w:hAnsi="Arial" w:cs="Arial"/>
        </w:rPr>
        <w:t>Es necesario establecer el valor sujeto al alcance de las actuaciones llevadas a cabo en la entidad y los subprocesos derivados de estas. Esto implica una conciencia administrativa respecto a la ejecución de los procesos que serán liderados desde la aplicación. Se debe considerar el número de usuarios que interactuaron en la plataforma y la secuencia de necesidades que puedan surgir. Luego de realizar un análisis técnico y económico para su determinación.</w:t>
      </w:r>
    </w:p>
    <w:p w14:paraId="65003D12" w14:textId="77777777" w:rsidR="0094452D" w:rsidRDefault="0094452D" w:rsidP="0094452D">
      <w:pPr>
        <w:spacing w:before="202" w:line="276" w:lineRule="auto"/>
        <w:ind w:right="72"/>
        <w:rPr>
          <w:rFonts w:ascii="Arial" w:eastAsia="Tahoma" w:hAnsi="Arial" w:cs="Arial"/>
          <w:b/>
        </w:rPr>
      </w:pPr>
    </w:p>
    <w:p w14:paraId="7DF480C3" w14:textId="3DC6FA50" w:rsidR="004A5328" w:rsidRPr="0094452D" w:rsidRDefault="004A5328" w:rsidP="00A36F94">
      <w:pPr>
        <w:pStyle w:val="Prrafodelista"/>
        <w:numPr>
          <w:ilvl w:val="0"/>
          <w:numId w:val="22"/>
        </w:numPr>
        <w:spacing w:before="202" w:line="276" w:lineRule="auto"/>
        <w:ind w:right="72"/>
        <w:rPr>
          <w:rFonts w:ascii="Arial" w:eastAsia="Tahoma" w:hAnsi="Arial" w:cs="Arial"/>
          <w:b/>
        </w:rPr>
      </w:pPr>
      <w:r w:rsidRPr="0094452D">
        <w:rPr>
          <w:rFonts w:ascii="Arial" w:eastAsia="Tahoma" w:hAnsi="Arial" w:cs="Arial"/>
          <w:b/>
        </w:rPr>
        <w:t>ANÁLISIS DE RIESGOS.</w:t>
      </w:r>
    </w:p>
    <w:p w14:paraId="27FCAD48" w14:textId="77777777" w:rsidR="004A5328" w:rsidRPr="00E97EE3" w:rsidRDefault="004A5328" w:rsidP="00E97EE3">
      <w:pPr>
        <w:spacing w:before="202" w:line="276" w:lineRule="auto"/>
        <w:ind w:right="72"/>
        <w:jc w:val="center"/>
        <w:rPr>
          <w:rFonts w:ascii="Arial" w:eastAsia="Tahoma" w:hAnsi="Arial" w:cs="Arial"/>
          <w:b/>
        </w:rPr>
      </w:pPr>
      <w:r w:rsidRPr="00E97EE3">
        <w:rPr>
          <w:rFonts w:ascii="Arial" w:eastAsia="Tahoma" w:hAnsi="Arial" w:cs="Arial"/>
          <w:b/>
          <w:noProof/>
        </w:rPr>
        <w:drawing>
          <wp:inline distT="0" distB="0" distL="0" distR="0" wp14:anchorId="4751B17C" wp14:editId="2412B37F">
            <wp:extent cx="4343058" cy="328513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l="29016" t="28931" r="28772" b="19984"/>
                    <a:stretch>
                      <a:fillRect/>
                    </a:stretch>
                  </pic:blipFill>
                  <pic:spPr>
                    <a:xfrm>
                      <a:off x="0" y="0"/>
                      <a:ext cx="4343058" cy="3285130"/>
                    </a:xfrm>
                    <a:prstGeom prst="rect">
                      <a:avLst/>
                    </a:prstGeom>
                    <a:ln/>
                  </pic:spPr>
                </pic:pic>
              </a:graphicData>
            </a:graphic>
          </wp:inline>
        </w:drawing>
      </w:r>
    </w:p>
    <w:p w14:paraId="23906120" w14:textId="77777777" w:rsidR="004A5328" w:rsidRPr="00E97EE3" w:rsidRDefault="004A5328" w:rsidP="00B04F2E">
      <w:pPr>
        <w:spacing w:before="202" w:line="276" w:lineRule="auto"/>
        <w:ind w:right="72"/>
        <w:jc w:val="both"/>
        <w:rPr>
          <w:rFonts w:ascii="Arial" w:eastAsia="Tahoma" w:hAnsi="Arial" w:cs="Arial"/>
        </w:rPr>
      </w:pPr>
      <w:r w:rsidRPr="00E97EE3">
        <w:rPr>
          <w:rFonts w:ascii="Arial" w:eastAsia="Tahoma" w:hAnsi="Arial" w:cs="Arial"/>
          <w:b/>
        </w:rPr>
        <w:t>ANÁLISIS DEL RIESGO</w:t>
      </w:r>
      <w:r w:rsidRPr="00E97EE3">
        <w:rPr>
          <w:rFonts w:ascii="Arial" w:eastAsia="Tahoma" w:hAnsi="Arial" w:cs="Arial"/>
        </w:rPr>
        <w:t xml:space="preserve"> De conformidad con lo dispuesto por el artículo 4 de la Ley 1150 de 2007 y el artículo 2.2.1.1.1.6.3 del Decreto 1082 de 2015, en el presente proceso de contratación la entidad ha evaluado el riesgo que representa para el cumplimiento de sus metas y objetivos, basándose en las reglas contenidas en el manual para la identificación y cobertura del riesgo en los procesos de contratación versión 1, expedido por Colombia Compra Eficiente, así: </w:t>
      </w:r>
    </w:p>
    <w:p w14:paraId="18EF593B" w14:textId="77777777" w:rsidR="004A5328" w:rsidRPr="00E97EE3"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E97EE3">
        <w:rPr>
          <w:rFonts w:ascii="Arial" w:eastAsia="Tahoma" w:hAnsi="Arial" w:cs="Arial"/>
        </w:rPr>
        <w:t xml:space="preserve">La Alcaldía </w:t>
      </w:r>
      <w:proofErr w:type="gramStart"/>
      <w:r w:rsidRPr="00E97EE3">
        <w:rPr>
          <w:rFonts w:ascii="Arial" w:eastAsia="Tahoma" w:hAnsi="Arial" w:cs="Arial"/>
        </w:rPr>
        <w:t>municipal  en</w:t>
      </w:r>
      <w:proofErr w:type="gramEnd"/>
      <w:r w:rsidRPr="00E97EE3">
        <w:rPr>
          <w:rFonts w:ascii="Arial" w:eastAsia="Tahoma" w:hAnsi="Arial" w:cs="Arial"/>
        </w:rPr>
        <w:t xml:space="preserve"> cumplimiento de la función pública asignada, no se evidencia un evento adverso frente a las condiciones políticas actuales, teniendo en cuenta que se cuenta con las herramientas legales necesarias para llevar a cabo no sólo el proceso de la contratación sino también la ejecución misma del contrato, sin verse afectado por cambios de políticas gubernamentales. No obstante, puede presentarse una directriz expedida por el gobierno nacional que reglamente aspectos nuevos de la normatividad o no existentes en ella. </w:t>
      </w:r>
    </w:p>
    <w:p w14:paraId="313EDE90" w14:textId="57B580C3" w:rsidR="004A5328" w:rsidRPr="00E97EE3"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E97EE3">
        <w:rPr>
          <w:rFonts w:ascii="Arial" w:eastAsia="Tahoma" w:hAnsi="Arial" w:cs="Arial"/>
        </w:rPr>
        <w:t xml:space="preserve">Los factores ambientales. La alcaldía en cumplimiento de la función pública asignada, servicios que son alojados en un data center de alta tecnología que cumpla con todos los estándares para su buen funcionamiento, es decir, son servicios, por lo cual no se observa un evento adverso que genere un impacto directo en el medio ambiente, por lo cual no hay necesidad de iniciar para el proceso de selección y la posterior ejecución del objeto del contrato, estudio, licencias o permisos en materia ambiental. </w:t>
      </w:r>
    </w:p>
    <w:p w14:paraId="53ED01A5" w14:textId="54426640" w:rsidR="004A5328" w:rsidRPr="00E97EE3" w:rsidRDefault="004A5328" w:rsidP="00B04F2E">
      <w:pPr>
        <w:numPr>
          <w:ilvl w:val="0"/>
          <w:numId w:val="2"/>
        </w:numPr>
        <w:pBdr>
          <w:top w:val="nil"/>
          <w:left w:val="nil"/>
          <w:bottom w:val="nil"/>
          <w:right w:val="nil"/>
          <w:between w:val="nil"/>
        </w:pBdr>
        <w:spacing w:line="276" w:lineRule="auto"/>
        <w:ind w:right="72"/>
        <w:jc w:val="both"/>
        <w:rPr>
          <w:rFonts w:ascii="Arial" w:eastAsia="Tahoma" w:hAnsi="Arial" w:cs="Arial"/>
        </w:rPr>
      </w:pPr>
      <w:r w:rsidRPr="00E97EE3">
        <w:rPr>
          <w:rFonts w:ascii="Arial" w:eastAsia="Tahoma" w:hAnsi="Arial" w:cs="Arial"/>
        </w:rPr>
        <w:t xml:space="preserve">La </w:t>
      </w:r>
      <w:r w:rsidR="00A13850" w:rsidRPr="00E97EE3">
        <w:rPr>
          <w:rFonts w:ascii="Arial" w:eastAsia="Tahoma" w:hAnsi="Arial" w:cs="Arial"/>
          <w:b/>
        </w:rPr>
        <w:t>ALCALDÍA MUNICIPAL DE SAN JACINTO</w:t>
      </w:r>
      <w:r w:rsidR="00B04F2E">
        <w:rPr>
          <w:rFonts w:ascii="Arial" w:eastAsia="Tahoma" w:hAnsi="Arial" w:cs="Arial"/>
          <w:b/>
        </w:rPr>
        <w:t xml:space="preserve">, </w:t>
      </w:r>
      <w:r w:rsidR="00A13850" w:rsidRPr="00E97EE3">
        <w:rPr>
          <w:rFonts w:ascii="Arial" w:eastAsia="Tahoma" w:hAnsi="Arial" w:cs="Arial"/>
          <w:b/>
        </w:rPr>
        <w:t>BOLÍVAR</w:t>
      </w:r>
      <w:r w:rsidR="00A13850" w:rsidRPr="00E97EE3">
        <w:rPr>
          <w:rFonts w:ascii="Arial" w:eastAsia="Tahoma" w:hAnsi="Arial" w:cs="Arial"/>
        </w:rPr>
        <w:t xml:space="preserve"> </w:t>
      </w:r>
      <w:r w:rsidRPr="00E97EE3">
        <w:rPr>
          <w:rFonts w:ascii="Arial" w:eastAsia="Tahoma" w:hAnsi="Arial" w:cs="Arial"/>
        </w:rPr>
        <w:t xml:space="preserve">en cumplimiento de la función pública asignada ha llevado a cabo sus procesos de contratación para con objeto similar para el funcionamiento de la entidad con un resultado satisfactorio. Y de las contrataciones realizadas en años anteriores, no se han observado eventos adversos de incumplimiento por parte de los contratistas seleccionados. En virtud de lo anterior, no se han aplicado instrumentos legales de conminación al cumplimiento de obligaciones ni las cláusulas excepcionales pactadas. </w:t>
      </w:r>
    </w:p>
    <w:p w14:paraId="4664EDC9" w14:textId="77777777" w:rsidR="004A5328" w:rsidRPr="00E97EE3" w:rsidRDefault="004A5328" w:rsidP="00B04F2E">
      <w:pPr>
        <w:spacing w:before="202" w:line="276" w:lineRule="auto"/>
        <w:ind w:right="72"/>
        <w:jc w:val="both"/>
        <w:rPr>
          <w:rFonts w:ascii="Arial" w:eastAsia="Tahoma" w:hAnsi="Arial" w:cs="Arial"/>
        </w:rPr>
      </w:pPr>
      <w:r w:rsidRPr="00E97EE3">
        <w:rPr>
          <w:rFonts w:ascii="Arial" w:eastAsia="Tahoma" w:hAnsi="Arial" w:cs="Arial"/>
        </w:rPr>
        <w:t xml:space="preserve">De acuerdo con lo previsto en el artículo 4º de la Ley 1150 de 2007, el artículo 2.2.1.1.1.6.3 del Decreto 1082 de 2015, los lineamientos del manual de riesgos expedido por Colombia Compra </w:t>
      </w:r>
      <w:r w:rsidRPr="00E97EE3">
        <w:rPr>
          <w:rFonts w:ascii="Arial" w:eastAsia="Tahoma" w:hAnsi="Arial" w:cs="Arial"/>
        </w:rPr>
        <w:lastRenderedPageBreak/>
        <w:t>Eficiente y el CONPES 3714 de 2011, esta entidad ha definido como riesgos dentro de la ejecución del presente proceso de contratación los siguientes riesgos:</w:t>
      </w:r>
    </w:p>
    <w:tbl>
      <w:tblPr>
        <w:tblW w:w="9346" w:type="dxa"/>
        <w:jc w:val="center"/>
        <w:tblLayout w:type="fixed"/>
        <w:tblLook w:val="0400" w:firstRow="0" w:lastRow="0" w:firstColumn="0" w:lastColumn="0" w:noHBand="0" w:noVBand="1"/>
      </w:tblPr>
      <w:tblGrid>
        <w:gridCol w:w="334"/>
        <w:gridCol w:w="520"/>
        <w:gridCol w:w="525"/>
        <w:gridCol w:w="570"/>
        <w:gridCol w:w="570"/>
        <w:gridCol w:w="2865"/>
        <w:gridCol w:w="1694"/>
        <w:gridCol w:w="466"/>
        <w:gridCol w:w="510"/>
        <w:gridCol w:w="754"/>
        <w:gridCol w:w="538"/>
      </w:tblGrid>
      <w:tr w:rsidR="004A5328" w:rsidRPr="004A5328" w14:paraId="1FADA3D2" w14:textId="77777777" w:rsidTr="00A13850">
        <w:trPr>
          <w:cantSplit/>
          <w:trHeight w:val="772"/>
          <w:tblHeader/>
          <w:jc w:val="center"/>
        </w:trPr>
        <w:tc>
          <w:tcPr>
            <w:tcW w:w="334" w:type="dxa"/>
            <w:tcBorders>
              <w:top w:val="single" w:sz="4" w:space="0" w:color="000000"/>
              <w:left w:val="single" w:sz="8" w:space="0" w:color="000000"/>
              <w:bottom w:val="single" w:sz="8" w:space="0" w:color="000000"/>
              <w:right w:val="single" w:sz="8" w:space="0" w:color="000000"/>
            </w:tcBorders>
            <w:shd w:val="clear" w:color="auto" w:fill="auto"/>
          </w:tcPr>
          <w:p w14:paraId="2902FF81" w14:textId="116993E5"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No.</w:t>
            </w:r>
          </w:p>
        </w:tc>
        <w:tc>
          <w:tcPr>
            <w:tcW w:w="520" w:type="dxa"/>
            <w:tcBorders>
              <w:top w:val="single" w:sz="4" w:space="0" w:color="000000"/>
              <w:left w:val="single" w:sz="8" w:space="0" w:color="000000"/>
              <w:bottom w:val="single" w:sz="8" w:space="0" w:color="000000"/>
              <w:right w:val="single" w:sz="8" w:space="0" w:color="000000"/>
            </w:tcBorders>
            <w:shd w:val="clear" w:color="auto" w:fill="auto"/>
          </w:tcPr>
          <w:p w14:paraId="7310B647"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Clase</w:t>
            </w:r>
          </w:p>
        </w:tc>
        <w:tc>
          <w:tcPr>
            <w:tcW w:w="525" w:type="dxa"/>
            <w:tcBorders>
              <w:top w:val="single" w:sz="4" w:space="0" w:color="000000"/>
              <w:left w:val="single" w:sz="8" w:space="0" w:color="000000"/>
              <w:bottom w:val="single" w:sz="8" w:space="0" w:color="000000"/>
              <w:right w:val="single" w:sz="8" w:space="0" w:color="000000"/>
            </w:tcBorders>
            <w:shd w:val="clear" w:color="auto" w:fill="auto"/>
          </w:tcPr>
          <w:p w14:paraId="632DA765"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Fuente</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697BB338"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Etapa</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499749E7"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Tipo</w:t>
            </w:r>
          </w:p>
        </w:tc>
        <w:tc>
          <w:tcPr>
            <w:tcW w:w="2865" w:type="dxa"/>
            <w:tcBorders>
              <w:top w:val="single" w:sz="4" w:space="0" w:color="000000"/>
              <w:bottom w:val="single" w:sz="8" w:space="0" w:color="000000"/>
              <w:right w:val="single" w:sz="8" w:space="0" w:color="000000"/>
            </w:tcBorders>
            <w:shd w:val="clear" w:color="auto" w:fill="auto"/>
          </w:tcPr>
          <w:p w14:paraId="4BFB0599"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DESCRIPCIÓN</w:t>
            </w:r>
          </w:p>
          <w:p w14:paraId="7812A0E3"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(Qué puede pasar y cómo puede ocurrir)</w:t>
            </w:r>
          </w:p>
        </w:tc>
        <w:tc>
          <w:tcPr>
            <w:tcW w:w="1694" w:type="dxa"/>
            <w:tcBorders>
              <w:top w:val="single" w:sz="4" w:space="0" w:color="000000"/>
              <w:left w:val="single" w:sz="8" w:space="0" w:color="000000"/>
              <w:bottom w:val="single" w:sz="8" w:space="0" w:color="000000"/>
              <w:right w:val="single" w:sz="8" w:space="0" w:color="000000"/>
            </w:tcBorders>
            <w:shd w:val="clear" w:color="auto" w:fill="auto"/>
          </w:tcPr>
          <w:p w14:paraId="7DB30A4A"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Consecuencia de la ocurrencia del evento</w:t>
            </w:r>
          </w:p>
        </w:tc>
        <w:tc>
          <w:tcPr>
            <w:tcW w:w="466" w:type="dxa"/>
            <w:tcBorders>
              <w:top w:val="single" w:sz="4" w:space="0" w:color="000000"/>
              <w:left w:val="single" w:sz="8" w:space="0" w:color="000000"/>
              <w:bottom w:val="single" w:sz="8" w:space="0" w:color="000000"/>
              <w:right w:val="single" w:sz="8" w:space="0" w:color="000000"/>
            </w:tcBorders>
            <w:shd w:val="clear" w:color="auto" w:fill="auto"/>
          </w:tcPr>
          <w:p w14:paraId="589EB364"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Probabilidad</w:t>
            </w:r>
          </w:p>
        </w:tc>
        <w:tc>
          <w:tcPr>
            <w:tcW w:w="510" w:type="dxa"/>
            <w:tcBorders>
              <w:top w:val="single" w:sz="4" w:space="0" w:color="000000"/>
              <w:left w:val="single" w:sz="8" w:space="0" w:color="000000"/>
              <w:bottom w:val="single" w:sz="8" w:space="0" w:color="000000"/>
              <w:right w:val="single" w:sz="8" w:space="0" w:color="000000"/>
            </w:tcBorders>
            <w:shd w:val="clear" w:color="auto" w:fill="auto"/>
          </w:tcPr>
          <w:p w14:paraId="5B54DC91"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Impacto</w:t>
            </w:r>
          </w:p>
        </w:tc>
        <w:tc>
          <w:tcPr>
            <w:tcW w:w="754" w:type="dxa"/>
            <w:tcBorders>
              <w:top w:val="single" w:sz="4" w:space="0" w:color="000000"/>
              <w:left w:val="single" w:sz="8" w:space="0" w:color="000000"/>
              <w:bottom w:val="single" w:sz="8" w:space="0" w:color="000000"/>
              <w:right w:val="single" w:sz="8" w:space="0" w:color="000000"/>
            </w:tcBorders>
            <w:shd w:val="clear" w:color="auto" w:fill="auto"/>
          </w:tcPr>
          <w:p w14:paraId="619E8D53"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Calificación Total</w:t>
            </w:r>
          </w:p>
        </w:tc>
        <w:tc>
          <w:tcPr>
            <w:tcW w:w="538" w:type="dxa"/>
            <w:tcBorders>
              <w:top w:val="single" w:sz="4" w:space="0" w:color="000000"/>
              <w:left w:val="single" w:sz="8" w:space="0" w:color="000000"/>
              <w:bottom w:val="single" w:sz="8" w:space="0" w:color="000000"/>
              <w:right w:val="single" w:sz="8" w:space="0" w:color="000000"/>
            </w:tcBorders>
            <w:shd w:val="clear" w:color="auto" w:fill="auto"/>
          </w:tcPr>
          <w:p w14:paraId="1AA0A38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b/>
                <w:sz w:val="10"/>
                <w:szCs w:val="10"/>
              </w:rPr>
              <w:t>Prioridad</w:t>
            </w:r>
          </w:p>
        </w:tc>
      </w:tr>
      <w:tr w:rsidR="004A5328" w:rsidRPr="004A5328" w14:paraId="33CDD491" w14:textId="77777777" w:rsidTr="00A13850">
        <w:trPr>
          <w:cantSplit/>
          <w:trHeight w:val="860"/>
          <w:jc w:val="center"/>
        </w:trPr>
        <w:tc>
          <w:tcPr>
            <w:tcW w:w="334" w:type="dxa"/>
            <w:tcBorders>
              <w:left w:val="single" w:sz="8" w:space="0" w:color="000000"/>
              <w:bottom w:val="single" w:sz="8" w:space="0" w:color="000000"/>
              <w:right w:val="single" w:sz="8" w:space="0" w:color="000000"/>
            </w:tcBorders>
            <w:shd w:val="clear" w:color="auto" w:fill="FFFFFF"/>
          </w:tcPr>
          <w:p w14:paraId="637270D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1</w:t>
            </w:r>
          </w:p>
        </w:tc>
        <w:tc>
          <w:tcPr>
            <w:tcW w:w="520" w:type="dxa"/>
            <w:tcBorders>
              <w:bottom w:val="single" w:sz="8" w:space="0" w:color="000000"/>
              <w:right w:val="single" w:sz="8" w:space="0" w:color="000000"/>
            </w:tcBorders>
            <w:shd w:val="clear" w:color="auto" w:fill="FFFFFF"/>
          </w:tcPr>
          <w:p w14:paraId="38603290"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5D80903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8" w:space="0" w:color="000000"/>
              <w:right w:val="single" w:sz="8" w:space="0" w:color="000000"/>
            </w:tcBorders>
            <w:shd w:val="clear" w:color="auto" w:fill="FFFFFF"/>
          </w:tcPr>
          <w:p w14:paraId="28292F8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Ejecución</w:t>
            </w:r>
          </w:p>
        </w:tc>
        <w:tc>
          <w:tcPr>
            <w:tcW w:w="570" w:type="dxa"/>
            <w:tcBorders>
              <w:bottom w:val="single" w:sz="8" w:space="0" w:color="000000"/>
              <w:right w:val="single" w:sz="8" w:space="0" w:color="000000"/>
            </w:tcBorders>
            <w:shd w:val="clear" w:color="auto" w:fill="FFFFFF"/>
          </w:tcPr>
          <w:p w14:paraId="4F11F61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7F1A76D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un riesgo, cuando la Información suministrada por el oferente o contratista es errónea o desactualizada.</w:t>
            </w:r>
          </w:p>
        </w:tc>
        <w:tc>
          <w:tcPr>
            <w:tcW w:w="1694" w:type="dxa"/>
            <w:tcBorders>
              <w:bottom w:val="single" w:sz="8" w:space="0" w:color="000000"/>
              <w:right w:val="single" w:sz="8" w:space="0" w:color="000000"/>
            </w:tcBorders>
            <w:shd w:val="clear" w:color="auto" w:fill="FFFFFF"/>
          </w:tcPr>
          <w:p w14:paraId="354F0A6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Puede variar el resultado</w:t>
            </w:r>
          </w:p>
        </w:tc>
        <w:tc>
          <w:tcPr>
            <w:tcW w:w="466" w:type="dxa"/>
            <w:tcBorders>
              <w:bottom w:val="single" w:sz="8" w:space="0" w:color="000000"/>
              <w:right w:val="single" w:sz="8" w:space="0" w:color="000000"/>
            </w:tcBorders>
            <w:shd w:val="clear" w:color="auto" w:fill="FFFFFF"/>
          </w:tcPr>
          <w:p w14:paraId="344FC11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3- Posible</w:t>
            </w:r>
          </w:p>
        </w:tc>
        <w:tc>
          <w:tcPr>
            <w:tcW w:w="510" w:type="dxa"/>
            <w:tcBorders>
              <w:bottom w:val="single" w:sz="8" w:space="0" w:color="000000"/>
              <w:right w:val="single" w:sz="8" w:space="0" w:color="000000"/>
            </w:tcBorders>
            <w:shd w:val="clear" w:color="auto" w:fill="FFFFFF"/>
          </w:tcPr>
          <w:p w14:paraId="72AFE38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Catastrófica</w:t>
            </w:r>
          </w:p>
        </w:tc>
        <w:tc>
          <w:tcPr>
            <w:tcW w:w="754" w:type="dxa"/>
            <w:tcBorders>
              <w:bottom w:val="single" w:sz="8" w:space="0" w:color="000000"/>
              <w:right w:val="single" w:sz="8" w:space="0" w:color="000000"/>
            </w:tcBorders>
            <w:shd w:val="clear" w:color="auto" w:fill="FFFFFF"/>
          </w:tcPr>
          <w:p w14:paraId="60B981A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Extremo</w:t>
            </w:r>
          </w:p>
        </w:tc>
        <w:tc>
          <w:tcPr>
            <w:tcW w:w="538" w:type="dxa"/>
            <w:tcBorders>
              <w:top w:val="single" w:sz="8" w:space="0" w:color="000000"/>
              <w:bottom w:val="single" w:sz="8" w:space="0" w:color="000000"/>
              <w:right w:val="single" w:sz="4" w:space="0" w:color="000000"/>
            </w:tcBorders>
            <w:shd w:val="clear" w:color="auto" w:fill="FFFFFF"/>
          </w:tcPr>
          <w:p w14:paraId="47AF86A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r>
      <w:tr w:rsidR="004A5328" w:rsidRPr="004A5328" w14:paraId="151A4AF5" w14:textId="77777777" w:rsidTr="00A13850">
        <w:trPr>
          <w:cantSplit/>
          <w:trHeight w:val="547"/>
          <w:jc w:val="center"/>
        </w:trPr>
        <w:tc>
          <w:tcPr>
            <w:tcW w:w="334" w:type="dxa"/>
            <w:tcBorders>
              <w:left w:val="single" w:sz="8" w:space="0" w:color="000000"/>
              <w:bottom w:val="single" w:sz="8" w:space="0" w:color="000000"/>
              <w:right w:val="single" w:sz="8" w:space="0" w:color="000000"/>
            </w:tcBorders>
            <w:shd w:val="clear" w:color="auto" w:fill="FFFFFF"/>
          </w:tcPr>
          <w:p w14:paraId="7A6089F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2</w:t>
            </w:r>
          </w:p>
        </w:tc>
        <w:tc>
          <w:tcPr>
            <w:tcW w:w="520" w:type="dxa"/>
            <w:tcBorders>
              <w:bottom w:val="single" w:sz="8" w:space="0" w:color="000000"/>
              <w:right w:val="single" w:sz="8" w:space="0" w:color="000000"/>
            </w:tcBorders>
            <w:shd w:val="clear" w:color="auto" w:fill="FFFFFF"/>
          </w:tcPr>
          <w:p w14:paraId="649A2AB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096581B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Externo</w:t>
            </w:r>
          </w:p>
        </w:tc>
        <w:tc>
          <w:tcPr>
            <w:tcW w:w="570" w:type="dxa"/>
            <w:tcBorders>
              <w:bottom w:val="single" w:sz="8" w:space="0" w:color="000000"/>
              <w:right w:val="single" w:sz="8" w:space="0" w:color="000000"/>
            </w:tcBorders>
            <w:shd w:val="clear" w:color="auto" w:fill="FFFFFF"/>
          </w:tcPr>
          <w:p w14:paraId="162E8ED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Precontractual</w:t>
            </w:r>
          </w:p>
        </w:tc>
        <w:tc>
          <w:tcPr>
            <w:tcW w:w="570" w:type="dxa"/>
            <w:tcBorders>
              <w:bottom w:val="single" w:sz="8" w:space="0" w:color="000000"/>
              <w:right w:val="single" w:sz="8" w:space="0" w:color="000000"/>
            </w:tcBorders>
            <w:shd w:val="clear" w:color="auto" w:fill="FFFFFF"/>
          </w:tcPr>
          <w:p w14:paraId="132AB8E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6903635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el riesgo, cuando el uso o recolección de Información precontractual es errada</w:t>
            </w:r>
          </w:p>
        </w:tc>
        <w:tc>
          <w:tcPr>
            <w:tcW w:w="1694" w:type="dxa"/>
            <w:tcBorders>
              <w:bottom w:val="single" w:sz="8" w:space="0" w:color="000000"/>
              <w:right w:val="single" w:sz="8" w:space="0" w:color="000000"/>
            </w:tcBorders>
            <w:shd w:val="clear" w:color="auto" w:fill="FFFFFF"/>
          </w:tcPr>
          <w:p w14:paraId="42078F2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Inadecuada selección del contratista</w:t>
            </w:r>
          </w:p>
        </w:tc>
        <w:tc>
          <w:tcPr>
            <w:tcW w:w="466" w:type="dxa"/>
            <w:tcBorders>
              <w:bottom w:val="single" w:sz="8" w:space="0" w:color="000000"/>
              <w:right w:val="single" w:sz="8" w:space="0" w:color="000000"/>
            </w:tcBorders>
            <w:shd w:val="clear" w:color="auto" w:fill="FFFFFF"/>
          </w:tcPr>
          <w:p w14:paraId="370C6127"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8" w:space="0" w:color="000000"/>
              <w:right w:val="single" w:sz="8" w:space="0" w:color="000000"/>
            </w:tcBorders>
            <w:shd w:val="clear" w:color="auto" w:fill="FFFFFF"/>
          </w:tcPr>
          <w:p w14:paraId="70F7EAA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8" w:space="0" w:color="000000"/>
              <w:right w:val="single" w:sz="8" w:space="0" w:color="000000"/>
            </w:tcBorders>
            <w:shd w:val="clear" w:color="auto" w:fill="FFFFFF"/>
          </w:tcPr>
          <w:p w14:paraId="71F238E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c>
          <w:tcPr>
            <w:tcW w:w="538" w:type="dxa"/>
            <w:tcBorders>
              <w:top w:val="single" w:sz="8" w:space="0" w:color="000000"/>
              <w:bottom w:val="single" w:sz="8" w:space="0" w:color="000000"/>
              <w:right w:val="single" w:sz="4" w:space="0" w:color="000000"/>
            </w:tcBorders>
            <w:shd w:val="clear" w:color="auto" w:fill="FFFFFF"/>
          </w:tcPr>
          <w:p w14:paraId="747DB1C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Menor</w:t>
            </w:r>
          </w:p>
        </w:tc>
      </w:tr>
      <w:tr w:rsidR="004A5328" w:rsidRPr="004A5328" w14:paraId="2EA7B789" w14:textId="77777777" w:rsidTr="00A13850">
        <w:trPr>
          <w:cantSplit/>
          <w:trHeight w:val="614"/>
          <w:jc w:val="center"/>
        </w:trPr>
        <w:tc>
          <w:tcPr>
            <w:tcW w:w="334" w:type="dxa"/>
            <w:tcBorders>
              <w:left w:val="single" w:sz="8" w:space="0" w:color="000000"/>
              <w:bottom w:val="single" w:sz="4" w:space="0" w:color="000000"/>
              <w:right w:val="single" w:sz="8" w:space="0" w:color="000000"/>
            </w:tcBorders>
            <w:shd w:val="clear" w:color="auto" w:fill="FFFFFF"/>
          </w:tcPr>
          <w:p w14:paraId="2CBA51E0"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3</w:t>
            </w:r>
          </w:p>
        </w:tc>
        <w:tc>
          <w:tcPr>
            <w:tcW w:w="520" w:type="dxa"/>
            <w:tcBorders>
              <w:bottom w:val="single" w:sz="4" w:space="0" w:color="000000"/>
              <w:right w:val="single" w:sz="8" w:space="0" w:color="000000"/>
            </w:tcBorders>
            <w:shd w:val="clear" w:color="auto" w:fill="FFFFFF"/>
          </w:tcPr>
          <w:p w14:paraId="02E3D30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4" w:space="0" w:color="000000"/>
              <w:right w:val="single" w:sz="8" w:space="0" w:color="000000"/>
            </w:tcBorders>
            <w:shd w:val="clear" w:color="auto" w:fill="FFFFFF"/>
          </w:tcPr>
          <w:p w14:paraId="7924309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68609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4B4EE5C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4" w:space="0" w:color="000000"/>
              <w:right w:val="single" w:sz="8" w:space="0" w:color="000000"/>
            </w:tcBorders>
            <w:shd w:val="clear" w:color="auto" w:fill="FFFFFF"/>
          </w:tcPr>
          <w:p w14:paraId="2CD1406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Designar supervisores que no cuentan con conocimientos suficientes para desempeñar la función.</w:t>
            </w:r>
          </w:p>
        </w:tc>
        <w:tc>
          <w:tcPr>
            <w:tcW w:w="1694" w:type="dxa"/>
            <w:tcBorders>
              <w:bottom w:val="single" w:sz="4" w:space="0" w:color="000000"/>
              <w:right w:val="single" w:sz="8" w:space="0" w:color="000000"/>
            </w:tcBorders>
            <w:shd w:val="clear" w:color="auto" w:fill="FFFFFF"/>
          </w:tcPr>
          <w:p w14:paraId="729FC19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Ejecución y supervisión contractual deficiente.</w:t>
            </w:r>
          </w:p>
        </w:tc>
        <w:tc>
          <w:tcPr>
            <w:tcW w:w="466" w:type="dxa"/>
            <w:tcBorders>
              <w:bottom w:val="single" w:sz="4" w:space="0" w:color="000000"/>
              <w:right w:val="single" w:sz="8" w:space="0" w:color="000000"/>
            </w:tcBorders>
            <w:shd w:val="clear" w:color="auto" w:fill="FFFFFF"/>
          </w:tcPr>
          <w:p w14:paraId="75D1F34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126FB52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62856D7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Medio</w:t>
            </w:r>
          </w:p>
        </w:tc>
        <w:tc>
          <w:tcPr>
            <w:tcW w:w="538" w:type="dxa"/>
            <w:tcBorders>
              <w:bottom w:val="single" w:sz="4" w:space="0" w:color="000000"/>
              <w:right w:val="single" w:sz="8" w:space="0" w:color="000000"/>
            </w:tcBorders>
            <w:shd w:val="clear" w:color="auto" w:fill="FFFFFF"/>
          </w:tcPr>
          <w:p w14:paraId="33C52EF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r>
      <w:tr w:rsidR="004A5328" w:rsidRPr="004A5328" w14:paraId="4570B567" w14:textId="77777777" w:rsidTr="00A13850">
        <w:trPr>
          <w:cantSplit/>
          <w:trHeight w:val="1251"/>
          <w:jc w:val="center"/>
        </w:trPr>
        <w:tc>
          <w:tcPr>
            <w:tcW w:w="334" w:type="dxa"/>
            <w:tcBorders>
              <w:left w:val="single" w:sz="8" w:space="0" w:color="000000"/>
              <w:bottom w:val="single" w:sz="4" w:space="0" w:color="000000"/>
              <w:right w:val="single" w:sz="8" w:space="0" w:color="000000"/>
            </w:tcBorders>
            <w:shd w:val="clear" w:color="auto" w:fill="FFFFFF"/>
          </w:tcPr>
          <w:p w14:paraId="7338DBA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4</w:t>
            </w:r>
          </w:p>
        </w:tc>
        <w:tc>
          <w:tcPr>
            <w:tcW w:w="520" w:type="dxa"/>
            <w:tcBorders>
              <w:bottom w:val="single" w:sz="4" w:space="0" w:color="000000"/>
              <w:right w:val="single" w:sz="8" w:space="0" w:color="000000"/>
            </w:tcBorders>
            <w:shd w:val="clear" w:color="auto" w:fill="FFFFFF"/>
          </w:tcPr>
          <w:p w14:paraId="674EC00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Especifico</w:t>
            </w:r>
          </w:p>
        </w:tc>
        <w:tc>
          <w:tcPr>
            <w:tcW w:w="525" w:type="dxa"/>
            <w:tcBorders>
              <w:bottom w:val="single" w:sz="4" w:space="0" w:color="000000"/>
              <w:right w:val="single" w:sz="8" w:space="0" w:color="000000"/>
            </w:tcBorders>
            <w:shd w:val="clear" w:color="auto" w:fill="FFFFFF"/>
          </w:tcPr>
          <w:p w14:paraId="53298ED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5A37E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2C1EA827"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Económico</w:t>
            </w:r>
          </w:p>
        </w:tc>
        <w:tc>
          <w:tcPr>
            <w:tcW w:w="2865" w:type="dxa"/>
            <w:tcBorders>
              <w:bottom w:val="single" w:sz="4" w:space="0" w:color="000000"/>
              <w:right w:val="single" w:sz="8" w:space="0" w:color="000000"/>
            </w:tcBorders>
            <w:shd w:val="clear" w:color="auto" w:fill="FFFFFF"/>
          </w:tcPr>
          <w:p w14:paraId="2F25ABE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cuando se necesitan servicios adicionales necesarios para la ejecución del objeto contractual.</w:t>
            </w:r>
          </w:p>
        </w:tc>
        <w:tc>
          <w:tcPr>
            <w:tcW w:w="1694" w:type="dxa"/>
            <w:tcBorders>
              <w:bottom w:val="single" w:sz="4" w:space="0" w:color="000000"/>
              <w:right w:val="single" w:sz="8" w:space="0" w:color="000000"/>
            </w:tcBorders>
            <w:shd w:val="clear" w:color="auto" w:fill="FFFFFF"/>
          </w:tcPr>
          <w:p w14:paraId="534148B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 xml:space="preserve">Controversias </w:t>
            </w:r>
            <w:proofErr w:type="spellStart"/>
            <w:r w:rsidRPr="00A13850">
              <w:rPr>
                <w:rFonts w:ascii="Arial" w:eastAsia="Tahoma" w:hAnsi="Arial" w:cs="Arial"/>
                <w:sz w:val="10"/>
                <w:szCs w:val="10"/>
              </w:rPr>
              <w:t>post-contractuales</w:t>
            </w:r>
            <w:proofErr w:type="spellEnd"/>
            <w:r w:rsidRPr="00A13850">
              <w:rPr>
                <w:rFonts w:ascii="Arial" w:eastAsia="Tahoma" w:hAnsi="Arial" w:cs="Arial"/>
                <w:sz w:val="10"/>
                <w:szCs w:val="10"/>
              </w:rPr>
              <w:t xml:space="preserve"> (liquidación)</w:t>
            </w:r>
          </w:p>
        </w:tc>
        <w:tc>
          <w:tcPr>
            <w:tcW w:w="466" w:type="dxa"/>
            <w:tcBorders>
              <w:bottom w:val="single" w:sz="4" w:space="0" w:color="000000"/>
              <w:right w:val="single" w:sz="8" w:space="0" w:color="000000"/>
            </w:tcBorders>
            <w:shd w:val="clear" w:color="auto" w:fill="FFFFFF"/>
          </w:tcPr>
          <w:p w14:paraId="0A8F4F0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36D6878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5F19CEF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Alto</w:t>
            </w:r>
          </w:p>
        </w:tc>
        <w:tc>
          <w:tcPr>
            <w:tcW w:w="538" w:type="dxa"/>
            <w:tcBorders>
              <w:bottom w:val="single" w:sz="4" w:space="0" w:color="000000"/>
              <w:right w:val="single" w:sz="8" w:space="0" w:color="000000"/>
            </w:tcBorders>
            <w:shd w:val="clear" w:color="auto" w:fill="FFFFFF"/>
          </w:tcPr>
          <w:p w14:paraId="7C257E7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Menor</w:t>
            </w:r>
          </w:p>
        </w:tc>
      </w:tr>
    </w:tbl>
    <w:p w14:paraId="0FEC101B" w14:textId="77777777" w:rsidR="004A5328" w:rsidRPr="004A5328" w:rsidRDefault="004A5328" w:rsidP="004A5328">
      <w:pPr>
        <w:spacing w:line="276" w:lineRule="auto"/>
        <w:jc w:val="both"/>
        <w:rPr>
          <w:rFonts w:ascii="Arial" w:eastAsia="Tahoma" w:hAnsi="Arial" w:cs="Arial"/>
          <w:b/>
          <w:sz w:val="20"/>
          <w:szCs w:val="20"/>
        </w:rPr>
      </w:pPr>
    </w:p>
    <w:p w14:paraId="2A963B31" w14:textId="77777777" w:rsidR="00A13850" w:rsidRDefault="00A13850" w:rsidP="00A13850">
      <w:pPr>
        <w:spacing w:line="276" w:lineRule="auto"/>
        <w:rPr>
          <w:rFonts w:ascii="Arial" w:hAnsi="Arial" w:cs="Arial"/>
        </w:rPr>
      </w:pPr>
    </w:p>
    <w:p w14:paraId="7B44159F" w14:textId="6B932622" w:rsidR="00A13850" w:rsidRDefault="00A13850" w:rsidP="00A13850">
      <w:pPr>
        <w:spacing w:line="276" w:lineRule="auto"/>
        <w:rPr>
          <w:rFonts w:ascii="Arial" w:hAnsi="Arial" w:cs="Arial"/>
        </w:rPr>
      </w:pPr>
    </w:p>
    <w:p w14:paraId="034C4D01" w14:textId="13C193DE" w:rsidR="0094452D" w:rsidRDefault="0094452D" w:rsidP="00A13850">
      <w:pPr>
        <w:spacing w:line="276" w:lineRule="auto"/>
        <w:rPr>
          <w:rFonts w:ascii="Arial" w:hAnsi="Arial" w:cs="Arial"/>
        </w:rPr>
      </w:pPr>
    </w:p>
    <w:p w14:paraId="4C4DA764" w14:textId="77777777" w:rsidR="00A13850" w:rsidRDefault="00A13850" w:rsidP="007D288D">
      <w:pPr>
        <w:spacing w:line="276" w:lineRule="auto"/>
        <w:jc w:val="center"/>
        <w:rPr>
          <w:rFonts w:ascii="Arial" w:hAnsi="Arial" w:cs="Arial"/>
        </w:rPr>
      </w:pPr>
    </w:p>
    <w:bookmarkEnd w:id="0"/>
    <w:p w14:paraId="133C37B6" w14:textId="77777777" w:rsidR="00B04F2E" w:rsidRPr="00E37864" w:rsidRDefault="00B04F2E" w:rsidP="007D288D">
      <w:pPr>
        <w:spacing w:after="0" w:line="276" w:lineRule="auto"/>
        <w:ind w:right="425"/>
        <w:contextualSpacing/>
        <w:jc w:val="center"/>
        <w:rPr>
          <w:rFonts w:ascii="Arial" w:hAnsi="Arial" w:cs="Arial"/>
          <w:bCs/>
          <w:lang w:val="es-ES"/>
        </w:rPr>
      </w:pPr>
    </w:p>
    <w:p w14:paraId="6F101FB8" w14:textId="29857407" w:rsidR="007D288D" w:rsidRPr="0040420B" w:rsidRDefault="00A36F94" w:rsidP="007D288D">
      <w:pPr>
        <w:spacing w:after="0" w:line="276" w:lineRule="auto"/>
        <w:contextualSpacing/>
        <w:jc w:val="center"/>
        <w:rPr>
          <w:rFonts w:ascii="Arial" w:hAnsi="Arial" w:cs="Arial"/>
          <w:b/>
          <w:lang w:val="es-PE"/>
        </w:rPr>
      </w:pPr>
      <w:bookmarkStart w:id="3" w:name="_Hlk156921112"/>
      <w:r>
        <w:rPr>
          <w:rFonts w:ascii="Arial" w:hAnsi="Arial" w:cs="Arial"/>
          <w:b/>
          <w:lang w:val="es-PE"/>
        </w:rPr>
        <w:t>SEELER ALEXANDER SANCHEZ GONALEZ</w:t>
      </w:r>
    </w:p>
    <w:p w14:paraId="589DDB97" w14:textId="77777777" w:rsidR="007D288D" w:rsidRPr="0040420B" w:rsidRDefault="007D288D" w:rsidP="007D288D">
      <w:pPr>
        <w:spacing w:after="0" w:line="276" w:lineRule="auto"/>
        <w:ind w:right="425"/>
        <w:contextualSpacing/>
        <w:jc w:val="center"/>
        <w:rPr>
          <w:rFonts w:ascii="Arial" w:hAnsi="Arial" w:cs="Arial"/>
          <w:lang w:val="es-ES"/>
        </w:rPr>
      </w:pPr>
      <w:r w:rsidRPr="0040420B">
        <w:rPr>
          <w:rFonts w:ascii="Arial" w:hAnsi="Arial" w:cs="Arial"/>
          <w:lang w:val="es-ES"/>
        </w:rPr>
        <w:t xml:space="preserve">Secretario de </w:t>
      </w:r>
      <w:bookmarkEnd w:id="3"/>
      <w:r>
        <w:rPr>
          <w:rFonts w:ascii="Arial" w:hAnsi="Arial" w:cs="Arial"/>
          <w:lang w:val="es-ES"/>
        </w:rPr>
        <w:t>desarrollo social Municipal</w:t>
      </w:r>
    </w:p>
    <w:p w14:paraId="3AFE1289" w14:textId="77777777" w:rsidR="007D288D" w:rsidRPr="00ED5903" w:rsidRDefault="007D288D" w:rsidP="007D288D">
      <w:pPr>
        <w:spacing w:line="276" w:lineRule="auto"/>
        <w:jc w:val="center"/>
        <w:rPr>
          <w:rFonts w:ascii="Arial" w:hAnsi="Arial" w:cs="Arial"/>
        </w:rPr>
      </w:pPr>
    </w:p>
    <w:p w14:paraId="4019F413" w14:textId="77777777" w:rsidR="007D288D" w:rsidRPr="00ED5903" w:rsidRDefault="007D288D" w:rsidP="007D288D">
      <w:pPr>
        <w:jc w:val="center"/>
        <w:rPr>
          <w:rFonts w:ascii="Arial" w:hAnsi="Arial" w:cs="Arial"/>
        </w:rPr>
      </w:pPr>
    </w:p>
    <w:p w14:paraId="461E9AFC" w14:textId="77777777" w:rsidR="004A5328" w:rsidRPr="004A5328" w:rsidRDefault="004A5328" w:rsidP="007D288D">
      <w:pPr>
        <w:spacing w:after="0" w:line="276" w:lineRule="auto"/>
        <w:jc w:val="center"/>
        <w:rPr>
          <w:rFonts w:ascii="Arial" w:hAnsi="Arial" w:cs="Arial"/>
        </w:rPr>
      </w:pPr>
    </w:p>
    <w:p w14:paraId="79F531F6" w14:textId="77777777" w:rsidR="004A5328" w:rsidRPr="004A5328" w:rsidRDefault="004A5328" w:rsidP="004A5328">
      <w:pPr>
        <w:spacing w:line="276" w:lineRule="auto"/>
        <w:rPr>
          <w:rFonts w:ascii="Arial" w:hAnsi="Arial" w:cs="Arial"/>
        </w:rPr>
      </w:pPr>
    </w:p>
    <w:sectPr w:rsidR="004A5328" w:rsidRPr="004A5328" w:rsidSect="003741AE">
      <w:headerReference w:type="even" r:id="rId17"/>
      <w:headerReference w:type="default" r:id="rId18"/>
      <w:footerReference w:type="default" r:id="rId19"/>
      <w:headerReference w:type="first" r:id="rId2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A2D9EA" w14:textId="77777777" w:rsidR="005A4AC2" w:rsidRDefault="005A4AC2">
      <w:pPr>
        <w:spacing w:after="0" w:line="240" w:lineRule="auto"/>
      </w:pPr>
      <w:r>
        <w:separator/>
      </w:r>
    </w:p>
  </w:endnote>
  <w:endnote w:type="continuationSeparator" w:id="0">
    <w:p w14:paraId="7A5DFED2" w14:textId="77777777" w:rsidR="005A4AC2" w:rsidRDefault="005A4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FE7E8" w14:textId="77777777" w:rsidR="00B12E25" w:rsidRDefault="00000000">
    <w:pPr>
      <w:pStyle w:val="Piedepgina"/>
    </w:pPr>
    <w:r>
      <w:rPr>
        <w:noProof/>
      </w:rPr>
      <w:drawing>
        <wp:anchor distT="0" distB="0" distL="114300" distR="114300" simplePos="0" relativeHeight="251657728" behindDoc="1" locked="0" layoutInCell="1" allowOverlap="1" wp14:anchorId="2CD1572D" wp14:editId="760A1417">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7BB19FC7" wp14:editId="684B8502">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66A82E8A"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8465E" w14:textId="77777777" w:rsidR="005A4AC2" w:rsidRDefault="005A4AC2">
      <w:pPr>
        <w:spacing w:after="0" w:line="240" w:lineRule="auto"/>
      </w:pPr>
      <w:r>
        <w:separator/>
      </w:r>
    </w:p>
  </w:footnote>
  <w:footnote w:type="continuationSeparator" w:id="0">
    <w:p w14:paraId="4E6218C2" w14:textId="77777777" w:rsidR="005A4AC2" w:rsidRDefault="005A4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953A1" w14:textId="77777777" w:rsidR="00B12E25" w:rsidRDefault="00000000">
    <w:pPr>
      <w:pStyle w:val="Encabezado"/>
    </w:pPr>
    <w:r>
      <w:rPr>
        <w:noProof/>
      </w:rPr>
      <w:pict w14:anchorId="1F2CA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4414" w14:textId="77777777" w:rsidR="00B12E25" w:rsidRDefault="00000000">
    <w:pPr>
      <w:pStyle w:val="Encabezado"/>
    </w:pPr>
    <w:r>
      <w:rPr>
        <w:noProof/>
      </w:rPr>
      <w:pict w14:anchorId="0E59F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55680" behindDoc="0" locked="0" layoutInCell="1" allowOverlap="1" wp14:anchorId="0B96BBE2" wp14:editId="30B277F6">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46160146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341112686"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085264"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896017759"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55A7A7A8"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4656" behindDoc="1" locked="0" layoutInCell="1" allowOverlap="1" wp14:anchorId="49B0EE4F" wp14:editId="23B333A7">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99FFC" w14:textId="77777777" w:rsidR="00B12E25" w:rsidRDefault="00B12E25">
    <w:pPr>
      <w:pStyle w:val="Encabezado"/>
    </w:pPr>
  </w:p>
  <w:p w14:paraId="18CB75E5" w14:textId="77777777" w:rsidR="00B12E25" w:rsidRDefault="00B12E25">
    <w:pPr>
      <w:pStyle w:val="Encabezado"/>
    </w:pPr>
  </w:p>
  <w:p w14:paraId="507682AB" w14:textId="77777777" w:rsidR="00B12E25" w:rsidRDefault="00B12E25">
    <w:pPr>
      <w:pStyle w:val="Encabezado"/>
    </w:pPr>
  </w:p>
  <w:p w14:paraId="6D7FC7F7" w14:textId="77777777" w:rsidR="00B12E25" w:rsidRDefault="00B12E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53DF2" w14:textId="77777777" w:rsidR="00B12E25" w:rsidRDefault="00000000">
    <w:pPr>
      <w:pStyle w:val="Encabezado"/>
    </w:pPr>
    <w:r>
      <w:rPr>
        <w:noProof/>
      </w:rPr>
      <w:pict w14:anchorId="2CDA75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1.25pt;height:11.25pt;visibility:visible;mso-wrap-style:square" o:bullet="t">
        <v:imagedata r:id="rId1" o:title=""/>
      </v:shape>
    </w:pict>
  </w:numPicBullet>
  <w:abstractNum w:abstractNumId="0"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FB31E8"/>
    <w:multiLevelType w:val="hybridMultilevel"/>
    <w:tmpl w:val="28CA2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C930BE"/>
    <w:multiLevelType w:val="multilevel"/>
    <w:tmpl w:val="3D02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6370C"/>
    <w:multiLevelType w:val="multilevel"/>
    <w:tmpl w:val="2CA630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C257386"/>
    <w:multiLevelType w:val="multilevel"/>
    <w:tmpl w:val="48D0C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670286"/>
    <w:multiLevelType w:val="hybridMultilevel"/>
    <w:tmpl w:val="D6F872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5B14CF"/>
    <w:multiLevelType w:val="hybridMultilevel"/>
    <w:tmpl w:val="CEDEC766"/>
    <w:lvl w:ilvl="0" w:tplc="6A12CA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7A4ED0"/>
    <w:multiLevelType w:val="multilevel"/>
    <w:tmpl w:val="7DDCE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0A4346"/>
    <w:multiLevelType w:val="multilevel"/>
    <w:tmpl w:val="491E8B2E"/>
    <w:lvl w:ilvl="0">
      <w:start w:val="1"/>
      <w:numFmt w:val="decimal"/>
      <w:lvlText w:val="%1."/>
      <w:lvlJc w:val="left"/>
      <w:pPr>
        <w:ind w:left="720" w:hanging="360"/>
      </w:pPr>
      <w:rPr>
        <w:rFonts w:eastAsia="Calibri" w:hint="default"/>
        <w:sz w:val="23"/>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447C1B67"/>
    <w:multiLevelType w:val="hybridMultilevel"/>
    <w:tmpl w:val="F6189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8594173"/>
    <w:multiLevelType w:val="hybridMultilevel"/>
    <w:tmpl w:val="F68CEAAC"/>
    <w:lvl w:ilvl="0" w:tplc="55AE7020">
      <w:start w:val="1"/>
      <w:numFmt w:val="decimal"/>
      <w:lvlText w:val="%1."/>
      <w:lvlJc w:val="left"/>
      <w:pPr>
        <w:ind w:left="720" w:hanging="360"/>
      </w:pPr>
      <w:rPr>
        <w:rFonts w:eastAsia="Calibr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A3470EE"/>
    <w:multiLevelType w:val="hybridMultilevel"/>
    <w:tmpl w:val="422E3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F86369"/>
    <w:multiLevelType w:val="hybridMultilevel"/>
    <w:tmpl w:val="1F2C3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46792C"/>
    <w:multiLevelType w:val="hybridMultilevel"/>
    <w:tmpl w:val="BF2EC3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C84D5C"/>
    <w:multiLevelType w:val="hybridMultilevel"/>
    <w:tmpl w:val="CCD21F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2FE422A"/>
    <w:multiLevelType w:val="hybridMultilevel"/>
    <w:tmpl w:val="0608D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7268E2"/>
    <w:multiLevelType w:val="hybridMultilevel"/>
    <w:tmpl w:val="5CAA553C"/>
    <w:lvl w:ilvl="0" w:tplc="8B4A2B22">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BA54C36"/>
    <w:multiLevelType w:val="hybridMultilevel"/>
    <w:tmpl w:val="5DECBFE0"/>
    <w:lvl w:ilvl="0" w:tplc="9EE8CDC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CD015CF"/>
    <w:multiLevelType w:val="multilevel"/>
    <w:tmpl w:val="A6AEFE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7E3578F2"/>
    <w:multiLevelType w:val="multilevel"/>
    <w:tmpl w:val="8012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890363">
    <w:abstractNumId w:val="4"/>
  </w:num>
  <w:num w:numId="2" w16cid:durableId="2077429279">
    <w:abstractNumId w:val="9"/>
  </w:num>
  <w:num w:numId="3" w16cid:durableId="635338077">
    <w:abstractNumId w:val="5"/>
  </w:num>
  <w:num w:numId="4" w16cid:durableId="1760247307">
    <w:abstractNumId w:val="15"/>
  </w:num>
  <w:num w:numId="5" w16cid:durableId="1115716838">
    <w:abstractNumId w:val="21"/>
  </w:num>
  <w:num w:numId="6" w16cid:durableId="1265528053">
    <w:abstractNumId w:val="19"/>
  </w:num>
  <w:num w:numId="7" w16cid:durableId="440421359">
    <w:abstractNumId w:val="16"/>
  </w:num>
  <w:num w:numId="8" w16cid:durableId="1679891344">
    <w:abstractNumId w:val="1"/>
  </w:num>
  <w:num w:numId="9" w16cid:durableId="920257906">
    <w:abstractNumId w:val="0"/>
  </w:num>
  <w:num w:numId="10" w16cid:durableId="2040931166">
    <w:abstractNumId w:val="7"/>
  </w:num>
  <w:num w:numId="11" w16cid:durableId="70589599">
    <w:abstractNumId w:val="18"/>
  </w:num>
  <w:num w:numId="12" w16cid:durableId="1798792942">
    <w:abstractNumId w:val="2"/>
  </w:num>
  <w:num w:numId="13" w16cid:durableId="1383406373">
    <w:abstractNumId w:val="22"/>
  </w:num>
  <w:num w:numId="14" w16cid:durableId="455098253">
    <w:abstractNumId w:val="3"/>
  </w:num>
  <w:num w:numId="15" w16cid:durableId="160312814">
    <w:abstractNumId w:val="13"/>
  </w:num>
  <w:num w:numId="16" w16cid:durableId="1785035143">
    <w:abstractNumId w:val="17"/>
  </w:num>
  <w:num w:numId="17" w16cid:durableId="98960582">
    <w:abstractNumId w:val="14"/>
  </w:num>
  <w:num w:numId="18" w16cid:durableId="1051003565">
    <w:abstractNumId w:val="11"/>
  </w:num>
  <w:num w:numId="19" w16cid:durableId="362023869">
    <w:abstractNumId w:val="10"/>
  </w:num>
  <w:num w:numId="20" w16cid:durableId="505706510">
    <w:abstractNumId w:val="20"/>
  </w:num>
  <w:num w:numId="21" w16cid:durableId="538471625">
    <w:abstractNumId w:val="8"/>
  </w:num>
  <w:num w:numId="22" w16cid:durableId="56713887">
    <w:abstractNumId w:val="12"/>
  </w:num>
  <w:num w:numId="23" w16cid:durableId="13876077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28"/>
    <w:rsid w:val="0001472F"/>
    <w:rsid w:val="00132B5D"/>
    <w:rsid w:val="00170B87"/>
    <w:rsid w:val="001A7542"/>
    <w:rsid w:val="001D3D7B"/>
    <w:rsid w:val="001E75ED"/>
    <w:rsid w:val="002624B5"/>
    <w:rsid w:val="002C7D69"/>
    <w:rsid w:val="002F2104"/>
    <w:rsid w:val="00326AA3"/>
    <w:rsid w:val="003741AE"/>
    <w:rsid w:val="003C0726"/>
    <w:rsid w:val="003E0499"/>
    <w:rsid w:val="004242D9"/>
    <w:rsid w:val="00427306"/>
    <w:rsid w:val="004A5328"/>
    <w:rsid w:val="004A5564"/>
    <w:rsid w:val="004A7185"/>
    <w:rsid w:val="00505F34"/>
    <w:rsid w:val="00516D92"/>
    <w:rsid w:val="00541C95"/>
    <w:rsid w:val="005A4AC2"/>
    <w:rsid w:val="006D046D"/>
    <w:rsid w:val="007D288D"/>
    <w:rsid w:val="007F4F64"/>
    <w:rsid w:val="008362FB"/>
    <w:rsid w:val="00944208"/>
    <w:rsid w:val="0094452D"/>
    <w:rsid w:val="00976B4B"/>
    <w:rsid w:val="00983BCA"/>
    <w:rsid w:val="00986FDE"/>
    <w:rsid w:val="00995C01"/>
    <w:rsid w:val="00A13850"/>
    <w:rsid w:val="00A36F94"/>
    <w:rsid w:val="00A41865"/>
    <w:rsid w:val="00AD406A"/>
    <w:rsid w:val="00B04F2E"/>
    <w:rsid w:val="00B12E25"/>
    <w:rsid w:val="00B3694C"/>
    <w:rsid w:val="00B97F19"/>
    <w:rsid w:val="00D82EE0"/>
    <w:rsid w:val="00E97EE3"/>
    <w:rsid w:val="00FF7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A4BB5"/>
  <w15:chartTrackingRefBased/>
  <w15:docId w15:val="{0B2D0F85-BE9F-45FA-923F-57B9299B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F94"/>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53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5328"/>
    <w:rPr>
      <w:rFonts w:ascii="Calibri" w:eastAsia="Calibri" w:hAnsi="Calibri" w:cs="Calibri"/>
      <w:color w:val="000000"/>
      <w:lang w:eastAsia="es-CO"/>
    </w:rPr>
  </w:style>
  <w:style w:type="paragraph" w:styleId="Piedepgina">
    <w:name w:val="footer"/>
    <w:basedOn w:val="Normal"/>
    <w:link w:val="PiedepginaCar"/>
    <w:uiPriority w:val="99"/>
    <w:unhideWhenUsed/>
    <w:rsid w:val="004A5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5328"/>
    <w:rPr>
      <w:rFonts w:ascii="Calibri" w:eastAsia="Calibri" w:hAnsi="Calibri" w:cs="Calibri"/>
      <w:color w:val="000000"/>
      <w:lang w:eastAsia="es-CO"/>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qFormat/>
    <w:rsid w:val="00976B4B"/>
    <w:pPr>
      <w:ind w:left="720"/>
      <w:contextualSpacing/>
    </w:pPr>
  </w:style>
  <w:style w:type="table" w:styleId="Tablaconcuadrcula">
    <w:name w:val="Table Grid"/>
    <w:basedOn w:val="Tablanormal"/>
    <w:uiPriority w:val="39"/>
    <w:rsid w:val="00976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uiPriority w:val="99"/>
    <w:qFormat/>
    <w:rsid w:val="0001472F"/>
    <w:pPr>
      <w:spacing w:after="0" w:line="240" w:lineRule="auto"/>
    </w:pPr>
    <w:rPr>
      <w:rFonts w:ascii="Calibri" w:eastAsia="Calibri" w:hAnsi="Calibri" w:cs="Times New Roman"/>
      <w:kern w:val="0"/>
      <w14:ligatures w14:val="none"/>
    </w:rPr>
  </w:style>
  <w:style w:type="character" w:customStyle="1" w:styleId="SinespaciadoCar">
    <w:name w:val="Sin espaciado Car"/>
    <w:aliases w:val="Encabezado CCE Car"/>
    <w:link w:val="Sinespaciado"/>
    <w:uiPriority w:val="99"/>
    <w:locked/>
    <w:rsid w:val="0001472F"/>
    <w:rPr>
      <w:rFonts w:ascii="Calibri" w:eastAsia="Calibri" w:hAnsi="Calibri" w:cs="Times New Roman"/>
      <w:kern w:val="0"/>
      <w14:ligatures w14:val="none"/>
    </w:rPr>
  </w:style>
  <w:style w:type="paragraph" w:customStyle="1" w:styleId="Default">
    <w:name w:val="Default"/>
    <w:rsid w:val="0001472F"/>
    <w:pPr>
      <w:autoSpaceDE w:val="0"/>
      <w:autoSpaceDN w:val="0"/>
      <w:adjustRightInd w:val="0"/>
      <w:spacing w:after="0" w:line="240" w:lineRule="auto"/>
    </w:pPr>
    <w:rPr>
      <w:rFonts w:ascii="Arial" w:hAnsi="Arial" w:cs="Arial"/>
      <w:color w:val="000000"/>
      <w:kern w:val="0"/>
      <w:sz w:val="24"/>
      <w:szCs w:val="24"/>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qFormat/>
    <w:rsid w:val="004A5564"/>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734981">
      <w:bodyDiv w:val="1"/>
      <w:marLeft w:val="0"/>
      <w:marRight w:val="0"/>
      <w:marTop w:val="0"/>
      <w:marBottom w:val="0"/>
      <w:divBdr>
        <w:top w:val="none" w:sz="0" w:space="0" w:color="auto"/>
        <w:left w:val="none" w:sz="0" w:space="0" w:color="auto"/>
        <w:bottom w:val="none" w:sz="0" w:space="0" w:color="auto"/>
        <w:right w:val="none" w:sz="0" w:space="0" w:color="auto"/>
      </w:divBdr>
    </w:div>
    <w:div w:id="548030105">
      <w:bodyDiv w:val="1"/>
      <w:marLeft w:val="0"/>
      <w:marRight w:val="0"/>
      <w:marTop w:val="0"/>
      <w:marBottom w:val="0"/>
      <w:divBdr>
        <w:top w:val="none" w:sz="0" w:space="0" w:color="auto"/>
        <w:left w:val="none" w:sz="0" w:space="0" w:color="auto"/>
        <w:bottom w:val="none" w:sz="0" w:space="0" w:color="auto"/>
        <w:right w:val="none" w:sz="0" w:space="0" w:color="auto"/>
      </w:divBdr>
    </w:div>
    <w:div w:id="1178886589">
      <w:bodyDiv w:val="1"/>
      <w:marLeft w:val="0"/>
      <w:marRight w:val="0"/>
      <w:marTop w:val="0"/>
      <w:marBottom w:val="0"/>
      <w:divBdr>
        <w:top w:val="none" w:sz="0" w:space="0" w:color="auto"/>
        <w:left w:val="none" w:sz="0" w:space="0" w:color="auto"/>
        <w:bottom w:val="none" w:sz="0" w:space="0" w:color="auto"/>
        <w:right w:val="none" w:sz="0" w:space="0" w:color="auto"/>
      </w:divBdr>
    </w:div>
    <w:div w:id="1489861246">
      <w:bodyDiv w:val="1"/>
      <w:marLeft w:val="0"/>
      <w:marRight w:val="0"/>
      <w:marTop w:val="0"/>
      <w:marBottom w:val="0"/>
      <w:divBdr>
        <w:top w:val="none" w:sz="0" w:space="0" w:color="auto"/>
        <w:left w:val="none" w:sz="0" w:space="0" w:color="auto"/>
        <w:bottom w:val="none" w:sz="0" w:space="0" w:color="auto"/>
        <w:right w:val="none" w:sz="0" w:space="0" w:color="auto"/>
      </w:divBdr>
    </w:div>
    <w:div w:id="1606838206">
      <w:bodyDiv w:val="1"/>
      <w:marLeft w:val="0"/>
      <w:marRight w:val="0"/>
      <w:marTop w:val="0"/>
      <w:marBottom w:val="0"/>
      <w:divBdr>
        <w:top w:val="none" w:sz="0" w:space="0" w:color="auto"/>
        <w:left w:val="none" w:sz="0" w:space="0" w:color="auto"/>
        <w:bottom w:val="none" w:sz="0" w:space="0" w:color="auto"/>
        <w:right w:val="none" w:sz="0" w:space="0" w:color="auto"/>
      </w:divBdr>
    </w:div>
    <w:div w:id="181648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14</Pages>
  <Words>5108</Words>
  <Characters>28095</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10</cp:revision>
  <cp:lastPrinted>2026-01-07T23:07:00Z</cp:lastPrinted>
  <dcterms:created xsi:type="dcterms:W3CDTF">2024-01-17T14:44:00Z</dcterms:created>
  <dcterms:modified xsi:type="dcterms:W3CDTF">2026-01-31T00:43:00Z</dcterms:modified>
</cp:coreProperties>
</file>