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A9928" w14:textId="0ADC00CD" w:rsidR="00EC56CE" w:rsidRPr="00EC56CE" w:rsidRDefault="009633FE" w:rsidP="00EC56CE">
      <w:pPr>
        <w:spacing w:after="0" w:line="240" w:lineRule="auto"/>
        <w:rPr>
          <w:rFonts w:ascii="Times New Roman" w:eastAsia="Times New Roman" w:hAnsi="Times New Roman" w:cs="Times New Roman"/>
          <w:kern w:val="0"/>
          <w:lang w:eastAsia="es-419"/>
          <w14:ligatures w14:val="none"/>
        </w:rPr>
      </w:pPr>
      <w:r>
        <w:rPr>
          <w:rFonts w:ascii="Arial Nova" w:eastAsia="Times New Roman" w:hAnsi="Arial Nova" w:cs="Times New Roman"/>
          <w:b/>
          <w:bCs/>
          <w:noProof/>
          <w:kern w:val="0"/>
          <w:sz w:val="22"/>
          <w:szCs w:val="22"/>
          <w:lang w:eastAsia="es-419"/>
          <w14:ligatures w14:val="none"/>
        </w:rPr>
        <w:drawing>
          <wp:anchor distT="0" distB="0" distL="114300" distR="114300" simplePos="0" relativeHeight="251658240" behindDoc="1" locked="0" layoutInCell="1" allowOverlap="1" wp14:anchorId="4FC4F8B6" wp14:editId="35176475">
            <wp:simplePos x="0" y="0"/>
            <wp:positionH relativeFrom="margin">
              <wp:align>center</wp:align>
            </wp:positionH>
            <wp:positionV relativeFrom="paragraph">
              <wp:posOffset>13335</wp:posOffset>
            </wp:positionV>
            <wp:extent cx="5401310" cy="963295"/>
            <wp:effectExtent l="0" t="0" r="8890" b="8255"/>
            <wp:wrapNone/>
            <wp:docPr id="16640761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1310" cy="963295"/>
                    </a:xfrm>
                    <a:prstGeom prst="rect">
                      <a:avLst/>
                    </a:prstGeom>
                    <a:noFill/>
                  </pic:spPr>
                </pic:pic>
              </a:graphicData>
            </a:graphic>
            <wp14:sizeRelH relativeFrom="page">
              <wp14:pctWidth>0</wp14:pctWidth>
            </wp14:sizeRelH>
            <wp14:sizeRelV relativeFrom="page">
              <wp14:pctHeight>0</wp14:pctHeight>
            </wp14:sizeRelV>
          </wp:anchor>
        </w:drawing>
      </w:r>
    </w:p>
    <w:p w14:paraId="5D01C5E5" w14:textId="785C6001" w:rsidR="0037429A" w:rsidRDefault="0037429A" w:rsidP="0037429A">
      <w:pPr>
        <w:spacing w:before="100" w:beforeAutospacing="1" w:after="100" w:afterAutospacing="1" w:line="240" w:lineRule="auto"/>
        <w:jc w:val="center"/>
        <w:outlineLvl w:val="2"/>
        <w:rPr>
          <w:rFonts w:ascii="Arial Nova" w:eastAsia="Times New Roman" w:hAnsi="Arial Nova" w:cs="Times New Roman"/>
          <w:b/>
          <w:bCs/>
          <w:kern w:val="0"/>
          <w:sz w:val="22"/>
          <w:szCs w:val="22"/>
          <w:lang w:eastAsia="es-419"/>
          <w14:ligatures w14:val="none"/>
        </w:rPr>
      </w:pPr>
    </w:p>
    <w:p w14:paraId="4BE8AAC2" w14:textId="77777777" w:rsidR="0037429A" w:rsidRDefault="0037429A" w:rsidP="0037429A">
      <w:pPr>
        <w:spacing w:before="100" w:beforeAutospacing="1" w:after="100" w:afterAutospacing="1" w:line="240" w:lineRule="auto"/>
        <w:jc w:val="center"/>
        <w:outlineLvl w:val="2"/>
        <w:rPr>
          <w:rFonts w:ascii="Arial Nova" w:eastAsia="Times New Roman" w:hAnsi="Arial Nova" w:cs="Times New Roman"/>
          <w:b/>
          <w:bCs/>
          <w:kern w:val="0"/>
          <w:sz w:val="22"/>
          <w:szCs w:val="22"/>
          <w:lang w:eastAsia="es-419"/>
          <w14:ligatures w14:val="none"/>
        </w:rPr>
      </w:pPr>
    </w:p>
    <w:p w14:paraId="5ED5B9AA" w14:textId="77777777" w:rsidR="009633FE" w:rsidRDefault="009633FE" w:rsidP="0037429A">
      <w:pPr>
        <w:spacing w:before="100" w:beforeAutospacing="1" w:after="100" w:afterAutospacing="1" w:line="240" w:lineRule="auto"/>
        <w:jc w:val="center"/>
        <w:outlineLvl w:val="2"/>
        <w:rPr>
          <w:rFonts w:ascii="Arial Nova" w:eastAsia="Times New Roman" w:hAnsi="Arial Nova" w:cs="Times New Roman"/>
          <w:b/>
          <w:bCs/>
          <w:kern w:val="0"/>
          <w:sz w:val="22"/>
          <w:szCs w:val="22"/>
          <w:lang w:eastAsia="es-419"/>
          <w14:ligatures w14:val="none"/>
        </w:rPr>
      </w:pPr>
    </w:p>
    <w:p w14:paraId="32628CFE" w14:textId="4A8B58AD" w:rsidR="00EC56CE" w:rsidRPr="0037429A" w:rsidRDefault="00EC56CE" w:rsidP="0037429A">
      <w:pPr>
        <w:spacing w:before="100" w:beforeAutospacing="1" w:after="100" w:afterAutospacing="1" w:line="240" w:lineRule="auto"/>
        <w:jc w:val="center"/>
        <w:outlineLvl w:val="2"/>
        <w:rPr>
          <w:rFonts w:ascii="Arial Nova" w:eastAsia="Times New Roman" w:hAnsi="Arial Nova" w:cs="Times New Roman"/>
          <w:b/>
          <w:bCs/>
          <w:kern w:val="0"/>
          <w:sz w:val="22"/>
          <w:szCs w:val="22"/>
          <w:lang w:eastAsia="es-419"/>
          <w14:ligatures w14:val="none"/>
        </w:rPr>
      </w:pPr>
      <w:r w:rsidRPr="0037429A">
        <w:rPr>
          <w:rFonts w:ascii="Arial Nova" w:eastAsia="Times New Roman" w:hAnsi="Arial Nova" w:cs="Times New Roman"/>
          <w:b/>
          <w:bCs/>
          <w:kern w:val="0"/>
          <w:sz w:val="22"/>
          <w:szCs w:val="22"/>
          <w:lang w:eastAsia="es-419"/>
          <w14:ligatures w14:val="none"/>
        </w:rPr>
        <w:t>1. ESTUDIOS PREVIOS Y DEL SECTOR</w:t>
      </w:r>
    </w:p>
    <w:p w14:paraId="09C7B0B0" w14:textId="77777777" w:rsidR="00EC56CE" w:rsidRPr="0037429A" w:rsidRDefault="00EC56CE" w:rsidP="0037429A">
      <w:pPr>
        <w:spacing w:before="100" w:beforeAutospacing="1" w:after="100" w:afterAutospacing="1" w:line="240" w:lineRule="auto"/>
        <w:jc w:val="both"/>
        <w:rPr>
          <w:rFonts w:ascii="Arial Nova" w:eastAsia="Times New Roman" w:hAnsi="Arial Nova" w:cs="Times New Roman"/>
          <w:kern w:val="0"/>
          <w:sz w:val="22"/>
          <w:szCs w:val="22"/>
          <w:lang w:eastAsia="es-419"/>
          <w14:ligatures w14:val="none"/>
        </w:rPr>
      </w:pPr>
      <w:r w:rsidRPr="0037429A">
        <w:rPr>
          <w:rFonts w:ascii="Arial Nova" w:eastAsia="Times New Roman" w:hAnsi="Arial Nova" w:cs="Times New Roman"/>
          <w:b/>
          <w:bCs/>
          <w:kern w:val="0"/>
          <w:sz w:val="22"/>
          <w:szCs w:val="22"/>
          <w:lang w:eastAsia="es-419"/>
          <w14:ligatures w14:val="none"/>
        </w:rPr>
        <w:t>OBJETO:</w:t>
      </w:r>
      <w:r w:rsidRPr="0037429A">
        <w:rPr>
          <w:rFonts w:ascii="Arial Nova" w:eastAsia="Times New Roman" w:hAnsi="Arial Nova" w:cs="Times New Roman"/>
          <w:kern w:val="0"/>
          <w:sz w:val="22"/>
          <w:szCs w:val="22"/>
          <w:lang w:eastAsia="es-419"/>
          <w14:ligatures w14:val="none"/>
        </w:rPr>
        <w:t xml:space="preserve"> SERVICIO DE APOYO A LA GESTIÓN EN CONTRATACIÓN ESTATAL VIGENCIA 2026.</w:t>
      </w:r>
    </w:p>
    <w:p w14:paraId="4CD1FD32" w14:textId="5571D6AC" w:rsidR="00EC56CE" w:rsidRPr="0037429A" w:rsidRDefault="00EC56CE" w:rsidP="0037429A">
      <w:pPr>
        <w:spacing w:before="100" w:beforeAutospacing="1" w:after="100" w:afterAutospacing="1" w:line="240" w:lineRule="auto"/>
        <w:jc w:val="both"/>
        <w:rPr>
          <w:rFonts w:ascii="Arial Nova" w:eastAsia="Times New Roman" w:hAnsi="Arial Nova" w:cs="Times New Roman"/>
          <w:kern w:val="0"/>
          <w:sz w:val="22"/>
          <w:szCs w:val="22"/>
          <w:lang w:eastAsia="es-419"/>
          <w14:ligatures w14:val="none"/>
        </w:rPr>
      </w:pPr>
      <w:r w:rsidRPr="0037429A">
        <w:rPr>
          <w:rFonts w:ascii="Arial Nova" w:eastAsia="Times New Roman" w:hAnsi="Arial Nova" w:cs="Times New Roman"/>
          <w:b/>
          <w:bCs/>
          <w:kern w:val="0"/>
          <w:sz w:val="22"/>
          <w:szCs w:val="22"/>
          <w:lang w:eastAsia="es-419"/>
          <w14:ligatures w14:val="none"/>
        </w:rPr>
        <w:t>1. DESCRIPCIÓN DE LA NECESIDAD:</w:t>
      </w:r>
      <w:r w:rsidRPr="0037429A">
        <w:rPr>
          <w:rFonts w:ascii="Arial Nova" w:eastAsia="Times New Roman" w:hAnsi="Arial Nova" w:cs="Times New Roman"/>
          <w:kern w:val="0"/>
          <w:sz w:val="22"/>
          <w:szCs w:val="22"/>
          <w:lang w:eastAsia="es-419"/>
          <w14:ligatures w14:val="none"/>
        </w:rPr>
        <w:t xml:space="preserve"> La </w:t>
      </w:r>
      <w:r w:rsidRPr="0037429A">
        <w:rPr>
          <w:rFonts w:ascii="Arial Nova" w:eastAsia="Times New Roman" w:hAnsi="Arial Nova" w:cs="Times New Roman"/>
          <w:b/>
          <w:bCs/>
          <w:kern w:val="0"/>
          <w:sz w:val="22"/>
          <w:szCs w:val="22"/>
          <w:lang w:eastAsia="es-419"/>
          <w14:ligatures w14:val="none"/>
        </w:rPr>
        <w:t xml:space="preserve">INSTITUCIÓN EDUCATIVA </w:t>
      </w:r>
      <w:r w:rsidR="00242E31">
        <w:rPr>
          <w:rFonts w:ascii="Arial Nova" w:eastAsia="Times New Roman" w:hAnsi="Arial Nova" w:cs="Times New Roman"/>
          <w:b/>
          <w:bCs/>
          <w:kern w:val="0"/>
          <w:sz w:val="22"/>
          <w:szCs w:val="22"/>
          <w:lang w:eastAsia="es-419"/>
          <w14:ligatures w14:val="none"/>
        </w:rPr>
        <w:t>JOSE MARIA CORDOBA</w:t>
      </w:r>
      <w:r w:rsidRPr="0037429A">
        <w:rPr>
          <w:rFonts w:ascii="Arial Nova" w:eastAsia="Times New Roman" w:hAnsi="Arial Nova" w:cs="Times New Roman"/>
          <w:kern w:val="0"/>
          <w:sz w:val="22"/>
          <w:szCs w:val="22"/>
          <w:lang w:eastAsia="es-419"/>
          <w14:ligatures w14:val="none"/>
        </w:rPr>
        <w:t>, requiere garantizar el cumplimiento de los principios de transparencia, economía y responsabilidad en sus procesos contractuales. Dado que la institución no cuenta en su planta de personal con funcionarios especializados en el manejo operativo de la plataforma SECOP II ni en la estructuración técnica de procesos bajo el régimen especial (Decreto 1075 de 2015), se hace necesario contratar servicios externos de apoyo a la gestión.</w:t>
      </w:r>
    </w:p>
    <w:p w14:paraId="2EEB35EA" w14:textId="77777777" w:rsidR="00EC56CE" w:rsidRPr="0037429A" w:rsidRDefault="00EC56CE" w:rsidP="0037429A">
      <w:pPr>
        <w:spacing w:before="100" w:beforeAutospacing="1" w:after="100" w:afterAutospacing="1" w:line="240" w:lineRule="auto"/>
        <w:jc w:val="both"/>
        <w:rPr>
          <w:rFonts w:ascii="Arial Nova" w:eastAsia="Times New Roman" w:hAnsi="Arial Nova" w:cs="Times New Roman"/>
          <w:kern w:val="0"/>
          <w:sz w:val="22"/>
          <w:szCs w:val="22"/>
          <w:lang w:eastAsia="es-419"/>
          <w14:ligatures w14:val="none"/>
        </w:rPr>
      </w:pPr>
      <w:r w:rsidRPr="0037429A">
        <w:rPr>
          <w:rFonts w:ascii="Arial Nova" w:eastAsia="Times New Roman" w:hAnsi="Arial Nova" w:cs="Times New Roman"/>
          <w:b/>
          <w:bCs/>
          <w:kern w:val="0"/>
          <w:sz w:val="22"/>
          <w:szCs w:val="22"/>
          <w:lang w:eastAsia="es-419"/>
          <w14:ligatures w14:val="none"/>
        </w:rPr>
        <w:t>2. OBJETO A CONTRATAR:</w:t>
      </w:r>
      <w:r w:rsidRPr="0037429A">
        <w:rPr>
          <w:rFonts w:ascii="Arial Nova" w:eastAsia="Times New Roman" w:hAnsi="Arial Nova" w:cs="Times New Roman"/>
          <w:kern w:val="0"/>
          <w:sz w:val="22"/>
          <w:szCs w:val="22"/>
          <w:lang w:eastAsia="es-419"/>
          <w14:ligatures w14:val="none"/>
        </w:rPr>
        <w:t xml:space="preserve"> Prestación de servicios de apoyo a la gestión para el acompañamiento en la etapa precontractual, contractual y poscontractual, así como el cargue y publicación de información en el SECOP II para la vigencia 2026.</w:t>
      </w:r>
    </w:p>
    <w:p w14:paraId="1080282E" w14:textId="77777777" w:rsidR="00EC56CE" w:rsidRPr="0037429A" w:rsidRDefault="00EC56CE" w:rsidP="0037429A">
      <w:pPr>
        <w:spacing w:before="100" w:beforeAutospacing="1" w:after="100" w:afterAutospacing="1" w:line="240" w:lineRule="auto"/>
        <w:jc w:val="both"/>
        <w:rPr>
          <w:rFonts w:ascii="Arial Nova" w:eastAsia="Times New Roman" w:hAnsi="Arial Nova" w:cs="Times New Roman"/>
          <w:kern w:val="0"/>
          <w:sz w:val="22"/>
          <w:szCs w:val="22"/>
          <w:lang w:eastAsia="es-419"/>
          <w14:ligatures w14:val="none"/>
        </w:rPr>
      </w:pPr>
      <w:r w:rsidRPr="0037429A">
        <w:rPr>
          <w:rFonts w:ascii="Arial Nova" w:eastAsia="Times New Roman" w:hAnsi="Arial Nova" w:cs="Times New Roman"/>
          <w:b/>
          <w:bCs/>
          <w:kern w:val="0"/>
          <w:sz w:val="22"/>
          <w:szCs w:val="22"/>
          <w:lang w:eastAsia="es-419"/>
          <w14:ligatures w14:val="none"/>
        </w:rPr>
        <w:t>3. CÓDIGO UNSPSC:</w:t>
      </w:r>
      <w:r w:rsidRPr="0037429A">
        <w:rPr>
          <w:rFonts w:ascii="Arial Nova" w:eastAsia="Times New Roman" w:hAnsi="Arial Nova" w:cs="Times New Roman"/>
          <w:kern w:val="0"/>
          <w:sz w:val="22"/>
          <w:szCs w:val="22"/>
          <w:lang w:eastAsia="es-419"/>
          <w14:ligatures w14:val="none"/>
        </w:rPr>
        <w:t xml:space="preserve"> 80161502 (Servicios de administración de contratos).</w:t>
      </w:r>
    </w:p>
    <w:p w14:paraId="1F921BD8" w14:textId="1AF406E5" w:rsidR="00EC56CE" w:rsidRPr="0037429A" w:rsidRDefault="00EC56CE" w:rsidP="0037429A">
      <w:pPr>
        <w:spacing w:before="100" w:beforeAutospacing="1" w:after="100" w:afterAutospacing="1" w:line="240" w:lineRule="auto"/>
        <w:jc w:val="both"/>
        <w:rPr>
          <w:rFonts w:ascii="Arial Nova" w:eastAsia="Times New Roman" w:hAnsi="Arial Nova" w:cs="Times New Roman"/>
          <w:kern w:val="0"/>
          <w:sz w:val="22"/>
          <w:szCs w:val="22"/>
          <w:lang w:eastAsia="es-419"/>
          <w14:ligatures w14:val="none"/>
        </w:rPr>
      </w:pPr>
      <w:r w:rsidRPr="0037429A">
        <w:rPr>
          <w:rFonts w:ascii="Arial Nova" w:eastAsia="Times New Roman" w:hAnsi="Arial Nova" w:cs="Times New Roman"/>
          <w:b/>
          <w:bCs/>
          <w:kern w:val="0"/>
          <w:sz w:val="22"/>
          <w:szCs w:val="22"/>
          <w:lang w:eastAsia="es-419"/>
          <w14:ligatures w14:val="none"/>
        </w:rPr>
        <w:t>4. ANÁLISIS DEL SECTOR:</w:t>
      </w:r>
      <w:r w:rsidRPr="0037429A">
        <w:rPr>
          <w:rFonts w:ascii="Arial Nova" w:eastAsia="Times New Roman" w:hAnsi="Arial Nova" w:cs="Times New Roman"/>
          <w:kern w:val="0"/>
          <w:sz w:val="22"/>
          <w:szCs w:val="22"/>
          <w:lang w:eastAsia="es-419"/>
          <w14:ligatures w14:val="none"/>
        </w:rPr>
        <w:t xml:space="preserve"> Al tratarse de un servicio de apoyo a la gestión de carácter </w:t>
      </w:r>
      <w:r w:rsidRPr="0037429A">
        <w:rPr>
          <w:rFonts w:ascii="Arial Nova" w:eastAsia="Times New Roman" w:hAnsi="Arial Nova" w:cs="Times New Roman"/>
          <w:i/>
          <w:iCs/>
          <w:kern w:val="0"/>
          <w:sz w:val="22"/>
          <w:szCs w:val="22"/>
          <w:lang w:eastAsia="es-419"/>
          <w14:ligatures w14:val="none"/>
        </w:rPr>
        <w:t xml:space="preserve">intuitu </w:t>
      </w:r>
      <w:r w:rsidR="0037429A" w:rsidRPr="0037429A">
        <w:rPr>
          <w:rFonts w:ascii="Arial Nova" w:eastAsia="Times New Roman" w:hAnsi="Arial Nova" w:cs="Times New Roman"/>
          <w:i/>
          <w:iCs/>
          <w:kern w:val="0"/>
          <w:sz w:val="22"/>
          <w:szCs w:val="22"/>
          <w:lang w:eastAsia="es-419"/>
          <w14:ligatures w14:val="none"/>
        </w:rPr>
        <w:t>persona</w:t>
      </w:r>
      <w:r w:rsidRPr="0037429A">
        <w:rPr>
          <w:rFonts w:ascii="Arial Nova" w:eastAsia="Times New Roman" w:hAnsi="Arial Nova" w:cs="Times New Roman"/>
          <w:kern w:val="0"/>
          <w:sz w:val="22"/>
          <w:szCs w:val="22"/>
          <w:lang w:eastAsia="es-419"/>
          <w14:ligatures w14:val="none"/>
        </w:rPr>
        <w:t>, basado en la confianza y la idoneidad, y dado que la cuantía ($</w:t>
      </w:r>
      <w:r w:rsidR="00242E31">
        <w:rPr>
          <w:rFonts w:ascii="Arial Nova" w:eastAsia="Times New Roman" w:hAnsi="Arial Nova" w:cs="Times New Roman"/>
          <w:kern w:val="0"/>
          <w:sz w:val="22"/>
          <w:szCs w:val="22"/>
          <w:lang w:eastAsia="es-419"/>
          <w14:ligatures w14:val="none"/>
        </w:rPr>
        <w:t>1.875.000</w:t>
      </w:r>
      <w:r w:rsidRPr="0037429A">
        <w:rPr>
          <w:rFonts w:ascii="Arial Nova" w:eastAsia="Times New Roman" w:hAnsi="Arial Nova" w:cs="Times New Roman"/>
          <w:kern w:val="0"/>
          <w:sz w:val="22"/>
          <w:szCs w:val="22"/>
          <w:lang w:eastAsia="es-419"/>
          <w14:ligatures w14:val="none"/>
        </w:rPr>
        <w:t xml:space="preserve">) es inferior a los 20 SMLMV, el mercado ofrece </w:t>
      </w:r>
      <w:r w:rsidR="0037429A">
        <w:rPr>
          <w:rFonts w:ascii="Arial Nova" w:eastAsia="Times New Roman" w:hAnsi="Arial Nova" w:cs="Times New Roman"/>
          <w:kern w:val="0"/>
          <w:sz w:val="22"/>
          <w:szCs w:val="22"/>
          <w:lang w:eastAsia="es-419"/>
          <w14:ligatures w14:val="none"/>
        </w:rPr>
        <w:t>personas</w:t>
      </w:r>
      <w:r w:rsidRPr="0037429A">
        <w:rPr>
          <w:rFonts w:ascii="Arial Nova" w:eastAsia="Times New Roman" w:hAnsi="Arial Nova" w:cs="Times New Roman"/>
          <w:kern w:val="0"/>
          <w:sz w:val="22"/>
          <w:szCs w:val="22"/>
          <w:lang w:eastAsia="es-419"/>
          <w14:ligatures w14:val="none"/>
        </w:rPr>
        <w:t xml:space="preserve"> independientes con la capacidad de ejecutar el objeto. Se ha verificado que el señor </w:t>
      </w:r>
      <w:r w:rsidRPr="0037429A">
        <w:rPr>
          <w:rFonts w:ascii="Arial Nova" w:eastAsia="Times New Roman" w:hAnsi="Arial Nova" w:cs="Times New Roman"/>
          <w:b/>
          <w:bCs/>
          <w:kern w:val="0"/>
          <w:sz w:val="22"/>
          <w:szCs w:val="22"/>
          <w:lang w:eastAsia="es-419"/>
          <w14:ligatures w14:val="none"/>
        </w:rPr>
        <w:t>JAIR LÓPEZ GALVIZ</w:t>
      </w:r>
      <w:r w:rsidRPr="0037429A">
        <w:rPr>
          <w:rFonts w:ascii="Arial Nova" w:eastAsia="Times New Roman" w:hAnsi="Arial Nova" w:cs="Times New Roman"/>
          <w:kern w:val="0"/>
          <w:sz w:val="22"/>
          <w:szCs w:val="22"/>
          <w:lang w:eastAsia="es-419"/>
          <w14:ligatures w14:val="none"/>
        </w:rPr>
        <w:t xml:space="preserve"> cuenta con la experiencia requerida.</w:t>
      </w:r>
    </w:p>
    <w:p w14:paraId="4F231AA2" w14:textId="5211FECB" w:rsidR="00EC56CE" w:rsidRDefault="00EC56CE" w:rsidP="0037429A">
      <w:pPr>
        <w:spacing w:before="100" w:beforeAutospacing="1" w:after="100" w:afterAutospacing="1" w:line="240" w:lineRule="auto"/>
        <w:jc w:val="both"/>
        <w:rPr>
          <w:rFonts w:ascii="Arial Nova" w:eastAsia="Times New Roman" w:hAnsi="Arial Nova" w:cs="Times New Roman"/>
          <w:kern w:val="0"/>
          <w:sz w:val="22"/>
          <w:szCs w:val="22"/>
          <w:lang w:eastAsia="es-419"/>
          <w14:ligatures w14:val="none"/>
        </w:rPr>
      </w:pPr>
      <w:r w:rsidRPr="0037429A">
        <w:rPr>
          <w:rFonts w:ascii="Arial Nova" w:eastAsia="Times New Roman" w:hAnsi="Arial Nova" w:cs="Times New Roman"/>
          <w:b/>
          <w:bCs/>
          <w:kern w:val="0"/>
          <w:sz w:val="22"/>
          <w:szCs w:val="22"/>
          <w:lang w:eastAsia="es-419"/>
          <w14:ligatures w14:val="none"/>
        </w:rPr>
        <w:t>5. VALOR ESTIMADO Y FORMA DE PAGO:</w:t>
      </w:r>
      <w:r w:rsidRPr="0037429A">
        <w:rPr>
          <w:rFonts w:ascii="Arial Nova" w:eastAsia="Times New Roman" w:hAnsi="Arial Nova" w:cs="Times New Roman"/>
          <w:kern w:val="0"/>
          <w:sz w:val="22"/>
          <w:szCs w:val="22"/>
          <w:lang w:eastAsia="es-419"/>
          <w14:ligatures w14:val="none"/>
        </w:rPr>
        <w:t xml:space="preserve"> El valor del contrato es de </w:t>
      </w:r>
      <w:r w:rsidR="00242E31">
        <w:rPr>
          <w:rFonts w:ascii="Arial Nova" w:eastAsia="Times New Roman" w:hAnsi="Arial Nova" w:cs="Times New Roman"/>
          <w:b/>
          <w:bCs/>
          <w:kern w:val="0"/>
          <w:sz w:val="22"/>
          <w:szCs w:val="22"/>
          <w:lang w:eastAsia="es-419"/>
          <w14:ligatures w14:val="none"/>
        </w:rPr>
        <w:t>UN MILLON OCHOCIENTOS SETRENTA Y CINCO MIL</w:t>
      </w:r>
      <w:r w:rsidRPr="0037429A">
        <w:rPr>
          <w:rFonts w:ascii="Arial Nova" w:eastAsia="Times New Roman" w:hAnsi="Arial Nova" w:cs="Times New Roman"/>
          <w:b/>
          <w:bCs/>
          <w:kern w:val="0"/>
          <w:sz w:val="22"/>
          <w:szCs w:val="22"/>
          <w:lang w:eastAsia="es-419"/>
          <w14:ligatures w14:val="none"/>
        </w:rPr>
        <w:t xml:space="preserve"> PESOS M/CTE ($</w:t>
      </w:r>
      <w:r w:rsidR="00242E31">
        <w:rPr>
          <w:rFonts w:ascii="Arial Nova" w:eastAsia="Times New Roman" w:hAnsi="Arial Nova" w:cs="Times New Roman"/>
          <w:b/>
          <w:bCs/>
          <w:kern w:val="0"/>
          <w:sz w:val="22"/>
          <w:szCs w:val="22"/>
          <w:lang w:eastAsia="es-419"/>
          <w14:ligatures w14:val="none"/>
        </w:rPr>
        <w:t>1.875.000</w:t>
      </w:r>
      <w:r w:rsidRPr="0037429A">
        <w:rPr>
          <w:rFonts w:ascii="Arial Nova" w:eastAsia="Times New Roman" w:hAnsi="Arial Nova" w:cs="Times New Roman"/>
          <w:b/>
          <w:bCs/>
          <w:kern w:val="0"/>
          <w:sz w:val="22"/>
          <w:szCs w:val="22"/>
          <w:lang w:eastAsia="es-419"/>
          <w14:ligatures w14:val="none"/>
        </w:rPr>
        <w:t>)</w:t>
      </w:r>
      <w:r w:rsidRPr="0037429A">
        <w:rPr>
          <w:rFonts w:ascii="Arial Nova" w:eastAsia="Times New Roman" w:hAnsi="Arial Nova" w:cs="Times New Roman"/>
          <w:kern w:val="0"/>
          <w:sz w:val="22"/>
          <w:szCs w:val="22"/>
          <w:lang w:eastAsia="es-419"/>
          <w14:ligatures w14:val="none"/>
        </w:rPr>
        <w:t>, incluido IVA y demás impuestos. Se pagará según lo pactado (ej: pago único contra entrega o pagos parciales según actas).</w:t>
      </w:r>
      <w:r w:rsidR="0037429A">
        <w:rPr>
          <w:rFonts w:ascii="Arial Nova" w:eastAsia="Times New Roman" w:hAnsi="Arial Nova" w:cs="Times New Roman"/>
          <w:kern w:val="0"/>
          <w:sz w:val="22"/>
          <w:szCs w:val="22"/>
          <w:lang w:eastAsia="es-419"/>
          <w14:ligatures w14:val="none"/>
        </w:rPr>
        <w:t xml:space="preserve"> </w:t>
      </w:r>
      <w:r w:rsidRPr="0037429A">
        <w:rPr>
          <w:rFonts w:ascii="Arial Nova" w:eastAsia="Times New Roman" w:hAnsi="Arial Nova" w:cs="Times New Roman"/>
          <w:b/>
          <w:bCs/>
          <w:kern w:val="0"/>
          <w:sz w:val="22"/>
          <w:szCs w:val="22"/>
          <w:lang w:eastAsia="es-419"/>
          <w14:ligatures w14:val="none"/>
        </w:rPr>
        <w:t>CDP No.:</w:t>
      </w:r>
      <w:r w:rsidRPr="0037429A">
        <w:rPr>
          <w:rFonts w:ascii="Arial Nova" w:eastAsia="Times New Roman" w:hAnsi="Arial Nova" w:cs="Times New Roman"/>
          <w:kern w:val="0"/>
          <w:sz w:val="22"/>
          <w:szCs w:val="22"/>
          <w:lang w:eastAsia="es-419"/>
          <w14:ligatures w14:val="none"/>
        </w:rPr>
        <w:t xml:space="preserve"> 0000000001 </w:t>
      </w:r>
      <w:r w:rsidR="0037429A">
        <w:rPr>
          <w:rFonts w:ascii="Arial Nova" w:eastAsia="Times New Roman" w:hAnsi="Arial Nova" w:cs="Times New Roman"/>
          <w:kern w:val="0"/>
          <w:sz w:val="22"/>
          <w:szCs w:val="22"/>
          <w:lang w:eastAsia="es-419"/>
          <w14:ligatures w14:val="none"/>
        </w:rPr>
        <w:t xml:space="preserve"> </w:t>
      </w:r>
      <w:r w:rsidRPr="0037429A">
        <w:rPr>
          <w:rFonts w:ascii="Arial Nova" w:eastAsia="Times New Roman" w:hAnsi="Arial Nova" w:cs="Times New Roman"/>
          <w:b/>
          <w:bCs/>
          <w:kern w:val="0"/>
          <w:sz w:val="22"/>
          <w:szCs w:val="22"/>
          <w:lang w:eastAsia="es-419"/>
          <w14:ligatures w14:val="none"/>
        </w:rPr>
        <w:t>Rubro:</w:t>
      </w:r>
      <w:r w:rsidRPr="0037429A">
        <w:rPr>
          <w:rFonts w:ascii="Arial Nova" w:eastAsia="Times New Roman" w:hAnsi="Arial Nova" w:cs="Times New Roman"/>
          <w:kern w:val="0"/>
          <w:sz w:val="22"/>
          <w:szCs w:val="22"/>
          <w:lang w:eastAsia="es-419"/>
          <w14:ligatures w14:val="none"/>
        </w:rPr>
        <w:t xml:space="preserve"> 2.1.2.02.02.008.01 - Servicios Técnicos, Profesionales y Honorarios.</w:t>
      </w:r>
      <w:r w:rsidR="00242E31">
        <w:rPr>
          <w:rFonts w:ascii="Arial Nova" w:eastAsia="Times New Roman" w:hAnsi="Arial Nova" w:cs="Times New Roman"/>
          <w:kern w:val="0"/>
          <w:sz w:val="22"/>
          <w:szCs w:val="22"/>
          <w:lang w:eastAsia="es-419"/>
          <w14:ligatures w14:val="none"/>
        </w:rPr>
        <w:t xml:space="preserve"> El plazo será desde la firma del acta de inicio hasta el 30 de junio 2026.</w:t>
      </w:r>
    </w:p>
    <w:p w14:paraId="093965E4" w14:textId="22E2BAE2" w:rsidR="0048392A" w:rsidRPr="005C1C96" w:rsidRDefault="0048392A" w:rsidP="0048392A">
      <w:pPr>
        <w:spacing w:before="100" w:beforeAutospacing="1" w:after="100" w:afterAutospacing="1" w:line="240" w:lineRule="auto"/>
        <w:jc w:val="both"/>
        <w:rPr>
          <w:rFonts w:ascii="Arial Nova" w:eastAsia="Times New Roman" w:hAnsi="Arial Nova" w:cs="Times New Roman"/>
          <w:kern w:val="0"/>
          <w:lang w:eastAsia="es-419"/>
          <w14:ligatures w14:val="none"/>
        </w:rPr>
      </w:pPr>
      <w:r>
        <w:rPr>
          <w:rFonts w:ascii="Arial Nova" w:eastAsia="Times New Roman" w:hAnsi="Arial Nova" w:cs="Times New Roman"/>
          <w:b/>
          <w:bCs/>
          <w:kern w:val="0"/>
          <w:lang w:eastAsia="es-419"/>
          <w14:ligatures w14:val="none"/>
        </w:rPr>
        <w:t>6</w:t>
      </w:r>
      <w:r w:rsidRPr="005C1C96">
        <w:rPr>
          <w:rFonts w:ascii="Arial Nova" w:eastAsia="Times New Roman" w:hAnsi="Arial Nova" w:cs="Times New Roman"/>
          <w:b/>
          <w:bCs/>
          <w:kern w:val="0"/>
          <w:lang w:eastAsia="es-419"/>
          <w14:ligatures w14:val="none"/>
        </w:rPr>
        <w:t>. FUNDAMENTO JURÍDICO</w:t>
      </w:r>
      <w:r w:rsidRPr="005C1C96">
        <w:rPr>
          <w:rFonts w:ascii="Arial Nova" w:eastAsia="Times New Roman" w:hAnsi="Arial Nova" w:cs="Times New Roman"/>
          <w:kern w:val="0"/>
          <w:lang w:eastAsia="es-419"/>
          <w14:ligatures w14:val="none"/>
        </w:rPr>
        <w:t xml:space="preserve"> El proceso se fundamenta en el </w:t>
      </w:r>
      <w:r w:rsidRPr="005C1C96">
        <w:rPr>
          <w:rFonts w:ascii="Arial Nova" w:eastAsia="Times New Roman" w:hAnsi="Arial Nova" w:cs="Times New Roman"/>
          <w:b/>
          <w:bCs/>
          <w:kern w:val="0"/>
          <w:lang w:eastAsia="es-419"/>
          <w14:ligatures w14:val="none"/>
        </w:rPr>
        <w:t>Reglamento Interno de Contratación</w:t>
      </w:r>
      <w:r w:rsidRPr="005C1C96">
        <w:rPr>
          <w:rFonts w:ascii="Arial Nova" w:eastAsia="Times New Roman" w:hAnsi="Arial Nova" w:cs="Times New Roman"/>
          <w:kern w:val="0"/>
          <w:lang w:eastAsia="es-419"/>
          <w14:ligatures w14:val="none"/>
        </w:rPr>
        <w:t xml:space="preserve"> de la Institución (Acuerdo del Consejo Directivo), en concordancia con el artículo 2.3.1.6.3.17 del </w:t>
      </w:r>
      <w:r w:rsidRPr="005C1C96">
        <w:rPr>
          <w:rFonts w:ascii="Arial Nova" w:eastAsia="Times New Roman" w:hAnsi="Arial Nova" w:cs="Times New Roman"/>
          <w:b/>
          <w:bCs/>
          <w:kern w:val="0"/>
          <w:lang w:eastAsia="es-419"/>
          <w14:ligatures w14:val="none"/>
        </w:rPr>
        <w:t>Decreto 1075 de 2015</w:t>
      </w:r>
      <w:r w:rsidRPr="005C1C96">
        <w:rPr>
          <w:rFonts w:ascii="Arial Nova" w:eastAsia="Times New Roman" w:hAnsi="Arial Nova" w:cs="Times New Roman"/>
          <w:kern w:val="0"/>
          <w:lang w:eastAsia="es-419"/>
          <w14:ligatures w14:val="none"/>
        </w:rPr>
        <w:t xml:space="preserve">, que faculta a los Rectores para celebrar contratos con cargo al Fondo de Servicios Educativos. La modalidad es </w:t>
      </w:r>
      <w:r w:rsidRPr="005C1C96">
        <w:rPr>
          <w:rFonts w:ascii="Arial Nova" w:eastAsia="Times New Roman" w:hAnsi="Arial Nova" w:cs="Times New Roman"/>
          <w:b/>
          <w:bCs/>
          <w:kern w:val="0"/>
          <w:lang w:eastAsia="es-419"/>
          <w14:ligatures w14:val="none"/>
        </w:rPr>
        <w:t>CONTRATACIÓN DIRECTA</w:t>
      </w:r>
      <w:r>
        <w:rPr>
          <w:rFonts w:ascii="Arial Nova" w:eastAsia="Times New Roman" w:hAnsi="Arial Nova" w:cs="Times New Roman"/>
          <w:b/>
          <w:bCs/>
          <w:kern w:val="0"/>
          <w:lang w:eastAsia="es-419"/>
          <w14:ligatures w14:val="none"/>
        </w:rPr>
        <w:t xml:space="preserve"> SIMPLIFICADA</w:t>
      </w:r>
      <w:r w:rsidRPr="005C1C96">
        <w:rPr>
          <w:rFonts w:ascii="Arial Nova" w:eastAsia="Times New Roman" w:hAnsi="Arial Nova" w:cs="Times New Roman"/>
          <w:kern w:val="0"/>
          <w:lang w:eastAsia="es-419"/>
          <w14:ligatures w14:val="none"/>
        </w:rPr>
        <w:t xml:space="preserve"> por tratarse de Servicios Profesionales </w:t>
      </w:r>
      <w:r w:rsidRPr="005C1C96">
        <w:rPr>
          <w:rFonts w:ascii="Arial Nova" w:eastAsia="Times New Roman" w:hAnsi="Arial Nova" w:cs="Times New Roman"/>
          <w:i/>
          <w:iCs/>
          <w:kern w:val="0"/>
          <w:lang w:eastAsia="es-419"/>
          <w14:ligatures w14:val="none"/>
        </w:rPr>
        <w:t>Intuitu Personae</w:t>
      </w:r>
      <w:r w:rsidRPr="005C1C96">
        <w:rPr>
          <w:rFonts w:ascii="Arial Nova" w:eastAsia="Times New Roman" w:hAnsi="Arial Nova" w:cs="Times New Roman"/>
          <w:kern w:val="0"/>
          <w:lang w:eastAsia="es-419"/>
          <w14:ligatures w14:val="none"/>
        </w:rPr>
        <w:t>, donde prima la idoneidad y confianza del contratista.</w:t>
      </w:r>
    </w:p>
    <w:p w14:paraId="444E24D4" w14:textId="77777777" w:rsidR="0048392A" w:rsidRDefault="0048392A" w:rsidP="0037429A">
      <w:pPr>
        <w:spacing w:before="100" w:beforeAutospacing="1" w:after="100" w:afterAutospacing="1" w:line="240" w:lineRule="auto"/>
        <w:jc w:val="both"/>
        <w:rPr>
          <w:rFonts w:ascii="Arial Nova" w:eastAsia="Times New Roman" w:hAnsi="Arial Nova" w:cs="Times New Roman"/>
          <w:kern w:val="0"/>
          <w:sz w:val="22"/>
          <w:szCs w:val="22"/>
          <w:lang w:eastAsia="es-419"/>
          <w14:ligatures w14:val="none"/>
        </w:rPr>
      </w:pPr>
    </w:p>
    <w:p w14:paraId="48FBBF43" w14:textId="77777777" w:rsidR="0048392A" w:rsidRDefault="0048392A" w:rsidP="0037429A">
      <w:pPr>
        <w:spacing w:before="100" w:beforeAutospacing="1" w:after="100" w:afterAutospacing="1" w:line="240" w:lineRule="auto"/>
        <w:jc w:val="both"/>
        <w:rPr>
          <w:rFonts w:ascii="Arial Nova" w:eastAsia="Times New Roman" w:hAnsi="Arial Nova" w:cs="Times New Roman"/>
          <w:kern w:val="0"/>
          <w:sz w:val="22"/>
          <w:szCs w:val="22"/>
          <w:lang w:eastAsia="es-419"/>
          <w14:ligatures w14:val="none"/>
        </w:rPr>
      </w:pPr>
    </w:p>
    <w:p w14:paraId="0521A7C8" w14:textId="77777777" w:rsidR="0048392A" w:rsidRDefault="0048392A" w:rsidP="0037429A">
      <w:pPr>
        <w:spacing w:before="100" w:beforeAutospacing="1" w:after="100" w:afterAutospacing="1" w:line="240" w:lineRule="auto"/>
        <w:jc w:val="both"/>
        <w:rPr>
          <w:rFonts w:ascii="Arial Nova" w:eastAsia="Times New Roman" w:hAnsi="Arial Nova" w:cs="Times New Roman"/>
          <w:kern w:val="0"/>
          <w:sz w:val="22"/>
          <w:szCs w:val="22"/>
          <w:lang w:eastAsia="es-419"/>
          <w14:ligatures w14:val="none"/>
        </w:rPr>
      </w:pPr>
    </w:p>
    <w:p w14:paraId="05B6589B" w14:textId="77777777" w:rsidR="009633FE" w:rsidRDefault="009633FE" w:rsidP="0037429A">
      <w:pPr>
        <w:spacing w:before="100" w:beforeAutospacing="1" w:after="100" w:afterAutospacing="1" w:line="240" w:lineRule="auto"/>
        <w:jc w:val="both"/>
        <w:rPr>
          <w:rFonts w:ascii="Arial Nova" w:eastAsia="Times New Roman" w:hAnsi="Arial Nova" w:cs="Times New Roman"/>
          <w:kern w:val="0"/>
          <w:sz w:val="22"/>
          <w:szCs w:val="22"/>
          <w:lang w:eastAsia="es-419"/>
          <w14:ligatures w14:val="none"/>
        </w:rPr>
      </w:pPr>
    </w:p>
    <w:p w14:paraId="4885A803" w14:textId="77777777" w:rsidR="009633FE" w:rsidRDefault="009633FE" w:rsidP="0037429A">
      <w:pPr>
        <w:spacing w:before="100" w:beforeAutospacing="1" w:after="100" w:afterAutospacing="1" w:line="240" w:lineRule="auto"/>
        <w:jc w:val="both"/>
        <w:rPr>
          <w:rFonts w:ascii="Arial Nova" w:eastAsia="Times New Roman" w:hAnsi="Arial Nova" w:cs="Times New Roman"/>
          <w:kern w:val="0"/>
          <w:sz w:val="22"/>
          <w:szCs w:val="22"/>
          <w:lang w:eastAsia="es-419"/>
          <w14:ligatures w14:val="none"/>
        </w:rPr>
      </w:pPr>
    </w:p>
    <w:p w14:paraId="36E27BF9" w14:textId="2E1F066E" w:rsidR="0048392A" w:rsidRPr="0048392A" w:rsidRDefault="0048392A" w:rsidP="0037429A">
      <w:pPr>
        <w:spacing w:before="100" w:beforeAutospacing="1" w:after="100" w:afterAutospacing="1" w:line="240" w:lineRule="auto"/>
        <w:jc w:val="both"/>
        <w:rPr>
          <w:rFonts w:ascii="Arial Nova" w:eastAsia="Times New Roman" w:hAnsi="Arial Nova" w:cs="Times New Roman"/>
          <w:b/>
          <w:bCs/>
          <w:kern w:val="0"/>
          <w:sz w:val="22"/>
          <w:szCs w:val="22"/>
          <w:lang w:eastAsia="es-419"/>
          <w14:ligatures w14:val="none"/>
        </w:rPr>
      </w:pPr>
      <w:r w:rsidRPr="0048392A">
        <w:rPr>
          <w:rFonts w:ascii="Arial Nova" w:eastAsia="Times New Roman" w:hAnsi="Arial Nova" w:cs="Times New Roman"/>
          <w:b/>
          <w:bCs/>
          <w:kern w:val="0"/>
          <w:sz w:val="22"/>
          <w:szCs w:val="22"/>
          <w:lang w:eastAsia="es-419"/>
          <w14:ligatures w14:val="none"/>
        </w:rPr>
        <w:t>7. ANALISISDE RIESGOS</w:t>
      </w:r>
    </w:p>
    <w:tbl>
      <w:tblPr>
        <w:tblStyle w:val="Tablaconcuadrculaclara"/>
        <w:tblW w:w="0" w:type="auto"/>
        <w:tblLook w:val="04A0" w:firstRow="1" w:lastRow="0" w:firstColumn="1" w:lastColumn="0" w:noHBand="0" w:noVBand="1"/>
      </w:tblPr>
      <w:tblGrid>
        <w:gridCol w:w="1401"/>
        <w:gridCol w:w="1956"/>
        <w:gridCol w:w="2213"/>
        <w:gridCol w:w="2075"/>
        <w:gridCol w:w="1750"/>
      </w:tblGrid>
      <w:tr w:rsidR="0037429A" w:rsidRPr="0037429A" w14:paraId="73D61995" w14:textId="77777777" w:rsidTr="0037429A">
        <w:tc>
          <w:tcPr>
            <w:tcW w:w="0" w:type="auto"/>
            <w:hideMark/>
          </w:tcPr>
          <w:p w14:paraId="7BE81633" w14:textId="77777777" w:rsidR="0037429A" w:rsidRPr="0037429A" w:rsidRDefault="0037429A" w:rsidP="0037429A">
            <w:pPr>
              <w:rPr>
                <w:rFonts w:ascii="Arial" w:eastAsia="Times New Roman" w:hAnsi="Arial" w:cs="Arial"/>
                <w:color w:val="1F1F1F"/>
                <w:kern w:val="0"/>
                <w:lang w:eastAsia="es-419"/>
                <w14:ligatures w14:val="none"/>
              </w:rPr>
            </w:pPr>
            <w:r w:rsidRPr="0037429A">
              <w:rPr>
                <w:rFonts w:ascii="Arial" w:eastAsia="Times New Roman" w:hAnsi="Arial" w:cs="Arial"/>
                <w:b/>
                <w:bCs/>
                <w:color w:val="1F1F1F"/>
                <w:kern w:val="0"/>
                <w:bdr w:val="none" w:sz="0" w:space="0" w:color="auto" w:frame="1"/>
                <w:lang w:eastAsia="es-419"/>
                <w14:ligatures w14:val="none"/>
              </w:rPr>
              <w:t>TIPO DE RIESGO</w:t>
            </w:r>
          </w:p>
        </w:tc>
        <w:tc>
          <w:tcPr>
            <w:tcW w:w="0" w:type="auto"/>
            <w:hideMark/>
          </w:tcPr>
          <w:p w14:paraId="11A8AAE6" w14:textId="77777777" w:rsidR="0037429A" w:rsidRPr="0037429A" w:rsidRDefault="0037429A" w:rsidP="0037429A">
            <w:pPr>
              <w:rPr>
                <w:rFonts w:ascii="Arial" w:eastAsia="Times New Roman" w:hAnsi="Arial" w:cs="Arial"/>
                <w:color w:val="1F1F1F"/>
                <w:kern w:val="0"/>
                <w:lang w:eastAsia="es-419"/>
                <w14:ligatures w14:val="none"/>
              </w:rPr>
            </w:pPr>
            <w:r w:rsidRPr="0037429A">
              <w:rPr>
                <w:rFonts w:ascii="Arial" w:eastAsia="Times New Roman" w:hAnsi="Arial" w:cs="Arial"/>
                <w:b/>
                <w:bCs/>
                <w:color w:val="1F1F1F"/>
                <w:kern w:val="0"/>
                <w:bdr w:val="none" w:sz="0" w:space="0" w:color="auto" w:frame="1"/>
                <w:lang w:eastAsia="es-419"/>
                <w14:ligatures w14:val="none"/>
              </w:rPr>
              <w:t>DESCRIPCIÓN DEL RIESGO</w:t>
            </w:r>
          </w:p>
        </w:tc>
        <w:tc>
          <w:tcPr>
            <w:tcW w:w="0" w:type="auto"/>
            <w:hideMark/>
          </w:tcPr>
          <w:p w14:paraId="0EB10383" w14:textId="77777777" w:rsidR="0037429A" w:rsidRPr="0037429A" w:rsidRDefault="0037429A" w:rsidP="0037429A">
            <w:pPr>
              <w:rPr>
                <w:rFonts w:ascii="Arial" w:eastAsia="Times New Roman" w:hAnsi="Arial" w:cs="Arial"/>
                <w:color w:val="1F1F1F"/>
                <w:kern w:val="0"/>
                <w:lang w:eastAsia="es-419"/>
                <w14:ligatures w14:val="none"/>
              </w:rPr>
            </w:pPr>
            <w:r w:rsidRPr="0037429A">
              <w:rPr>
                <w:rFonts w:ascii="Arial" w:eastAsia="Times New Roman" w:hAnsi="Arial" w:cs="Arial"/>
                <w:b/>
                <w:bCs/>
                <w:color w:val="1F1F1F"/>
                <w:kern w:val="0"/>
                <w:bdr w:val="none" w:sz="0" w:space="0" w:color="auto" w:frame="1"/>
                <w:lang w:eastAsia="es-419"/>
                <w14:ligatures w14:val="none"/>
              </w:rPr>
              <w:t>CONSECUENCIA</w:t>
            </w:r>
          </w:p>
        </w:tc>
        <w:tc>
          <w:tcPr>
            <w:tcW w:w="0" w:type="auto"/>
            <w:hideMark/>
          </w:tcPr>
          <w:p w14:paraId="37E076C8" w14:textId="77777777" w:rsidR="0037429A" w:rsidRPr="0037429A" w:rsidRDefault="0037429A" w:rsidP="0037429A">
            <w:pPr>
              <w:rPr>
                <w:rFonts w:ascii="Arial" w:eastAsia="Times New Roman" w:hAnsi="Arial" w:cs="Arial"/>
                <w:color w:val="1F1F1F"/>
                <w:kern w:val="0"/>
                <w:lang w:eastAsia="es-419"/>
                <w14:ligatures w14:val="none"/>
              </w:rPr>
            </w:pPr>
            <w:r w:rsidRPr="0037429A">
              <w:rPr>
                <w:rFonts w:ascii="Arial" w:eastAsia="Times New Roman" w:hAnsi="Arial" w:cs="Arial"/>
                <w:b/>
                <w:bCs/>
                <w:color w:val="1F1F1F"/>
                <w:kern w:val="0"/>
                <w:bdr w:val="none" w:sz="0" w:space="0" w:color="auto" w:frame="1"/>
                <w:lang w:eastAsia="es-419"/>
                <w14:ligatures w14:val="none"/>
              </w:rPr>
              <w:t>TRATAMIENTO Y MITIGACIÓN</w:t>
            </w:r>
          </w:p>
        </w:tc>
        <w:tc>
          <w:tcPr>
            <w:tcW w:w="0" w:type="auto"/>
            <w:hideMark/>
          </w:tcPr>
          <w:p w14:paraId="3939A75B" w14:textId="77777777" w:rsidR="0037429A" w:rsidRPr="0037429A" w:rsidRDefault="0037429A" w:rsidP="0037429A">
            <w:pPr>
              <w:rPr>
                <w:rFonts w:ascii="Arial" w:eastAsia="Times New Roman" w:hAnsi="Arial" w:cs="Arial"/>
                <w:color w:val="1F1F1F"/>
                <w:kern w:val="0"/>
                <w:lang w:eastAsia="es-419"/>
                <w14:ligatures w14:val="none"/>
              </w:rPr>
            </w:pPr>
            <w:r w:rsidRPr="0037429A">
              <w:rPr>
                <w:rFonts w:ascii="Arial" w:eastAsia="Times New Roman" w:hAnsi="Arial" w:cs="Arial"/>
                <w:b/>
                <w:bCs/>
                <w:color w:val="1F1F1F"/>
                <w:kern w:val="0"/>
                <w:bdr w:val="none" w:sz="0" w:space="0" w:color="auto" w:frame="1"/>
                <w:lang w:eastAsia="es-419"/>
                <w14:ligatures w14:val="none"/>
              </w:rPr>
              <w:t>ASIGNACIÓN</w:t>
            </w:r>
          </w:p>
        </w:tc>
      </w:tr>
      <w:tr w:rsidR="0037429A" w:rsidRPr="0037429A" w14:paraId="341797C7" w14:textId="77777777" w:rsidTr="0037429A">
        <w:tc>
          <w:tcPr>
            <w:tcW w:w="0" w:type="auto"/>
            <w:hideMark/>
          </w:tcPr>
          <w:p w14:paraId="77A06CED" w14:textId="77777777"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b/>
                <w:bCs/>
                <w:color w:val="1F1F1F"/>
                <w:kern w:val="0"/>
                <w:sz w:val="20"/>
                <w:szCs w:val="20"/>
                <w:bdr w:val="none" w:sz="0" w:space="0" w:color="auto" w:frame="1"/>
                <w:lang w:eastAsia="es-419"/>
                <w14:ligatures w14:val="none"/>
              </w:rPr>
              <w:t>Operativo</w:t>
            </w:r>
          </w:p>
        </w:tc>
        <w:tc>
          <w:tcPr>
            <w:tcW w:w="0" w:type="auto"/>
            <w:hideMark/>
          </w:tcPr>
          <w:p w14:paraId="607FAD6B" w14:textId="77777777"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color w:val="1F1F1F"/>
                <w:kern w:val="0"/>
                <w:sz w:val="20"/>
                <w:szCs w:val="20"/>
                <w:bdr w:val="none" w:sz="0" w:space="0" w:color="auto" w:frame="1"/>
                <w:lang w:eastAsia="es-419"/>
                <w14:ligatures w14:val="none"/>
              </w:rPr>
              <w:t>Incumplimiento parcial o total de las obligaciones por parte del contratista (ej. no cargar la información a tiempo en SECOP II).</w:t>
            </w:r>
          </w:p>
        </w:tc>
        <w:tc>
          <w:tcPr>
            <w:tcW w:w="0" w:type="auto"/>
            <w:hideMark/>
          </w:tcPr>
          <w:p w14:paraId="1D2CBC50" w14:textId="77777777"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color w:val="1F1F1F"/>
                <w:kern w:val="0"/>
                <w:sz w:val="20"/>
                <w:szCs w:val="20"/>
                <w:bdr w:val="none" w:sz="0" w:space="0" w:color="auto" w:frame="1"/>
                <w:lang w:eastAsia="es-419"/>
                <w14:ligatures w14:val="none"/>
              </w:rPr>
              <w:t>Retrasos en la gestión contractual de la Institución y posibles sanciones por falta de publicidad.</w:t>
            </w:r>
          </w:p>
        </w:tc>
        <w:tc>
          <w:tcPr>
            <w:tcW w:w="0" w:type="auto"/>
            <w:hideMark/>
          </w:tcPr>
          <w:p w14:paraId="584105C1" w14:textId="77777777"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b/>
                <w:bCs/>
                <w:color w:val="1F1F1F"/>
                <w:kern w:val="0"/>
                <w:sz w:val="20"/>
                <w:szCs w:val="20"/>
                <w:bdr w:val="none" w:sz="0" w:space="0" w:color="auto" w:frame="1"/>
                <w:lang w:eastAsia="es-419"/>
                <w14:ligatures w14:val="none"/>
              </w:rPr>
              <w:t>Mitigación:</w:t>
            </w:r>
            <w:r w:rsidRPr="0037429A">
              <w:rPr>
                <w:rFonts w:ascii="Arial" w:eastAsia="Times New Roman" w:hAnsi="Arial" w:cs="Arial"/>
                <w:color w:val="1F1F1F"/>
                <w:kern w:val="0"/>
                <w:sz w:val="20"/>
                <w:szCs w:val="20"/>
                <w:bdr w:val="none" w:sz="0" w:space="0" w:color="auto" w:frame="1"/>
                <w:lang w:eastAsia="es-419"/>
                <w14:ligatures w14:val="none"/>
              </w:rPr>
              <w:t xml:space="preserve"> El Supervisor realizará seguimiento periódico y exigirá informes de actividad antes de cada pago. Se aplicarán multas o cláusula penal si hay incumplimiento.</w:t>
            </w:r>
          </w:p>
        </w:tc>
        <w:tc>
          <w:tcPr>
            <w:tcW w:w="0" w:type="auto"/>
            <w:hideMark/>
          </w:tcPr>
          <w:p w14:paraId="51869BE6" w14:textId="77777777"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b/>
                <w:bCs/>
                <w:color w:val="1F1F1F"/>
                <w:kern w:val="0"/>
                <w:sz w:val="20"/>
                <w:szCs w:val="20"/>
                <w:bdr w:val="none" w:sz="0" w:space="0" w:color="auto" w:frame="1"/>
                <w:lang w:eastAsia="es-419"/>
                <w14:ligatures w14:val="none"/>
              </w:rPr>
              <w:t>CONTRATISTA</w:t>
            </w:r>
          </w:p>
        </w:tc>
      </w:tr>
      <w:tr w:rsidR="0037429A" w:rsidRPr="0037429A" w14:paraId="7A9A7058" w14:textId="77777777" w:rsidTr="0037429A">
        <w:tc>
          <w:tcPr>
            <w:tcW w:w="0" w:type="auto"/>
            <w:hideMark/>
          </w:tcPr>
          <w:p w14:paraId="0826833D" w14:textId="77777777"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b/>
                <w:bCs/>
                <w:color w:val="1F1F1F"/>
                <w:kern w:val="0"/>
                <w:sz w:val="20"/>
                <w:szCs w:val="20"/>
                <w:bdr w:val="none" w:sz="0" w:space="0" w:color="auto" w:frame="1"/>
                <w:lang w:eastAsia="es-419"/>
                <w14:ligatures w14:val="none"/>
              </w:rPr>
              <w:t>Tecnológico</w:t>
            </w:r>
          </w:p>
        </w:tc>
        <w:tc>
          <w:tcPr>
            <w:tcW w:w="0" w:type="auto"/>
            <w:hideMark/>
          </w:tcPr>
          <w:p w14:paraId="48857BC0" w14:textId="77777777"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color w:val="1F1F1F"/>
                <w:kern w:val="0"/>
                <w:sz w:val="20"/>
                <w:szCs w:val="20"/>
                <w:bdr w:val="none" w:sz="0" w:space="0" w:color="auto" w:frame="1"/>
                <w:lang w:eastAsia="es-419"/>
                <w14:ligatures w14:val="none"/>
              </w:rPr>
              <w:t>Fallas en la plataforma SECOP II o problemas de conectividad que impidan el cargue de documentos en los tiempos de ley.</w:t>
            </w:r>
          </w:p>
        </w:tc>
        <w:tc>
          <w:tcPr>
            <w:tcW w:w="0" w:type="auto"/>
            <w:hideMark/>
          </w:tcPr>
          <w:p w14:paraId="43E93E41" w14:textId="77777777"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color w:val="1F1F1F"/>
                <w:kern w:val="0"/>
                <w:sz w:val="20"/>
                <w:szCs w:val="20"/>
                <w:bdr w:val="none" w:sz="0" w:space="0" w:color="auto" w:frame="1"/>
                <w:lang w:eastAsia="es-419"/>
                <w14:ligatures w14:val="none"/>
              </w:rPr>
              <w:t>Imposibilidad de cumplir con el principio de publicidad en tiempo real.</w:t>
            </w:r>
          </w:p>
        </w:tc>
        <w:tc>
          <w:tcPr>
            <w:tcW w:w="0" w:type="auto"/>
            <w:hideMark/>
          </w:tcPr>
          <w:p w14:paraId="660624B8" w14:textId="77777777"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b/>
                <w:bCs/>
                <w:color w:val="1F1F1F"/>
                <w:kern w:val="0"/>
                <w:sz w:val="20"/>
                <w:szCs w:val="20"/>
                <w:bdr w:val="none" w:sz="0" w:space="0" w:color="auto" w:frame="1"/>
                <w:lang w:eastAsia="es-419"/>
                <w14:ligatures w14:val="none"/>
              </w:rPr>
              <w:t>Mitigación:</w:t>
            </w:r>
            <w:r w:rsidRPr="0037429A">
              <w:rPr>
                <w:rFonts w:ascii="Arial" w:eastAsia="Times New Roman" w:hAnsi="Arial" w:cs="Arial"/>
                <w:color w:val="1F1F1F"/>
                <w:kern w:val="0"/>
                <w:sz w:val="20"/>
                <w:szCs w:val="20"/>
                <w:bdr w:val="none" w:sz="0" w:space="0" w:color="auto" w:frame="1"/>
                <w:lang w:eastAsia="es-419"/>
                <w14:ligatures w14:val="none"/>
              </w:rPr>
              <w:t xml:space="preserve"> El Contratista deberá gestionar los reportes ante la Mesa de Ayuda de Colombia Compra Eficiente y documentar la falla. Se suspenderán plazos si la falla es generalizada.</w:t>
            </w:r>
          </w:p>
        </w:tc>
        <w:tc>
          <w:tcPr>
            <w:tcW w:w="0" w:type="auto"/>
            <w:hideMark/>
          </w:tcPr>
          <w:p w14:paraId="14BB9045" w14:textId="77777777"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b/>
                <w:bCs/>
                <w:color w:val="1F1F1F"/>
                <w:kern w:val="0"/>
                <w:sz w:val="20"/>
                <w:szCs w:val="20"/>
                <w:bdr w:val="none" w:sz="0" w:space="0" w:color="auto" w:frame="1"/>
                <w:lang w:eastAsia="es-419"/>
                <w14:ligatures w14:val="none"/>
              </w:rPr>
              <w:t>COMPARTIDO</w:t>
            </w:r>
          </w:p>
        </w:tc>
      </w:tr>
      <w:tr w:rsidR="0037429A" w:rsidRPr="0037429A" w14:paraId="4BE51423" w14:textId="77777777" w:rsidTr="0037429A">
        <w:tc>
          <w:tcPr>
            <w:tcW w:w="0" w:type="auto"/>
            <w:hideMark/>
          </w:tcPr>
          <w:p w14:paraId="11D4D28A" w14:textId="77777777"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b/>
                <w:bCs/>
                <w:color w:val="1F1F1F"/>
                <w:kern w:val="0"/>
                <w:sz w:val="20"/>
                <w:szCs w:val="20"/>
                <w:bdr w:val="none" w:sz="0" w:space="0" w:color="auto" w:frame="1"/>
                <w:lang w:eastAsia="es-419"/>
                <w14:ligatures w14:val="none"/>
              </w:rPr>
              <w:t>Humano / Laboral</w:t>
            </w:r>
          </w:p>
        </w:tc>
        <w:tc>
          <w:tcPr>
            <w:tcW w:w="0" w:type="auto"/>
            <w:hideMark/>
          </w:tcPr>
          <w:p w14:paraId="2C9DA145" w14:textId="77777777"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color w:val="1F1F1F"/>
                <w:kern w:val="0"/>
                <w:sz w:val="20"/>
                <w:szCs w:val="20"/>
                <w:bdr w:val="none" w:sz="0" w:space="0" w:color="auto" w:frame="1"/>
                <w:lang w:eastAsia="es-419"/>
                <w14:ligatures w14:val="none"/>
              </w:rPr>
              <w:t>Enfermedad, incapacidad o calamidad doméstica del Contratista que le impida ejecutar las actividades personalmente.</w:t>
            </w:r>
          </w:p>
        </w:tc>
        <w:tc>
          <w:tcPr>
            <w:tcW w:w="0" w:type="auto"/>
            <w:hideMark/>
          </w:tcPr>
          <w:p w14:paraId="3640A331" w14:textId="77777777"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color w:val="1F1F1F"/>
                <w:kern w:val="0"/>
                <w:sz w:val="20"/>
                <w:szCs w:val="20"/>
                <w:bdr w:val="none" w:sz="0" w:space="0" w:color="auto" w:frame="1"/>
                <w:lang w:eastAsia="es-419"/>
                <w14:ligatures w14:val="none"/>
              </w:rPr>
              <w:t>Interrupción del servicio de apoyo a la gestión.</w:t>
            </w:r>
          </w:p>
        </w:tc>
        <w:tc>
          <w:tcPr>
            <w:tcW w:w="0" w:type="auto"/>
            <w:hideMark/>
          </w:tcPr>
          <w:p w14:paraId="68C16172" w14:textId="4618D8BE"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b/>
                <w:bCs/>
                <w:color w:val="1F1F1F"/>
                <w:kern w:val="0"/>
                <w:sz w:val="20"/>
                <w:szCs w:val="20"/>
                <w:bdr w:val="none" w:sz="0" w:space="0" w:color="auto" w:frame="1"/>
                <w:lang w:eastAsia="es-419"/>
                <w14:ligatures w14:val="none"/>
              </w:rPr>
              <w:t>Mitigación:</w:t>
            </w:r>
            <w:r w:rsidRPr="0037429A">
              <w:rPr>
                <w:rFonts w:ascii="Arial" w:eastAsia="Times New Roman" w:hAnsi="Arial" w:cs="Arial"/>
                <w:color w:val="1F1F1F"/>
                <w:kern w:val="0"/>
                <w:sz w:val="20"/>
                <w:szCs w:val="20"/>
                <w:bdr w:val="none" w:sz="0" w:space="0" w:color="auto" w:frame="1"/>
                <w:lang w:eastAsia="es-419"/>
                <w14:ligatures w14:val="none"/>
              </w:rPr>
              <w:t xml:space="preserve"> El Contratista deberá informar inmediatamente. Si la incapacidad es prolongada, se podrá ceder el contrato o terminarlo por mutuo acuerdo para contratar a otr</w:t>
            </w:r>
            <w:r>
              <w:rPr>
                <w:rFonts w:ascii="Arial" w:eastAsia="Times New Roman" w:hAnsi="Arial" w:cs="Arial"/>
                <w:color w:val="1F1F1F"/>
                <w:kern w:val="0"/>
                <w:sz w:val="20"/>
                <w:szCs w:val="20"/>
                <w:bdr w:val="none" w:sz="0" w:space="0" w:color="auto" w:frame="1"/>
                <w:lang w:eastAsia="es-419"/>
                <w14:ligatures w14:val="none"/>
              </w:rPr>
              <w:t>a</w:t>
            </w:r>
            <w:r w:rsidRPr="0037429A">
              <w:rPr>
                <w:rFonts w:ascii="Arial" w:eastAsia="Times New Roman" w:hAnsi="Arial" w:cs="Arial"/>
                <w:color w:val="1F1F1F"/>
                <w:kern w:val="0"/>
                <w:sz w:val="20"/>
                <w:szCs w:val="20"/>
                <w:bdr w:val="none" w:sz="0" w:space="0" w:color="auto" w:frame="1"/>
                <w:lang w:eastAsia="es-419"/>
                <w14:ligatures w14:val="none"/>
              </w:rPr>
              <w:t xml:space="preserve"> p</w:t>
            </w:r>
            <w:r>
              <w:rPr>
                <w:rFonts w:ascii="Arial" w:eastAsia="Times New Roman" w:hAnsi="Arial" w:cs="Arial"/>
                <w:color w:val="1F1F1F"/>
                <w:kern w:val="0"/>
                <w:sz w:val="20"/>
                <w:szCs w:val="20"/>
                <w:bdr w:val="none" w:sz="0" w:space="0" w:color="auto" w:frame="1"/>
                <w:lang w:eastAsia="es-419"/>
                <w14:ligatures w14:val="none"/>
              </w:rPr>
              <w:t>ersona</w:t>
            </w:r>
          </w:p>
        </w:tc>
        <w:tc>
          <w:tcPr>
            <w:tcW w:w="0" w:type="auto"/>
            <w:hideMark/>
          </w:tcPr>
          <w:p w14:paraId="5DC439AA" w14:textId="77777777"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b/>
                <w:bCs/>
                <w:color w:val="1F1F1F"/>
                <w:kern w:val="0"/>
                <w:sz w:val="20"/>
                <w:szCs w:val="20"/>
                <w:bdr w:val="none" w:sz="0" w:space="0" w:color="auto" w:frame="1"/>
                <w:lang w:eastAsia="es-419"/>
                <w14:ligatures w14:val="none"/>
              </w:rPr>
              <w:t>CONTRATISTA</w:t>
            </w:r>
          </w:p>
        </w:tc>
      </w:tr>
      <w:tr w:rsidR="0037429A" w:rsidRPr="0037429A" w14:paraId="1A28A6EC" w14:textId="77777777" w:rsidTr="0037429A">
        <w:tc>
          <w:tcPr>
            <w:tcW w:w="0" w:type="auto"/>
            <w:hideMark/>
          </w:tcPr>
          <w:p w14:paraId="2E425357" w14:textId="77777777"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b/>
                <w:bCs/>
                <w:color w:val="1F1F1F"/>
                <w:kern w:val="0"/>
                <w:sz w:val="20"/>
                <w:szCs w:val="20"/>
                <w:bdr w:val="none" w:sz="0" w:space="0" w:color="auto" w:frame="1"/>
                <w:lang w:eastAsia="es-419"/>
                <w14:ligatures w14:val="none"/>
              </w:rPr>
              <w:t>Jurídico</w:t>
            </w:r>
          </w:p>
        </w:tc>
        <w:tc>
          <w:tcPr>
            <w:tcW w:w="0" w:type="auto"/>
            <w:hideMark/>
          </w:tcPr>
          <w:p w14:paraId="4183F52A" w14:textId="77777777"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color w:val="1F1F1F"/>
                <w:kern w:val="0"/>
                <w:sz w:val="20"/>
                <w:szCs w:val="20"/>
                <w:bdr w:val="none" w:sz="0" w:space="0" w:color="auto" w:frame="1"/>
                <w:lang w:eastAsia="es-419"/>
                <w14:ligatures w14:val="none"/>
              </w:rPr>
              <w:t>Cambios normativos en contratación estatal (ej. nuevos decretos o circulares de la CGR) que modifiquen los procedimientos.</w:t>
            </w:r>
          </w:p>
        </w:tc>
        <w:tc>
          <w:tcPr>
            <w:tcW w:w="0" w:type="auto"/>
            <w:hideMark/>
          </w:tcPr>
          <w:p w14:paraId="7E612DD0" w14:textId="77777777"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color w:val="1F1F1F"/>
                <w:kern w:val="0"/>
                <w:sz w:val="20"/>
                <w:szCs w:val="20"/>
                <w:bdr w:val="none" w:sz="0" w:space="0" w:color="auto" w:frame="1"/>
                <w:lang w:eastAsia="es-419"/>
                <w14:ligatures w14:val="none"/>
              </w:rPr>
              <w:t>Necesidad de ajustar los procesos en curso o modificar minutas.</w:t>
            </w:r>
          </w:p>
        </w:tc>
        <w:tc>
          <w:tcPr>
            <w:tcW w:w="0" w:type="auto"/>
            <w:hideMark/>
          </w:tcPr>
          <w:p w14:paraId="7127716E" w14:textId="77777777"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b/>
                <w:bCs/>
                <w:color w:val="1F1F1F"/>
                <w:kern w:val="0"/>
                <w:sz w:val="20"/>
                <w:szCs w:val="20"/>
                <w:bdr w:val="none" w:sz="0" w:space="0" w:color="auto" w:frame="1"/>
                <w:lang w:eastAsia="es-419"/>
                <w14:ligatures w14:val="none"/>
              </w:rPr>
              <w:t>Mitigación:</w:t>
            </w:r>
            <w:r w:rsidRPr="0037429A">
              <w:rPr>
                <w:rFonts w:ascii="Arial" w:eastAsia="Times New Roman" w:hAnsi="Arial" w:cs="Arial"/>
                <w:color w:val="1F1F1F"/>
                <w:kern w:val="0"/>
                <w:sz w:val="20"/>
                <w:szCs w:val="20"/>
                <w:bdr w:val="none" w:sz="0" w:space="0" w:color="auto" w:frame="1"/>
                <w:lang w:eastAsia="es-419"/>
                <w14:ligatures w14:val="none"/>
              </w:rPr>
              <w:t xml:space="preserve"> Actualización permanente. La Institución y el Contratista ajustarán los procedimientos a la nueva norma.</w:t>
            </w:r>
          </w:p>
        </w:tc>
        <w:tc>
          <w:tcPr>
            <w:tcW w:w="0" w:type="auto"/>
            <w:hideMark/>
          </w:tcPr>
          <w:p w14:paraId="11378652" w14:textId="77777777" w:rsidR="0037429A" w:rsidRPr="0037429A" w:rsidRDefault="0037429A" w:rsidP="0037429A">
            <w:pPr>
              <w:rPr>
                <w:rFonts w:ascii="Arial" w:eastAsia="Times New Roman" w:hAnsi="Arial" w:cs="Arial"/>
                <w:color w:val="1F1F1F"/>
                <w:kern w:val="0"/>
                <w:sz w:val="20"/>
                <w:szCs w:val="20"/>
                <w:lang w:eastAsia="es-419"/>
                <w14:ligatures w14:val="none"/>
              </w:rPr>
            </w:pPr>
            <w:r w:rsidRPr="0037429A">
              <w:rPr>
                <w:rFonts w:ascii="Arial" w:eastAsia="Times New Roman" w:hAnsi="Arial" w:cs="Arial"/>
                <w:b/>
                <w:bCs/>
                <w:color w:val="1F1F1F"/>
                <w:kern w:val="0"/>
                <w:sz w:val="20"/>
                <w:szCs w:val="20"/>
                <w:bdr w:val="none" w:sz="0" w:space="0" w:color="auto" w:frame="1"/>
                <w:lang w:eastAsia="es-419"/>
                <w14:ligatures w14:val="none"/>
              </w:rPr>
              <w:t>ENTIDAD</w:t>
            </w:r>
          </w:p>
        </w:tc>
      </w:tr>
    </w:tbl>
    <w:p w14:paraId="60388955" w14:textId="77777777" w:rsidR="0048392A" w:rsidRDefault="0048392A"/>
    <w:p w14:paraId="7760812C" w14:textId="5F8BD8BF" w:rsidR="0048392A" w:rsidRDefault="00C862E2">
      <w:r>
        <w:rPr>
          <w:noProof/>
        </w:rPr>
        <w:drawing>
          <wp:inline distT="0" distB="0" distL="0" distR="0" wp14:anchorId="130713C5" wp14:editId="118E3420">
            <wp:extent cx="2409825" cy="742950"/>
            <wp:effectExtent l="0" t="0" r="9525" b="0"/>
            <wp:docPr id="19237811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781142" name=""/>
                    <pic:cNvPicPr/>
                  </pic:nvPicPr>
                  <pic:blipFill>
                    <a:blip r:embed="rId8"/>
                    <a:stretch>
                      <a:fillRect/>
                    </a:stretch>
                  </pic:blipFill>
                  <pic:spPr>
                    <a:xfrm>
                      <a:off x="0" y="0"/>
                      <a:ext cx="2409825" cy="742950"/>
                    </a:xfrm>
                    <a:prstGeom prst="rect">
                      <a:avLst/>
                    </a:prstGeom>
                  </pic:spPr>
                </pic:pic>
              </a:graphicData>
            </a:graphic>
          </wp:inline>
        </w:drawing>
      </w:r>
    </w:p>
    <w:sectPr w:rsidR="0048392A" w:rsidSect="0037429A">
      <w:pgSz w:w="12240" w:h="15840" w:code="1"/>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5032D" w14:textId="77777777" w:rsidR="004F6BB5" w:rsidRDefault="004F6BB5" w:rsidP="00EC56CE">
      <w:pPr>
        <w:spacing w:after="0" w:line="240" w:lineRule="auto"/>
      </w:pPr>
      <w:r>
        <w:separator/>
      </w:r>
    </w:p>
  </w:endnote>
  <w:endnote w:type="continuationSeparator" w:id="0">
    <w:p w14:paraId="40F9C4DB" w14:textId="77777777" w:rsidR="004F6BB5" w:rsidRDefault="004F6BB5" w:rsidP="00EC5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59B83" w14:textId="77777777" w:rsidR="004F6BB5" w:rsidRDefault="004F6BB5" w:rsidP="00EC56CE">
      <w:pPr>
        <w:spacing w:after="0" w:line="240" w:lineRule="auto"/>
      </w:pPr>
      <w:r>
        <w:separator/>
      </w:r>
    </w:p>
  </w:footnote>
  <w:footnote w:type="continuationSeparator" w:id="0">
    <w:p w14:paraId="51BB98DF" w14:textId="77777777" w:rsidR="004F6BB5" w:rsidRDefault="004F6BB5" w:rsidP="00EC56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C96E47"/>
    <w:multiLevelType w:val="multilevel"/>
    <w:tmpl w:val="BE6CD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1955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CE"/>
    <w:rsid w:val="000E0DFC"/>
    <w:rsid w:val="00103A5D"/>
    <w:rsid w:val="00242E31"/>
    <w:rsid w:val="0037429A"/>
    <w:rsid w:val="0048392A"/>
    <w:rsid w:val="004F6BB5"/>
    <w:rsid w:val="00564429"/>
    <w:rsid w:val="00604B84"/>
    <w:rsid w:val="006A6AC5"/>
    <w:rsid w:val="006E788E"/>
    <w:rsid w:val="009633FE"/>
    <w:rsid w:val="00A92391"/>
    <w:rsid w:val="00B77E79"/>
    <w:rsid w:val="00B95609"/>
    <w:rsid w:val="00C37386"/>
    <w:rsid w:val="00C862E2"/>
    <w:rsid w:val="00E41558"/>
    <w:rsid w:val="00EC56CE"/>
    <w:rsid w:val="00F50177"/>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9AD69"/>
  <w15:chartTrackingRefBased/>
  <w15:docId w15:val="{8E021D94-AA38-4ACC-93B5-9F47A9984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419"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C56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EC56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C56C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C56C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C56C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C56C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C56C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C56C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C56C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C56C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C56C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C56C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C56C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C56C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C56C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C56C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C56C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C56CE"/>
    <w:rPr>
      <w:rFonts w:eastAsiaTheme="majorEastAsia" w:cstheme="majorBidi"/>
      <w:color w:val="272727" w:themeColor="text1" w:themeTint="D8"/>
    </w:rPr>
  </w:style>
  <w:style w:type="paragraph" w:styleId="Ttulo">
    <w:name w:val="Title"/>
    <w:basedOn w:val="Normal"/>
    <w:next w:val="Normal"/>
    <w:link w:val="TtuloCar"/>
    <w:uiPriority w:val="10"/>
    <w:qFormat/>
    <w:rsid w:val="00EC56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C56C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C56C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C56C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C56CE"/>
    <w:pPr>
      <w:spacing w:before="160"/>
      <w:jc w:val="center"/>
    </w:pPr>
    <w:rPr>
      <w:i/>
      <w:iCs/>
      <w:color w:val="404040" w:themeColor="text1" w:themeTint="BF"/>
    </w:rPr>
  </w:style>
  <w:style w:type="character" w:customStyle="1" w:styleId="CitaCar">
    <w:name w:val="Cita Car"/>
    <w:basedOn w:val="Fuentedeprrafopredeter"/>
    <w:link w:val="Cita"/>
    <w:uiPriority w:val="29"/>
    <w:rsid w:val="00EC56CE"/>
    <w:rPr>
      <w:i/>
      <w:iCs/>
      <w:color w:val="404040" w:themeColor="text1" w:themeTint="BF"/>
    </w:rPr>
  </w:style>
  <w:style w:type="paragraph" w:styleId="Prrafodelista">
    <w:name w:val="List Paragraph"/>
    <w:basedOn w:val="Normal"/>
    <w:uiPriority w:val="34"/>
    <w:qFormat/>
    <w:rsid w:val="00EC56CE"/>
    <w:pPr>
      <w:ind w:left="720"/>
      <w:contextualSpacing/>
    </w:pPr>
  </w:style>
  <w:style w:type="character" w:styleId="nfasisintenso">
    <w:name w:val="Intense Emphasis"/>
    <w:basedOn w:val="Fuentedeprrafopredeter"/>
    <w:uiPriority w:val="21"/>
    <w:qFormat/>
    <w:rsid w:val="00EC56CE"/>
    <w:rPr>
      <w:i/>
      <w:iCs/>
      <w:color w:val="2F5496" w:themeColor="accent1" w:themeShade="BF"/>
    </w:rPr>
  </w:style>
  <w:style w:type="paragraph" w:styleId="Citadestacada">
    <w:name w:val="Intense Quote"/>
    <w:basedOn w:val="Normal"/>
    <w:next w:val="Normal"/>
    <w:link w:val="CitadestacadaCar"/>
    <w:uiPriority w:val="30"/>
    <w:qFormat/>
    <w:rsid w:val="00EC56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C56CE"/>
    <w:rPr>
      <w:i/>
      <w:iCs/>
      <w:color w:val="2F5496" w:themeColor="accent1" w:themeShade="BF"/>
    </w:rPr>
  </w:style>
  <w:style w:type="character" w:styleId="Referenciaintensa">
    <w:name w:val="Intense Reference"/>
    <w:basedOn w:val="Fuentedeprrafopredeter"/>
    <w:uiPriority w:val="32"/>
    <w:qFormat/>
    <w:rsid w:val="00EC56CE"/>
    <w:rPr>
      <w:b/>
      <w:bCs/>
      <w:smallCaps/>
      <w:color w:val="2F5496" w:themeColor="accent1" w:themeShade="BF"/>
      <w:spacing w:val="5"/>
    </w:rPr>
  </w:style>
  <w:style w:type="paragraph" w:styleId="Encabezado">
    <w:name w:val="header"/>
    <w:basedOn w:val="Normal"/>
    <w:link w:val="EncabezadoCar"/>
    <w:uiPriority w:val="99"/>
    <w:unhideWhenUsed/>
    <w:rsid w:val="00EC56C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C56CE"/>
  </w:style>
  <w:style w:type="paragraph" w:styleId="Piedepgina">
    <w:name w:val="footer"/>
    <w:basedOn w:val="Normal"/>
    <w:link w:val="PiedepginaCar"/>
    <w:uiPriority w:val="99"/>
    <w:unhideWhenUsed/>
    <w:rsid w:val="00EC56C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C56CE"/>
  </w:style>
  <w:style w:type="table" w:styleId="Tablaconcuadrculaclara">
    <w:name w:val="Grid Table Light"/>
    <w:basedOn w:val="Tablanormal"/>
    <w:uiPriority w:val="40"/>
    <w:rsid w:val="0037429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589</Words>
  <Characters>3244</Characters>
  <Application>Microsoft Office Word</Application>
  <DocSecurity>0</DocSecurity>
  <Lines>27</Lines>
  <Paragraphs>7</Paragraphs>
  <ScaleCrop>false</ScaleCrop>
  <Company/>
  <LinksUpToDate>false</LinksUpToDate>
  <CharactersWithSpaces>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7</cp:revision>
  <dcterms:created xsi:type="dcterms:W3CDTF">2026-02-03T00:20:00Z</dcterms:created>
  <dcterms:modified xsi:type="dcterms:W3CDTF">2026-02-04T23:36:00Z</dcterms:modified>
</cp:coreProperties>
</file>