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073AD0" w14:textId="03425841" w:rsidR="00121265" w:rsidRPr="007C4BEA" w:rsidRDefault="00121265" w:rsidP="00121265">
      <w:pPr>
        <w:rPr>
          <w:b/>
          <w:sz w:val="16"/>
          <w:szCs w:val="16"/>
        </w:rPr>
      </w:pPr>
    </w:p>
    <w:tbl>
      <w:tblPr>
        <w:tblpPr w:leftFromText="141" w:rightFromText="141" w:vertAnchor="page" w:horzAnchor="margin" w:tblpXSpec="center" w:tblpY="21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7"/>
        <w:gridCol w:w="317"/>
        <w:gridCol w:w="317"/>
        <w:gridCol w:w="317"/>
        <w:gridCol w:w="317"/>
        <w:gridCol w:w="590"/>
        <w:gridCol w:w="539"/>
        <w:gridCol w:w="316"/>
        <w:gridCol w:w="316"/>
        <w:gridCol w:w="316"/>
        <w:gridCol w:w="316"/>
        <w:gridCol w:w="562"/>
        <w:gridCol w:w="607"/>
        <w:gridCol w:w="316"/>
        <w:gridCol w:w="316"/>
        <w:gridCol w:w="316"/>
        <w:gridCol w:w="316"/>
        <w:gridCol w:w="316"/>
        <w:gridCol w:w="316"/>
        <w:gridCol w:w="316"/>
        <w:gridCol w:w="634"/>
        <w:gridCol w:w="519"/>
        <w:gridCol w:w="316"/>
      </w:tblGrid>
      <w:tr w:rsidR="00121265" w:rsidRPr="009D2A26" w14:paraId="4941F2A2" w14:textId="77777777" w:rsidTr="004E2EFF">
        <w:trPr>
          <w:trHeight w:val="467"/>
        </w:trPr>
        <w:tc>
          <w:tcPr>
            <w:tcW w:w="0" w:type="auto"/>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0680832" w14:textId="77777777" w:rsidR="00121265" w:rsidRPr="009D2A26" w:rsidRDefault="00121265" w:rsidP="00A47786">
            <w:pPr>
              <w:jc w:val="center"/>
              <w:rPr>
                <w:rFonts w:ascii="Century Gothic" w:hAnsi="Century Gothic"/>
                <w:sz w:val="10"/>
                <w:szCs w:val="10"/>
                <w:lang w:eastAsia="es-CO"/>
              </w:rPr>
            </w:pPr>
            <w:r w:rsidRPr="009D2A26">
              <w:rPr>
                <w:noProof/>
                <w:sz w:val="10"/>
                <w:szCs w:val="10"/>
                <w:lang w:val="en-US"/>
              </w:rPr>
              <w:drawing>
                <wp:anchor distT="0" distB="0" distL="114300" distR="114300" simplePos="0" relativeHeight="251659264" behindDoc="1" locked="0" layoutInCell="1" allowOverlap="1" wp14:anchorId="3B80DD8A" wp14:editId="59BFB998">
                  <wp:simplePos x="0" y="0"/>
                  <wp:positionH relativeFrom="column">
                    <wp:posOffset>-745490</wp:posOffset>
                  </wp:positionH>
                  <wp:positionV relativeFrom="paragraph">
                    <wp:posOffset>11986895</wp:posOffset>
                  </wp:positionV>
                  <wp:extent cx="7781925" cy="1530350"/>
                  <wp:effectExtent l="0" t="0" r="9525" b="0"/>
                  <wp:wrapNone/>
                  <wp:docPr id="3" name="Imagen 3" descr="Descripción: Macintosh HD:Users:BryanSantiagoGrisalesChica:Documents:Marca Ciudad Manizales:Diseños:Membretes Municipales:Barra-Infer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Macintosh HD:Users:BryanSantiagoGrisalesChica:Documents:Marca Ciudad Manizales:Diseños:Membretes Municipales:Barra-Inferior.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781925" cy="1530350"/>
                          </a:xfrm>
                          <a:prstGeom prst="rect">
                            <a:avLst/>
                          </a:prstGeom>
                          <a:noFill/>
                        </pic:spPr>
                      </pic:pic>
                    </a:graphicData>
                  </a:graphic>
                  <wp14:sizeRelH relativeFrom="page">
                    <wp14:pctWidth>0</wp14:pctWidth>
                  </wp14:sizeRelH>
                  <wp14:sizeRelV relativeFrom="page">
                    <wp14:pctHeight>0</wp14:pctHeight>
                  </wp14:sizeRelV>
                </wp:anchor>
              </w:drawing>
            </w:r>
            <w:r w:rsidRPr="009D2A26">
              <w:rPr>
                <w:rFonts w:ascii="Century Gothic" w:hAnsi="Century Gothic"/>
                <w:sz w:val="10"/>
                <w:szCs w:val="10"/>
                <w:lang w:eastAsia="es-CO"/>
              </w:rPr>
              <w:t>NO.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20F1658"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CLASE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7D8FFF2"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FUENTE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ADF9DD7"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ETAPA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FB6FA0D"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TIPO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9A3A05D"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DESCRIPCIÓN</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54BC8E1"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CONSECUENCIA DE LA OCURRENCIA DEL EVENTO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7664950"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PROBABILIDAD</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A175948"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IMPACTO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CC8E31F"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VALORACIÓN</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1BDC613"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CATEGORÍA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8648804"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¿A QUIEN SE LE ASIGNA?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3C2D560"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TRATAMIENTO / CONTROL A SER IMPLEMENTADO</w:t>
            </w:r>
          </w:p>
        </w:tc>
        <w:tc>
          <w:tcPr>
            <w:tcW w:w="0" w:type="auto"/>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64808822"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IMPACTO DESPUÉS DEL TRATAMIENTO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1F36C66"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¿AFECTA LA EJECUCIÓN DEL CONTRATO?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2925C0B"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RESPONSABLE POR IMPLEMENTAR EL TRATAMIENTO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3E20DC8"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FECHA ESTIMADA EN QUE SE INICIA EL TRATAMIENTO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23767D5"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FECHA ESTIMADA EN QUE SE COMPLETA EL TRATAMIENTO</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297165F"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MONITOREO Y REVISIÓN</w:t>
            </w:r>
          </w:p>
        </w:tc>
      </w:tr>
      <w:tr w:rsidR="00121265" w:rsidRPr="009D2A26" w14:paraId="643E3F8D" w14:textId="77777777" w:rsidTr="004E2EFF">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060C91" w14:textId="77777777" w:rsidR="00121265" w:rsidRPr="009D2A26" w:rsidRDefault="00121265" w:rsidP="00A47786">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1CD6BD" w14:textId="77777777" w:rsidR="00121265" w:rsidRPr="009D2A26" w:rsidRDefault="00121265" w:rsidP="00A47786">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66F61E" w14:textId="77777777" w:rsidR="00121265" w:rsidRPr="009D2A26" w:rsidRDefault="00121265" w:rsidP="00A47786">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FCA522" w14:textId="77777777" w:rsidR="00121265" w:rsidRPr="009D2A26" w:rsidRDefault="00121265" w:rsidP="00A47786">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57C0BA" w14:textId="77777777" w:rsidR="00121265" w:rsidRPr="009D2A26" w:rsidRDefault="00121265" w:rsidP="00A47786">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895BF7" w14:textId="77777777" w:rsidR="00121265" w:rsidRPr="009D2A26" w:rsidRDefault="00121265" w:rsidP="00A47786">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99D5A4" w14:textId="77777777" w:rsidR="00121265" w:rsidRPr="009D2A26" w:rsidRDefault="00121265" w:rsidP="00A47786">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A5D649" w14:textId="77777777" w:rsidR="00121265" w:rsidRPr="009D2A26" w:rsidRDefault="00121265" w:rsidP="00A47786">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1A82F7" w14:textId="77777777" w:rsidR="00121265" w:rsidRPr="009D2A26" w:rsidRDefault="00121265" w:rsidP="00A47786">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1F0C68" w14:textId="77777777" w:rsidR="00121265" w:rsidRPr="009D2A26" w:rsidRDefault="00121265" w:rsidP="00A47786">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2BC0FB" w14:textId="77777777" w:rsidR="00121265" w:rsidRPr="009D2A26" w:rsidRDefault="00121265" w:rsidP="00A47786">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9736CD" w14:textId="77777777" w:rsidR="00121265" w:rsidRPr="009D2A26" w:rsidRDefault="00121265" w:rsidP="00A47786">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1E133E" w14:textId="77777777" w:rsidR="00121265" w:rsidRPr="009D2A26" w:rsidRDefault="00121265" w:rsidP="00A47786">
            <w:pPr>
              <w:rPr>
                <w:rFonts w:ascii="Century Gothic" w:hAnsi="Century Gothic"/>
                <w:sz w:val="10"/>
                <w:szCs w:val="10"/>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AD4F0EA"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PROBABILIDAD</w:t>
            </w:r>
          </w:p>
        </w:tc>
        <w:tc>
          <w:tcPr>
            <w:tcW w:w="0" w:type="auto"/>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62B0E1D"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IMPACTO</w:t>
            </w:r>
          </w:p>
        </w:tc>
        <w:tc>
          <w:tcPr>
            <w:tcW w:w="0" w:type="auto"/>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CC91E7E"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VALORACIÓN</w:t>
            </w:r>
          </w:p>
        </w:tc>
        <w:tc>
          <w:tcPr>
            <w:tcW w:w="0" w:type="auto"/>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AA384D8"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2C075F" w14:textId="77777777" w:rsidR="00121265" w:rsidRPr="009D2A26" w:rsidRDefault="00121265" w:rsidP="00A47786">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238421" w14:textId="77777777" w:rsidR="00121265" w:rsidRPr="009D2A26" w:rsidRDefault="00121265" w:rsidP="00A47786">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90BDCE" w14:textId="77777777" w:rsidR="00121265" w:rsidRPr="009D2A26" w:rsidRDefault="00121265" w:rsidP="00A47786">
            <w:pPr>
              <w:rPr>
                <w:rFonts w:ascii="Century Gothic" w:hAnsi="Century Gothic"/>
                <w:sz w:val="10"/>
                <w:szCs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CE5D2D" w14:textId="77777777" w:rsidR="00121265" w:rsidRPr="009D2A26" w:rsidRDefault="00121265" w:rsidP="00A47786">
            <w:pPr>
              <w:rPr>
                <w:rFonts w:ascii="Century Gothic" w:hAnsi="Century Gothic"/>
                <w:sz w:val="10"/>
                <w:szCs w:val="10"/>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DD98347"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¿CÓMO SE REALIZA EL MONITOREO?</w:t>
            </w:r>
          </w:p>
        </w:tc>
        <w:tc>
          <w:tcPr>
            <w:tcW w:w="0" w:type="auto"/>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C8E256B"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PROBABILIDAD</w:t>
            </w:r>
          </w:p>
        </w:tc>
      </w:tr>
      <w:tr w:rsidR="00121265" w:rsidRPr="009D2A26" w14:paraId="66B2312F" w14:textId="77777777" w:rsidTr="004E2EFF">
        <w:trPr>
          <w:trHeight w:val="1659"/>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3190194"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315E602F"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General</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0C9CC79D"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Externo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5A29205"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Ejecución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8C8CEA9"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Regulatorio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AAD2B8B"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Riesgo por cambios en el régimen de contratación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706C60F7"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Afectación de las condiciones pactadas en el contrato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8D0CC09"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D3022C0"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AB20368"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3</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2A397696"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0" w:type="auto"/>
            <w:tcBorders>
              <w:top w:val="single" w:sz="4" w:space="0" w:color="auto"/>
              <w:left w:val="single" w:sz="4" w:space="0" w:color="auto"/>
              <w:bottom w:val="single" w:sz="4" w:space="0" w:color="auto"/>
              <w:right w:val="single" w:sz="4" w:space="0" w:color="auto"/>
            </w:tcBorders>
            <w:vAlign w:val="center"/>
            <w:hideMark/>
          </w:tcPr>
          <w:p w14:paraId="79872F1B"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Este riesgo y sus consecuencias serán asumidos en su totalidad por el 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271E1C"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Toda norma de obligatorio cumplimiento para el municipio de Manizales que modifique las condiciones pactadas en el contrato, sobre todo en cuanto a las cláusulas que contienen obligaciones al contratista, serán introducidas al contrato, sin que medie negociación alguna con el contratista, toda vez que el municipio de Manizales no tiene la facultad de negociar apartes normativos de obligatorio cumplimiento.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1BB0964"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F64066A"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B56D61D"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4D610CEC"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0" w:type="auto"/>
            <w:tcBorders>
              <w:top w:val="single" w:sz="4" w:space="0" w:color="auto"/>
              <w:left w:val="single" w:sz="4" w:space="0" w:color="auto"/>
              <w:bottom w:val="single" w:sz="4" w:space="0" w:color="auto"/>
              <w:right w:val="single" w:sz="4" w:space="0" w:color="auto"/>
            </w:tcBorders>
            <w:vAlign w:val="center"/>
            <w:hideMark/>
          </w:tcPr>
          <w:p w14:paraId="1F399347"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NO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7ED3C097" w14:textId="77777777" w:rsidR="00121265" w:rsidRPr="009D2A26" w:rsidRDefault="00121265" w:rsidP="00A47786">
            <w:pPr>
              <w:jc w:val="center"/>
              <w:rPr>
                <w:rFonts w:ascii="Century Gothic" w:hAnsi="Century Gothic"/>
                <w:sz w:val="10"/>
                <w:szCs w:val="10"/>
                <w:lang w:eastAsia="es-CO"/>
              </w:rPr>
            </w:pPr>
            <w:r>
              <w:rPr>
                <w:rFonts w:ascii="Century Gothic" w:hAnsi="Century Gothic"/>
                <w:sz w:val="10"/>
                <w:szCs w:val="10"/>
                <w:lang w:eastAsia="es-CO"/>
              </w:rPr>
              <w:t>Municipio de Manizales</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C904ABB"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Una vez se conozca la normativa</w:t>
            </w:r>
          </w:p>
        </w:tc>
        <w:tc>
          <w:tcPr>
            <w:tcW w:w="0" w:type="auto"/>
            <w:tcBorders>
              <w:top w:val="single" w:sz="4" w:space="0" w:color="auto"/>
              <w:left w:val="single" w:sz="4" w:space="0" w:color="auto"/>
              <w:bottom w:val="single" w:sz="4" w:space="0" w:color="auto"/>
              <w:right w:val="single" w:sz="4" w:space="0" w:color="auto"/>
            </w:tcBorders>
            <w:vAlign w:val="center"/>
            <w:hideMark/>
          </w:tcPr>
          <w:p w14:paraId="668FB4BC"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Hasta el momento de perfeccionar el cambio normativo en 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3215711B"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Revisión periódica de las normas de contratación</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7BA0E65B"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Mensual</w:t>
            </w:r>
          </w:p>
        </w:tc>
      </w:tr>
      <w:tr w:rsidR="00121265" w:rsidRPr="009D2A26" w14:paraId="78A2CDF2" w14:textId="77777777" w:rsidTr="004E2EFF">
        <w:trPr>
          <w:trHeight w:val="156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5D15C94A"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27D80755"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General</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259E0D7D"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Externo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3B78446F"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Ejecución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0FE62FDE"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Regulatorio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CC70D73"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Riesgo por cambios en el régimen legal de seguridad social integral.</w:t>
            </w:r>
          </w:p>
        </w:tc>
        <w:tc>
          <w:tcPr>
            <w:tcW w:w="0" w:type="auto"/>
            <w:tcBorders>
              <w:top w:val="single" w:sz="4" w:space="0" w:color="auto"/>
              <w:left w:val="single" w:sz="4" w:space="0" w:color="auto"/>
              <w:bottom w:val="single" w:sz="4" w:space="0" w:color="auto"/>
              <w:right w:val="single" w:sz="4" w:space="0" w:color="auto"/>
            </w:tcBorders>
            <w:vAlign w:val="center"/>
            <w:hideMark/>
          </w:tcPr>
          <w:p w14:paraId="4B5BB84A"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Afectación de las condiciones pactadas en el contrato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8B9BB9D"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85F2983"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5C85842"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3</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51EEDBBB"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0" w:type="auto"/>
            <w:tcBorders>
              <w:top w:val="single" w:sz="4" w:space="0" w:color="auto"/>
              <w:left w:val="single" w:sz="4" w:space="0" w:color="auto"/>
              <w:bottom w:val="single" w:sz="4" w:space="0" w:color="auto"/>
              <w:right w:val="single" w:sz="4" w:space="0" w:color="auto"/>
            </w:tcBorders>
            <w:vAlign w:val="center"/>
            <w:hideMark/>
          </w:tcPr>
          <w:p w14:paraId="53706328"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 xml:space="preserve">Este riesgo y sus consecuencias serán asumidos en su totalidad por el </w:t>
            </w:r>
            <w:r w:rsidRPr="009D2A26">
              <w:rPr>
                <w:rFonts w:ascii="Century Gothic" w:hAnsi="Century Gothic"/>
                <w:sz w:val="10"/>
                <w:szCs w:val="10"/>
                <w:lang w:eastAsia="es-CO"/>
              </w:rPr>
              <w:lastRenderedPageBreak/>
              <w:t>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998E7A6"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lastRenderedPageBreak/>
              <w:t xml:space="preserve">Toda norma de obligatorio cumplimiento para el municipio de Manizales que </w:t>
            </w:r>
            <w:r w:rsidRPr="009D2A26">
              <w:rPr>
                <w:rFonts w:ascii="Century Gothic" w:hAnsi="Century Gothic"/>
                <w:sz w:val="10"/>
                <w:szCs w:val="10"/>
                <w:lang w:eastAsia="es-CO"/>
              </w:rPr>
              <w:lastRenderedPageBreak/>
              <w:t>modifique las condiciones pactadas en el contrato, y que afecte las condiciones de seguridad social integral que el contratista proyectó en su oferta, serán introducidas al contrato, sin que medie negociación alguna con el contratista, toda vez que el municipio de Manizales no tiene la facultad de negociar apartes normativos de obligatorio cumplimiento.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9FB9749"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lastRenderedPageBreak/>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3E78609"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40E0227"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687567CF"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0" w:type="auto"/>
            <w:tcBorders>
              <w:top w:val="single" w:sz="4" w:space="0" w:color="auto"/>
              <w:left w:val="single" w:sz="4" w:space="0" w:color="auto"/>
              <w:bottom w:val="single" w:sz="4" w:space="0" w:color="auto"/>
              <w:right w:val="single" w:sz="4" w:space="0" w:color="auto"/>
            </w:tcBorders>
            <w:vAlign w:val="center"/>
            <w:hideMark/>
          </w:tcPr>
          <w:p w14:paraId="7B1C61A3"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NO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ADAAA92" w14:textId="77777777" w:rsidR="00121265" w:rsidRPr="009D2A26" w:rsidRDefault="00121265" w:rsidP="00A47786">
            <w:pPr>
              <w:jc w:val="center"/>
              <w:rPr>
                <w:rFonts w:ascii="Century Gothic" w:hAnsi="Century Gothic"/>
                <w:sz w:val="10"/>
                <w:szCs w:val="10"/>
                <w:lang w:eastAsia="es-CO"/>
              </w:rPr>
            </w:pPr>
            <w:r>
              <w:rPr>
                <w:rFonts w:ascii="Century Gothic" w:hAnsi="Century Gothic"/>
                <w:sz w:val="10"/>
                <w:szCs w:val="10"/>
                <w:lang w:eastAsia="es-CO"/>
              </w:rPr>
              <w:t>Municipio de Manizales</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1CE5C5D"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Una vez se conozca la normativa</w:t>
            </w:r>
          </w:p>
        </w:tc>
        <w:tc>
          <w:tcPr>
            <w:tcW w:w="0" w:type="auto"/>
            <w:tcBorders>
              <w:top w:val="single" w:sz="4" w:space="0" w:color="auto"/>
              <w:left w:val="single" w:sz="4" w:space="0" w:color="auto"/>
              <w:bottom w:val="single" w:sz="4" w:space="0" w:color="auto"/>
              <w:right w:val="single" w:sz="4" w:space="0" w:color="auto"/>
            </w:tcBorders>
            <w:vAlign w:val="center"/>
          </w:tcPr>
          <w:p w14:paraId="64BA0D89"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Hasta el momento de perfeccionar el cambio normativo en el contrato</w:t>
            </w:r>
          </w:p>
          <w:p w14:paraId="50A631FD" w14:textId="77777777" w:rsidR="00121265" w:rsidRPr="009D2A26" w:rsidRDefault="00121265" w:rsidP="00A47786">
            <w:pPr>
              <w:jc w:val="both"/>
              <w:rPr>
                <w:rFonts w:ascii="Century Gothic" w:hAnsi="Century Gothic"/>
                <w:sz w:val="10"/>
                <w:szCs w:val="10"/>
                <w:lang w:eastAsia="es-CO"/>
              </w:rPr>
            </w:pPr>
          </w:p>
          <w:p w14:paraId="12D89300" w14:textId="77777777" w:rsidR="00121265" w:rsidRPr="009D2A26" w:rsidRDefault="00121265" w:rsidP="00A47786">
            <w:pPr>
              <w:jc w:val="both"/>
              <w:rPr>
                <w:rFonts w:ascii="Century Gothic" w:hAnsi="Century Gothic"/>
                <w:sz w:val="10"/>
                <w:szCs w:val="10"/>
                <w:lang w:eastAsia="es-CO"/>
              </w:rPr>
            </w:pPr>
          </w:p>
          <w:p w14:paraId="198C238B" w14:textId="77777777" w:rsidR="00121265" w:rsidRPr="009D2A26" w:rsidRDefault="00121265" w:rsidP="00A47786">
            <w:pPr>
              <w:jc w:val="both"/>
              <w:rPr>
                <w:rFonts w:ascii="Century Gothic" w:hAnsi="Century Gothic"/>
                <w:sz w:val="10"/>
                <w:szCs w:val="10"/>
                <w:lang w:eastAsia="es-CO"/>
              </w:rPr>
            </w:pPr>
          </w:p>
          <w:p w14:paraId="303C5C58" w14:textId="77777777" w:rsidR="00121265" w:rsidRPr="009D2A26" w:rsidRDefault="00121265" w:rsidP="00A47786">
            <w:pPr>
              <w:jc w:val="both"/>
              <w:rPr>
                <w:rFonts w:ascii="Century Gothic" w:hAnsi="Century Gothic"/>
                <w:sz w:val="10"/>
                <w:szCs w:val="10"/>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6AF7570"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lastRenderedPageBreak/>
              <w:t>Revisión periódica de las normas de laborales.</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438F884"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Mensual</w:t>
            </w:r>
          </w:p>
        </w:tc>
        <w:bookmarkStart w:id="0" w:name="_GoBack"/>
        <w:bookmarkEnd w:id="0"/>
      </w:tr>
      <w:tr w:rsidR="00121265" w:rsidRPr="009D2A26" w14:paraId="0186379D" w14:textId="77777777" w:rsidTr="004E2EFF">
        <w:trPr>
          <w:trHeight w:val="694"/>
        </w:trPr>
        <w:tc>
          <w:tcPr>
            <w:tcW w:w="0" w:type="auto"/>
            <w:tcBorders>
              <w:top w:val="single" w:sz="4" w:space="0" w:color="auto"/>
              <w:left w:val="single" w:sz="4" w:space="0" w:color="auto"/>
              <w:bottom w:val="single" w:sz="4" w:space="0" w:color="auto"/>
              <w:right w:val="single" w:sz="4" w:space="0" w:color="auto"/>
            </w:tcBorders>
            <w:noWrap/>
            <w:vAlign w:val="center"/>
            <w:hideMark/>
          </w:tcPr>
          <w:p w14:paraId="18C3AFA2"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3</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263590ED"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General</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0059AFA"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Externo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22176295"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Ejecución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62DA80C"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Regulatorio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094BDDC"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Riesgo por suspensión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7544712B"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 xml:space="preserve">Retraso en el cumplimiento de las obligaciones por parte del </w:t>
            </w:r>
            <w:r>
              <w:rPr>
                <w:rFonts w:ascii="Century Gothic" w:hAnsi="Century Gothic"/>
                <w:sz w:val="10"/>
                <w:szCs w:val="10"/>
                <w:lang w:eastAsia="es-CO"/>
              </w:rPr>
              <w:t>contratista</w:t>
            </w:r>
            <w:r w:rsidRPr="009D2A26">
              <w:rPr>
                <w:rFonts w:ascii="Century Gothic" w:hAnsi="Century Gothic"/>
                <w:sz w:val="10"/>
                <w:szCs w:val="10"/>
                <w:lang w:eastAsia="es-CO"/>
              </w:rPr>
              <w:t>.       Mayor tiempo de ejecución del contrato o detrimento por deficiente prestación del servicio.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DB66D10"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A82F520"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D029F32"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3</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8A22172"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0" w:type="auto"/>
            <w:tcBorders>
              <w:top w:val="single" w:sz="4" w:space="0" w:color="auto"/>
              <w:left w:val="single" w:sz="4" w:space="0" w:color="auto"/>
              <w:bottom w:val="single" w:sz="4" w:space="0" w:color="auto"/>
              <w:right w:val="single" w:sz="4" w:space="0" w:color="auto"/>
            </w:tcBorders>
            <w:vAlign w:val="center"/>
            <w:hideMark/>
          </w:tcPr>
          <w:p w14:paraId="7EE9FBE9"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Al municipio de Manizales cuando los motivos de la suspensión obedezcan a acciones u omisiones de la entidad.       al contratista cuando los motivos de la suspensión obedezcan a acciones del 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1721041"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 xml:space="preserve">Cuando la suspensión sea originada por la entidad contratante se notificará al contratista y se procederá a la suscripción por las partes del respectivo documento. Cuando la suspensión sea originada por el contratista se procederá a analizar los motivos de la misma así como las medidas </w:t>
            </w:r>
            <w:r w:rsidRPr="009D2A26">
              <w:rPr>
                <w:rFonts w:ascii="Century Gothic" w:hAnsi="Century Gothic"/>
                <w:sz w:val="10"/>
                <w:szCs w:val="10"/>
                <w:lang w:eastAsia="es-CO"/>
              </w:rPr>
              <w:lastRenderedPageBreak/>
              <w:t>correctivas que deban tomarse y la valoración de los perjuicios que puedan ocasionarse con dicha suspensión. Ambos casos debe analizar el tiempo durante el cual estará suspendido el contrato y las  condiciones de reinicio.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FE67C22"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lastRenderedPageBreak/>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834FB32"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39574A5"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47A8C2B8"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0" w:type="auto"/>
            <w:tcBorders>
              <w:top w:val="single" w:sz="4" w:space="0" w:color="auto"/>
              <w:left w:val="single" w:sz="4" w:space="0" w:color="auto"/>
              <w:bottom w:val="single" w:sz="4" w:space="0" w:color="auto"/>
              <w:right w:val="single" w:sz="4" w:space="0" w:color="auto"/>
            </w:tcBorders>
            <w:vAlign w:val="center"/>
            <w:hideMark/>
          </w:tcPr>
          <w:p w14:paraId="3042F286"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NO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35EC4D1" w14:textId="77777777" w:rsidR="00121265" w:rsidRPr="009D2A26" w:rsidRDefault="00121265" w:rsidP="00A47786">
            <w:pPr>
              <w:jc w:val="center"/>
              <w:rPr>
                <w:rFonts w:ascii="Century Gothic" w:hAnsi="Century Gothic"/>
                <w:sz w:val="10"/>
                <w:szCs w:val="10"/>
                <w:lang w:eastAsia="es-CO"/>
              </w:rPr>
            </w:pPr>
            <w:r>
              <w:rPr>
                <w:rFonts w:ascii="Century Gothic" w:hAnsi="Century Gothic"/>
                <w:sz w:val="10"/>
                <w:szCs w:val="10"/>
                <w:lang w:eastAsia="es-CO"/>
              </w:rPr>
              <w:t>Municipio de Manizales</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5B13A00" w14:textId="77777777" w:rsidR="00121265" w:rsidRPr="009D2A26" w:rsidRDefault="00121265" w:rsidP="00A47786">
            <w:pPr>
              <w:jc w:val="center"/>
              <w:rPr>
                <w:rFonts w:ascii="Century Gothic" w:hAnsi="Century Gothic"/>
                <w:sz w:val="10"/>
                <w:szCs w:val="10"/>
                <w:lang w:eastAsia="es-CO"/>
              </w:rPr>
            </w:pPr>
            <w:r>
              <w:rPr>
                <w:rFonts w:ascii="Century Gothic" w:hAnsi="Century Gothic"/>
                <w:sz w:val="10"/>
                <w:szCs w:val="10"/>
                <w:lang w:eastAsia="es-CO"/>
              </w:rPr>
              <w:t>una vez se conozca la necesidad de suspender.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0AF50E"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Hasta el momento de reinicio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1E67F8DF"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 xml:space="preserve">Información permanente de la ejecución del contrato por parte de la supervisión o Interventoría </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5C35450"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Quincenal</w:t>
            </w:r>
          </w:p>
        </w:tc>
      </w:tr>
      <w:tr w:rsidR="00121265" w:rsidRPr="009D2A26" w14:paraId="25E5CB75" w14:textId="77777777" w:rsidTr="004E2EFF">
        <w:trPr>
          <w:trHeight w:val="1163"/>
        </w:trPr>
        <w:tc>
          <w:tcPr>
            <w:tcW w:w="0" w:type="auto"/>
            <w:tcBorders>
              <w:top w:val="single" w:sz="4" w:space="0" w:color="auto"/>
              <w:left w:val="single" w:sz="4" w:space="0" w:color="auto"/>
              <w:bottom w:val="single" w:sz="4" w:space="0" w:color="auto"/>
              <w:right w:val="single" w:sz="4" w:space="0" w:color="auto"/>
            </w:tcBorders>
            <w:noWrap/>
            <w:vAlign w:val="center"/>
            <w:hideMark/>
          </w:tcPr>
          <w:p w14:paraId="15103E81" w14:textId="77777777" w:rsidR="00121265" w:rsidRPr="009D2A26" w:rsidRDefault="00121265" w:rsidP="00A47786">
            <w:pPr>
              <w:jc w:val="center"/>
              <w:rPr>
                <w:rFonts w:ascii="Century Gothic" w:hAnsi="Century Gothic"/>
                <w:sz w:val="10"/>
                <w:szCs w:val="10"/>
                <w:lang w:eastAsia="es-CO"/>
              </w:rPr>
            </w:pPr>
            <w:r>
              <w:rPr>
                <w:rFonts w:ascii="Century Gothic" w:hAnsi="Century Gothic"/>
                <w:sz w:val="10"/>
                <w:szCs w:val="10"/>
                <w:lang w:eastAsia="es-CO"/>
              </w:rPr>
              <w:t>4</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2B3AA4BF"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Específico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03CEF61D"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Externo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35C473A4"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Ejecución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4C952625"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Financiero</w:t>
            </w:r>
          </w:p>
        </w:tc>
        <w:tc>
          <w:tcPr>
            <w:tcW w:w="0" w:type="auto"/>
            <w:tcBorders>
              <w:top w:val="single" w:sz="4" w:space="0" w:color="auto"/>
              <w:left w:val="single" w:sz="4" w:space="0" w:color="auto"/>
              <w:bottom w:val="single" w:sz="4" w:space="0" w:color="auto"/>
              <w:right w:val="single" w:sz="4" w:space="0" w:color="auto"/>
            </w:tcBorders>
            <w:vAlign w:val="center"/>
            <w:hideMark/>
          </w:tcPr>
          <w:p w14:paraId="10E52738"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Ocurre cuando se presentan retrasos o incumplimientos en la entrega de los informes y/o productos a cargo del contratista con ocasión de la ejecución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421E57A6"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Retraso en el cumplimiento de las obligaciones a la entidad contratante.       mayor tiempo de ejecución del contrato</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1156003"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C110B5C"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4EDB212"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6DD53AB9"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0" w:type="auto"/>
            <w:tcBorders>
              <w:top w:val="single" w:sz="4" w:space="0" w:color="auto"/>
              <w:left w:val="single" w:sz="4" w:space="0" w:color="auto"/>
              <w:bottom w:val="single" w:sz="4" w:space="0" w:color="auto"/>
              <w:right w:val="single" w:sz="4" w:space="0" w:color="auto"/>
            </w:tcBorders>
            <w:vAlign w:val="center"/>
            <w:hideMark/>
          </w:tcPr>
          <w:p w14:paraId="283AB169"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Este riesgo y sus consecuencias serán asumidos en su totalidad por el 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6EB4D9B1"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Adelantar los requerimientos al contratista a través de citaciones oficiales y escritas, dejando las constancias en el expediente</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B103F42"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9578671"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DCD711F"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6D798475"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0" w:type="auto"/>
            <w:tcBorders>
              <w:top w:val="single" w:sz="4" w:space="0" w:color="auto"/>
              <w:left w:val="single" w:sz="4" w:space="0" w:color="auto"/>
              <w:bottom w:val="single" w:sz="4" w:space="0" w:color="auto"/>
              <w:right w:val="single" w:sz="4" w:space="0" w:color="auto"/>
            </w:tcBorders>
            <w:vAlign w:val="center"/>
            <w:hideMark/>
          </w:tcPr>
          <w:p w14:paraId="69DB604E"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NO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00A8E71" w14:textId="77777777" w:rsidR="00121265" w:rsidRPr="009D2A26" w:rsidRDefault="00121265" w:rsidP="00FB7B51">
            <w:pPr>
              <w:jc w:val="center"/>
              <w:rPr>
                <w:rFonts w:ascii="Century Gothic" w:hAnsi="Century Gothic"/>
                <w:sz w:val="10"/>
                <w:szCs w:val="10"/>
                <w:lang w:eastAsia="es-CO"/>
              </w:rPr>
            </w:pPr>
            <w:r>
              <w:rPr>
                <w:rFonts w:ascii="Century Gothic" w:hAnsi="Century Gothic"/>
                <w:sz w:val="10"/>
                <w:szCs w:val="10"/>
                <w:lang w:eastAsia="es-CO"/>
              </w:rPr>
              <w:t>Municipio de Manizales</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5007536D"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Desde el primer retraso del 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44185649"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Hasta el momento de que el contratista firme los documentos precontractuales, contractuales y poscontractuales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4B3189D"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Citaciones oficiales y escritas.</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5C44708"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Mensual</w:t>
            </w:r>
          </w:p>
        </w:tc>
      </w:tr>
      <w:tr w:rsidR="00121265" w:rsidRPr="009D2A26" w14:paraId="643FF079" w14:textId="77777777" w:rsidTr="004E2EFF">
        <w:trPr>
          <w:trHeight w:val="1741"/>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BBB2144" w14:textId="77777777" w:rsidR="00121265" w:rsidRPr="009D2A26" w:rsidRDefault="00121265" w:rsidP="00A47786">
            <w:pPr>
              <w:jc w:val="center"/>
              <w:rPr>
                <w:rFonts w:ascii="Century Gothic" w:hAnsi="Century Gothic"/>
                <w:sz w:val="10"/>
                <w:szCs w:val="10"/>
                <w:lang w:eastAsia="es-CO"/>
              </w:rPr>
            </w:pPr>
            <w:r>
              <w:rPr>
                <w:rFonts w:ascii="Century Gothic" w:hAnsi="Century Gothic"/>
                <w:sz w:val="10"/>
                <w:szCs w:val="10"/>
                <w:lang w:eastAsia="es-CO"/>
              </w:rPr>
              <w:t>5</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54F81EC5"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General</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4DC14927"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Externo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0B2031FE"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Ejecución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6D2A8210"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Financiero</w:t>
            </w:r>
          </w:p>
        </w:tc>
        <w:tc>
          <w:tcPr>
            <w:tcW w:w="0" w:type="auto"/>
            <w:tcBorders>
              <w:top w:val="single" w:sz="4" w:space="0" w:color="auto"/>
              <w:left w:val="single" w:sz="4" w:space="0" w:color="auto"/>
              <w:bottom w:val="single" w:sz="4" w:space="0" w:color="auto"/>
              <w:right w:val="single" w:sz="4" w:space="0" w:color="auto"/>
            </w:tcBorders>
            <w:vAlign w:val="center"/>
            <w:hideMark/>
          </w:tcPr>
          <w:p w14:paraId="12CC80C6"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Cambios en  la legislación tributaria municipal</w:t>
            </w:r>
          </w:p>
        </w:tc>
        <w:tc>
          <w:tcPr>
            <w:tcW w:w="0" w:type="auto"/>
            <w:tcBorders>
              <w:top w:val="single" w:sz="4" w:space="0" w:color="auto"/>
              <w:left w:val="single" w:sz="4" w:space="0" w:color="auto"/>
              <w:bottom w:val="single" w:sz="4" w:space="0" w:color="auto"/>
              <w:right w:val="single" w:sz="4" w:space="0" w:color="auto"/>
            </w:tcBorders>
            <w:vAlign w:val="center"/>
            <w:hideMark/>
          </w:tcPr>
          <w:p w14:paraId="4A74E134"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Afectación en los valores liquidados y pagados al contratista como consecuencia de los impuestos, tasas y tarifas aplicados.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0F0675A"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1B9AAE8"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ADE5D7F"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6FB5C6F5"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9EAA4E"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Este riesgo es asumido en el 100% por el 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00F82B36"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 xml:space="preserve">Los efectos, favorables o desfavorables, de las variaciones en la legislación tributaria, de tal manera que la administración municipal no asumirá los efectos derivados de la variación de las tarifas impositivas, la creación de nuevos impuestos, la </w:t>
            </w:r>
            <w:r w:rsidRPr="009D2A26">
              <w:rPr>
                <w:rFonts w:ascii="Century Gothic" w:hAnsi="Century Gothic"/>
                <w:sz w:val="10"/>
                <w:szCs w:val="10"/>
                <w:lang w:eastAsia="es-CO"/>
              </w:rPr>
              <w:lastRenderedPageBreak/>
              <w:t>supresión o modificación de los existentes, y en general cualquier evento que modifique las condiciones tributarias existentes al momento de la presentación de la propuesta.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B9E64EC"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lastRenderedPageBreak/>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6929551"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07712BB"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2</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43163C4B"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0" w:type="auto"/>
            <w:tcBorders>
              <w:top w:val="single" w:sz="4" w:space="0" w:color="auto"/>
              <w:left w:val="single" w:sz="4" w:space="0" w:color="auto"/>
              <w:bottom w:val="single" w:sz="4" w:space="0" w:color="auto"/>
              <w:right w:val="single" w:sz="4" w:space="0" w:color="auto"/>
            </w:tcBorders>
            <w:vAlign w:val="center"/>
            <w:hideMark/>
          </w:tcPr>
          <w:p w14:paraId="4713D11A"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NO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5E49B3B3" w14:textId="77777777" w:rsidR="00121265" w:rsidRPr="009D2A26" w:rsidRDefault="00121265" w:rsidP="00A47786">
            <w:pPr>
              <w:jc w:val="center"/>
              <w:rPr>
                <w:rFonts w:ascii="Century Gothic" w:hAnsi="Century Gothic"/>
                <w:sz w:val="10"/>
                <w:szCs w:val="10"/>
                <w:lang w:eastAsia="es-CO"/>
              </w:rPr>
            </w:pPr>
            <w:r>
              <w:rPr>
                <w:rFonts w:ascii="Century Gothic" w:hAnsi="Century Gothic"/>
                <w:sz w:val="10"/>
                <w:szCs w:val="10"/>
                <w:lang w:eastAsia="es-CO"/>
              </w:rPr>
              <w:t>Municipio de Manizales</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4C7FD163"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Una vez se conozca el marco normativo</w:t>
            </w:r>
          </w:p>
        </w:tc>
        <w:tc>
          <w:tcPr>
            <w:tcW w:w="0" w:type="auto"/>
            <w:tcBorders>
              <w:top w:val="single" w:sz="4" w:space="0" w:color="auto"/>
              <w:left w:val="single" w:sz="4" w:space="0" w:color="auto"/>
              <w:bottom w:val="single" w:sz="4" w:space="0" w:color="auto"/>
              <w:right w:val="single" w:sz="4" w:space="0" w:color="auto"/>
            </w:tcBorders>
            <w:vAlign w:val="center"/>
            <w:hideMark/>
          </w:tcPr>
          <w:p w14:paraId="5E90AA5D"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Hasta el momento de perfeccionar el cambio normativo en 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6EE4A519"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Revisión de las normas y leyes tributarias en forma periódica.</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549E9ED3"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Mensual</w:t>
            </w:r>
          </w:p>
        </w:tc>
      </w:tr>
      <w:tr w:rsidR="00121265" w:rsidRPr="009D2A26" w14:paraId="43D66D06" w14:textId="77777777" w:rsidTr="004E2EFF">
        <w:trPr>
          <w:trHeight w:val="1534"/>
        </w:trPr>
        <w:tc>
          <w:tcPr>
            <w:tcW w:w="0" w:type="auto"/>
            <w:tcBorders>
              <w:top w:val="single" w:sz="4" w:space="0" w:color="auto"/>
              <w:left w:val="single" w:sz="4" w:space="0" w:color="auto"/>
              <w:bottom w:val="single" w:sz="4" w:space="0" w:color="auto"/>
              <w:right w:val="single" w:sz="4" w:space="0" w:color="auto"/>
            </w:tcBorders>
            <w:noWrap/>
            <w:vAlign w:val="center"/>
          </w:tcPr>
          <w:p w14:paraId="03F93A69" w14:textId="77777777" w:rsidR="00121265" w:rsidRPr="009D2A26" w:rsidRDefault="00121265" w:rsidP="00A47786">
            <w:pPr>
              <w:jc w:val="center"/>
              <w:rPr>
                <w:rFonts w:ascii="Century Gothic" w:hAnsi="Century Gothic"/>
                <w:sz w:val="10"/>
                <w:szCs w:val="10"/>
                <w:lang w:eastAsia="es-CO"/>
              </w:rPr>
            </w:pPr>
            <w:r>
              <w:rPr>
                <w:rFonts w:ascii="Century Gothic" w:hAnsi="Century Gothic"/>
                <w:sz w:val="10"/>
                <w:szCs w:val="10"/>
                <w:lang w:eastAsia="es-CO"/>
              </w:rPr>
              <w:t>6</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14:paraId="0B428991"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General</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14:paraId="12A434BA"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Externo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14:paraId="40878E20"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Ejecución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14:paraId="2B643133"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Financiero</w:t>
            </w:r>
          </w:p>
        </w:tc>
        <w:tc>
          <w:tcPr>
            <w:tcW w:w="0" w:type="auto"/>
            <w:tcBorders>
              <w:top w:val="single" w:sz="4" w:space="0" w:color="auto"/>
              <w:left w:val="single" w:sz="4" w:space="0" w:color="auto"/>
              <w:bottom w:val="single" w:sz="4" w:space="0" w:color="auto"/>
              <w:right w:val="single" w:sz="4" w:space="0" w:color="auto"/>
            </w:tcBorders>
            <w:vAlign w:val="center"/>
          </w:tcPr>
          <w:p w14:paraId="3DC0479F" w14:textId="77777777" w:rsidR="00121265" w:rsidRPr="00B52265" w:rsidRDefault="00121265" w:rsidP="00A47786">
            <w:pPr>
              <w:jc w:val="both"/>
              <w:rPr>
                <w:rFonts w:ascii="Century Gothic" w:hAnsi="Century Gothic"/>
                <w:sz w:val="10"/>
                <w:szCs w:val="10"/>
                <w:lang w:eastAsia="es-CO"/>
              </w:rPr>
            </w:pPr>
            <w:r w:rsidRPr="00B52265">
              <w:rPr>
                <w:rFonts w:ascii="Century Gothic" w:eastAsia="Quattrocento Sans" w:hAnsi="Century Gothic" w:cs="Quattrocento Sans"/>
                <w:color w:val="000000"/>
                <w:sz w:val="10"/>
                <w:szCs w:val="10"/>
              </w:rPr>
              <w:t xml:space="preserve">Se presenta por la situación de </w:t>
            </w:r>
            <w:r>
              <w:rPr>
                <w:rFonts w:ascii="Century Gothic" w:eastAsia="Quattrocento Sans" w:hAnsi="Century Gothic" w:cs="Quattrocento Sans"/>
                <w:color w:val="000000"/>
                <w:sz w:val="10"/>
                <w:szCs w:val="10"/>
              </w:rPr>
              <w:t>cualquier emergencia sanitaria</w:t>
            </w:r>
            <w:r w:rsidRPr="00B52265">
              <w:rPr>
                <w:rFonts w:ascii="Century Gothic" w:eastAsia="Quattrocento Sans" w:hAnsi="Century Gothic" w:cs="Quattrocento Sans"/>
                <w:color w:val="000000"/>
                <w:sz w:val="10"/>
                <w:szCs w:val="10"/>
              </w:rPr>
              <w:t xml:space="preserve"> que ocasiona dificultades de tipo económico y social, las cuales inciden en la normal ejecución del contrato.</w:t>
            </w:r>
          </w:p>
        </w:tc>
        <w:tc>
          <w:tcPr>
            <w:tcW w:w="0" w:type="auto"/>
            <w:tcBorders>
              <w:top w:val="single" w:sz="4" w:space="0" w:color="auto"/>
              <w:left w:val="single" w:sz="4" w:space="0" w:color="auto"/>
              <w:bottom w:val="single" w:sz="4" w:space="0" w:color="auto"/>
              <w:right w:val="single" w:sz="4" w:space="0" w:color="auto"/>
            </w:tcBorders>
            <w:vAlign w:val="center"/>
          </w:tcPr>
          <w:p w14:paraId="14886D4A" w14:textId="77777777" w:rsidR="00121265" w:rsidRPr="00B52265" w:rsidRDefault="00121265" w:rsidP="00A47786">
            <w:pPr>
              <w:jc w:val="both"/>
              <w:rPr>
                <w:rFonts w:ascii="Century Gothic" w:hAnsi="Century Gothic"/>
                <w:sz w:val="10"/>
                <w:szCs w:val="10"/>
                <w:lang w:eastAsia="es-CO"/>
              </w:rPr>
            </w:pPr>
            <w:r w:rsidRPr="00B52265">
              <w:rPr>
                <w:rFonts w:ascii="Century Gothic" w:eastAsia="Quattrocento Sans" w:hAnsi="Century Gothic" w:cs="Quattrocento Sans"/>
                <w:color w:val="000000"/>
                <w:sz w:val="10"/>
                <w:szCs w:val="10"/>
              </w:rPr>
              <w:t>Dificultades para el desarrollo y ejecución del contrato.</w:t>
            </w:r>
          </w:p>
        </w:tc>
        <w:tc>
          <w:tcPr>
            <w:tcW w:w="0" w:type="auto"/>
            <w:tcBorders>
              <w:top w:val="single" w:sz="4" w:space="0" w:color="auto"/>
              <w:left w:val="single" w:sz="4" w:space="0" w:color="auto"/>
              <w:bottom w:val="single" w:sz="4" w:space="0" w:color="auto"/>
              <w:right w:val="single" w:sz="4" w:space="0" w:color="auto"/>
            </w:tcBorders>
            <w:noWrap/>
            <w:vAlign w:val="center"/>
          </w:tcPr>
          <w:p w14:paraId="50D57125" w14:textId="77777777" w:rsidR="00121265" w:rsidRPr="009D2A26" w:rsidRDefault="00121265" w:rsidP="00A47786">
            <w:pPr>
              <w:jc w:val="center"/>
              <w:rPr>
                <w:rFonts w:ascii="Century Gothic" w:hAnsi="Century Gothic"/>
                <w:sz w:val="10"/>
                <w:szCs w:val="10"/>
                <w:lang w:eastAsia="es-CO"/>
              </w:rPr>
            </w:pPr>
            <w:r>
              <w:rPr>
                <w:rFonts w:ascii="Century Gothic" w:hAnsi="Century Gothic"/>
                <w:sz w:val="10"/>
                <w:szCs w:val="10"/>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14:paraId="27627A4D" w14:textId="77777777" w:rsidR="00121265" w:rsidRPr="009D2A26" w:rsidRDefault="00121265" w:rsidP="00A47786">
            <w:pPr>
              <w:jc w:val="center"/>
              <w:rPr>
                <w:rFonts w:ascii="Century Gothic" w:hAnsi="Century Gothic"/>
                <w:sz w:val="10"/>
                <w:szCs w:val="10"/>
                <w:lang w:eastAsia="es-CO"/>
              </w:rPr>
            </w:pPr>
            <w:r>
              <w:rPr>
                <w:rFonts w:ascii="Century Gothic" w:hAnsi="Century Gothic"/>
                <w:sz w:val="10"/>
                <w:szCs w:val="10"/>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14:paraId="07FA97FE" w14:textId="77777777" w:rsidR="00121265" w:rsidRPr="009D2A26" w:rsidRDefault="00121265" w:rsidP="00A47786">
            <w:pPr>
              <w:jc w:val="center"/>
              <w:rPr>
                <w:rFonts w:ascii="Century Gothic" w:hAnsi="Century Gothic"/>
                <w:sz w:val="10"/>
                <w:szCs w:val="10"/>
                <w:lang w:eastAsia="es-CO"/>
              </w:rPr>
            </w:pPr>
            <w:r>
              <w:rPr>
                <w:rFonts w:ascii="Century Gothic" w:hAnsi="Century Gothic"/>
                <w:sz w:val="10"/>
                <w:szCs w:val="10"/>
                <w:lang w:eastAsia="es-CO"/>
              </w:rPr>
              <w:t>2</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14:paraId="33A5B1B5" w14:textId="77777777" w:rsidR="00121265" w:rsidRPr="009D2A26" w:rsidRDefault="00121265" w:rsidP="00A47786">
            <w:pPr>
              <w:jc w:val="center"/>
              <w:rPr>
                <w:rFonts w:ascii="Century Gothic" w:hAnsi="Century Gothic"/>
                <w:sz w:val="10"/>
                <w:szCs w:val="10"/>
                <w:lang w:eastAsia="es-CO"/>
              </w:rPr>
            </w:pPr>
            <w:r>
              <w:rPr>
                <w:rFonts w:ascii="Century Gothic" w:hAnsi="Century Gothic"/>
                <w:sz w:val="10"/>
                <w:szCs w:val="10"/>
                <w:lang w:eastAsia="es-CO"/>
              </w:rPr>
              <w:t>mayor</w:t>
            </w:r>
          </w:p>
        </w:tc>
        <w:tc>
          <w:tcPr>
            <w:tcW w:w="0" w:type="auto"/>
            <w:tcBorders>
              <w:top w:val="single" w:sz="4" w:space="0" w:color="auto"/>
              <w:left w:val="single" w:sz="4" w:space="0" w:color="auto"/>
              <w:bottom w:val="single" w:sz="4" w:space="0" w:color="auto"/>
              <w:right w:val="single" w:sz="4" w:space="0" w:color="auto"/>
            </w:tcBorders>
            <w:vAlign w:val="center"/>
          </w:tcPr>
          <w:p w14:paraId="769F3CB3"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Este riesgo es asumido en el 100% por el contratista</w:t>
            </w:r>
          </w:p>
        </w:tc>
        <w:tc>
          <w:tcPr>
            <w:tcW w:w="0" w:type="auto"/>
            <w:tcBorders>
              <w:top w:val="single" w:sz="4" w:space="0" w:color="auto"/>
              <w:left w:val="single" w:sz="4" w:space="0" w:color="auto"/>
              <w:bottom w:val="single" w:sz="4" w:space="0" w:color="auto"/>
              <w:right w:val="single" w:sz="4" w:space="0" w:color="auto"/>
            </w:tcBorders>
            <w:vAlign w:val="center"/>
          </w:tcPr>
          <w:p w14:paraId="55E897F6" w14:textId="77777777" w:rsidR="00121265" w:rsidRPr="009D2A26" w:rsidRDefault="00121265" w:rsidP="00A47786">
            <w:pPr>
              <w:jc w:val="both"/>
              <w:rPr>
                <w:rFonts w:ascii="Century Gothic" w:hAnsi="Century Gothic"/>
                <w:sz w:val="10"/>
                <w:szCs w:val="10"/>
                <w:lang w:eastAsia="es-CO"/>
              </w:rPr>
            </w:pPr>
            <w:r w:rsidRPr="00B52265">
              <w:rPr>
                <w:rFonts w:ascii="Century Gothic" w:eastAsia="Quattrocento Sans" w:hAnsi="Century Gothic" w:cs="Quattrocento Sans"/>
                <w:color w:val="000000"/>
                <w:sz w:val="10"/>
                <w:szCs w:val="10"/>
              </w:rPr>
              <w:t>Revisión constante de los Decretos Nacionales y, si es del caso, trámite de permisos para el desplazamiento</w:t>
            </w:r>
            <w:r w:rsidRPr="00192492">
              <w:rPr>
                <w:rFonts w:ascii="Quattrocento Sans" w:eastAsia="Quattrocento Sans" w:hAnsi="Quattrocento Sans" w:cs="Quattrocento Sans"/>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noWrap/>
            <w:vAlign w:val="center"/>
          </w:tcPr>
          <w:p w14:paraId="571A98CC" w14:textId="77777777" w:rsidR="00121265" w:rsidRPr="009D2A26" w:rsidRDefault="00121265" w:rsidP="00A47786">
            <w:pPr>
              <w:jc w:val="center"/>
              <w:rPr>
                <w:rFonts w:ascii="Century Gothic" w:hAnsi="Century Gothic"/>
                <w:sz w:val="10"/>
                <w:szCs w:val="10"/>
                <w:lang w:eastAsia="es-CO"/>
              </w:rPr>
            </w:pPr>
            <w:r>
              <w:rPr>
                <w:rFonts w:ascii="Century Gothic" w:hAnsi="Century Gothic"/>
                <w:sz w:val="10"/>
                <w:szCs w:val="10"/>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14:paraId="3264C18C" w14:textId="77777777" w:rsidR="00121265" w:rsidRPr="009D2A26" w:rsidRDefault="00121265" w:rsidP="00A47786">
            <w:pPr>
              <w:jc w:val="center"/>
              <w:rPr>
                <w:rFonts w:ascii="Century Gothic" w:hAnsi="Century Gothic"/>
                <w:sz w:val="10"/>
                <w:szCs w:val="10"/>
                <w:lang w:eastAsia="es-CO"/>
              </w:rPr>
            </w:pPr>
            <w:r>
              <w:rPr>
                <w:rFonts w:ascii="Century Gothic" w:hAnsi="Century Gothic"/>
                <w:sz w:val="10"/>
                <w:szCs w:val="10"/>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14:paraId="5E61DFDD" w14:textId="77777777" w:rsidR="00121265" w:rsidRPr="009D2A26" w:rsidRDefault="00121265" w:rsidP="00A47786">
            <w:pPr>
              <w:jc w:val="center"/>
              <w:rPr>
                <w:rFonts w:ascii="Century Gothic" w:hAnsi="Century Gothic"/>
                <w:sz w:val="10"/>
                <w:szCs w:val="10"/>
                <w:lang w:eastAsia="es-CO"/>
              </w:rPr>
            </w:pPr>
            <w:r>
              <w:rPr>
                <w:rFonts w:ascii="Century Gothic" w:hAnsi="Century Gothic"/>
                <w:sz w:val="10"/>
                <w:szCs w:val="10"/>
                <w:lang w:eastAsia="es-CO"/>
              </w:rPr>
              <w:t>2</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14:paraId="6BD6107A"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bajo</w:t>
            </w:r>
          </w:p>
        </w:tc>
        <w:tc>
          <w:tcPr>
            <w:tcW w:w="0" w:type="auto"/>
            <w:tcBorders>
              <w:top w:val="single" w:sz="4" w:space="0" w:color="auto"/>
              <w:left w:val="single" w:sz="4" w:space="0" w:color="auto"/>
              <w:bottom w:val="single" w:sz="4" w:space="0" w:color="auto"/>
              <w:right w:val="single" w:sz="4" w:space="0" w:color="auto"/>
            </w:tcBorders>
            <w:vAlign w:val="center"/>
          </w:tcPr>
          <w:p w14:paraId="0E430771"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NO</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14:paraId="3C813BEA" w14:textId="77777777" w:rsidR="00121265" w:rsidRPr="009D2A26" w:rsidRDefault="00121265" w:rsidP="00A47786">
            <w:pPr>
              <w:jc w:val="center"/>
              <w:rPr>
                <w:rFonts w:ascii="Century Gothic" w:hAnsi="Century Gothic"/>
                <w:sz w:val="10"/>
                <w:szCs w:val="10"/>
                <w:lang w:eastAsia="es-CO"/>
              </w:rPr>
            </w:pPr>
            <w:r>
              <w:rPr>
                <w:rFonts w:ascii="Century Gothic" w:hAnsi="Century Gothic"/>
                <w:sz w:val="10"/>
                <w:szCs w:val="10"/>
                <w:lang w:eastAsia="es-CO"/>
              </w:rPr>
              <w:t>Municipio de Manizales</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14:paraId="44E44CE2" w14:textId="77777777" w:rsidR="00121265" w:rsidRPr="009D2A26" w:rsidRDefault="00121265" w:rsidP="00A47786">
            <w:pPr>
              <w:jc w:val="center"/>
              <w:rPr>
                <w:rFonts w:ascii="Century Gothic" w:hAnsi="Century Gothic"/>
                <w:sz w:val="10"/>
                <w:szCs w:val="10"/>
                <w:lang w:eastAsia="es-CO"/>
              </w:rPr>
            </w:pPr>
            <w:r w:rsidRPr="009D2A26">
              <w:rPr>
                <w:rFonts w:ascii="Century Gothic" w:hAnsi="Century Gothic"/>
                <w:sz w:val="10"/>
                <w:szCs w:val="10"/>
                <w:lang w:eastAsia="es-CO"/>
              </w:rPr>
              <w:t>una vez se conozca la necesidad de suspender</w:t>
            </w:r>
          </w:p>
        </w:tc>
        <w:tc>
          <w:tcPr>
            <w:tcW w:w="0" w:type="auto"/>
            <w:tcBorders>
              <w:top w:val="single" w:sz="4" w:space="0" w:color="auto"/>
              <w:left w:val="single" w:sz="4" w:space="0" w:color="auto"/>
              <w:bottom w:val="single" w:sz="4" w:space="0" w:color="auto"/>
              <w:right w:val="single" w:sz="4" w:space="0" w:color="auto"/>
            </w:tcBorders>
            <w:vAlign w:val="center"/>
          </w:tcPr>
          <w:p w14:paraId="056661E2" w14:textId="77777777" w:rsidR="00121265" w:rsidRPr="009D2A26" w:rsidRDefault="00121265" w:rsidP="00A47786">
            <w:pPr>
              <w:jc w:val="both"/>
              <w:rPr>
                <w:rFonts w:ascii="Century Gothic" w:hAnsi="Century Gothic"/>
                <w:sz w:val="10"/>
                <w:szCs w:val="10"/>
                <w:lang w:eastAsia="es-CO"/>
              </w:rPr>
            </w:pPr>
            <w:r w:rsidRPr="009D2A26">
              <w:rPr>
                <w:rFonts w:ascii="Century Gothic" w:hAnsi="Century Gothic"/>
                <w:sz w:val="10"/>
                <w:szCs w:val="10"/>
                <w:lang w:eastAsia="es-CO"/>
              </w:rPr>
              <w:t>Hasta el momento de perfeccionar el cambio normativo en el contrato</w:t>
            </w:r>
          </w:p>
        </w:tc>
        <w:tc>
          <w:tcPr>
            <w:tcW w:w="0" w:type="auto"/>
            <w:tcBorders>
              <w:top w:val="single" w:sz="4" w:space="0" w:color="auto"/>
              <w:left w:val="single" w:sz="4" w:space="0" w:color="auto"/>
              <w:bottom w:val="single" w:sz="4" w:space="0" w:color="auto"/>
              <w:right w:val="single" w:sz="4" w:space="0" w:color="auto"/>
            </w:tcBorders>
            <w:vAlign w:val="center"/>
          </w:tcPr>
          <w:p w14:paraId="43C5BE2B" w14:textId="77777777" w:rsidR="00121265" w:rsidRPr="00B52265" w:rsidRDefault="00121265" w:rsidP="00A47786">
            <w:pPr>
              <w:jc w:val="both"/>
              <w:rPr>
                <w:rFonts w:ascii="Century Gothic" w:hAnsi="Century Gothic"/>
                <w:sz w:val="10"/>
                <w:szCs w:val="10"/>
                <w:lang w:eastAsia="es-CO"/>
              </w:rPr>
            </w:pPr>
            <w:r w:rsidRPr="00B52265">
              <w:rPr>
                <w:rFonts w:ascii="Century Gothic" w:eastAsia="Quattrocento Sans" w:hAnsi="Century Gothic" w:cs="Quattrocento Sans"/>
                <w:color w:val="000000"/>
                <w:sz w:val="10"/>
                <w:szCs w:val="10"/>
              </w:rPr>
              <w:t>Verificación constante de las medidas que tome el Gobierno Nacional en el marco de la Emergencia Sanitaria y enviar informes al área de contratación.</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14:paraId="141D51C3" w14:textId="77777777" w:rsidR="00121265" w:rsidRPr="009D2A26" w:rsidRDefault="00121265" w:rsidP="00A47786">
            <w:pPr>
              <w:jc w:val="center"/>
              <w:rPr>
                <w:rFonts w:ascii="Century Gothic" w:hAnsi="Century Gothic"/>
                <w:sz w:val="10"/>
                <w:szCs w:val="10"/>
                <w:lang w:eastAsia="es-CO"/>
              </w:rPr>
            </w:pPr>
            <w:r>
              <w:rPr>
                <w:rFonts w:ascii="Century Gothic" w:hAnsi="Century Gothic"/>
                <w:sz w:val="10"/>
                <w:szCs w:val="10"/>
                <w:lang w:eastAsia="es-CO"/>
              </w:rPr>
              <w:t>Inmediata</w:t>
            </w:r>
          </w:p>
        </w:tc>
      </w:tr>
    </w:tbl>
    <w:p w14:paraId="14214817" w14:textId="77777777" w:rsidR="00121265" w:rsidRPr="00E05CCE" w:rsidRDefault="00121265" w:rsidP="00121265">
      <w:pPr>
        <w:rPr>
          <w:lang w:val="es-ES"/>
        </w:rPr>
      </w:pPr>
    </w:p>
    <w:p w14:paraId="5BD743B7" w14:textId="77777777" w:rsidR="00121265" w:rsidRPr="001838A2" w:rsidRDefault="00121265" w:rsidP="00121265">
      <w:pPr>
        <w:jc w:val="center"/>
        <w:rPr>
          <w:b/>
        </w:rPr>
      </w:pPr>
    </w:p>
    <w:p w14:paraId="6C4DA782" w14:textId="77777777" w:rsidR="00121265" w:rsidRDefault="00121265" w:rsidP="00121265"/>
    <w:p w14:paraId="7A2012DF" w14:textId="77777777" w:rsidR="00121265" w:rsidRDefault="00121265" w:rsidP="00121265"/>
    <w:p w14:paraId="25C84B8E" w14:textId="77777777" w:rsidR="00121265" w:rsidRDefault="00121265"/>
    <w:p w14:paraId="431A1DDC" w14:textId="5BF850F2" w:rsidR="006137FE" w:rsidRDefault="006137FE"/>
    <w:p w14:paraId="60462D74" w14:textId="7F4A974D" w:rsidR="006137FE" w:rsidRDefault="006137FE"/>
    <w:p w14:paraId="6B9B4ED8" w14:textId="77777777" w:rsidR="006137FE" w:rsidRDefault="006137FE"/>
    <w:sectPr w:rsidR="006137FE">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712C0A" w14:textId="77777777" w:rsidR="008C204F" w:rsidRDefault="008C204F" w:rsidP="00AA749B">
      <w:pPr>
        <w:spacing w:after="0" w:line="240" w:lineRule="auto"/>
      </w:pPr>
      <w:r>
        <w:separator/>
      </w:r>
    </w:p>
  </w:endnote>
  <w:endnote w:type="continuationSeparator" w:id="0">
    <w:p w14:paraId="18E8945F" w14:textId="77777777" w:rsidR="008C204F" w:rsidRDefault="008C204F" w:rsidP="00AA7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Arial"/>
    <w:panose1 w:val="020B0604020202020204"/>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panose1 w:val="020B0604020202020204"/>
    <w:charset w:val="00"/>
    <w:family w:val="swiss"/>
    <w:pitch w:val="variable"/>
    <w:sig w:usb0="00000001"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Quattrocento Sans">
    <w:altName w:val="Times New Roman"/>
    <w:panose1 w:val="020B0604020202020204"/>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A51E5" w14:textId="77777777" w:rsidR="00AA749B" w:rsidRDefault="00AA749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620A4" w14:textId="77777777" w:rsidR="00AA749B" w:rsidRDefault="00AA749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B0835" w14:textId="77777777" w:rsidR="00AA749B" w:rsidRDefault="00AA74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729ACE" w14:textId="77777777" w:rsidR="008C204F" w:rsidRDefault="008C204F" w:rsidP="00AA749B">
      <w:pPr>
        <w:spacing w:after="0" w:line="240" w:lineRule="auto"/>
      </w:pPr>
      <w:r>
        <w:separator/>
      </w:r>
    </w:p>
  </w:footnote>
  <w:footnote w:type="continuationSeparator" w:id="0">
    <w:p w14:paraId="3A13B45D" w14:textId="77777777" w:rsidR="008C204F" w:rsidRDefault="008C204F" w:rsidP="00AA74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A87A9" w14:textId="77777777" w:rsidR="00AA749B" w:rsidRDefault="00AA749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6DD746" w14:textId="526C7123" w:rsidR="00AA749B" w:rsidRPr="00121265" w:rsidRDefault="00AA749B" w:rsidP="00121265">
    <w:pPr>
      <w:pStyle w:val="Encabezado"/>
      <w:jc w:val="center"/>
      <w:rPr>
        <w:b/>
      </w:rPr>
    </w:pPr>
    <w:r>
      <w:rPr>
        <w:noProof/>
        <w:lang w:val="en-US"/>
      </w:rPr>
      <w:drawing>
        <wp:anchor distT="0" distB="0" distL="114300" distR="114300" simplePos="0" relativeHeight="251658240" behindDoc="1" locked="0" layoutInCell="1" allowOverlap="1" wp14:anchorId="7528EE66" wp14:editId="3DAE0D1D">
          <wp:simplePos x="0" y="0"/>
          <wp:positionH relativeFrom="page">
            <wp:align>left</wp:align>
          </wp:positionH>
          <wp:positionV relativeFrom="paragraph">
            <wp:posOffset>-449943</wp:posOffset>
          </wp:positionV>
          <wp:extent cx="7830509" cy="10198800"/>
          <wp:effectExtent l="0" t="0" r="0" b="0"/>
          <wp:wrapNone/>
          <wp:docPr id="569560207" name="Imagen 1" descr="Gráf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560207" name="Imagen 1" descr="Gráfic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830509" cy="10198800"/>
                  </a:xfrm>
                  <a:prstGeom prst="rect">
                    <a:avLst/>
                  </a:prstGeom>
                </pic:spPr>
              </pic:pic>
            </a:graphicData>
          </a:graphic>
          <wp14:sizeRelH relativeFrom="page">
            <wp14:pctWidth>0</wp14:pctWidth>
          </wp14:sizeRelH>
          <wp14:sizeRelV relativeFrom="page">
            <wp14:pctHeight>0</wp14:pctHeight>
          </wp14:sizeRelV>
        </wp:anchor>
      </w:drawing>
    </w:r>
    <w:r w:rsidR="00121265" w:rsidRPr="00121265">
      <w:rPr>
        <w:b/>
        <w:noProof/>
      </w:rPr>
      <w:t>MATRIZ DE RIESGO</w:t>
    </w:r>
  </w:p>
  <w:p w14:paraId="30A2BDB7" w14:textId="77777777" w:rsidR="00AA749B" w:rsidRDefault="00AA749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61F8D" w14:textId="77777777" w:rsidR="00AA749B" w:rsidRDefault="00AA749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49B"/>
    <w:rsid w:val="00121265"/>
    <w:rsid w:val="001924FC"/>
    <w:rsid w:val="002435FC"/>
    <w:rsid w:val="004E2EFF"/>
    <w:rsid w:val="004F57C8"/>
    <w:rsid w:val="006137FE"/>
    <w:rsid w:val="008C204F"/>
    <w:rsid w:val="00AA749B"/>
    <w:rsid w:val="00AC747B"/>
    <w:rsid w:val="00C117CB"/>
    <w:rsid w:val="00D55AEC"/>
    <w:rsid w:val="00D7344A"/>
    <w:rsid w:val="00FB7B51"/>
    <w:rsid w:val="00FE65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642129"/>
  <w15:chartTrackingRefBased/>
  <w15:docId w15:val="{3F111BDA-F391-43E2-8CCB-27037D5DC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AA74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74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749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749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749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749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749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749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749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749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749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749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749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749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749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749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749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749B"/>
    <w:rPr>
      <w:rFonts w:eastAsiaTheme="majorEastAsia" w:cstheme="majorBidi"/>
      <w:color w:val="272727" w:themeColor="text1" w:themeTint="D8"/>
    </w:rPr>
  </w:style>
  <w:style w:type="paragraph" w:styleId="Ttulo">
    <w:name w:val="Title"/>
    <w:basedOn w:val="Normal"/>
    <w:next w:val="Normal"/>
    <w:link w:val="TtuloCar"/>
    <w:uiPriority w:val="10"/>
    <w:qFormat/>
    <w:rsid w:val="00AA74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749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749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749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749B"/>
    <w:pPr>
      <w:spacing w:before="160"/>
      <w:jc w:val="center"/>
    </w:pPr>
    <w:rPr>
      <w:i/>
      <w:iCs/>
      <w:color w:val="404040" w:themeColor="text1" w:themeTint="BF"/>
    </w:rPr>
  </w:style>
  <w:style w:type="character" w:customStyle="1" w:styleId="CitaCar">
    <w:name w:val="Cita Car"/>
    <w:basedOn w:val="Fuentedeprrafopredeter"/>
    <w:link w:val="Cita"/>
    <w:uiPriority w:val="29"/>
    <w:rsid w:val="00AA749B"/>
    <w:rPr>
      <w:i/>
      <w:iCs/>
      <w:color w:val="404040" w:themeColor="text1" w:themeTint="BF"/>
    </w:rPr>
  </w:style>
  <w:style w:type="paragraph" w:styleId="Prrafodelista">
    <w:name w:val="List Paragraph"/>
    <w:basedOn w:val="Normal"/>
    <w:uiPriority w:val="34"/>
    <w:qFormat/>
    <w:rsid w:val="00AA749B"/>
    <w:pPr>
      <w:ind w:left="720"/>
      <w:contextualSpacing/>
    </w:pPr>
  </w:style>
  <w:style w:type="character" w:styleId="nfasisintenso">
    <w:name w:val="Intense Emphasis"/>
    <w:basedOn w:val="Fuentedeprrafopredeter"/>
    <w:uiPriority w:val="21"/>
    <w:qFormat/>
    <w:rsid w:val="00AA749B"/>
    <w:rPr>
      <w:i/>
      <w:iCs/>
      <w:color w:val="0F4761" w:themeColor="accent1" w:themeShade="BF"/>
    </w:rPr>
  </w:style>
  <w:style w:type="paragraph" w:styleId="Citadestacada">
    <w:name w:val="Intense Quote"/>
    <w:basedOn w:val="Normal"/>
    <w:next w:val="Normal"/>
    <w:link w:val="CitadestacadaCar"/>
    <w:uiPriority w:val="30"/>
    <w:qFormat/>
    <w:rsid w:val="00AA74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749B"/>
    <w:rPr>
      <w:i/>
      <w:iCs/>
      <w:color w:val="0F4761" w:themeColor="accent1" w:themeShade="BF"/>
    </w:rPr>
  </w:style>
  <w:style w:type="character" w:styleId="Referenciaintensa">
    <w:name w:val="Intense Reference"/>
    <w:basedOn w:val="Fuentedeprrafopredeter"/>
    <w:uiPriority w:val="32"/>
    <w:qFormat/>
    <w:rsid w:val="00AA749B"/>
    <w:rPr>
      <w:b/>
      <w:bCs/>
      <w:smallCaps/>
      <w:color w:val="0F4761" w:themeColor="accent1" w:themeShade="BF"/>
      <w:spacing w:val="5"/>
    </w:rPr>
  </w:style>
  <w:style w:type="paragraph" w:styleId="Encabezado">
    <w:name w:val="header"/>
    <w:basedOn w:val="Normal"/>
    <w:link w:val="EncabezadoCar"/>
    <w:uiPriority w:val="99"/>
    <w:unhideWhenUsed/>
    <w:rsid w:val="00AA749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A749B"/>
  </w:style>
  <w:style w:type="paragraph" w:styleId="Piedepgina">
    <w:name w:val="footer"/>
    <w:basedOn w:val="Normal"/>
    <w:link w:val="PiedepginaCar"/>
    <w:uiPriority w:val="99"/>
    <w:unhideWhenUsed/>
    <w:rsid w:val="00AA74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A7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908</Words>
  <Characters>4996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Dispositivo 14CT012684</dc:creator>
  <cp:keywords/>
  <dc:description/>
  <cp:lastModifiedBy>Microsoft Office User</cp:lastModifiedBy>
  <cp:revision>2</cp:revision>
  <dcterms:created xsi:type="dcterms:W3CDTF">2025-02-13T15:08:00Z</dcterms:created>
  <dcterms:modified xsi:type="dcterms:W3CDTF">2025-02-13T15:08:00Z</dcterms:modified>
</cp:coreProperties>
</file>