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C628E" w14:textId="0E07BA61" w:rsidR="0035339B" w:rsidRPr="00F124EA" w:rsidRDefault="0035339B" w:rsidP="0035339B">
      <w:pPr>
        <w:jc w:val="center"/>
        <w:rPr>
          <w:rFonts w:cs="Arial"/>
          <w:b/>
          <w:sz w:val="20"/>
        </w:rPr>
      </w:pPr>
      <w:r w:rsidRPr="00F124EA">
        <w:rPr>
          <w:rFonts w:cs="Arial"/>
          <w:b/>
          <w:sz w:val="20"/>
        </w:rPr>
        <w:t xml:space="preserve">FORMATO </w:t>
      </w:r>
    </w:p>
    <w:p w14:paraId="5BAD9B81" w14:textId="77777777" w:rsidR="0035339B" w:rsidRPr="00F124EA" w:rsidRDefault="0035339B" w:rsidP="0035339B">
      <w:pPr>
        <w:jc w:val="center"/>
        <w:rPr>
          <w:rFonts w:cs="Arial"/>
          <w:b/>
          <w:sz w:val="20"/>
        </w:rPr>
      </w:pPr>
      <w:r w:rsidRPr="00F124EA">
        <w:rPr>
          <w:rFonts w:cs="Arial"/>
          <w:b/>
          <w:sz w:val="20"/>
        </w:rPr>
        <w:t xml:space="preserve">OFERTA ECONOMICA </w:t>
      </w:r>
    </w:p>
    <w:p w14:paraId="7ABB130F" w14:textId="77777777" w:rsidR="0035339B" w:rsidRPr="00F124EA" w:rsidRDefault="0035339B" w:rsidP="0035339B">
      <w:pPr>
        <w:jc w:val="both"/>
        <w:rPr>
          <w:rFonts w:cs="Arial"/>
          <w:sz w:val="20"/>
        </w:rPr>
      </w:pPr>
    </w:p>
    <w:p w14:paraId="79C328CE" w14:textId="77777777" w:rsidR="00B378BC" w:rsidRPr="00F124EA" w:rsidRDefault="00B378BC" w:rsidP="0035339B">
      <w:pPr>
        <w:jc w:val="both"/>
        <w:rPr>
          <w:rFonts w:cs="Arial"/>
          <w:sz w:val="20"/>
        </w:rPr>
      </w:pPr>
    </w:p>
    <w:p w14:paraId="1C3C823E" w14:textId="77777777" w:rsidR="00B378BC" w:rsidRPr="00F124EA" w:rsidRDefault="00B378BC" w:rsidP="0035339B">
      <w:pPr>
        <w:jc w:val="both"/>
        <w:rPr>
          <w:rFonts w:cs="Arial"/>
          <w:b/>
          <w:bCs/>
          <w:sz w:val="20"/>
        </w:rPr>
      </w:pPr>
      <w:r w:rsidRPr="00F124EA">
        <w:rPr>
          <w:rFonts w:cs="Arial"/>
          <w:b/>
          <w:bCs/>
          <w:sz w:val="20"/>
        </w:rPr>
        <w:t xml:space="preserve">Ciudad y Fecha </w:t>
      </w:r>
    </w:p>
    <w:p w14:paraId="0D7ECF8D" w14:textId="77777777" w:rsidR="00B378BC" w:rsidRPr="00F124EA" w:rsidRDefault="00B378BC" w:rsidP="0035339B">
      <w:pPr>
        <w:jc w:val="both"/>
        <w:rPr>
          <w:rFonts w:cs="Arial"/>
          <w:b/>
          <w:bCs/>
          <w:sz w:val="20"/>
        </w:rPr>
      </w:pPr>
    </w:p>
    <w:p w14:paraId="6E22079F" w14:textId="3BD42372" w:rsidR="00B378BC" w:rsidRPr="00F124EA" w:rsidRDefault="00B378BC" w:rsidP="0035339B">
      <w:pPr>
        <w:jc w:val="both"/>
        <w:rPr>
          <w:rFonts w:cs="Arial"/>
          <w:sz w:val="20"/>
        </w:rPr>
      </w:pPr>
      <w:r w:rsidRPr="00F124EA">
        <w:rPr>
          <w:rFonts w:cs="Arial"/>
          <w:sz w:val="20"/>
        </w:rPr>
        <w:t>Señores</w:t>
      </w:r>
      <w:r w:rsidR="00365149" w:rsidRPr="00F124EA">
        <w:rPr>
          <w:rFonts w:cs="Arial"/>
          <w:sz w:val="20"/>
        </w:rPr>
        <w:t>:</w:t>
      </w:r>
      <w:r w:rsidRPr="00F124EA">
        <w:rPr>
          <w:rFonts w:cs="Arial"/>
          <w:sz w:val="20"/>
        </w:rPr>
        <w:t xml:space="preserve"> </w:t>
      </w:r>
    </w:p>
    <w:p w14:paraId="25F69C90" w14:textId="77777777" w:rsidR="00B378BC" w:rsidRPr="00F124EA" w:rsidRDefault="00B378BC" w:rsidP="0035339B">
      <w:pPr>
        <w:jc w:val="both"/>
        <w:rPr>
          <w:rFonts w:cs="Arial"/>
          <w:b/>
          <w:bCs/>
          <w:sz w:val="20"/>
        </w:rPr>
      </w:pPr>
      <w:r w:rsidRPr="00F124EA">
        <w:rPr>
          <w:rFonts w:cs="Arial"/>
          <w:b/>
          <w:bCs/>
          <w:sz w:val="20"/>
        </w:rPr>
        <w:t xml:space="preserve">IMTRAM </w:t>
      </w:r>
    </w:p>
    <w:p w14:paraId="218D110F" w14:textId="6B91AE3B" w:rsidR="00365149" w:rsidRPr="00F124EA" w:rsidRDefault="00B378BC" w:rsidP="0035339B">
      <w:pPr>
        <w:jc w:val="both"/>
        <w:rPr>
          <w:rFonts w:cs="Arial"/>
          <w:sz w:val="20"/>
        </w:rPr>
      </w:pPr>
      <w:r w:rsidRPr="00F124EA">
        <w:rPr>
          <w:rFonts w:cs="Arial"/>
          <w:sz w:val="20"/>
        </w:rPr>
        <w:t>Municipio de Puerto Asís, Putumayo</w:t>
      </w:r>
    </w:p>
    <w:p w14:paraId="02F02DE6" w14:textId="77777777" w:rsidR="0001330B" w:rsidRPr="00F124EA" w:rsidRDefault="00B378BC" w:rsidP="0035339B">
      <w:pPr>
        <w:jc w:val="both"/>
        <w:rPr>
          <w:rFonts w:cs="Arial"/>
          <w:sz w:val="20"/>
        </w:rPr>
      </w:pPr>
      <w:r w:rsidRPr="00F124EA">
        <w:rPr>
          <w:rFonts w:cs="Arial"/>
          <w:sz w:val="20"/>
        </w:rPr>
        <w:t xml:space="preserve">Ciudad </w:t>
      </w:r>
    </w:p>
    <w:p w14:paraId="2B87B94D" w14:textId="77777777" w:rsidR="0001330B" w:rsidRPr="00F124EA" w:rsidRDefault="0001330B" w:rsidP="0035339B">
      <w:pPr>
        <w:jc w:val="both"/>
        <w:rPr>
          <w:rFonts w:cs="Arial"/>
          <w:sz w:val="20"/>
        </w:rPr>
      </w:pPr>
    </w:p>
    <w:p w14:paraId="0329323B" w14:textId="1622A70B" w:rsidR="00880C86" w:rsidRPr="00F124EA" w:rsidRDefault="00B378BC" w:rsidP="0035339B">
      <w:pPr>
        <w:jc w:val="both"/>
        <w:rPr>
          <w:rFonts w:cs="Arial"/>
          <w:sz w:val="20"/>
        </w:rPr>
      </w:pPr>
      <w:r w:rsidRPr="00F124EA">
        <w:rPr>
          <w:rFonts w:cs="Arial"/>
          <w:b/>
          <w:bCs/>
          <w:sz w:val="20"/>
        </w:rPr>
        <w:t>Referencia</w:t>
      </w:r>
      <w:r w:rsidRPr="00F124EA">
        <w:rPr>
          <w:rFonts w:cs="Arial"/>
          <w:sz w:val="20"/>
        </w:rPr>
        <w:t xml:space="preserve">: Presentación de propuesta Proceso de Selección de Mínima Cuantía </w:t>
      </w:r>
      <w:r w:rsidR="00A6345D" w:rsidRPr="00F124EA">
        <w:rPr>
          <w:rFonts w:cs="Arial"/>
          <w:sz w:val="20"/>
        </w:rPr>
        <w:t>nro</w:t>
      </w:r>
      <w:r w:rsidRPr="00F124EA">
        <w:rPr>
          <w:rFonts w:cs="Arial"/>
          <w:sz w:val="20"/>
        </w:rPr>
        <w:t>. MIC-0</w:t>
      </w:r>
      <w:r w:rsidR="00AF1436" w:rsidRPr="00F124EA">
        <w:rPr>
          <w:rFonts w:cs="Arial"/>
          <w:sz w:val="20"/>
        </w:rPr>
        <w:t>4</w:t>
      </w:r>
      <w:r w:rsidR="001764E3">
        <w:rPr>
          <w:rFonts w:cs="Arial"/>
          <w:sz w:val="20"/>
        </w:rPr>
        <w:t>2</w:t>
      </w:r>
      <w:r w:rsidRPr="00F124EA">
        <w:rPr>
          <w:rFonts w:cs="Arial"/>
          <w:sz w:val="20"/>
        </w:rPr>
        <w:t>-IMTRAM-</w:t>
      </w:r>
      <w:r w:rsidR="00AF1436" w:rsidRPr="00F124EA">
        <w:rPr>
          <w:rFonts w:cs="Arial"/>
          <w:sz w:val="20"/>
        </w:rPr>
        <w:t>PUERTOASIS-</w:t>
      </w:r>
      <w:r w:rsidRPr="00F124EA">
        <w:rPr>
          <w:rFonts w:cs="Arial"/>
          <w:sz w:val="20"/>
        </w:rPr>
        <w:t>202</w:t>
      </w:r>
      <w:r w:rsidR="00C3741B">
        <w:rPr>
          <w:rFonts w:cs="Arial"/>
          <w:sz w:val="20"/>
        </w:rPr>
        <w:t>6</w:t>
      </w:r>
    </w:p>
    <w:p w14:paraId="56E0EA68" w14:textId="77777777" w:rsidR="00880C86" w:rsidRPr="00F124EA" w:rsidRDefault="00880C86" w:rsidP="0035339B">
      <w:pPr>
        <w:jc w:val="both"/>
        <w:rPr>
          <w:rFonts w:cs="Arial"/>
          <w:sz w:val="20"/>
        </w:rPr>
      </w:pPr>
    </w:p>
    <w:tbl>
      <w:tblPr>
        <w:tblStyle w:val="Tablaconcuadrcula"/>
        <w:tblW w:w="9112" w:type="dxa"/>
        <w:tblLook w:val="04A0" w:firstRow="1" w:lastRow="0" w:firstColumn="1" w:lastColumn="0" w:noHBand="0" w:noVBand="1"/>
      </w:tblPr>
      <w:tblGrid>
        <w:gridCol w:w="712"/>
        <w:gridCol w:w="2231"/>
        <w:gridCol w:w="2457"/>
        <w:gridCol w:w="1201"/>
        <w:gridCol w:w="1254"/>
        <w:gridCol w:w="1257"/>
      </w:tblGrid>
      <w:tr w:rsidR="001764E3" w:rsidRPr="00EC7628" w14:paraId="77760276" w14:textId="1E2CCF72" w:rsidTr="00A00960">
        <w:tc>
          <w:tcPr>
            <w:tcW w:w="704" w:type="dxa"/>
          </w:tcPr>
          <w:p w14:paraId="3AF8697D" w14:textId="7356DB36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b/>
                <w:bCs/>
                <w:lang w:val="es-MX"/>
              </w:rPr>
            </w:pPr>
            <w:r>
              <w:rPr>
                <w:rFonts w:asciiTheme="majorHAnsi" w:hAnsiTheme="majorHAnsi" w:cs="Helvetica"/>
                <w:b/>
                <w:bCs/>
                <w:lang w:val="es-MX"/>
              </w:rPr>
              <w:t>ITEM</w:t>
            </w:r>
          </w:p>
        </w:tc>
        <w:tc>
          <w:tcPr>
            <w:tcW w:w="2235" w:type="dxa"/>
          </w:tcPr>
          <w:p w14:paraId="66F3AFC2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b/>
                <w:bCs/>
                <w:lang w:val="es-MX"/>
              </w:rPr>
            </w:pPr>
            <w:r w:rsidRPr="00EC7628">
              <w:rPr>
                <w:rFonts w:asciiTheme="majorHAnsi" w:hAnsiTheme="majorHAnsi" w:cs="Helvetica"/>
                <w:b/>
                <w:bCs/>
                <w:lang w:val="es-MX"/>
              </w:rPr>
              <w:t>DETALLE</w:t>
            </w:r>
          </w:p>
        </w:tc>
        <w:tc>
          <w:tcPr>
            <w:tcW w:w="2459" w:type="dxa"/>
          </w:tcPr>
          <w:p w14:paraId="02F1206F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b/>
                <w:bCs/>
                <w:lang w:val="es-MX"/>
              </w:rPr>
            </w:pPr>
            <w:r w:rsidRPr="00EC7628">
              <w:rPr>
                <w:rFonts w:asciiTheme="majorHAnsi" w:hAnsiTheme="majorHAnsi" w:cs="Helvetica"/>
                <w:b/>
                <w:bCs/>
                <w:lang w:val="es-MX"/>
              </w:rPr>
              <w:t>ESPECIFICACIONES TÉCNICAS MÍNIMAS</w:t>
            </w:r>
          </w:p>
        </w:tc>
        <w:tc>
          <w:tcPr>
            <w:tcW w:w="1203" w:type="dxa"/>
          </w:tcPr>
          <w:p w14:paraId="21DBE7BE" w14:textId="3016AE0C" w:rsidR="001764E3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b/>
                <w:bCs/>
                <w:lang w:val="es-MX"/>
              </w:rPr>
            </w:pPr>
            <w:r>
              <w:rPr>
                <w:rFonts w:asciiTheme="majorHAnsi" w:hAnsiTheme="majorHAnsi" w:cs="Helvetica"/>
                <w:b/>
                <w:bCs/>
                <w:lang w:val="es-MX"/>
              </w:rPr>
              <w:t>CANT.</w:t>
            </w:r>
          </w:p>
        </w:tc>
        <w:tc>
          <w:tcPr>
            <w:tcW w:w="1254" w:type="dxa"/>
          </w:tcPr>
          <w:p w14:paraId="696492CE" w14:textId="0EEC7F4A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b/>
                <w:bCs/>
                <w:lang w:val="es-MX"/>
              </w:rPr>
            </w:pPr>
            <w:r>
              <w:rPr>
                <w:rFonts w:asciiTheme="majorHAnsi" w:hAnsiTheme="majorHAnsi" w:cs="Helvetica"/>
                <w:b/>
                <w:bCs/>
                <w:lang w:val="es-MX"/>
              </w:rPr>
              <w:t>VALOR UNITARIO</w:t>
            </w:r>
          </w:p>
        </w:tc>
        <w:tc>
          <w:tcPr>
            <w:tcW w:w="1257" w:type="dxa"/>
          </w:tcPr>
          <w:p w14:paraId="381EFE10" w14:textId="741C0045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b/>
                <w:bCs/>
                <w:lang w:val="es-MX"/>
              </w:rPr>
            </w:pPr>
            <w:r>
              <w:rPr>
                <w:rFonts w:asciiTheme="majorHAnsi" w:hAnsiTheme="majorHAnsi" w:cs="Helvetica"/>
                <w:b/>
                <w:bCs/>
                <w:lang w:val="es-MX"/>
              </w:rPr>
              <w:t>VALOR TOTAL (INCLUIDO IVA)</w:t>
            </w:r>
          </w:p>
        </w:tc>
      </w:tr>
      <w:tr w:rsidR="001764E3" w:rsidRPr="00EC7628" w14:paraId="7124B9A6" w14:textId="180587C1" w:rsidTr="00A00960">
        <w:tc>
          <w:tcPr>
            <w:tcW w:w="704" w:type="dxa"/>
            <w:vAlign w:val="center"/>
          </w:tcPr>
          <w:p w14:paraId="0549554B" w14:textId="5A366F16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lang w:val="es-MX"/>
              </w:rPr>
            </w:pPr>
            <w:r>
              <w:rPr>
                <w:rFonts w:asciiTheme="majorHAnsi" w:hAnsiTheme="majorHAnsi" w:cs="Helvetica"/>
                <w:lang w:val="es-MX"/>
              </w:rPr>
              <w:t>1</w:t>
            </w:r>
          </w:p>
        </w:tc>
        <w:tc>
          <w:tcPr>
            <w:tcW w:w="2235" w:type="dxa"/>
          </w:tcPr>
          <w:p w14:paraId="6959E25B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  <w:r w:rsidRPr="00EC7628">
              <w:rPr>
                <w:rFonts w:asciiTheme="majorHAnsi" w:hAnsiTheme="majorHAnsi" w:cs="Helvetica"/>
                <w:lang w:val="es-MX"/>
              </w:rPr>
              <w:t>Módulo vehicular 200mm -ROJO</w:t>
            </w:r>
          </w:p>
        </w:tc>
        <w:tc>
          <w:tcPr>
            <w:tcW w:w="2459" w:type="dxa"/>
          </w:tcPr>
          <w:p w14:paraId="14469FDC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  <w:r w:rsidRPr="00EC7628">
              <w:rPr>
                <w:rFonts w:asciiTheme="majorHAnsi" w:hAnsiTheme="majorHAnsi"/>
                <w:sz w:val="20"/>
                <w:szCs w:val="20"/>
              </w:rPr>
              <w:t>Módulo LED de 200 mm (8”), color rojo, lente de policarbonato resistente a impactos y rayos UV, alta luminosidad, bajo consumo energético, apto para uso exterior, compatible con estructuras semafóricas estándar y controlador semafórico.</w:t>
            </w:r>
          </w:p>
          <w:p w14:paraId="746F693A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</w:p>
        </w:tc>
        <w:tc>
          <w:tcPr>
            <w:tcW w:w="1203" w:type="dxa"/>
          </w:tcPr>
          <w:p w14:paraId="607B0C75" w14:textId="4A92D59D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4" w:type="dxa"/>
          </w:tcPr>
          <w:p w14:paraId="6938290E" w14:textId="0C56294C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2735A5B8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764E3" w:rsidRPr="00EC7628" w14:paraId="66F3345A" w14:textId="50235CEF" w:rsidTr="00A00960">
        <w:tc>
          <w:tcPr>
            <w:tcW w:w="704" w:type="dxa"/>
            <w:vAlign w:val="center"/>
          </w:tcPr>
          <w:p w14:paraId="28F2FE95" w14:textId="1FBB07E9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lang w:val="es-MX"/>
              </w:rPr>
            </w:pPr>
            <w:r>
              <w:rPr>
                <w:rFonts w:asciiTheme="majorHAnsi" w:hAnsiTheme="majorHAnsi" w:cs="Helvetica"/>
                <w:lang w:val="es-MX"/>
              </w:rPr>
              <w:t>2</w:t>
            </w:r>
          </w:p>
        </w:tc>
        <w:tc>
          <w:tcPr>
            <w:tcW w:w="2235" w:type="dxa"/>
          </w:tcPr>
          <w:p w14:paraId="0D1D558D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  <w:r w:rsidRPr="00EC7628">
              <w:rPr>
                <w:rFonts w:asciiTheme="majorHAnsi" w:hAnsiTheme="majorHAnsi" w:cs="Helvetica"/>
                <w:lang w:val="es-MX"/>
              </w:rPr>
              <w:t>Módulo vehicular 200mm -AMARILLO</w:t>
            </w:r>
          </w:p>
        </w:tc>
        <w:tc>
          <w:tcPr>
            <w:tcW w:w="2459" w:type="dxa"/>
          </w:tcPr>
          <w:p w14:paraId="5AEEC2FB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  <w:r w:rsidRPr="00EC7628">
              <w:rPr>
                <w:rFonts w:asciiTheme="majorHAnsi" w:hAnsiTheme="majorHAnsi"/>
                <w:sz w:val="20"/>
                <w:szCs w:val="20"/>
              </w:rPr>
              <w:t>Módulo LED de 200 mm (8”), color amarillo, lente de policarbonato resistente a impactos, visibilidad diurna y nocturna, bajo consumo energético, compatible con sistemas semafóricos convencionales.</w:t>
            </w:r>
          </w:p>
          <w:p w14:paraId="14BB0D20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</w:p>
        </w:tc>
        <w:tc>
          <w:tcPr>
            <w:tcW w:w="1203" w:type="dxa"/>
          </w:tcPr>
          <w:p w14:paraId="0404194C" w14:textId="7E19B80E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4" w:type="dxa"/>
          </w:tcPr>
          <w:p w14:paraId="55262B65" w14:textId="6B99BD6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77B11589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764E3" w:rsidRPr="00EC7628" w14:paraId="2A9D1B10" w14:textId="5F942B5E" w:rsidTr="00A00960">
        <w:tc>
          <w:tcPr>
            <w:tcW w:w="704" w:type="dxa"/>
            <w:vAlign w:val="center"/>
          </w:tcPr>
          <w:p w14:paraId="1B2C5596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lang w:val="es-MX"/>
              </w:rPr>
            </w:pPr>
            <w:r w:rsidRPr="00EC7628">
              <w:rPr>
                <w:rFonts w:asciiTheme="majorHAnsi" w:hAnsiTheme="majorHAnsi" w:cs="Helvetica"/>
                <w:lang w:val="es-MX"/>
              </w:rPr>
              <w:t>3</w:t>
            </w:r>
          </w:p>
        </w:tc>
        <w:tc>
          <w:tcPr>
            <w:tcW w:w="2235" w:type="dxa"/>
          </w:tcPr>
          <w:p w14:paraId="0EDC1CC2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  <w:r w:rsidRPr="00EC7628">
              <w:rPr>
                <w:rFonts w:asciiTheme="majorHAnsi" w:hAnsiTheme="majorHAnsi" w:cs="Helvetica"/>
                <w:lang w:val="es-MX"/>
              </w:rPr>
              <w:t>Módulo vehicular 200mm -VERDE</w:t>
            </w:r>
          </w:p>
        </w:tc>
        <w:tc>
          <w:tcPr>
            <w:tcW w:w="2459" w:type="dxa"/>
          </w:tcPr>
          <w:p w14:paraId="3D4D817A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  <w:r w:rsidRPr="00EC7628">
              <w:rPr>
                <w:rFonts w:asciiTheme="majorHAnsi" w:hAnsiTheme="majorHAnsi"/>
                <w:sz w:val="20"/>
                <w:szCs w:val="20"/>
              </w:rPr>
              <w:t>Módulo LED de 200 mm (8”), color verde, lente resistente a condiciones climáticas, alta eficiencia energética, compatible con controladores semafóricos estándar.</w:t>
            </w:r>
          </w:p>
          <w:p w14:paraId="616CEBC0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</w:p>
        </w:tc>
        <w:tc>
          <w:tcPr>
            <w:tcW w:w="1203" w:type="dxa"/>
          </w:tcPr>
          <w:p w14:paraId="5D53FDBA" w14:textId="3BB6F0FD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4" w:type="dxa"/>
          </w:tcPr>
          <w:p w14:paraId="391725D4" w14:textId="2C4B3C45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250A611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764E3" w:rsidRPr="00EC7628" w14:paraId="2F42CFB0" w14:textId="7AFFA9BF" w:rsidTr="00A00960">
        <w:tc>
          <w:tcPr>
            <w:tcW w:w="704" w:type="dxa"/>
            <w:vAlign w:val="center"/>
          </w:tcPr>
          <w:p w14:paraId="68240762" w14:textId="4675FDAC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lang w:val="es-MX"/>
              </w:rPr>
            </w:pPr>
            <w:r>
              <w:rPr>
                <w:rFonts w:asciiTheme="majorHAnsi" w:hAnsiTheme="majorHAnsi" w:cs="Helvetica"/>
                <w:lang w:val="es-MX"/>
              </w:rPr>
              <w:t>4</w:t>
            </w:r>
          </w:p>
        </w:tc>
        <w:tc>
          <w:tcPr>
            <w:tcW w:w="2235" w:type="dxa"/>
          </w:tcPr>
          <w:p w14:paraId="493C1AE2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  <w:r w:rsidRPr="00EC7628">
              <w:rPr>
                <w:rFonts w:asciiTheme="majorHAnsi" w:hAnsiTheme="majorHAnsi" w:cs="Helvetica"/>
                <w:lang w:val="es-MX"/>
              </w:rPr>
              <w:t xml:space="preserve">Regulador de corriente </w:t>
            </w:r>
          </w:p>
        </w:tc>
        <w:tc>
          <w:tcPr>
            <w:tcW w:w="2459" w:type="dxa"/>
          </w:tcPr>
          <w:p w14:paraId="320E9932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  <w:r w:rsidRPr="00EC7628">
              <w:rPr>
                <w:rFonts w:asciiTheme="majorHAnsi" w:hAnsiTheme="majorHAnsi"/>
                <w:sz w:val="20"/>
                <w:szCs w:val="20"/>
              </w:rPr>
              <w:t xml:space="preserve">Dispositivo electrónico para regulación y estabilización de corriente eléctrica en módulos semafóricos. Protección contra </w:t>
            </w:r>
            <w:r w:rsidRPr="00EC7628">
              <w:rPr>
                <w:rFonts w:asciiTheme="majorHAnsi" w:hAnsiTheme="majorHAnsi"/>
                <w:sz w:val="20"/>
                <w:szCs w:val="20"/>
              </w:rPr>
              <w:lastRenderedPageBreak/>
              <w:t>sobrecarga y variaciones de voltaje. Compatible con sistemas de señalización LED.</w:t>
            </w:r>
          </w:p>
          <w:p w14:paraId="7517DB3E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</w:p>
        </w:tc>
        <w:tc>
          <w:tcPr>
            <w:tcW w:w="1203" w:type="dxa"/>
          </w:tcPr>
          <w:p w14:paraId="149BF3D5" w14:textId="7447F625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4" w:type="dxa"/>
          </w:tcPr>
          <w:p w14:paraId="1EEC6F61" w14:textId="7A39C08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3D2000D8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764E3" w:rsidRPr="00EC7628" w14:paraId="4B6D199E" w14:textId="0FCD2D12" w:rsidTr="00A00960">
        <w:tc>
          <w:tcPr>
            <w:tcW w:w="704" w:type="dxa"/>
            <w:vAlign w:val="center"/>
          </w:tcPr>
          <w:p w14:paraId="312657A6" w14:textId="647390A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lang w:val="es-MX"/>
              </w:rPr>
            </w:pPr>
            <w:r>
              <w:rPr>
                <w:rFonts w:asciiTheme="majorHAnsi" w:hAnsiTheme="majorHAnsi" w:cs="Helvetica"/>
                <w:lang w:val="es-MX"/>
              </w:rPr>
              <w:t>5</w:t>
            </w:r>
          </w:p>
        </w:tc>
        <w:tc>
          <w:tcPr>
            <w:tcW w:w="2235" w:type="dxa"/>
          </w:tcPr>
          <w:p w14:paraId="26FD4470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  <w:r w:rsidRPr="00EC7628">
              <w:rPr>
                <w:rFonts w:asciiTheme="majorHAnsi" w:hAnsiTheme="majorHAnsi" w:cs="Helvetica"/>
                <w:lang w:val="es-MX"/>
              </w:rPr>
              <w:t>Módulo Relé De 8 Canales De Estado Sólido</w:t>
            </w:r>
          </w:p>
        </w:tc>
        <w:tc>
          <w:tcPr>
            <w:tcW w:w="2459" w:type="dxa"/>
          </w:tcPr>
          <w:p w14:paraId="2ADD7A4F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  <w:r w:rsidRPr="00EC7628">
              <w:rPr>
                <w:rFonts w:asciiTheme="majorHAnsi" w:hAnsiTheme="majorHAnsi"/>
                <w:sz w:val="20"/>
                <w:szCs w:val="20"/>
              </w:rPr>
              <w:t>Módulo relé de estado sólido con 8 canales, diseñado para control electrónico de cargas, apto para sistemas de control semafórico, larga vida útil y alta confiabilidad.</w:t>
            </w:r>
          </w:p>
          <w:p w14:paraId="0DA9F01C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</w:p>
        </w:tc>
        <w:tc>
          <w:tcPr>
            <w:tcW w:w="1203" w:type="dxa"/>
          </w:tcPr>
          <w:p w14:paraId="3690612A" w14:textId="07BADA4A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4" w:type="dxa"/>
          </w:tcPr>
          <w:p w14:paraId="273D3DA0" w14:textId="3DE5DE5D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4D46D3C5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764E3" w:rsidRPr="00EC7628" w14:paraId="2D9ACDA5" w14:textId="31370A4E" w:rsidTr="00A00960">
        <w:tc>
          <w:tcPr>
            <w:tcW w:w="704" w:type="dxa"/>
            <w:vAlign w:val="center"/>
          </w:tcPr>
          <w:p w14:paraId="337CAC20" w14:textId="380EF2D0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lang w:val="es-MX"/>
              </w:rPr>
            </w:pPr>
            <w:r>
              <w:rPr>
                <w:rFonts w:asciiTheme="majorHAnsi" w:hAnsiTheme="majorHAnsi" w:cs="Helvetica"/>
                <w:lang w:val="es-MX"/>
              </w:rPr>
              <w:t>6</w:t>
            </w:r>
          </w:p>
        </w:tc>
        <w:tc>
          <w:tcPr>
            <w:tcW w:w="2235" w:type="dxa"/>
          </w:tcPr>
          <w:p w14:paraId="50E4066A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  <w:r w:rsidRPr="00EC7628">
              <w:rPr>
                <w:rFonts w:asciiTheme="majorHAnsi" w:hAnsiTheme="majorHAnsi" w:cs="Helvetica"/>
                <w:lang w:val="es-MX"/>
              </w:rPr>
              <w:t>Módulo peatonal 8” 200mm DE DOS DIGITOS -ROJO</w:t>
            </w:r>
          </w:p>
        </w:tc>
        <w:tc>
          <w:tcPr>
            <w:tcW w:w="2459" w:type="dxa"/>
          </w:tcPr>
          <w:p w14:paraId="0F255BC8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  <w:r w:rsidRPr="00EC7628">
              <w:rPr>
                <w:rFonts w:asciiTheme="majorHAnsi" w:hAnsiTheme="majorHAnsi"/>
                <w:sz w:val="20"/>
                <w:szCs w:val="20"/>
              </w:rPr>
              <w:t>Módulo peatonal LED de 200 mm (8”), contador regresivo de dos dígitos en color rojo, alta visibilidad, lente resistente a impactos, compatible con controlador semafórico.</w:t>
            </w:r>
          </w:p>
          <w:p w14:paraId="273EC1BA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</w:p>
        </w:tc>
        <w:tc>
          <w:tcPr>
            <w:tcW w:w="1203" w:type="dxa"/>
          </w:tcPr>
          <w:p w14:paraId="14EF7C9B" w14:textId="2654EB20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4" w:type="dxa"/>
          </w:tcPr>
          <w:p w14:paraId="75AF30A9" w14:textId="5BEC57C1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27930EBB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764E3" w:rsidRPr="00EC7628" w14:paraId="3E387681" w14:textId="4FA8DED8" w:rsidTr="00A00960">
        <w:tc>
          <w:tcPr>
            <w:tcW w:w="704" w:type="dxa"/>
            <w:vAlign w:val="center"/>
          </w:tcPr>
          <w:p w14:paraId="26CFFAF3" w14:textId="1AFF2DF5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"/>
                <w:lang w:val="es-MX"/>
              </w:rPr>
            </w:pPr>
            <w:r>
              <w:rPr>
                <w:rFonts w:asciiTheme="majorHAnsi" w:hAnsiTheme="majorHAnsi" w:cs="Helvetica"/>
                <w:lang w:val="es-MX"/>
              </w:rPr>
              <w:t>7</w:t>
            </w:r>
          </w:p>
        </w:tc>
        <w:tc>
          <w:tcPr>
            <w:tcW w:w="2235" w:type="dxa"/>
          </w:tcPr>
          <w:p w14:paraId="13DB051C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  <w:r w:rsidRPr="00EC7628">
              <w:rPr>
                <w:rFonts w:asciiTheme="majorHAnsi" w:hAnsiTheme="majorHAnsi" w:cs="Helvetica"/>
                <w:lang w:val="es-MX"/>
              </w:rPr>
              <w:t>Módulo peatonal 8” 200mm -ROJO ESTATICO VERDE DINAMICO</w:t>
            </w:r>
          </w:p>
        </w:tc>
        <w:tc>
          <w:tcPr>
            <w:tcW w:w="2459" w:type="dxa"/>
          </w:tcPr>
          <w:p w14:paraId="7A1F2B3F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  <w:r w:rsidRPr="00EC7628">
              <w:rPr>
                <w:rFonts w:asciiTheme="majorHAnsi" w:hAnsiTheme="majorHAnsi"/>
                <w:sz w:val="20"/>
                <w:szCs w:val="20"/>
              </w:rPr>
              <w:t>Módulo peatonal LED con señal roja estática y verde dinámico, lente de policarbonato resistente, apto para uso exterior, compatible con sistemas semafóricos existentes.</w:t>
            </w:r>
          </w:p>
          <w:p w14:paraId="18CAFC29" w14:textId="77777777" w:rsidR="001764E3" w:rsidRPr="00EC7628" w:rsidRDefault="001764E3" w:rsidP="008D4D4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="Helvetica"/>
                <w:lang w:val="es-MX"/>
              </w:rPr>
            </w:pPr>
          </w:p>
        </w:tc>
        <w:tc>
          <w:tcPr>
            <w:tcW w:w="1203" w:type="dxa"/>
          </w:tcPr>
          <w:p w14:paraId="0DE6721C" w14:textId="22CD04D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4" w:type="dxa"/>
          </w:tcPr>
          <w:p w14:paraId="33702C93" w14:textId="428BF29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257" w:type="dxa"/>
          </w:tcPr>
          <w:p w14:paraId="1C79E62E" w14:textId="77777777" w:rsidR="001764E3" w:rsidRPr="00EC7628" w:rsidRDefault="001764E3" w:rsidP="008D4D4F">
            <w:pPr>
              <w:pStyle w:val="p1"/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4787644E" w14:textId="77777777" w:rsidR="003A6669" w:rsidRPr="00F124EA" w:rsidRDefault="003A6669" w:rsidP="00C3741B">
      <w:pPr>
        <w:ind w:left="-284"/>
        <w:jc w:val="both"/>
        <w:rPr>
          <w:rFonts w:cs="Arial"/>
          <w:sz w:val="20"/>
        </w:rPr>
      </w:pPr>
    </w:p>
    <w:p w14:paraId="4F25B257" w14:textId="77777777" w:rsidR="003A6669" w:rsidRPr="00F124EA" w:rsidRDefault="003A6669" w:rsidP="0035339B">
      <w:pPr>
        <w:jc w:val="both"/>
        <w:rPr>
          <w:rFonts w:cs="Arial"/>
          <w:sz w:val="20"/>
        </w:rPr>
      </w:pPr>
    </w:p>
    <w:p w14:paraId="152E1E13" w14:textId="5AD780D7" w:rsidR="003A6669" w:rsidRPr="00F124EA" w:rsidRDefault="001764E3" w:rsidP="0035339B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VALOR TOTAL DE LA OFERTA: $</w:t>
      </w:r>
    </w:p>
    <w:p w14:paraId="67A5DF70" w14:textId="77777777" w:rsidR="003A6669" w:rsidRPr="00F124EA" w:rsidRDefault="003A6669" w:rsidP="0035339B">
      <w:pPr>
        <w:jc w:val="both"/>
        <w:rPr>
          <w:rFonts w:cs="Arial"/>
          <w:sz w:val="20"/>
        </w:rPr>
      </w:pPr>
    </w:p>
    <w:p w14:paraId="5A43FE25" w14:textId="7558B85E" w:rsidR="00804952" w:rsidRPr="00F124EA" w:rsidRDefault="00804952" w:rsidP="0035339B">
      <w:pPr>
        <w:jc w:val="both"/>
        <w:rPr>
          <w:rFonts w:cs="Arial"/>
          <w:sz w:val="20"/>
        </w:rPr>
      </w:pPr>
      <w:r w:rsidRPr="00F124EA">
        <w:rPr>
          <w:rFonts w:cs="Arial"/>
          <w:sz w:val="20"/>
        </w:rPr>
        <w:t>El valor de la oferta comprende los costos, gastos, impuesto, estampilla, y demás que haya lugar.</w:t>
      </w:r>
    </w:p>
    <w:p w14:paraId="3F539ED6" w14:textId="77777777" w:rsidR="00804952" w:rsidRPr="00F124EA" w:rsidRDefault="00804952" w:rsidP="0035339B">
      <w:pPr>
        <w:jc w:val="both"/>
        <w:rPr>
          <w:rFonts w:cs="Arial"/>
          <w:sz w:val="20"/>
        </w:rPr>
      </w:pPr>
    </w:p>
    <w:p w14:paraId="7D7AFD96" w14:textId="29DB8CCB" w:rsidR="00804952" w:rsidRPr="00F124EA" w:rsidRDefault="00804952" w:rsidP="0035339B">
      <w:pPr>
        <w:jc w:val="both"/>
        <w:rPr>
          <w:rFonts w:cs="Arial"/>
          <w:sz w:val="20"/>
        </w:rPr>
      </w:pPr>
    </w:p>
    <w:p w14:paraId="75D72899" w14:textId="77777777" w:rsidR="0035339B" w:rsidRPr="00F124EA" w:rsidRDefault="0035339B" w:rsidP="0035339B">
      <w:pPr>
        <w:jc w:val="both"/>
        <w:rPr>
          <w:rFonts w:cs="Arial"/>
          <w:sz w:val="20"/>
        </w:rPr>
      </w:pPr>
      <w:r w:rsidRPr="00F124EA">
        <w:rPr>
          <w:rFonts w:cs="Arial"/>
          <w:sz w:val="20"/>
        </w:rPr>
        <w:t>FIRMA: ________________________</w:t>
      </w:r>
    </w:p>
    <w:p w14:paraId="5A3D630D" w14:textId="77777777" w:rsidR="0035339B" w:rsidRPr="00F124EA" w:rsidRDefault="0035339B" w:rsidP="0035339B">
      <w:pPr>
        <w:jc w:val="both"/>
        <w:rPr>
          <w:rFonts w:cs="Arial"/>
          <w:sz w:val="20"/>
        </w:rPr>
      </w:pPr>
      <w:r w:rsidRPr="00F124EA">
        <w:rPr>
          <w:rFonts w:cs="Arial"/>
          <w:sz w:val="20"/>
        </w:rPr>
        <w:t>NOMBRE:</w:t>
      </w:r>
    </w:p>
    <w:p w14:paraId="000DD21A" w14:textId="77777777" w:rsidR="0035339B" w:rsidRPr="00F124EA" w:rsidRDefault="0035339B" w:rsidP="0035339B">
      <w:pPr>
        <w:jc w:val="both"/>
        <w:rPr>
          <w:rFonts w:cs="Arial"/>
          <w:sz w:val="20"/>
        </w:rPr>
      </w:pPr>
      <w:r w:rsidRPr="00F124EA">
        <w:rPr>
          <w:rFonts w:cs="Arial"/>
          <w:sz w:val="20"/>
        </w:rPr>
        <w:t>C.C.  …</w:t>
      </w:r>
    </w:p>
    <w:p w14:paraId="2CC45619" w14:textId="77777777" w:rsidR="001834C4" w:rsidRPr="00F124EA" w:rsidRDefault="001834C4">
      <w:pPr>
        <w:rPr>
          <w:rFonts w:cs="Arial"/>
          <w:sz w:val="20"/>
        </w:rPr>
      </w:pPr>
    </w:p>
    <w:sectPr w:rsidR="001834C4" w:rsidRPr="00F124EA" w:rsidSect="00C3741B">
      <w:pgSz w:w="12240" w:h="15840"/>
      <w:pgMar w:top="1417" w:right="170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39B"/>
    <w:rsid w:val="0001330B"/>
    <w:rsid w:val="00086C47"/>
    <w:rsid w:val="00122411"/>
    <w:rsid w:val="001764E3"/>
    <w:rsid w:val="001834C4"/>
    <w:rsid w:val="001F46DE"/>
    <w:rsid w:val="002E1BE0"/>
    <w:rsid w:val="0035339B"/>
    <w:rsid w:val="00353C8B"/>
    <w:rsid w:val="00365149"/>
    <w:rsid w:val="003A6669"/>
    <w:rsid w:val="00454C9D"/>
    <w:rsid w:val="00462A51"/>
    <w:rsid w:val="0057627C"/>
    <w:rsid w:val="005F29B5"/>
    <w:rsid w:val="006C6681"/>
    <w:rsid w:val="007A2B8A"/>
    <w:rsid w:val="007C54A7"/>
    <w:rsid w:val="007C6E9F"/>
    <w:rsid w:val="007E51A5"/>
    <w:rsid w:val="008025CB"/>
    <w:rsid w:val="00804952"/>
    <w:rsid w:val="00853E82"/>
    <w:rsid w:val="00880C86"/>
    <w:rsid w:val="008D0C78"/>
    <w:rsid w:val="008E53AA"/>
    <w:rsid w:val="00986D81"/>
    <w:rsid w:val="009D72AF"/>
    <w:rsid w:val="00A00960"/>
    <w:rsid w:val="00A23403"/>
    <w:rsid w:val="00A3012B"/>
    <w:rsid w:val="00A6345D"/>
    <w:rsid w:val="00AF1436"/>
    <w:rsid w:val="00B378BC"/>
    <w:rsid w:val="00B50C0E"/>
    <w:rsid w:val="00B63501"/>
    <w:rsid w:val="00C245E1"/>
    <w:rsid w:val="00C314CC"/>
    <w:rsid w:val="00C3741B"/>
    <w:rsid w:val="00C51148"/>
    <w:rsid w:val="00C60984"/>
    <w:rsid w:val="00C740C9"/>
    <w:rsid w:val="00C9214C"/>
    <w:rsid w:val="00E15FDD"/>
    <w:rsid w:val="00EA40B1"/>
    <w:rsid w:val="00F124EA"/>
    <w:rsid w:val="00F2254F"/>
    <w:rsid w:val="00F9207B"/>
    <w:rsid w:val="00FA6E8D"/>
    <w:rsid w:val="00FA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B0833"/>
  <w15:chartTrackingRefBased/>
  <w15:docId w15:val="{91D34DF2-7880-4B65-8375-1A160EEEA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39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5339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339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339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339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339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339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339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339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339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33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33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33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33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33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33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33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33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33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533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53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339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53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339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533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5339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533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33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33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339B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7A2B8A"/>
    <w:pPr>
      <w:spacing w:after="0" w:line="240" w:lineRule="auto"/>
    </w:pPr>
    <w:rPr>
      <w:rFonts w:eastAsiaTheme="minorEastAsia"/>
      <w:sz w:val="24"/>
      <w:szCs w:val="24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qFormat/>
    <w:rsid w:val="001764E3"/>
    <w:pPr>
      <w:spacing w:after="0" w:line="240" w:lineRule="auto"/>
    </w:pPr>
    <w:rPr>
      <w:rFonts w:eastAsiaTheme="minorEastAsia"/>
      <w:kern w:val="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1764E3"/>
    <w:rPr>
      <w:rFonts w:cs="Arial"/>
      <w:color w:val="000000"/>
      <w:sz w:val="17"/>
      <w:szCs w:val="17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371</Words>
  <Characters>1744</Characters>
  <Application>Microsoft Office Word</Application>
  <DocSecurity>0</DocSecurity>
  <Lines>218</Lines>
  <Paragraphs>140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ANA SILVA</cp:lastModifiedBy>
  <cp:revision>37</cp:revision>
  <dcterms:created xsi:type="dcterms:W3CDTF">2025-01-21T18:58:00Z</dcterms:created>
  <dcterms:modified xsi:type="dcterms:W3CDTF">2026-03-09T20:39:00Z</dcterms:modified>
</cp:coreProperties>
</file>