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spacing w:after="200" w:line="276" w:lineRule="auto"/>
        <w:ind w:left="284" w:hanging="360"/>
        <w:jc w:val="both"/>
        <w:rPr>
          <w:rFonts w:ascii="Verdana" w:cs="Verdana" w:eastAsia="Verdana" w:hAnsi="Verdana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1"/>
          <w:iCs w:val="1"/>
          <w:sz w:val="20"/>
          <w:szCs w:val="20"/>
          <w:rtl w:val="0"/>
        </w:rPr>
        <w:t xml:space="preserve">EXISTENCIA DE ACUERDOS COMERCIALES</w:t>
      </w:r>
    </w:p>
    <w:p w:rsidR="00000000" w:rsidDel="00000000" w:rsidP="00000000" w:rsidRDefault="00000000" w:rsidRPr="00000000" w14:paraId="00000002">
      <w:pPr>
        <w:spacing w:after="200" w:line="276" w:lineRule="auto"/>
        <w:ind w:left="-76" w:firstLine="0"/>
        <w:jc w:val="both"/>
        <w:rPr>
          <w:rFonts w:ascii="Verdana" w:cs="Verdana" w:eastAsia="Verdana" w:hAnsi="Verdana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1"/>
          <w:iCs w:val="1"/>
          <w:sz w:val="20"/>
          <w:szCs w:val="20"/>
          <w:rtl w:val="0"/>
        </w:rPr>
        <w:t xml:space="preserve">Son los indicados en la plataforma SECOP II</w:t>
      </w:r>
    </w:p>
    <w:tbl>
      <w:tblPr>
        <w:tblStyle w:val="Table1"/>
        <w:tblW w:w="9357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65"/>
        <w:gridCol w:w="211"/>
        <w:gridCol w:w="1277"/>
        <w:gridCol w:w="1418"/>
        <w:gridCol w:w="1873"/>
        <w:gridCol w:w="1701"/>
        <w:gridCol w:w="1812"/>
        <w:tblGridChange w:id="0">
          <w:tblGrid>
            <w:gridCol w:w="1065"/>
            <w:gridCol w:w="211"/>
            <w:gridCol w:w="1277"/>
            <w:gridCol w:w="1418"/>
            <w:gridCol w:w="1873"/>
            <w:gridCol w:w="1701"/>
            <w:gridCol w:w="1812"/>
          </w:tblGrid>
        </w:tblGridChange>
      </w:tblGrid>
      <w:tr>
        <w:trPr>
          <w:cantSplit w:val="0"/>
          <w:trHeight w:val="20" w:hRule="atLeast"/>
          <w:tblHeader w:val="1"/>
        </w:trPr>
        <w:tc>
          <w:tcPr>
            <w:gridSpan w:val="3"/>
            <w:shd w:fill="d0cece" w:val="clear"/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Acuerdos Comerciales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Entidad Estatal cubierta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6" w:right="24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del Proceso de Contratación superior al umbral del Acuerdo Comercial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Excepción Aplicable al Proceso de Contratación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8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Proceso de Contratación cubierto por el Acuerdo Comercial</w:t>
            </w:r>
          </w:p>
        </w:tc>
      </w:tr>
      <w:tr>
        <w:trPr>
          <w:cantSplit w:val="0"/>
          <w:trHeight w:val="428.0859375" w:hRule="atLeast"/>
          <w:tblHeader w:val="0"/>
        </w:trPr>
        <w:tc>
          <w:tcPr>
            <w:gridSpan w:val="3"/>
            <w:shd w:fill="e49edd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Indique si el proceso está cobijado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0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SI/NO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2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SI/NO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1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SI/NO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5"/>
              </w:tabs>
              <w:spacing w:after="0" w:before="0" w:line="240" w:lineRule="auto"/>
              <w:ind w:left="175" w:right="1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SI/NO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restart"/>
            <w:shd w:fill="e49edd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247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Alianza Pacífico</w:t>
            </w:r>
          </w:p>
        </w:tc>
        <w:tc>
          <w:tcPr>
            <w:gridSpan w:val="2"/>
            <w:shd w:fill="e49edd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Chile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2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shd w:fill="e49edd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49edd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México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2" w:firstLine="0"/>
              <w:jc w:val="left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shd w:fill="e49edd" w:val="clear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49edd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Canadá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Chile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Corea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Costa Rica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Estados Unidos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Estados AELC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México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75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Triángulo Norte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 Salvador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</w:tr>
      <w:tr>
        <w:trPr>
          <w:cantSplit w:val="0"/>
          <w:trHeight w:val="75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Guatemala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</w:tr>
      <w:tr>
        <w:trPr>
          <w:cantSplit w:val="0"/>
          <w:trHeight w:val="75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Honduras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75" w:hRule="atLeast"/>
          <w:tblHeader w:val="0"/>
        </w:trPr>
        <w:tc>
          <w:tcPr>
            <w:gridSpan w:val="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Unión Europea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75" w:hRule="atLeast"/>
          <w:tblHeader w:val="0"/>
        </w:trPr>
        <w:tc>
          <w:tcPr>
            <w:gridSpan w:val="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49edd" w:val="clear"/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Comunidad Andina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8" w:right="3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5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N/A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4"/>
              </w:tabs>
              <w:spacing w:after="0" w:before="0" w:line="240" w:lineRule="auto"/>
              <w:ind w:left="175" w:right="0" w:firstLine="0"/>
              <w:jc w:val="center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</w:tr>
    </w:tbl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both"/>
        <w:rPr/>
      </w:pPr>
      <w:r w:rsidDel="00000000" w:rsidR="00000000" w:rsidRPr="00000000">
        <w:rPr>
          <w:rtl w:val="0"/>
        </w:rPr>
        <w:t xml:space="preserve">De conformidad con el Manual para el Manejo de los Acuerdos Comerciales en Procesos de Contratación de Colombia Compra Eficiente (</w:t>
      </w:r>
      <w:hyperlink r:id="rId7">
        <w:r w:rsidDel="00000000" w:rsidR="00000000" w:rsidRPr="00000000">
          <w:rPr>
            <w:color w:val="467886"/>
            <w:u w:val="single"/>
            <w:rtl w:val="0"/>
          </w:rPr>
          <w:t xml:space="preserve">https://www.colombiacompra.gov.co/wp-content/uploads/2024/08/manual_para_el_manejo_de_acuerdos_comerciales_vf.pdf</w:t>
        </w:r>
      </w:hyperlink>
      <w:r w:rsidDel="00000000" w:rsidR="00000000" w:rsidRPr="00000000">
        <w:rPr>
          <w:rtl w:val="0"/>
        </w:rPr>
        <w:t xml:space="preserve"> ) y el Umbral establecido en el documento para la vigencia 2025, construido entre el Ministerio de Comercio, Industria y Turismo y Colombia Compra Eficiente (</w:t>
      </w:r>
      <w:hyperlink r:id="rId8">
        <w:r w:rsidDel="00000000" w:rsidR="00000000" w:rsidRPr="00000000">
          <w:rPr>
            <w:color w:val="467886"/>
            <w:u w:val="single"/>
            <w:rtl w:val="0"/>
          </w:rPr>
          <w:t xml:space="preserve">https://www.colombiacompra.gov.co/wp-content/uploads/2024/08/umbral_de_mipymes_2025_oali.pdf</w:t>
        </w:r>
      </w:hyperlink>
      <w:r w:rsidDel="00000000" w:rsidR="00000000" w:rsidRPr="00000000">
        <w:rPr>
          <w:rtl w:val="0"/>
        </w:rPr>
        <w:t xml:space="preserve">), al presente proceso de contratación le es aplicable la Alianza del Pacífico (Chile, México y Perú), Triángulo Norte y CAN. 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Arial"/>
  <w:font w:name="Times New Roman"/>
  <w:font w:name="Play">
    <w:embedRegular w:fontKey="{00000000-0000-0000-0000-000000000000}" r:id="rId1" w:subsetted="0"/>
    <w:embedBold w:fontKey="{00000000-0000-0000-0000-000000000000}" r:id="rId2" w:subsetted="0"/>
  </w:font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928" w:hanging="360"/>
      </w:pPr>
      <w:rPr>
        <w:b w:val="1"/>
        <w:bCs w:val="1"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4765" w:hanging="360"/>
      </w:pPr>
      <w:rPr/>
    </w:lvl>
    <w:lvl w:ilvl="2">
      <w:start w:val="1"/>
      <w:numFmt w:val="lowerRoman"/>
      <w:lvlText w:val="%3."/>
      <w:lvlJc w:val="right"/>
      <w:pPr>
        <w:ind w:left="5485" w:hanging="180"/>
      </w:pPr>
      <w:rPr/>
    </w:lvl>
    <w:lvl w:ilvl="3">
      <w:start w:val="1"/>
      <w:numFmt w:val="decimal"/>
      <w:lvlText w:val="%4."/>
      <w:lvlJc w:val="left"/>
      <w:pPr>
        <w:ind w:left="6205" w:hanging="360"/>
      </w:pPr>
      <w:rPr/>
    </w:lvl>
    <w:lvl w:ilvl="4">
      <w:start w:val="1"/>
      <w:numFmt w:val="lowerLetter"/>
      <w:lvlText w:val="%5."/>
      <w:lvlJc w:val="left"/>
      <w:pPr>
        <w:ind w:left="6925" w:hanging="360"/>
      </w:pPr>
      <w:rPr/>
    </w:lvl>
    <w:lvl w:ilvl="5">
      <w:start w:val="1"/>
      <w:numFmt w:val="lowerRoman"/>
      <w:lvlText w:val="%6."/>
      <w:lvlJc w:val="right"/>
      <w:pPr>
        <w:ind w:left="7645" w:hanging="180"/>
      </w:pPr>
      <w:rPr/>
    </w:lvl>
    <w:lvl w:ilvl="6">
      <w:start w:val="1"/>
      <w:numFmt w:val="decimal"/>
      <w:lvlText w:val="%7."/>
      <w:lvlJc w:val="left"/>
      <w:pPr>
        <w:ind w:left="8365" w:hanging="360"/>
      </w:pPr>
      <w:rPr/>
    </w:lvl>
    <w:lvl w:ilvl="7">
      <w:start w:val="1"/>
      <w:numFmt w:val="lowerLetter"/>
      <w:lvlText w:val="%8."/>
      <w:lvlJc w:val="left"/>
      <w:pPr>
        <w:ind w:left="9085" w:hanging="360"/>
      </w:pPr>
      <w:rPr/>
    </w:lvl>
    <w:lvl w:ilvl="8">
      <w:start w:val="1"/>
      <w:numFmt w:val="lowerRoman"/>
      <w:lvlText w:val="%9."/>
      <w:lvlJc w:val="right"/>
      <w:pPr>
        <w:ind w:left="9805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4A33B6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4A33B6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4A33B6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4A33B6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4A33B6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4A33B6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4A33B6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4A33B6"/>
    <w:rPr>
      <w:rFonts w:cstheme="majorBidi" w:eastAsiaTheme="majorEastAsia"/>
      <w:color w:val="0f4761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4A33B6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4A33B6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4A33B6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4A33B6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4A33B6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4A33B6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4A33B6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4A33B6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4A33B6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4A33B6"/>
    <w:rPr>
      <w:i w:val="1"/>
      <w:iCs w:val="1"/>
      <w:color w:val="0f476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4A33B6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4A33B6"/>
    <w:rPr>
      <w:i w:val="1"/>
      <w:iCs w:val="1"/>
      <w:color w:val="0f4761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4A33B6"/>
    <w:rPr>
      <w:b w:val="1"/>
      <w:bCs w:val="1"/>
      <w:smallCaps w:val="1"/>
      <w:color w:val="0f4761" w:themeColor="accent1" w:themeShade="0000BF"/>
      <w:spacing w:val="5"/>
    </w:rPr>
  </w:style>
  <w:style w:type="table" w:styleId="TableNormal" w:customStyle="1">
    <w:name w:val="Table Normal"/>
    <w:uiPriority w:val="2"/>
    <w:semiHidden w:val="1"/>
    <w:unhideWhenUsed w:val="1"/>
    <w:qFormat w:val="1"/>
    <w:rsid w:val="004A33B6"/>
    <w:pPr>
      <w:widowControl w:val="0"/>
      <w:autoSpaceDE w:val="0"/>
      <w:autoSpaceDN w:val="0"/>
      <w:spacing w:after="0" w:line="240" w:lineRule="auto"/>
    </w:pPr>
    <w:rPr>
      <w:rFonts w:ascii="Times New Roman" w:cs="Times New Roman" w:eastAsia="Times New Roman" w:hAnsi="Times New Roman"/>
      <w:kern w:val="0"/>
      <w:lang w:eastAsia="es-CO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4A33B6"/>
    <w:pPr>
      <w:widowControl w:val="0"/>
      <w:autoSpaceDE w:val="0"/>
      <w:autoSpaceDN w:val="0"/>
      <w:ind w:left="107"/>
    </w:pPr>
    <w:rPr>
      <w:rFonts w:ascii="Arial" w:cs="Arial" w:eastAsia="Arial" w:hAnsi="Arial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 w:val="1"/>
    <w:rsid w:val="004A33B6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4A33B6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widowControl w:val="0"/>
      <w:spacing w:after="0" w:line="240" w:lineRule="auto"/>
    </w:pPr>
    <w:rPr>
      <w:rFonts w:ascii="Times New Roman" w:cs="Times New Roman" w:eastAsia="Times New Roman" w:hAnsi="Times New Roman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olombiacompra.gov.co/wp-content/uploads/2024/08/manual_para_el_manejo_de_acuerdos_comerciales_vf.pdf" TargetMode="External"/><Relationship Id="rId8" Type="http://schemas.openxmlformats.org/officeDocument/2006/relationships/hyperlink" Target="https://www.colombiacompra.gov.co/wp-content/uploads/2024/08/umbral_de_mipymes_2025_oali.pd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iRSw33MCHIGGwT/IOm3+B5vlOw==">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2025-05-30T14:12:00Z</dcterms:created>
  <dc:creator>Maria Fernanda Gomez Cardona</dc:creator>
</cp:coreProperties>
</file>