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36E90" w14:textId="37FC7145" w:rsidR="003C3584" w:rsidRPr="00075843" w:rsidRDefault="00712B58" w:rsidP="003C3584">
      <w:pPr>
        <w:adjustRightInd w:val="0"/>
        <w:spacing w:after="0" w:line="240" w:lineRule="auto"/>
        <w:jc w:val="center"/>
        <w:rPr>
          <w:rFonts w:asciiTheme="majorHAnsi" w:hAnsiTheme="majorHAnsi" w:cstheme="majorHAnsi"/>
          <w:b/>
          <w:spacing w:val="2"/>
        </w:rPr>
      </w:pPr>
      <w:r w:rsidRPr="00075843">
        <w:rPr>
          <w:rFonts w:asciiTheme="majorHAnsi" w:hAnsiTheme="majorHAnsi" w:cstheme="majorHAnsi"/>
          <w:b/>
          <w:spacing w:val="2"/>
        </w:rPr>
        <w:t>FORMATO</w:t>
      </w:r>
      <w:r w:rsidRPr="00075843">
        <w:rPr>
          <w:rFonts w:asciiTheme="majorHAnsi" w:eastAsia="Times New Roman" w:hAnsiTheme="majorHAnsi" w:cstheme="majorHAnsi"/>
          <w:b/>
          <w:bCs/>
          <w:lang w:eastAsia="es-CO"/>
        </w:rPr>
        <w:t xml:space="preserve"> </w:t>
      </w:r>
      <w:r w:rsidR="00055E70" w:rsidRPr="00075843">
        <w:rPr>
          <w:rFonts w:asciiTheme="majorHAnsi" w:eastAsia="Times New Roman" w:hAnsiTheme="majorHAnsi" w:cstheme="majorHAnsi"/>
          <w:b/>
          <w:bCs/>
          <w:lang w:eastAsia="es-CO"/>
        </w:rPr>
        <w:t xml:space="preserve">OFERTA TÉCNICA </w:t>
      </w:r>
    </w:p>
    <w:p w14:paraId="027558D7" w14:textId="77777777" w:rsidR="003C3584" w:rsidRPr="00075843" w:rsidRDefault="003C3584" w:rsidP="003C3584">
      <w:pPr>
        <w:spacing w:after="0" w:line="240" w:lineRule="auto"/>
        <w:jc w:val="both"/>
        <w:rPr>
          <w:rFonts w:asciiTheme="majorHAnsi" w:hAnsiTheme="majorHAnsi" w:cstheme="majorHAnsi"/>
        </w:rPr>
      </w:pPr>
    </w:p>
    <w:p w14:paraId="7BB1621E" w14:textId="77777777" w:rsidR="00FD2AEB" w:rsidRPr="00075843" w:rsidRDefault="00FD2AEB" w:rsidP="00FD2AEB">
      <w:pPr>
        <w:pStyle w:val="paragraph"/>
        <w:spacing w:before="0" w:beforeAutospacing="0" w:after="0" w:afterAutospacing="0"/>
        <w:textAlignment w:val="baseline"/>
        <w:rPr>
          <w:rStyle w:val="Nmerodepgina"/>
          <w:rFonts w:asciiTheme="majorHAnsi" w:eastAsia="Calibri" w:hAnsiTheme="majorHAnsi" w:cstheme="majorHAnsi"/>
          <w:b/>
          <w:bCs/>
          <w:sz w:val="22"/>
          <w:szCs w:val="22"/>
          <w:lang w:eastAsia="en-US"/>
        </w:rPr>
      </w:pPr>
      <w:bookmarkStart w:id="0" w:name="_Hlk66393993"/>
      <w:r w:rsidRPr="00075843">
        <w:rPr>
          <w:rStyle w:val="Nmerodepgina"/>
          <w:rFonts w:asciiTheme="majorHAnsi" w:eastAsia="Calibri" w:hAnsiTheme="majorHAnsi" w:cstheme="majorHAnsi"/>
          <w:b/>
          <w:bCs/>
          <w:sz w:val="22"/>
          <w:szCs w:val="22"/>
          <w:lang w:eastAsia="en-US"/>
        </w:rPr>
        <w:t>Ciudad y Fecha</w:t>
      </w:r>
    </w:p>
    <w:bookmarkEnd w:id="0"/>
    <w:p w14:paraId="5F0E1368" w14:textId="77777777" w:rsidR="00FD2AEB" w:rsidRPr="00075843" w:rsidRDefault="00FD2AEB" w:rsidP="00FD2AEB">
      <w:pPr>
        <w:pStyle w:val="paragraph"/>
        <w:spacing w:before="0" w:beforeAutospacing="0" w:after="0" w:afterAutospacing="0"/>
        <w:textAlignment w:val="baseline"/>
        <w:rPr>
          <w:rStyle w:val="normaltextrun"/>
          <w:rFonts w:asciiTheme="majorHAnsi" w:hAnsiTheme="majorHAnsi" w:cstheme="majorHAnsi"/>
          <w:b/>
          <w:bCs/>
          <w:sz w:val="22"/>
          <w:szCs w:val="22"/>
          <w:lang w:val="es-ES"/>
        </w:rPr>
      </w:pPr>
    </w:p>
    <w:p w14:paraId="65869729"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Señores </w:t>
      </w:r>
      <w:r w:rsidRPr="00075843">
        <w:rPr>
          <w:rStyle w:val="bcx0"/>
          <w:rFonts w:asciiTheme="majorHAnsi" w:eastAsia="Calibri" w:hAnsiTheme="majorHAnsi" w:cstheme="majorHAnsi"/>
          <w:sz w:val="22"/>
          <w:szCs w:val="22"/>
        </w:rPr>
        <w:t> </w:t>
      </w:r>
      <w:r w:rsidRPr="00075843">
        <w:rPr>
          <w:rFonts w:asciiTheme="majorHAnsi" w:hAnsiTheme="majorHAnsi" w:cstheme="majorHAnsi"/>
          <w:sz w:val="22"/>
          <w:szCs w:val="22"/>
        </w:rPr>
        <w:br/>
      </w:r>
      <w:r w:rsidRPr="00075843">
        <w:rPr>
          <w:rStyle w:val="normaltextrun"/>
          <w:rFonts w:asciiTheme="majorHAnsi" w:hAnsiTheme="majorHAnsi" w:cstheme="majorHAnsi"/>
          <w:b/>
          <w:bCs/>
          <w:sz w:val="22"/>
          <w:szCs w:val="22"/>
          <w:lang w:val="es-ES"/>
        </w:rPr>
        <w:t>Servicio Nacional de Aprendizaje – SENA</w:t>
      </w:r>
      <w:r w:rsidRPr="00075843">
        <w:rPr>
          <w:rStyle w:val="normaltextrun"/>
          <w:rFonts w:asciiTheme="majorHAnsi" w:hAnsiTheme="majorHAnsi" w:cstheme="majorHAnsi"/>
          <w:sz w:val="22"/>
          <w:szCs w:val="22"/>
          <w:lang w:val="es-ES"/>
        </w:rPr>
        <w:t> </w:t>
      </w:r>
      <w:r w:rsidRPr="00075843">
        <w:rPr>
          <w:rStyle w:val="eop"/>
          <w:rFonts w:asciiTheme="majorHAnsi" w:hAnsiTheme="majorHAnsi" w:cstheme="majorHAnsi"/>
          <w:sz w:val="22"/>
          <w:szCs w:val="22"/>
        </w:rPr>
        <w:t> </w:t>
      </w:r>
    </w:p>
    <w:p w14:paraId="7761E7AB"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Ciudad.</w:t>
      </w:r>
      <w:r w:rsidRPr="00075843">
        <w:rPr>
          <w:rStyle w:val="eop"/>
          <w:rFonts w:asciiTheme="majorHAnsi" w:hAnsiTheme="majorHAnsi" w:cstheme="majorHAnsi"/>
          <w:sz w:val="22"/>
          <w:szCs w:val="22"/>
        </w:rPr>
        <w:t> </w:t>
      </w:r>
    </w:p>
    <w:p w14:paraId="561AB473" w14:textId="77777777" w:rsidR="005859E2" w:rsidRPr="00075843" w:rsidRDefault="005859E2" w:rsidP="005859E2">
      <w:pPr>
        <w:pStyle w:val="paragraph"/>
        <w:spacing w:before="0" w:beforeAutospacing="0" w:after="0" w:afterAutospacing="0"/>
        <w:jc w:val="both"/>
        <w:textAlignment w:val="baseline"/>
        <w:rPr>
          <w:rStyle w:val="eop"/>
          <w:rFonts w:asciiTheme="majorHAnsi" w:hAnsiTheme="majorHAnsi" w:cstheme="majorHAnsi"/>
          <w:sz w:val="22"/>
          <w:szCs w:val="22"/>
        </w:rPr>
      </w:pPr>
    </w:p>
    <w:p w14:paraId="7D19C0F3" w14:textId="296A2FA8" w:rsidR="00B7739F" w:rsidRPr="00075843" w:rsidRDefault="00B7739F" w:rsidP="00B7739F">
      <w:pPr>
        <w:pStyle w:val="paragraph"/>
        <w:textAlignment w:val="baseline"/>
        <w:rPr>
          <w:rFonts w:asciiTheme="majorHAnsi" w:hAnsiTheme="majorHAnsi" w:cstheme="majorHAnsi"/>
          <w:b/>
          <w:bCs/>
          <w:sz w:val="22"/>
          <w:szCs w:val="22"/>
          <w:u w:val="single"/>
        </w:rPr>
      </w:pPr>
      <w:r w:rsidRPr="00075843">
        <w:rPr>
          <w:rFonts w:asciiTheme="majorHAnsi" w:hAnsiTheme="majorHAnsi" w:cstheme="majorHAnsi"/>
          <w:b/>
          <w:bCs/>
          <w:sz w:val="22"/>
          <w:szCs w:val="22"/>
        </w:rPr>
        <w:t>REFERENCIA:</w:t>
      </w:r>
      <w:r w:rsidRPr="00075843">
        <w:rPr>
          <w:rFonts w:asciiTheme="majorHAnsi" w:hAnsiTheme="majorHAnsi" w:cstheme="majorHAnsi"/>
          <w:b/>
          <w:bCs/>
          <w:sz w:val="22"/>
          <w:szCs w:val="22"/>
        </w:rPr>
        <w:tab/>
      </w:r>
      <w:r w:rsidRPr="00075843">
        <w:rPr>
          <w:rFonts w:asciiTheme="majorHAnsi" w:hAnsiTheme="majorHAnsi" w:cstheme="majorHAnsi"/>
          <w:sz w:val="22"/>
          <w:szCs w:val="22"/>
        </w:rPr>
        <w:t>Proceso de contratación nro.</w:t>
      </w:r>
      <w:r w:rsidRPr="00075843">
        <w:rPr>
          <w:rFonts w:asciiTheme="majorHAnsi" w:hAnsiTheme="majorHAnsi" w:cstheme="majorHAnsi"/>
          <w:b/>
          <w:bCs/>
          <w:sz w:val="22"/>
          <w:szCs w:val="22"/>
        </w:rPr>
        <w:t xml:space="preserve"> </w:t>
      </w:r>
      <w:r w:rsidR="000163DF">
        <w:rPr>
          <w:rFonts w:asciiTheme="majorHAnsi" w:hAnsiTheme="majorHAnsi" w:cstheme="majorHAnsi"/>
          <w:b/>
          <w:bCs/>
          <w:sz w:val="22"/>
          <w:szCs w:val="22"/>
        </w:rPr>
        <w:t>MC</w:t>
      </w:r>
      <w:r w:rsidRPr="00075843">
        <w:rPr>
          <w:rFonts w:asciiTheme="majorHAnsi" w:hAnsiTheme="majorHAnsi" w:cstheme="majorHAnsi"/>
          <w:b/>
          <w:bCs/>
          <w:sz w:val="22"/>
          <w:szCs w:val="22"/>
        </w:rPr>
        <w:t>-HIL-CIES-</w:t>
      </w:r>
      <w:r w:rsidR="004751F8" w:rsidRPr="00075843">
        <w:rPr>
          <w:rFonts w:asciiTheme="majorHAnsi" w:hAnsiTheme="majorHAnsi" w:cstheme="majorHAnsi"/>
          <w:b/>
          <w:bCs/>
          <w:sz w:val="22"/>
          <w:szCs w:val="22"/>
        </w:rPr>
        <w:t>0</w:t>
      </w:r>
      <w:r w:rsidR="00075843">
        <w:rPr>
          <w:rFonts w:asciiTheme="majorHAnsi" w:hAnsiTheme="majorHAnsi" w:cstheme="majorHAnsi"/>
          <w:b/>
          <w:bCs/>
          <w:sz w:val="22"/>
          <w:szCs w:val="22"/>
        </w:rPr>
        <w:t>0</w:t>
      </w:r>
      <w:r w:rsidR="00CA5F8A">
        <w:rPr>
          <w:rFonts w:asciiTheme="majorHAnsi" w:hAnsiTheme="majorHAnsi" w:cstheme="majorHAnsi"/>
          <w:b/>
          <w:bCs/>
          <w:sz w:val="22"/>
          <w:szCs w:val="22"/>
        </w:rPr>
        <w:t>5</w:t>
      </w:r>
      <w:r w:rsidRPr="00075843">
        <w:rPr>
          <w:rFonts w:asciiTheme="majorHAnsi" w:hAnsiTheme="majorHAnsi" w:cstheme="majorHAnsi"/>
          <w:b/>
          <w:bCs/>
          <w:sz w:val="22"/>
          <w:szCs w:val="22"/>
        </w:rPr>
        <w:t>-202</w:t>
      </w:r>
      <w:r w:rsidR="000163DF">
        <w:rPr>
          <w:rFonts w:asciiTheme="majorHAnsi" w:hAnsiTheme="majorHAnsi" w:cstheme="majorHAnsi"/>
          <w:b/>
          <w:bCs/>
          <w:sz w:val="22"/>
          <w:szCs w:val="22"/>
        </w:rPr>
        <w:t>6</w:t>
      </w:r>
    </w:p>
    <w:p w14:paraId="2A60C5B8" w14:textId="60B90140" w:rsidR="005F7800" w:rsidRPr="00075843" w:rsidRDefault="00B7739F" w:rsidP="003B21E1">
      <w:pPr>
        <w:pStyle w:val="paragraph"/>
        <w:jc w:val="both"/>
        <w:textAlignment w:val="baseline"/>
        <w:rPr>
          <w:rStyle w:val="normaltextrun"/>
          <w:rFonts w:asciiTheme="majorHAnsi" w:hAnsiTheme="majorHAnsi" w:cstheme="majorHAnsi"/>
          <w:b/>
          <w:bCs/>
          <w:sz w:val="22"/>
          <w:szCs w:val="22"/>
        </w:rPr>
      </w:pPr>
      <w:r w:rsidRPr="00075843">
        <w:rPr>
          <w:rFonts w:asciiTheme="majorHAnsi" w:hAnsiTheme="majorHAnsi" w:cstheme="majorHAnsi"/>
          <w:b/>
          <w:bCs/>
          <w:sz w:val="22"/>
          <w:szCs w:val="22"/>
        </w:rPr>
        <w:t xml:space="preserve">OBJETO: </w:t>
      </w:r>
      <w:r w:rsidR="00CA5F8A" w:rsidRPr="00CA5F8A">
        <w:rPr>
          <w:rFonts w:asciiTheme="majorHAnsi" w:hAnsiTheme="majorHAnsi" w:cstheme="majorHAnsi"/>
          <w:sz w:val="22"/>
          <w:szCs w:val="22"/>
        </w:rPr>
        <w:t>41_9527_335 Entregar a título de compraventa materiales de formación requeridos para el desarrollo de actividades formativas en el área de Biotecnología, incluyendo material de referencia certificado (MRC) para dureza y materiales pedagógicos, con el fin de fortalecer las prácticas de laboratorio y los procesos de formación del Centro de la Industria, la Empresa y los Servicios de la Regional Huila.</w:t>
      </w:r>
    </w:p>
    <w:p w14:paraId="61E42C49" w14:textId="2B802CF9" w:rsidR="00617FEA" w:rsidRPr="00617FEA" w:rsidRDefault="00617FEA" w:rsidP="00617FEA">
      <w:pPr>
        <w:spacing w:after="0" w:line="240" w:lineRule="auto"/>
        <w:jc w:val="both"/>
        <w:rPr>
          <w:rFonts w:asciiTheme="majorHAnsi" w:eastAsia="Times New Roman" w:hAnsiTheme="majorHAnsi" w:cstheme="majorHAnsi"/>
          <w:lang w:val="es-ES" w:eastAsia="es-ES"/>
        </w:rPr>
      </w:pPr>
      <w:r w:rsidRPr="00617FEA">
        <w:rPr>
          <w:rFonts w:asciiTheme="majorHAnsi" w:eastAsia="Times New Roman" w:hAnsiTheme="majorHAnsi" w:cstheme="majorHAnsi"/>
          <w:lang w:val="es-ES" w:eastAsia="es-ES"/>
        </w:rPr>
        <w:t xml:space="preserve">Ofrezco al SENA el cumplimiento de las especificaciones técnicas establecidas en el Estudio </w:t>
      </w:r>
      <w:r w:rsidR="003A3448" w:rsidRPr="00617FEA">
        <w:rPr>
          <w:rFonts w:asciiTheme="majorHAnsi" w:eastAsia="Times New Roman" w:hAnsiTheme="majorHAnsi" w:cstheme="majorHAnsi"/>
          <w:lang w:val="es-ES" w:eastAsia="es-ES"/>
        </w:rPr>
        <w:t xml:space="preserve">Previo </w:t>
      </w:r>
      <w:r w:rsidR="003A3448">
        <w:rPr>
          <w:rFonts w:asciiTheme="majorHAnsi" w:eastAsia="Times New Roman" w:hAnsiTheme="majorHAnsi" w:cstheme="majorHAnsi"/>
          <w:lang w:val="es-ES" w:eastAsia="es-ES"/>
        </w:rPr>
        <w:t>y</w:t>
      </w:r>
      <w:r>
        <w:rPr>
          <w:rFonts w:asciiTheme="majorHAnsi" w:eastAsia="Times New Roman" w:hAnsiTheme="majorHAnsi" w:cstheme="majorHAnsi"/>
          <w:lang w:val="es-ES" w:eastAsia="es-ES"/>
        </w:rPr>
        <w:t xml:space="preserve"> la ficha técnica </w:t>
      </w:r>
      <w:r w:rsidRPr="00617FEA">
        <w:rPr>
          <w:rFonts w:asciiTheme="majorHAnsi" w:eastAsia="Times New Roman" w:hAnsiTheme="majorHAnsi" w:cstheme="majorHAnsi"/>
          <w:lang w:val="es-ES" w:eastAsia="es-ES"/>
        </w:rPr>
        <w:t>del proceso. En tal sentido, me comprometo a suministrar los siguientes elementos con excelente calidad, conforme a la descripción y características técnicas requeridas, así:</w:t>
      </w:r>
    </w:p>
    <w:p w14:paraId="0983D413" w14:textId="77777777" w:rsidR="00617FEA" w:rsidRPr="00617FEA" w:rsidRDefault="00617FEA" w:rsidP="00617FEA">
      <w:pPr>
        <w:spacing w:after="0" w:line="240" w:lineRule="auto"/>
        <w:jc w:val="both"/>
        <w:rPr>
          <w:rFonts w:asciiTheme="majorHAnsi" w:eastAsia="Times New Roman" w:hAnsiTheme="majorHAnsi" w:cstheme="majorHAnsi"/>
          <w:lang w:val="es-ES" w:eastAsia="es-ES"/>
        </w:rPr>
      </w:pPr>
    </w:p>
    <w:p w14:paraId="712870BD" w14:textId="49482D67" w:rsidR="00075843" w:rsidRDefault="00617FEA" w:rsidP="00617FEA">
      <w:pPr>
        <w:spacing w:after="0" w:line="240" w:lineRule="auto"/>
        <w:jc w:val="both"/>
        <w:rPr>
          <w:rFonts w:asciiTheme="majorHAnsi" w:eastAsia="Times New Roman" w:hAnsiTheme="majorHAnsi" w:cstheme="majorHAnsi"/>
          <w:i/>
          <w:iCs/>
          <w:color w:val="EE0000"/>
          <w:sz w:val="20"/>
          <w:szCs w:val="20"/>
          <w:lang w:val="es-ES" w:eastAsia="es-ES"/>
        </w:rPr>
      </w:pPr>
      <w:r w:rsidRPr="00045254">
        <w:rPr>
          <w:rFonts w:asciiTheme="majorHAnsi" w:eastAsia="Times New Roman" w:hAnsiTheme="majorHAnsi" w:cstheme="majorHAnsi"/>
          <w:i/>
          <w:iCs/>
          <w:color w:val="EE0000"/>
          <w:sz w:val="20"/>
          <w:szCs w:val="20"/>
          <w:lang w:val="es-ES" w:eastAsia="es-ES"/>
        </w:rPr>
        <w:t>*En los casos en que no aplique indicar marca y referencia, se deberá anexar imagen o ilustración detallada de los productos ofertados, que permita su plena identificación y verificación por parte de la Entidad.</w:t>
      </w:r>
    </w:p>
    <w:p w14:paraId="0E7D48B3" w14:textId="77777777" w:rsidR="00CA5F8A" w:rsidRDefault="00CA5F8A" w:rsidP="00617FEA">
      <w:pPr>
        <w:spacing w:after="0" w:line="240" w:lineRule="auto"/>
        <w:jc w:val="both"/>
        <w:rPr>
          <w:rFonts w:asciiTheme="majorHAnsi" w:eastAsia="Times New Roman" w:hAnsiTheme="majorHAnsi" w:cstheme="majorHAnsi"/>
          <w:i/>
          <w:iCs/>
          <w:color w:val="EE0000"/>
          <w:sz w:val="20"/>
          <w:szCs w:val="20"/>
          <w:lang w:val="es-ES" w:eastAsia="es-ES"/>
        </w:rPr>
      </w:pPr>
    </w:p>
    <w:p w14:paraId="0F3C491A" w14:textId="3942A087" w:rsidR="00716FA0" w:rsidRDefault="00716FA0" w:rsidP="00617FEA">
      <w:pPr>
        <w:spacing w:after="0" w:line="240" w:lineRule="auto"/>
        <w:jc w:val="both"/>
        <w:rPr>
          <w:rFonts w:asciiTheme="majorHAnsi" w:eastAsia="Times New Roman" w:hAnsiTheme="majorHAnsi" w:cstheme="majorHAnsi"/>
          <w:b/>
          <w:bCs/>
          <w:i/>
          <w:iCs/>
          <w:sz w:val="20"/>
          <w:szCs w:val="20"/>
          <w:lang w:val="es-ES" w:eastAsia="es-ES"/>
        </w:rPr>
      </w:pPr>
      <w:r w:rsidRPr="00716FA0">
        <w:rPr>
          <w:rFonts w:asciiTheme="majorHAnsi" w:eastAsia="Times New Roman" w:hAnsiTheme="majorHAnsi" w:cstheme="majorHAnsi"/>
          <w:b/>
          <w:bCs/>
          <w:i/>
          <w:iCs/>
          <w:sz w:val="20"/>
          <w:szCs w:val="20"/>
          <w:lang w:val="es-ES" w:eastAsia="es-ES"/>
        </w:rPr>
        <w:t>LOTE 1:</w:t>
      </w:r>
    </w:p>
    <w:p w14:paraId="62A94A25" w14:textId="77777777" w:rsidR="00716FA0" w:rsidRDefault="00716FA0" w:rsidP="00617FEA">
      <w:pPr>
        <w:spacing w:after="0" w:line="240" w:lineRule="auto"/>
        <w:jc w:val="both"/>
        <w:rPr>
          <w:rFonts w:asciiTheme="majorHAnsi" w:eastAsia="Times New Roman" w:hAnsiTheme="majorHAnsi" w:cstheme="majorHAnsi"/>
          <w:b/>
          <w:bCs/>
          <w:i/>
          <w:iCs/>
          <w:sz w:val="20"/>
          <w:szCs w:val="20"/>
          <w:lang w:val="es-ES" w:eastAsia="es-ES"/>
        </w:rPr>
      </w:pPr>
    </w:p>
    <w:tbl>
      <w:tblPr>
        <w:tblStyle w:val="Tablaconcuadrcula"/>
        <w:tblW w:w="0" w:type="auto"/>
        <w:tblLook w:val="04A0" w:firstRow="1" w:lastRow="0" w:firstColumn="1" w:lastColumn="0" w:noHBand="0" w:noVBand="1"/>
      </w:tblPr>
      <w:tblGrid>
        <w:gridCol w:w="684"/>
        <w:gridCol w:w="1109"/>
        <w:gridCol w:w="2497"/>
        <w:gridCol w:w="1189"/>
        <w:gridCol w:w="1066"/>
        <w:gridCol w:w="943"/>
        <w:gridCol w:w="1340"/>
      </w:tblGrid>
      <w:tr w:rsidR="004A3D27" w14:paraId="53FF7A97" w14:textId="77777777" w:rsidTr="004A3D27">
        <w:tc>
          <w:tcPr>
            <w:tcW w:w="676" w:type="dxa"/>
            <w:shd w:val="clear" w:color="auto" w:fill="BFBFBF" w:themeFill="background1" w:themeFillShade="BF"/>
          </w:tcPr>
          <w:p w14:paraId="0597CDCD" w14:textId="410E4E37" w:rsidR="00D761CD" w:rsidRPr="004A3D27"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4A3D27">
              <w:rPr>
                <w:b/>
                <w:bCs/>
              </w:rPr>
              <w:t>ITEM</w:t>
            </w:r>
          </w:p>
        </w:tc>
        <w:tc>
          <w:tcPr>
            <w:tcW w:w="1109" w:type="dxa"/>
            <w:shd w:val="clear" w:color="auto" w:fill="BFBFBF" w:themeFill="background1" w:themeFillShade="BF"/>
          </w:tcPr>
          <w:p w14:paraId="2BBEF7AF" w14:textId="5CDB7636" w:rsidR="00D761CD" w:rsidRPr="004A3D27"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4A3D27">
              <w:rPr>
                <w:b/>
                <w:bCs/>
              </w:rPr>
              <w:t>CODIGO UNSPSC</w:t>
            </w:r>
          </w:p>
        </w:tc>
        <w:tc>
          <w:tcPr>
            <w:tcW w:w="2497" w:type="dxa"/>
            <w:shd w:val="clear" w:color="auto" w:fill="BFBFBF" w:themeFill="background1" w:themeFillShade="BF"/>
          </w:tcPr>
          <w:p w14:paraId="5830AF9E" w14:textId="6A52D479" w:rsidR="00D761CD" w:rsidRPr="004A3D27"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4A3D27">
              <w:rPr>
                <w:b/>
                <w:bCs/>
              </w:rPr>
              <w:t>ESPECIFICACIONES TÉCNICAS DE LOS BIENES O SERVICIOS REQUERIDOS</w:t>
            </w:r>
          </w:p>
        </w:tc>
        <w:tc>
          <w:tcPr>
            <w:tcW w:w="1164" w:type="dxa"/>
            <w:shd w:val="clear" w:color="auto" w:fill="BFBFBF" w:themeFill="background1" w:themeFillShade="BF"/>
          </w:tcPr>
          <w:p w14:paraId="5ECE1F55" w14:textId="06AE2484" w:rsidR="00D761CD" w:rsidRPr="004A3D27"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4A3D27">
              <w:rPr>
                <w:b/>
                <w:bCs/>
              </w:rPr>
              <w:t>CANTIDAD</w:t>
            </w:r>
          </w:p>
        </w:tc>
        <w:tc>
          <w:tcPr>
            <w:tcW w:w="1105" w:type="dxa"/>
            <w:shd w:val="clear" w:color="auto" w:fill="BFBFBF" w:themeFill="background1" w:themeFillShade="BF"/>
          </w:tcPr>
          <w:p w14:paraId="2494DF0A" w14:textId="61BB8769" w:rsidR="00D761CD" w:rsidRPr="004A3D27"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4A3D27">
              <w:rPr>
                <w:b/>
                <w:bCs/>
              </w:rPr>
              <w:t>UNIDAD DE MEDIDA</w:t>
            </w:r>
          </w:p>
        </w:tc>
        <w:tc>
          <w:tcPr>
            <w:tcW w:w="956" w:type="dxa"/>
            <w:shd w:val="clear" w:color="auto" w:fill="BFBFBF" w:themeFill="background1" w:themeFillShade="BF"/>
          </w:tcPr>
          <w:p w14:paraId="7E3D5054" w14:textId="7246AE78" w:rsidR="00D761CD" w:rsidRPr="004A3D27"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4A3D27">
              <w:rPr>
                <w:b/>
                <w:bCs/>
              </w:rPr>
              <w:t>MARCA</w:t>
            </w:r>
          </w:p>
        </w:tc>
        <w:tc>
          <w:tcPr>
            <w:tcW w:w="1321" w:type="dxa"/>
            <w:shd w:val="clear" w:color="auto" w:fill="BFBFBF" w:themeFill="background1" w:themeFillShade="BF"/>
          </w:tcPr>
          <w:p w14:paraId="113FB495" w14:textId="1CA01DF1" w:rsidR="00D761CD" w:rsidRPr="004A3D27"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4A3D27">
              <w:rPr>
                <w:b/>
                <w:bCs/>
              </w:rPr>
              <w:t>REFERENCIA</w:t>
            </w:r>
          </w:p>
        </w:tc>
      </w:tr>
      <w:tr w:rsidR="00D761CD" w14:paraId="577B9467" w14:textId="77777777" w:rsidTr="00D761CD">
        <w:tc>
          <w:tcPr>
            <w:tcW w:w="676" w:type="dxa"/>
          </w:tcPr>
          <w:p w14:paraId="0B0ED11E" w14:textId="5ADE111C"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0143B6">
              <w:t>1</w:t>
            </w:r>
          </w:p>
        </w:tc>
        <w:tc>
          <w:tcPr>
            <w:tcW w:w="1109" w:type="dxa"/>
          </w:tcPr>
          <w:p w14:paraId="527932B4" w14:textId="47235CE2"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F61776">
              <w:t>10171504</w:t>
            </w:r>
          </w:p>
        </w:tc>
        <w:tc>
          <w:tcPr>
            <w:tcW w:w="2497" w:type="dxa"/>
          </w:tcPr>
          <w:p w14:paraId="0E9B162F" w14:textId="088FA343"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E94709">
              <w:t xml:space="preserve">Fibra de coco molida: sustrato orgánico de origen vegetal obtenido del procesamiento y molienda del mesocarpio del fruto del coco (Cocos </w:t>
            </w:r>
            <w:proofErr w:type="spellStart"/>
            <w:r w:rsidRPr="00E94709">
              <w:t>nucifera</w:t>
            </w:r>
            <w:proofErr w:type="spellEnd"/>
            <w:r w:rsidRPr="00E94709">
              <w:t xml:space="preserve">). Especificaciones técnicas mínimas requeridas: textura fina; color marrón claro a oscuro; humedad baja a media; pH en rango aproximado de 5,5 a 6,8; alta capacidad de </w:t>
            </w:r>
            <w:r w:rsidRPr="00E94709">
              <w:lastRenderedPageBreak/>
              <w:t>retención de humedad; elevada porosidad y buena aireación; material homogéneo, sin presencia de residuos inertes, semillas, patógenos ni materiales extraños. Presentación: bulto sellado con contenido de 100 litros.</w:t>
            </w:r>
          </w:p>
        </w:tc>
        <w:tc>
          <w:tcPr>
            <w:tcW w:w="1164" w:type="dxa"/>
          </w:tcPr>
          <w:p w14:paraId="6EAEC70A" w14:textId="0F6B79D1"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2</w:t>
            </w:r>
          </w:p>
        </w:tc>
        <w:tc>
          <w:tcPr>
            <w:tcW w:w="1105" w:type="dxa"/>
          </w:tcPr>
          <w:p w14:paraId="4216ACCA" w14:textId="166EAC15"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A16E16">
              <w:t>Bulto</w:t>
            </w:r>
          </w:p>
        </w:tc>
        <w:tc>
          <w:tcPr>
            <w:tcW w:w="956" w:type="dxa"/>
          </w:tcPr>
          <w:p w14:paraId="7AEF996C" w14:textId="77777777"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54DDAE7B" w14:textId="77777777"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p>
        </w:tc>
      </w:tr>
      <w:tr w:rsidR="00D761CD" w14:paraId="028F5799" w14:textId="77777777" w:rsidTr="00D761CD">
        <w:tc>
          <w:tcPr>
            <w:tcW w:w="676" w:type="dxa"/>
          </w:tcPr>
          <w:p w14:paraId="3AF90697" w14:textId="14435350"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0143B6">
              <w:t>2</w:t>
            </w:r>
          </w:p>
        </w:tc>
        <w:tc>
          <w:tcPr>
            <w:tcW w:w="1109" w:type="dxa"/>
          </w:tcPr>
          <w:p w14:paraId="7E7E9A28" w14:textId="32AF1242"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F61776">
              <w:t>10171801</w:t>
            </w:r>
          </w:p>
        </w:tc>
        <w:tc>
          <w:tcPr>
            <w:tcW w:w="2497" w:type="dxa"/>
          </w:tcPr>
          <w:p w14:paraId="59ECDF6D" w14:textId="0976ECE0"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E94709">
              <w:t>Perlita expandida de uso agrícola: Especificaciones técnicas mínimas requeridas: granulometría media (aproximadamente 3 a 4 mm); color blanco a gris claro; pH neutro a ligeramente alcalino (6,5 – 7,5); baja densidad aparente; alta porosidad; excelente capacidad de aireación y drenaje; material libre de impurezas, contaminantes y materia orgánica. Presentación: bulto sellado con capacidad de 100 litros.</w:t>
            </w:r>
          </w:p>
        </w:tc>
        <w:tc>
          <w:tcPr>
            <w:tcW w:w="1164" w:type="dxa"/>
          </w:tcPr>
          <w:p w14:paraId="6F442BD7" w14:textId="292CFD10"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AB0723">
              <w:t>1</w:t>
            </w:r>
          </w:p>
        </w:tc>
        <w:tc>
          <w:tcPr>
            <w:tcW w:w="1105" w:type="dxa"/>
          </w:tcPr>
          <w:p w14:paraId="2552CFBE" w14:textId="2ECC68E3"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A16E16">
              <w:t xml:space="preserve">Bulto </w:t>
            </w:r>
          </w:p>
        </w:tc>
        <w:tc>
          <w:tcPr>
            <w:tcW w:w="956" w:type="dxa"/>
          </w:tcPr>
          <w:p w14:paraId="74F87094" w14:textId="77777777"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7A03E5AF" w14:textId="77777777"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p>
        </w:tc>
      </w:tr>
      <w:tr w:rsidR="00D761CD" w14:paraId="7DEBDF8D" w14:textId="77777777" w:rsidTr="00D761CD">
        <w:tc>
          <w:tcPr>
            <w:tcW w:w="676" w:type="dxa"/>
          </w:tcPr>
          <w:p w14:paraId="50204726" w14:textId="75DFEC5E"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0143B6">
              <w:t>3</w:t>
            </w:r>
          </w:p>
        </w:tc>
        <w:tc>
          <w:tcPr>
            <w:tcW w:w="1109" w:type="dxa"/>
          </w:tcPr>
          <w:p w14:paraId="015649FD" w14:textId="015C44BF"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F61776">
              <w:t>10171802</w:t>
            </w:r>
          </w:p>
        </w:tc>
        <w:tc>
          <w:tcPr>
            <w:tcW w:w="2497" w:type="dxa"/>
          </w:tcPr>
          <w:p w14:paraId="66611678" w14:textId="326A154F"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proofErr w:type="spellStart"/>
            <w:r w:rsidRPr="00E94709">
              <w:t>Hidroretenedor</w:t>
            </w:r>
            <w:proofErr w:type="spellEnd"/>
            <w:r w:rsidRPr="00E94709">
              <w:t xml:space="preserve"> agrícola: insumo granular de alta capacidad de absorción y retención de agua. Especificaciones técnicas mínimas requeridas: polímero superabsorbente a base de poliacrilato de potasio; presentación granular; pH neutro (aprox. 6,0 – 7,5); estabilidad en el suelo por varios ciclos de hidratación y </w:t>
            </w:r>
            <w:r w:rsidRPr="00E94709">
              <w:lastRenderedPageBreak/>
              <w:t>deshidratación; libre de impurezas y contaminantes. Presentación: empaque (bolsa de 1 kg) sellado con rotulado técnico que indique composición, lote y fecha de fabricación.</w:t>
            </w:r>
          </w:p>
        </w:tc>
        <w:tc>
          <w:tcPr>
            <w:tcW w:w="1164" w:type="dxa"/>
          </w:tcPr>
          <w:p w14:paraId="35A7F634" w14:textId="3DF51E80"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2</w:t>
            </w:r>
          </w:p>
        </w:tc>
        <w:tc>
          <w:tcPr>
            <w:tcW w:w="1105" w:type="dxa"/>
          </w:tcPr>
          <w:p w14:paraId="079CEA75" w14:textId="72E09C56"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A16E16">
              <w:t>Kg</w:t>
            </w:r>
          </w:p>
        </w:tc>
        <w:tc>
          <w:tcPr>
            <w:tcW w:w="956" w:type="dxa"/>
          </w:tcPr>
          <w:p w14:paraId="29DB3B82" w14:textId="77777777"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5A86BC1F" w14:textId="77777777"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p>
        </w:tc>
      </w:tr>
      <w:tr w:rsidR="00D761CD" w14:paraId="5827CD6C" w14:textId="77777777" w:rsidTr="00D761CD">
        <w:tc>
          <w:tcPr>
            <w:tcW w:w="676" w:type="dxa"/>
          </w:tcPr>
          <w:p w14:paraId="5CEC32CF" w14:textId="2A7BB6DB"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0143B6">
              <w:t>4</w:t>
            </w:r>
          </w:p>
        </w:tc>
        <w:tc>
          <w:tcPr>
            <w:tcW w:w="1109" w:type="dxa"/>
          </w:tcPr>
          <w:p w14:paraId="6C662283" w14:textId="4BC613E6"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F61776">
              <w:t>10171506</w:t>
            </w:r>
          </w:p>
        </w:tc>
        <w:tc>
          <w:tcPr>
            <w:tcW w:w="2497" w:type="dxa"/>
          </w:tcPr>
          <w:p w14:paraId="2546EA56" w14:textId="2AC03990"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E94709">
              <w:t>Humus de lombriz sólido: abono orgánico obtenido mediante el proceso de descomposición y transformación biológica de materia orgánica por acción de lombrices (</w:t>
            </w:r>
            <w:proofErr w:type="spellStart"/>
            <w:r w:rsidRPr="00E94709">
              <w:t>vermicompostaje</w:t>
            </w:r>
            <w:proofErr w:type="spellEnd"/>
            <w:r w:rsidRPr="00E94709">
              <w:t>). Especificaciones técnicas mínimas requeridas: textura fina y homogénea; color marrón oscuro a negro; humedad media (30 % – 40 % aprox.); pH neutro a ligeramente alcalino (6,5 – 7,5); alto contenido de materia orgánica y nutrientes esenciales (N, P, K); presencia de microorganismos benéficos; libre de semillas viables, patógenos, residuos inertes o contaminantes. Presentación: bulto sellado (50 kg), debidamente rotulado con información de lote, fecha de producción y condiciones de almacenamiento.</w:t>
            </w:r>
          </w:p>
        </w:tc>
        <w:tc>
          <w:tcPr>
            <w:tcW w:w="1164" w:type="dxa"/>
          </w:tcPr>
          <w:p w14:paraId="2C98AAB4" w14:textId="7F9FE1DC"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AB0723">
              <w:t>2</w:t>
            </w:r>
          </w:p>
        </w:tc>
        <w:tc>
          <w:tcPr>
            <w:tcW w:w="1105" w:type="dxa"/>
          </w:tcPr>
          <w:p w14:paraId="77D97D79" w14:textId="2DDA8136"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6DAF9319" w14:textId="77777777"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03AB27F0" w14:textId="77777777" w:rsidR="00D761CD" w:rsidRDefault="00D761CD" w:rsidP="00D761CD">
            <w:pPr>
              <w:spacing w:after="0" w:line="240" w:lineRule="auto"/>
              <w:jc w:val="both"/>
              <w:rPr>
                <w:rFonts w:asciiTheme="majorHAnsi" w:eastAsia="Times New Roman" w:hAnsiTheme="majorHAnsi" w:cstheme="majorHAnsi"/>
                <w:b/>
                <w:bCs/>
                <w:i/>
                <w:iCs/>
                <w:sz w:val="20"/>
                <w:szCs w:val="20"/>
                <w:lang w:val="es-ES" w:eastAsia="es-ES"/>
              </w:rPr>
            </w:pPr>
          </w:p>
        </w:tc>
      </w:tr>
      <w:tr w:rsidR="001C596F" w14:paraId="618EED94" w14:textId="77777777" w:rsidTr="00D761CD">
        <w:tc>
          <w:tcPr>
            <w:tcW w:w="676" w:type="dxa"/>
          </w:tcPr>
          <w:p w14:paraId="0A007AA9" w14:textId="6722A7D4"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5</w:t>
            </w:r>
          </w:p>
        </w:tc>
        <w:tc>
          <w:tcPr>
            <w:tcW w:w="1109" w:type="dxa"/>
          </w:tcPr>
          <w:p w14:paraId="4F6E5160" w14:textId="08F64776"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41116105</w:t>
            </w:r>
          </w:p>
        </w:tc>
        <w:tc>
          <w:tcPr>
            <w:tcW w:w="2497" w:type="dxa"/>
          </w:tcPr>
          <w:p w14:paraId="16C08446" w14:textId="77777777" w:rsidR="001C596F" w:rsidRDefault="001C596F" w:rsidP="001C596F">
            <w:pPr>
              <w:spacing w:after="0" w:line="240" w:lineRule="auto"/>
              <w:jc w:val="both"/>
            </w:pPr>
            <w:r>
              <w:t xml:space="preserve">Kit de prueba profesional para agricultura: para suelos para medir el pH y los </w:t>
            </w:r>
            <w:proofErr w:type="spellStart"/>
            <w:r>
              <w:t>mas</w:t>
            </w:r>
            <w:proofErr w:type="spellEnd"/>
            <w:r>
              <w:t xml:space="preserve"> importantes </w:t>
            </w:r>
            <w:r>
              <w:lastRenderedPageBreak/>
              <w:t>elementos para el crecimiento de las plantas, que son, el Nitrógeno (N), Fósforo (P) y el potasio (K).</w:t>
            </w:r>
          </w:p>
          <w:p w14:paraId="5634C19D" w14:textId="729F2F78"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t xml:space="preserve">Mide </w:t>
            </w:r>
            <w:proofErr w:type="spellStart"/>
            <w:proofErr w:type="gramStart"/>
            <w:r>
              <w:t>Nitrogeno</w:t>
            </w:r>
            <w:proofErr w:type="spellEnd"/>
            <w:r>
              <w:t xml:space="preserve">  en</w:t>
            </w:r>
            <w:proofErr w:type="gramEnd"/>
            <w:r>
              <w:t xml:space="preserve"> el rango de trazas, bajas, medias, altas, mediante el método </w:t>
            </w:r>
            <w:proofErr w:type="spellStart"/>
            <w:r>
              <w:t>Colorimetrico</w:t>
            </w:r>
            <w:proofErr w:type="spellEnd"/>
            <w:r>
              <w:t xml:space="preserve">, número de pruebas 25.  Mide pH en el rango 4 a 9 pH, mediante el método </w:t>
            </w:r>
            <w:proofErr w:type="spellStart"/>
            <w:r>
              <w:t>Colorimetrico</w:t>
            </w:r>
            <w:proofErr w:type="spellEnd"/>
            <w:r>
              <w:t xml:space="preserve">, número de pruebas 25. Mide Fosforo en el rango de medida trazas, bajas, medias, altas, mediante </w:t>
            </w:r>
            <w:proofErr w:type="spellStart"/>
            <w:r>
              <w:t>metodo</w:t>
            </w:r>
            <w:proofErr w:type="spellEnd"/>
            <w:r>
              <w:t xml:space="preserve"> </w:t>
            </w:r>
            <w:proofErr w:type="spellStart"/>
            <w:r>
              <w:t>Colorimetrico</w:t>
            </w:r>
            <w:proofErr w:type="spellEnd"/>
            <w:r>
              <w:t xml:space="preserve">, número de pruebas 25. Mide Potasio   en el rango trazas, bajas, medias, altas mediante el </w:t>
            </w:r>
            <w:proofErr w:type="spellStart"/>
            <w:r>
              <w:t>metodo</w:t>
            </w:r>
            <w:proofErr w:type="spellEnd"/>
            <w:r>
              <w:t xml:space="preserve"> </w:t>
            </w:r>
            <w:proofErr w:type="spellStart"/>
            <w:r>
              <w:t>Turbidimetrico</w:t>
            </w:r>
            <w:proofErr w:type="spellEnd"/>
            <w:r>
              <w:t xml:space="preserve"> en el rango de medida trazas, bajas, medias, </w:t>
            </w:r>
            <w:proofErr w:type="gramStart"/>
            <w:r>
              <w:t>altas,  número</w:t>
            </w:r>
            <w:proofErr w:type="gramEnd"/>
            <w:r>
              <w:t xml:space="preserve"> de pruebas 25. 2 Incluye 2 frascos de 120 </w:t>
            </w:r>
            <w:proofErr w:type="spellStart"/>
            <w:r>
              <w:t>mL</w:t>
            </w:r>
            <w:proofErr w:type="spellEnd"/>
            <w:r>
              <w:t xml:space="preserve"> solución de extracción, 70 </w:t>
            </w:r>
            <w:proofErr w:type="spellStart"/>
            <w:r>
              <w:t>mL</w:t>
            </w:r>
            <w:proofErr w:type="spellEnd"/>
            <w:r>
              <w:t xml:space="preserve"> indicador </w:t>
            </w:r>
            <w:proofErr w:type="gramStart"/>
            <w:r>
              <w:t>pH ,</w:t>
            </w:r>
            <w:proofErr w:type="gramEnd"/>
            <w:r>
              <w:t xml:space="preserve"> 75 sobres de polvo (25 cada uno para N,P &amp; K), 3 pipeta de 1 </w:t>
            </w:r>
            <w:proofErr w:type="spellStart"/>
            <w:r>
              <w:t>mL</w:t>
            </w:r>
            <w:proofErr w:type="spellEnd"/>
            <w:r>
              <w:t>, 5 viales, soporte para viales, cuchara, brocha, 4 tarjeta de color, tarjeta graduada y libreta.</w:t>
            </w:r>
          </w:p>
        </w:tc>
        <w:tc>
          <w:tcPr>
            <w:tcW w:w="1164" w:type="dxa"/>
          </w:tcPr>
          <w:p w14:paraId="40F499E6" w14:textId="33A8B6D9"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1</w:t>
            </w:r>
          </w:p>
        </w:tc>
        <w:tc>
          <w:tcPr>
            <w:tcW w:w="1105" w:type="dxa"/>
          </w:tcPr>
          <w:p w14:paraId="02C0DBAF" w14:textId="329BB2BC"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3BB874DC"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2E67DCD0"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5E360046" w14:textId="77777777" w:rsidTr="00D761CD">
        <w:tc>
          <w:tcPr>
            <w:tcW w:w="676" w:type="dxa"/>
          </w:tcPr>
          <w:p w14:paraId="433D34B0" w14:textId="378D59AA"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6</w:t>
            </w:r>
          </w:p>
        </w:tc>
        <w:tc>
          <w:tcPr>
            <w:tcW w:w="1109" w:type="dxa"/>
          </w:tcPr>
          <w:p w14:paraId="1E1B0953" w14:textId="6B201DD5"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41116105</w:t>
            </w:r>
          </w:p>
        </w:tc>
        <w:tc>
          <w:tcPr>
            <w:tcW w:w="2497" w:type="dxa"/>
          </w:tcPr>
          <w:p w14:paraId="0E417046" w14:textId="3A39385A" w:rsidR="001C596F" w:rsidRPr="001C596F" w:rsidRDefault="001C596F" w:rsidP="001C596F">
            <w:pPr>
              <w:spacing w:after="0" w:line="240" w:lineRule="auto"/>
              <w:jc w:val="both"/>
            </w:pPr>
            <w:r w:rsidRPr="001C596F">
              <w:t xml:space="preserve">Kit de análisis de agua dulce: kit multiparámetro para análisis químico de calidad de agua que utiliza métodos de titulación, colorimetría y medición directa con </w:t>
            </w:r>
            <w:r w:rsidRPr="001C596F">
              <w:lastRenderedPageBreak/>
              <w:t>medidor electrónico de pH para determinar parámetros clave. Incluye todos los reactivos, sobres de indicador, accesorios, vasos de muestra, cubo comparador de colores, un medidor de pH electrónico (</w:t>
            </w:r>
            <w:proofErr w:type="spellStart"/>
            <w:r w:rsidRPr="001C596F">
              <w:t>pHep</w:t>
            </w:r>
            <w:proofErr w:type="spellEnd"/>
            <w:r w:rsidRPr="001C596F">
              <w:t xml:space="preserve">®), estuche rígido de transporte y manual de instrucciones, con suficientes reactivos </w:t>
            </w:r>
            <w:proofErr w:type="gramStart"/>
            <w:r w:rsidRPr="001C596F">
              <w:t>para  100</w:t>
            </w:r>
            <w:proofErr w:type="gramEnd"/>
            <w:r w:rsidRPr="001C596F">
              <w:t xml:space="preserve"> pruebas de alcalinidad, cloruro, dureza y sulfito, y alrededor de 50 pruebas para hierro. El kit mide pH de 0,0 a 14,0 (resolución 0,1 pH) con el medidor electrónico; alcalinidad de 0–100 y 0–300 mg/L </w:t>
            </w:r>
            <w:proofErr w:type="spellStart"/>
            <w:r w:rsidRPr="001C596F">
              <w:t>CaCO</w:t>
            </w:r>
            <w:proofErr w:type="spellEnd"/>
            <w:r w:rsidRPr="001C596F">
              <w:t xml:space="preserve">₃ (titulación con fenolftaleína/bromofenol azul); cloruro de 0–100 y 0–1000 mg/L Cl⁻ (titulación con nitrato de mercurio); dureza total de 0,0–30,0 y 0–300 mg/L </w:t>
            </w:r>
            <w:proofErr w:type="spellStart"/>
            <w:r w:rsidRPr="001C596F">
              <w:t>CaCO</w:t>
            </w:r>
            <w:proofErr w:type="spellEnd"/>
            <w:r w:rsidRPr="001C596F">
              <w:t xml:space="preserve">₃ (titulación con EDTA); hierro de 0–5 mg/L (colorimétrico con </w:t>
            </w:r>
            <w:proofErr w:type="spellStart"/>
            <w:r w:rsidRPr="001C596F">
              <w:t>fenantrolina</w:t>
            </w:r>
            <w:proofErr w:type="spellEnd"/>
            <w:r w:rsidRPr="001C596F">
              <w:t xml:space="preserve">); y sulfitos de 0,0–20,0 y 0–200 mg/L </w:t>
            </w:r>
            <w:proofErr w:type="spellStart"/>
            <w:r w:rsidRPr="001C596F">
              <w:t>Na₂SO</w:t>
            </w:r>
            <w:proofErr w:type="spellEnd"/>
            <w:r w:rsidRPr="001C596F">
              <w:t>₃ (</w:t>
            </w:r>
            <w:proofErr w:type="spellStart"/>
            <w:r w:rsidRPr="001C596F">
              <w:t>yodométrico</w:t>
            </w:r>
            <w:proofErr w:type="spellEnd"/>
            <w:r w:rsidRPr="001C596F">
              <w:t>)</w:t>
            </w:r>
          </w:p>
        </w:tc>
        <w:tc>
          <w:tcPr>
            <w:tcW w:w="1164" w:type="dxa"/>
          </w:tcPr>
          <w:p w14:paraId="7F7CECF7" w14:textId="6A7B7B78"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1</w:t>
            </w:r>
          </w:p>
        </w:tc>
        <w:tc>
          <w:tcPr>
            <w:tcW w:w="1105" w:type="dxa"/>
          </w:tcPr>
          <w:p w14:paraId="769BC121" w14:textId="1A24A00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504D0380"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358C30B9"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44EC38DB" w14:textId="77777777" w:rsidTr="00D761CD">
        <w:tc>
          <w:tcPr>
            <w:tcW w:w="676" w:type="dxa"/>
          </w:tcPr>
          <w:p w14:paraId="58B559D1" w14:textId="44B5ACF1"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7</w:t>
            </w:r>
          </w:p>
        </w:tc>
        <w:tc>
          <w:tcPr>
            <w:tcW w:w="1109" w:type="dxa"/>
          </w:tcPr>
          <w:p w14:paraId="40437F57" w14:textId="4A255569"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41113900</w:t>
            </w:r>
          </w:p>
        </w:tc>
        <w:tc>
          <w:tcPr>
            <w:tcW w:w="2497" w:type="dxa"/>
          </w:tcPr>
          <w:p w14:paraId="78791354" w14:textId="61601F26" w:rsidR="001C596F" w:rsidRPr="004A3D27" w:rsidRDefault="001C596F" w:rsidP="001C596F">
            <w:pPr>
              <w:spacing w:after="0" w:line="240" w:lineRule="auto"/>
              <w:jc w:val="both"/>
            </w:pPr>
            <w:r w:rsidRPr="004A3D27">
              <w:t xml:space="preserve">El Kit de Análisis de Micronutrientes del Suelo: es un laboratorio portátil diseñado para la determinación de nueve micronutrientes esenciales del suelo mediante métodos </w:t>
            </w:r>
            <w:r w:rsidRPr="004A3D27">
              <w:lastRenderedPageBreak/>
              <w:t xml:space="preserve">químicos y colorimétricos, proporcionando resultados </w:t>
            </w:r>
            <w:proofErr w:type="spellStart"/>
            <w:r w:rsidRPr="004A3D27">
              <w:t>semi</w:t>
            </w:r>
            <w:r w:rsidRPr="004A3D27">
              <w:rPr>
                <w:rFonts w:ascii="Cambria Math" w:hAnsi="Cambria Math" w:cs="Cambria Math"/>
              </w:rPr>
              <w:t>‑</w:t>
            </w:r>
            <w:r w:rsidRPr="004A3D27">
              <w:t>cuantitativos</w:t>
            </w:r>
            <w:proofErr w:type="spellEnd"/>
            <w:r w:rsidRPr="004A3D27">
              <w:t xml:space="preserve"> en ppm. El kit mide Aluminio (5–150 ppm), Amonio (5–150 ppm), Calcio (150–2800 ppm), Cloruros (25–500 ppm), Hierro (5–125 ppm), Magnesio (5–150 ppm), Manganeso (4–40 ppm), Nitrito (1–50 ppm) y Sulfato (50–200 ppm). El maletín portátil incluye módulos independientes para cada nutriente, con reactivos suficientes para aproximadamente 50 pruebas por parámetro, tubos de ensayo con tapas, pipetas y goteros dosificadores, cucharillas medidoras, tubos de extracción, papeles filtro, cartas comparativas de color y manual técnico con guía de interpretación.</w:t>
            </w:r>
          </w:p>
        </w:tc>
        <w:tc>
          <w:tcPr>
            <w:tcW w:w="1164" w:type="dxa"/>
          </w:tcPr>
          <w:p w14:paraId="57E77ED7" w14:textId="1E3CA63A"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1</w:t>
            </w:r>
          </w:p>
        </w:tc>
        <w:tc>
          <w:tcPr>
            <w:tcW w:w="1105" w:type="dxa"/>
          </w:tcPr>
          <w:p w14:paraId="66F9EBB9" w14:textId="0A1BFC32"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1CD50E72"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3497F705"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25E0C979" w14:textId="77777777" w:rsidTr="00D761CD">
        <w:tc>
          <w:tcPr>
            <w:tcW w:w="676" w:type="dxa"/>
          </w:tcPr>
          <w:p w14:paraId="354E12AF" w14:textId="08B87FC2"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8</w:t>
            </w:r>
          </w:p>
        </w:tc>
        <w:tc>
          <w:tcPr>
            <w:tcW w:w="1109" w:type="dxa"/>
          </w:tcPr>
          <w:p w14:paraId="0F2F9759" w14:textId="154A7FAE"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53131608</w:t>
            </w:r>
          </w:p>
        </w:tc>
        <w:tc>
          <w:tcPr>
            <w:tcW w:w="2497" w:type="dxa"/>
          </w:tcPr>
          <w:p w14:paraId="2FCDE7A8" w14:textId="4821BAAE"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1C596F">
              <w:t xml:space="preserve">Jabón líquido </w:t>
            </w:r>
            <w:proofErr w:type="spellStart"/>
            <w:r w:rsidRPr="001C596F">
              <w:t>antibacterial</w:t>
            </w:r>
            <w:proofErr w:type="spellEnd"/>
            <w:r w:rsidRPr="001C596F">
              <w:t xml:space="preserve"> para higiene de manos:  Especificaciones técnicas mínimas requeridas: presentación líquida homogénea; color y fragancia suaves; pH balanceado para la piel (aprox. 5,5 – 7,0); agente </w:t>
            </w:r>
            <w:proofErr w:type="spellStart"/>
            <w:r w:rsidRPr="001C596F">
              <w:t>antibacterial</w:t>
            </w:r>
            <w:proofErr w:type="spellEnd"/>
            <w:r w:rsidRPr="001C596F">
              <w:t xml:space="preserve"> incorporado; buena capacidad de espuma y enjuague fácil; no </w:t>
            </w:r>
            <w:r w:rsidRPr="001C596F">
              <w:lastRenderedPageBreak/>
              <w:t>irritante bajo condiciones normales de uso; registro sanitario vigente emitido por la autoridad competente; rotulado con información de lote y fecha de vencimiento. Presentación: envase plástico sellado (3 litros), apto para almacenamiento y dispensación.</w:t>
            </w:r>
          </w:p>
        </w:tc>
        <w:tc>
          <w:tcPr>
            <w:tcW w:w="1164" w:type="dxa"/>
          </w:tcPr>
          <w:p w14:paraId="093CE5F6" w14:textId="17C1CDAC"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2</w:t>
            </w:r>
          </w:p>
        </w:tc>
        <w:tc>
          <w:tcPr>
            <w:tcW w:w="1105" w:type="dxa"/>
          </w:tcPr>
          <w:p w14:paraId="004EBE40" w14:textId="6EA6C0DC"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67E55359"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63BB5CB7"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2B73799A" w14:textId="77777777" w:rsidTr="00D761CD">
        <w:tc>
          <w:tcPr>
            <w:tcW w:w="676" w:type="dxa"/>
          </w:tcPr>
          <w:p w14:paraId="3B9DFD80" w14:textId="2909DFAA"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9</w:t>
            </w:r>
          </w:p>
        </w:tc>
        <w:tc>
          <w:tcPr>
            <w:tcW w:w="1109" w:type="dxa"/>
          </w:tcPr>
          <w:p w14:paraId="3712E979" w14:textId="6610E43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41102600</w:t>
            </w:r>
          </w:p>
        </w:tc>
        <w:tc>
          <w:tcPr>
            <w:tcW w:w="2497" w:type="dxa"/>
          </w:tcPr>
          <w:p w14:paraId="6B9395DB" w14:textId="4A043DD1" w:rsidR="001C596F" w:rsidRPr="001C596F" w:rsidRDefault="001C596F" w:rsidP="001C596F">
            <w:pPr>
              <w:spacing w:after="0" w:line="240" w:lineRule="auto"/>
              <w:jc w:val="both"/>
            </w:pPr>
            <w:proofErr w:type="gramStart"/>
            <w:r w:rsidRPr="001C596F">
              <w:t>Las piedra difusora</w:t>
            </w:r>
            <w:proofErr w:type="gramEnd"/>
            <w:r w:rsidRPr="001C596F">
              <w:t xml:space="preserve"> oxigeno peces: está diseñada para dispersar aire en forma de finas burbujas, lo que aumenta la superficie de contacto entre el aire y el agua, promoviendo una mejor transferencia de oxígeno. La base plana proporciona una mayor estabilidad y ubicación, son elaboradas en materiales anticorrosivos, la entrada de aire se realiza por una boquilla de 5 mm de diámetro, posee una </w:t>
            </w:r>
            <w:proofErr w:type="spellStart"/>
            <w:r w:rsidRPr="001C596F">
              <w:t>dimesion</w:t>
            </w:r>
            <w:proofErr w:type="spellEnd"/>
            <w:r w:rsidRPr="001C596F">
              <w:t xml:space="preserve"> de 100 x 50 </w:t>
            </w:r>
            <w:proofErr w:type="spellStart"/>
            <w:r w:rsidRPr="001C596F">
              <w:t>mm.</w:t>
            </w:r>
            <w:proofErr w:type="spellEnd"/>
          </w:p>
        </w:tc>
        <w:tc>
          <w:tcPr>
            <w:tcW w:w="1164" w:type="dxa"/>
          </w:tcPr>
          <w:p w14:paraId="17E8D6AA" w14:textId="00FC07B8"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t>2</w:t>
            </w:r>
          </w:p>
        </w:tc>
        <w:tc>
          <w:tcPr>
            <w:tcW w:w="1105" w:type="dxa"/>
          </w:tcPr>
          <w:p w14:paraId="5A800502" w14:textId="0E41A8B1"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7C4D01FA"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3151D55F"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7ACB60B2" w14:textId="77777777" w:rsidTr="00D761CD">
        <w:tc>
          <w:tcPr>
            <w:tcW w:w="676" w:type="dxa"/>
          </w:tcPr>
          <w:p w14:paraId="080CC57E" w14:textId="7AD63A58"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10</w:t>
            </w:r>
          </w:p>
        </w:tc>
        <w:tc>
          <w:tcPr>
            <w:tcW w:w="1109" w:type="dxa"/>
          </w:tcPr>
          <w:p w14:paraId="6D011D41" w14:textId="3110000D"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15121500</w:t>
            </w:r>
          </w:p>
        </w:tc>
        <w:tc>
          <w:tcPr>
            <w:tcW w:w="2497" w:type="dxa"/>
          </w:tcPr>
          <w:p w14:paraId="5ECC4670" w14:textId="159FCD2B"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E94709">
              <w:t xml:space="preserve">Jabón líquido </w:t>
            </w:r>
            <w:proofErr w:type="spellStart"/>
            <w:r w:rsidRPr="00E94709">
              <w:t>antibacterial</w:t>
            </w:r>
            <w:proofErr w:type="spellEnd"/>
            <w:r w:rsidRPr="00E94709">
              <w:t xml:space="preserve"> para higiene de manos:  Especificaciones técnicas mínimas requeridas: presentación líquida homogénea; color y fragancia suaves; pH balanceado para la piel (aprox. 5,5 – 7,0); agente </w:t>
            </w:r>
            <w:proofErr w:type="spellStart"/>
            <w:r w:rsidRPr="00E94709">
              <w:t>antibacterial</w:t>
            </w:r>
            <w:proofErr w:type="spellEnd"/>
            <w:r w:rsidRPr="00E94709">
              <w:t xml:space="preserve"> incorporado; buena </w:t>
            </w:r>
            <w:r w:rsidRPr="00E94709">
              <w:lastRenderedPageBreak/>
              <w:t>capacidad de espuma y enjuague fácil; no irritante bajo condiciones normales de uso; registro sanitario vigente emitido por la autoridad competente; rotulado con información de lote y fecha de vencimiento. Presentación: envase plástico sellado (3 litros), apto para almacenamiento y dispensación.</w:t>
            </w:r>
          </w:p>
        </w:tc>
        <w:tc>
          <w:tcPr>
            <w:tcW w:w="1164" w:type="dxa"/>
          </w:tcPr>
          <w:p w14:paraId="5DB73265" w14:textId="5FC0D53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1</w:t>
            </w:r>
          </w:p>
        </w:tc>
        <w:tc>
          <w:tcPr>
            <w:tcW w:w="1105" w:type="dxa"/>
          </w:tcPr>
          <w:p w14:paraId="58152242" w14:textId="07F15004"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3DD02873"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75ACA1E2"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0D5C0F01" w14:textId="77777777" w:rsidTr="00D761CD">
        <w:tc>
          <w:tcPr>
            <w:tcW w:w="676" w:type="dxa"/>
          </w:tcPr>
          <w:p w14:paraId="674987C5" w14:textId="07894E03"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11</w:t>
            </w:r>
          </w:p>
        </w:tc>
        <w:tc>
          <w:tcPr>
            <w:tcW w:w="1109" w:type="dxa"/>
          </w:tcPr>
          <w:p w14:paraId="0AEA7B31" w14:textId="4DDEC60B"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10152200</w:t>
            </w:r>
          </w:p>
        </w:tc>
        <w:tc>
          <w:tcPr>
            <w:tcW w:w="2497" w:type="dxa"/>
          </w:tcPr>
          <w:p w14:paraId="6084CC7C" w14:textId="27040715"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1C596F">
              <w:t xml:space="preserve">Kit de germinación: El sistema está fabricado en plástico rígido de alta resistencia (polipropileno), reutilizable y lavable, garantizando estabilidad estructural y durabilidad en condiciones de uso continuo. Cuenta con 100 alvéolos individuales para siembra, cada uno con orificio de drenaje que favorece el adecuado desarrollo radicular y evita el encharcamiento. La profundidad mínima de las cavidades es de 4 a 6 cm. Las dimensiones aproximadas de la bandeja son 30 cm x 52 cm x 5 cm. El kit incluye base recolectora para manejo eficiente del riego, con dimensiones aproximadas de 30 cm x 52 cm x 8 cm, que permite la retención y distribución controlada del agua. </w:t>
            </w:r>
            <w:r w:rsidRPr="001C596F">
              <w:lastRenderedPageBreak/>
              <w:t>Adicionalmente, incorpora domo o cubierta transparente con altura aproximada de 8 cm, diseñado para mantener condiciones óptimas de humedad y temperatura durante el proceso de germinación. Presentación: kit completo.</w:t>
            </w:r>
          </w:p>
        </w:tc>
        <w:tc>
          <w:tcPr>
            <w:tcW w:w="1164" w:type="dxa"/>
          </w:tcPr>
          <w:p w14:paraId="61A58809" w14:textId="03C081BE"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2</w:t>
            </w:r>
          </w:p>
        </w:tc>
        <w:tc>
          <w:tcPr>
            <w:tcW w:w="1105" w:type="dxa"/>
          </w:tcPr>
          <w:p w14:paraId="2660BD0E" w14:textId="4F976864"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68417842"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32AF6254"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100E7153" w14:textId="77777777" w:rsidTr="00D761CD">
        <w:tc>
          <w:tcPr>
            <w:tcW w:w="676" w:type="dxa"/>
          </w:tcPr>
          <w:p w14:paraId="1FB84EB7" w14:textId="39828F4C"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12</w:t>
            </w:r>
          </w:p>
        </w:tc>
        <w:tc>
          <w:tcPr>
            <w:tcW w:w="1109" w:type="dxa"/>
          </w:tcPr>
          <w:p w14:paraId="7CB0828A" w14:textId="76606D3C"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10151816</w:t>
            </w:r>
          </w:p>
        </w:tc>
        <w:tc>
          <w:tcPr>
            <w:tcW w:w="2497" w:type="dxa"/>
          </w:tcPr>
          <w:p w14:paraId="1A8CF3F4" w14:textId="24A1B31B"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1C596F">
              <w:t>Semilla de albahaca morada: Producto de origen 100 % orgánico, certificado por la O.N.C. Especificaciones técnicas mínimas requeridas: pureza física mínima del 99 %; porcentaje de germinación igual o superior al 85 %; semillas homogéneas, libres de impurezas, semillas de otras especies, patógenos o residuos químicos.  Presentación: paquete sellado de 40 gramos, debidamente rotulado con información técnica (nombre común y científico, lote, fecha de empaque, porcentaje de germinación, certificación orgánica</w:t>
            </w:r>
          </w:p>
        </w:tc>
        <w:tc>
          <w:tcPr>
            <w:tcW w:w="1164" w:type="dxa"/>
          </w:tcPr>
          <w:p w14:paraId="2C778905" w14:textId="0B3DFE0A"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t>2</w:t>
            </w:r>
          </w:p>
        </w:tc>
        <w:tc>
          <w:tcPr>
            <w:tcW w:w="1105" w:type="dxa"/>
          </w:tcPr>
          <w:p w14:paraId="00D05332" w14:textId="7E8CB458"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5314587D"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4E939D82"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5E9DF728" w14:textId="77777777" w:rsidTr="00D761CD">
        <w:tc>
          <w:tcPr>
            <w:tcW w:w="676" w:type="dxa"/>
          </w:tcPr>
          <w:p w14:paraId="151E429D" w14:textId="60C03804"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13</w:t>
            </w:r>
          </w:p>
        </w:tc>
        <w:tc>
          <w:tcPr>
            <w:tcW w:w="1109" w:type="dxa"/>
          </w:tcPr>
          <w:p w14:paraId="44EE431F" w14:textId="6C4B7D72"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10151520</w:t>
            </w:r>
          </w:p>
        </w:tc>
        <w:tc>
          <w:tcPr>
            <w:tcW w:w="2497" w:type="dxa"/>
          </w:tcPr>
          <w:p w14:paraId="0391DE0C" w14:textId="1B331391"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1C596F">
              <w:t xml:space="preserve">Semilla de acelga roja: Producto 100 % orgánico, certificado por la O.N.C. Especificaciones técnicas mínimas requeridas: pureza física mínima del 99 %; porcentaje de germinación igual o superior al 85 %; semillas homogéneas, libres de </w:t>
            </w:r>
            <w:r w:rsidRPr="001C596F">
              <w:lastRenderedPageBreak/>
              <w:t>impurezas, semillas de otras especies, patógenos y residuos químicos. Presentación: paquete sellado de 40 gramos, debidamente rotulado con información técnica (nombre común y científico, lote, fecha de empaque, porcentaje de germinación y certificación orgánica)</w:t>
            </w:r>
          </w:p>
        </w:tc>
        <w:tc>
          <w:tcPr>
            <w:tcW w:w="1164" w:type="dxa"/>
          </w:tcPr>
          <w:p w14:paraId="0E002769" w14:textId="644778F5"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2</w:t>
            </w:r>
          </w:p>
        </w:tc>
        <w:tc>
          <w:tcPr>
            <w:tcW w:w="1105" w:type="dxa"/>
          </w:tcPr>
          <w:p w14:paraId="36F4B1B3" w14:textId="76EF8302"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6451EF99"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3661BD0A"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59C01003" w14:textId="77777777" w:rsidTr="00D761CD">
        <w:tc>
          <w:tcPr>
            <w:tcW w:w="676" w:type="dxa"/>
          </w:tcPr>
          <w:p w14:paraId="6D1FA128" w14:textId="4931D063"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14</w:t>
            </w:r>
          </w:p>
        </w:tc>
        <w:tc>
          <w:tcPr>
            <w:tcW w:w="1109" w:type="dxa"/>
          </w:tcPr>
          <w:p w14:paraId="71765D63" w14:textId="271878EC"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10151500</w:t>
            </w:r>
          </w:p>
        </w:tc>
        <w:tc>
          <w:tcPr>
            <w:tcW w:w="2497" w:type="dxa"/>
          </w:tcPr>
          <w:p w14:paraId="64E9817E" w14:textId="155E79CB"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1C596F">
              <w:t xml:space="preserve">Semilla de </w:t>
            </w:r>
            <w:proofErr w:type="spellStart"/>
            <w:r w:rsidRPr="001C596F">
              <w:t>rúgula</w:t>
            </w:r>
            <w:proofErr w:type="spellEnd"/>
            <w:r w:rsidRPr="001C596F">
              <w:t>: Producto de origen orgánico. Especificaciones técnicas mínimas requeridas: pureza física mínima del 99 %; porcentaje de germinación igual o superior al 85 %; semillas homogéneas, con buen vigor y viabilidad; libres de impurezas, semillas de otras especies, patógenos y residuos químicos; aptas para manejo en sistemas de agricultura limpia. Presentación: paquete sellado con contenido de 40 gramos, debidamente rotulado con información técnica (nombre común y científico, lote, fecha de empaque, porcentaje de germinación y condiciones de almacenamiento).</w:t>
            </w:r>
          </w:p>
        </w:tc>
        <w:tc>
          <w:tcPr>
            <w:tcW w:w="1164" w:type="dxa"/>
          </w:tcPr>
          <w:p w14:paraId="6D19B994" w14:textId="24F8391B"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t>2</w:t>
            </w:r>
          </w:p>
        </w:tc>
        <w:tc>
          <w:tcPr>
            <w:tcW w:w="1105" w:type="dxa"/>
          </w:tcPr>
          <w:p w14:paraId="0EF157CF" w14:textId="5D81EB6C"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5BC2492F"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477E77A0"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5E6826EF" w14:textId="77777777" w:rsidTr="00D761CD">
        <w:tc>
          <w:tcPr>
            <w:tcW w:w="676" w:type="dxa"/>
          </w:tcPr>
          <w:p w14:paraId="38332998" w14:textId="17144520"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15</w:t>
            </w:r>
          </w:p>
        </w:tc>
        <w:tc>
          <w:tcPr>
            <w:tcW w:w="1109" w:type="dxa"/>
          </w:tcPr>
          <w:p w14:paraId="1DCF7247" w14:textId="70E3CEF9"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10151816</w:t>
            </w:r>
          </w:p>
        </w:tc>
        <w:tc>
          <w:tcPr>
            <w:tcW w:w="2497" w:type="dxa"/>
          </w:tcPr>
          <w:p w14:paraId="3A5FE144" w14:textId="4E0583B2"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1C596F">
              <w:t xml:space="preserve">Semilla de albahaca verde: Producto 100 % orgánico, certificado por la O.N.C. Especificaciones técnicas mínimas </w:t>
            </w:r>
            <w:r w:rsidRPr="001C596F">
              <w:lastRenderedPageBreak/>
              <w:t>requeridas: pureza física mínima del 99 %; porcentaje de germinación igual o superior al 85 %; alto vigor y viabilidad; semillas homogéneas, libres de impurezas, semillas de otras especies, patógenos y residuos químicos. Presentación: paquete sellado de 40 gramos, debidamente rotulado con información técnica (nombre común y científico, lote, fecha de empaque, porcentaje de germinación, certificación orgánica e instrucciones de almacenamiento).</w:t>
            </w:r>
          </w:p>
        </w:tc>
        <w:tc>
          <w:tcPr>
            <w:tcW w:w="1164" w:type="dxa"/>
          </w:tcPr>
          <w:p w14:paraId="0B51AE85" w14:textId="61B37C13"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2</w:t>
            </w:r>
          </w:p>
        </w:tc>
        <w:tc>
          <w:tcPr>
            <w:tcW w:w="1105" w:type="dxa"/>
          </w:tcPr>
          <w:p w14:paraId="57A0DC5D" w14:textId="5C316646"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5132B087"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20AB1598"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1A33050C" w14:textId="77777777" w:rsidTr="00D761CD">
        <w:tc>
          <w:tcPr>
            <w:tcW w:w="676" w:type="dxa"/>
          </w:tcPr>
          <w:p w14:paraId="5CAA79F0" w14:textId="7FACAA52"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16</w:t>
            </w:r>
          </w:p>
        </w:tc>
        <w:tc>
          <w:tcPr>
            <w:tcW w:w="1109" w:type="dxa"/>
          </w:tcPr>
          <w:p w14:paraId="1314C13C" w14:textId="6E880D1B"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10151500</w:t>
            </w:r>
          </w:p>
        </w:tc>
        <w:tc>
          <w:tcPr>
            <w:tcW w:w="2497" w:type="dxa"/>
          </w:tcPr>
          <w:p w14:paraId="1E45D47E" w14:textId="48687F66" w:rsidR="001C596F" w:rsidRDefault="00B56599" w:rsidP="001C596F">
            <w:pPr>
              <w:spacing w:after="0" w:line="240" w:lineRule="auto"/>
              <w:jc w:val="both"/>
              <w:rPr>
                <w:rFonts w:asciiTheme="majorHAnsi" w:eastAsia="Times New Roman" w:hAnsiTheme="majorHAnsi" w:cstheme="majorHAnsi"/>
                <w:b/>
                <w:bCs/>
                <w:i/>
                <w:iCs/>
                <w:sz w:val="20"/>
                <w:szCs w:val="20"/>
                <w:lang w:val="es-ES" w:eastAsia="es-ES"/>
              </w:rPr>
            </w:pPr>
            <w:r w:rsidRPr="00B56599">
              <w:t xml:space="preserve">Semilla de lavanda: Especificaciones técnicas mínimas requeridas: semillas viables y homogéneas, con adecuado vigor; libres de impurezas, semillas de otras especies, patógenos y residuos contaminantes; aptas para producción vegetal con fines ornamentales, aromáticos o investigativos; almacenamiento en condiciones que preserven su viabilidad. Presentación: paquete sellado con contenido de 40 gramos, debidamente rotulado con información técnica (nombre común y </w:t>
            </w:r>
            <w:r w:rsidRPr="00B56599">
              <w:lastRenderedPageBreak/>
              <w:t>científico, lote, fecha de empaque e indicaciones de siembra y almacenamiento).</w:t>
            </w:r>
          </w:p>
        </w:tc>
        <w:tc>
          <w:tcPr>
            <w:tcW w:w="1164" w:type="dxa"/>
          </w:tcPr>
          <w:p w14:paraId="77F5BA5D" w14:textId="3DABD8BE"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3</w:t>
            </w:r>
          </w:p>
        </w:tc>
        <w:tc>
          <w:tcPr>
            <w:tcW w:w="1105" w:type="dxa"/>
          </w:tcPr>
          <w:p w14:paraId="28FB84C3" w14:textId="6E2D75AD"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5420F3CC"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0F35B37A"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7D96E4DB" w14:textId="77777777" w:rsidTr="00D761CD">
        <w:tc>
          <w:tcPr>
            <w:tcW w:w="676" w:type="dxa"/>
          </w:tcPr>
          <w:p w14:paraId="325559E7" w14:textId="1E0F19DB"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17</w:t>
            </w:r>
          </w:p>
        </w:tc>
        <w:tc>
          <w:tcPr>
            <w:tcW w:w="1109" w:type="dxa"/>
          </w:tcPr>
          <w:p w14:paraId="0F66C3C5" w14:textId="746BBF50"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10151518</w:t>
            </w:r>
          </w:p>
        </w:tc>
        <w:tc>
          <w:tcPr>
            <w:tcW w:w="2497" w:type="dxa"/>
          </w:tcPr>
          <w:p w14:paraId="74710FAA" w14:textId="45B00F0E" w:rsidR="001C596F" w:rsidRDefault="00B56599" w:rsidP="001C596F">
            <w:pPr>
              <w:spacing w:after="0" w:line="240" w:lineRule="auto"/>
              <w:jc w:val="both"/>
              <w:rPr>
                <w:rFonts w:asciiTheme="majorHAnsi" w:eastAsia="Times New Roman" w:hAnsiTheme="majorHAnsi" w:cstheme="majorHAnsi"/>
                <w:b/>
                <w:bCs/>
                <w:i/>
                <w:iCs/>
                <w:sz w:val="20"/>
                <w:szCs w:val="20"/>
                <w:lang w:val="es-ES" w:eastAsia="es-ES"/>
              </w:rPr>
            </w:pPr>
            <w:r w:rsidRPr="00B56599">
              <w:t xml:space="preserve">Semilla de tomate </w:t>
            </w:r>
            <w:proofErr w:type="spellStart"/>
            <w:r w:rsidRPr="00B56599">
              <w:t>cherry</w:t>
            </w:r>
            <w:proofErr w:type="spellEnd"/>
            <w:r w:rsidRPr="00B56599">
              <w:t>: Producto de origen orgánico. Especificaciones técnicas mínimas requeridas: paquete con 500 semillas; porcentaje de germinación mínimo del 97 %; semillas homogéneas, con alto vigor y viabilidad; libres de impurezas, semillas de otras especies, patógenos y residuos químicos. Presentación: empaque sellado y rotulado con información técnica (nombre común y científico, número de semillas, lote, fecha de empaque e instrucciones de siembra y almacenamiento).</w:t>
            </w:r>
          </w:p>
        </w:tc>
        <w:tc>
          <w:tcPr>
            <w:tcW w:w="1164" w:type="dxa"/>
          </w:tcPr>
          <w:p w14:paraId="3072E851" w14:textId="04A6C3D3"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t>3</w:t>
            </w:r>
          </w:p>
        </w:tc>
        <w:tc>
          <w:tcPr>
            <w:tcW w:w="1105" w:type="dxa"/>
          </w:tcPr>
          <w:p w14:paraId="43473322" w14:textId="61085D6A"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1D8172AD"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0A1909BA"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04CD53C3" w14:textId="77777777" w:rsidTr="00D761CD">
        <w:tc>
          <w:tcPr>
            <w:tcW w:w="676" w:type="dxa"/>
          </w:tcPr>
          <w:p w14:paraId="20D69FEB" w14:textId="445FA905"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18</w:t>
            </w:r>
          </w:p>
        </w:tc>
        <w:tc>
          <w:tcPr>
            <w:tcW w:w="1109" w:type="dxa"/>
          </w:tcPr>
          <w:p w14:paraId="64C1C5AC" w14:textId="64975FAA"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10151512</w:t>
            </w:r>
          </w:p>
        </w:tc>
        <w:tc>
          <w:tcPr>
            <w:tcW w:w="2497" w:type="dxa"/>
          </w:tcPr>
          <w:p w14:paraId="78C94660" w14:textId="1A7728EB" w:rsidR="001C596F" w:rsidRDefault="00B56599" w:rsidP="001C596F">
            <w:pPr>
              <w:spacing w:after="0" w:line="240" w:lineRule="auto"/>
              <w:jc w:val="both"/>
              <w:rPr>
                <w:rFonts w:asciiTheme="majorHAnsi" w:eastAsia="Times New Roman" w:hAnsiTheme="majorHAnsi" w:cstheme="majorHAnsi"/>
                <w:b/>
                <w:bCs/>
                <w:i/>
                <w:iCs/>
                <w:sz w:val="20"/>
                <w:szCs w:val="20"/>
                <w:lang w:val="es-ES" w:eastAsia="es-ES"/>
              </w:rPr>
            </w:pPr>
            <w:r w:rsidRPr="00B56599">
              <w:t xml:space="preserve">Semilla de lechuga roja: Producto de origen orgánico. Especificaciones técnicas mínimas requeridas: presentación con 200 semillas; porcentaje de germinación mínimo del 97 %; semillas homogéneas, con alto vigor y viabilidad; libres de impurezas, semillas de otras especies, patógenos y residuos contaminantes. Presentación: empaque sellado y rotulado con </w:t>
            </w:r>
            <w:r w:rsidRPr="00B56599">
              <w:lastRenderedPageBreak/>
              <w:t>información técnica (nombre común y científico, número de semillas, lote, fecha de empaque e instrucciones de siembra y almacenamiento).</w:t>
            </w:r>
          </w:p>
        </w:tc>
        <w:tc>
          <w:tcPr>
            <w:tcW w:w="1164" w:type="dxa"/>
          </w:tcPr>
          <w:p w14:paraId="5C9DCA7B" w14:textId="0CB31E1E"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3</w:t>
            </w:r>
          </w:p>
        </w:tc>
        <w:tc>
          <w:tcPr>
            <w:tcW w:w="1105" w:type="dxa"/>
          </w:tcPr>
          <w:p w14:paraId="2C6DC965" w14:textId="18F4972F"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0AD3F313"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0020C90B"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1C596F" w14:paraId="22CBB41E" w14:textId="77777777" w:rsidTr="00D761CD">
        <w:tc>
          <w:tcPr>
            <w:tcW w:w="676" w:type="dxa"/>
          </w:tcPr>
          <w:p w14:paraId="54130C1F" w14:textId="24E40314"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0143B6">
              <w:t>19</w:t>
            </w:r>
          </w:p>
        </w:tc>
        <w:tc>
          <w:tcPr>
            <w:tcW w:w="1109" w:type="dxa"/>
          </w:tcPr>
          <w:p w14:paraId="79C4F6E2" w14:textId="1E3DE37D"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F61776">
              <w:t>10151805</w:t>
            </w:r>
          </w:p>
        </w:tc>
        <w:tc>
          <w:tcPr>
            <w:tcW w:w="2497" w:type="dxa"/>
          </w:tcPr>
          <w:p w14:paraId="14402C33" w14:textId="02708D3D" w:rsidR="001C596F" w:rsidRDefault="00B56599" w:rsidP="001C596F">
            <w:pPr>
              <w:spacing w:after="0" w:line="240" w:lineRule="auto"/>
              <w:jc w:val="both"/>
              <w:rPr>
                <w:rFonts w:asciiTheme="majorHAnsi" w:eastAsia="Times New Roman" w:hAnsiTheme="majorHAnsi" w:cstheme="majorHAnsi"/>
                <w:b/>
                <w:bCs/>
                <w:i/>
                <w:iCs/>
                <w:sz w:val="20"/>
                <w:szCs w:val="20"/>
                <w:lang w:val="es-ES" w:eastAsia="es-ES"/>
              </w:rPr>
            </w:pPr>
            <w:r w:rsidRPr="00B56599">
              <w:t>Semilla de cilantro: Producto de origen orgánico. Especificaciones técnicas mínimas requeridas: contenido neto de 5 gramos; porcentaje de germinación mínimo del 97 %; semillas homogéneas, con alto vigor y viabilidad; libres de impurezas, semillas de otras especies, patógenos y residuos químicos. Presentación: empaque sellado y rotulado con información técnica (nombre común y científico, peso neto, lote, fecha de empaque e instrucciones de siembra y almacenamiento).</w:t>
            </w:r>
          </w:p>
        </w:tc>
        <w:tc>
          <w:tcPr>
            <w:tcW w:w="1164" w:type="dxa"/>
          </w:tcPr>
          <w:p w14:paraId="7CEC49CF" w14:textId="4E971BAC"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B0723">
              <w:t>3</w:t>
            </w:r>
          </w:p>
        </w:tc>
        <w:tc>
          <w:tcPr>
            <w:tcW w:w="1105" w:type="dxa"/>
          </w:tcPr>
          <w:p w14:paraId="0FD88DA0" w14:textId="7A589A39"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01BDFDAF"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70B9CBC8" w14:textId="77777777" w:rsidR="001C596F" w:rsidRDefault="001C596F" w:rsidP="001C596F">
            <w:pPr>
              <w:spacing w:after="0" w:line="240" w:lineRule="auto"/>
              <w:jc w:val="both"/>
              <w:rPr>
                <w:rFonts w:asciiTheme="majorHAnsi" w:eastAsia="Times New Roman" w:hAnsiTheme="majorHAnsi" w:cstheme="majorHAnsi"/>
                <w:b/>
                <w:bCs/>
                <w:i/>
                <w:iCs/>
                <w:sz w:val="20"/>
                <w:szCs w:val="20"/>
                <w:lang w:val="es-ES" w:eastAsia="es-ES"/>
              </w:rPr>
            </w:pPr>
          </w:p>
        </w:tc>
      </w:tr>
      <w:tr w:rsidR="00B56599" w14:paraId="4F7D2042" w14:textId="77777777" w:rsidTr="00D761CD">
        <w:tc>
          <w:tcPr>
            <w:tcW w:w="676" w:type="dxa"/>
          </w:tcPr>
          <w:p w14:paraId="7BC9A20F" w14:textId="5A56DD1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20</w:t>
            </w:r>
          </w:p>
        </w:tc>
        <w:tc>
          <w:tcPr>
            <w:tcW w:w="1109" w:type="dxa"/>
          </w:tcPr>
          <w:p w14:paraId="015B1E60" w14:textId="474CE70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10151524</w:t>
            </w:r>
          </w:p>
        </w:tc>
        <w:tc>
          <w:tcPr>
            <w:tcW w:w="2497" w:type="dxa"/>
          </w:tcPr>
          <w:p w14:paraId="1FA90558" w14:textId="6BCDA554"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C67607">
              <w:t xml:space="preserve">Semilla de perejil: Producto de origen orgánico. Especificaciones técnicas mínimas requeridas: contenido neto de 2,5 gramos; porcentaje de germinación mínimo del 97 %; semillas homogéneas, con alto vigor y viabilidad; libres de impurezas, semillas de otras especies, patógenos y residuos contaminantes. </w:t>
            </w:r>
            <w:r w:rsidRPr="00C67607">
              <w:lastRenderedPageBreak/>
              <w:t>Presentación: empaque sellado y rotulado con información técnica (nombre común y científico, peso neto, lote, fecha de empaque).</w:t>
            </w:r>
          </w:p>
        </w:tc>
        <w:tc>
          <w:tcPr>
            <w:tcW w:w="1164" w:type="dxa"/>
          </w:tcPr>
          <w:p w14:paraId="323ECADA" w14:textId="160D66DC"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3</w:t>
            </w:r>
          </w:p>
        </w:tc>
        <w:tc>
          <w:tcPr>
            <w:tcW w:w="1105" w:type="dxa"/>
          </w:tcPr>
          <w:p w14:paraId="2DF8CFEC" w14:textId="342166BB"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3D4D4DD7"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59AFFCAB"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3338FE8B" w14:textId="77777777" w:rsidTr="00D761CD">
        <w:tc>
          <w:tcPr>
            <w:tcW w:w="676" w:type="dxa"/>
          </w:tcPr>
          <w:p w14:paraId="0E4B72A6" w14:textId="516BEE54"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21</w:t>
            </w:r>
          </w:p>
        </w:tc>
        <w:tc>
          <w:tcPr>
            <w:tcW w:w="1109" w:type="dxa"/>
          </w:tcPr>
          <w:p w14:paraId="7F7A08A4" w14:textId="6C47253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10151500</w:t>
            </w:r>
          </w:p>
        </w:tc>
        <w:tc>
          <w:tcPr>
            <w:tcW w:w="2497" w:type="dxa"/>
          </w:tcPr>
          <w:p w14:paraId="07AA8094" w14:textId="4F28306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C67607">
              <w:t>Semilla de kale morada: Producto 100 % orgánico, con certificación ONC. Especificaciones técnicas mínimas requeridas: presentación en paquete de 40 gramos; pureza física mínima de 99,90 %; porcentaje de germinación mayor al 90 %; semillas homogéneas, con alto vigor y viabilidad; libres de impurezas, semillas de otras especies, patógenos y residuos químicos. Presentación: empaque sellado y debidamente rotulado con información técnica (nombre común y científico, peso neto, lote, fecha de empaque, porcentaje de germinación y certificación orgánica).</w:t>
            </w:r>
          </w:p>
        </w:tc>
        <w:tc>
          <w:tcPr>
            <w:tcW w:w="1164" w:type="dxa"/>
          </w:tcPr>
          <w:p w14:paraId="33137121" w14:textId="1B2FC37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t>3</w:t>
            </w:r>
          </w:p>
        </w:tc>
        <w:tc>
          <w:tcPr>
            <w:tcW w:w="1105" w:type="dxa"/>
          </w:tcPr>
          <w:p w14:paraId="0BE7BDC8" w14:textId="006EEEAD"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54685D60"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42D2FCCC"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367DBA75" w14:textId="77777777" w:rsidTr="00D761CD">
        <w:tc>
          <w:tcPr>
            <w:tcW w:w="676" w:type="dxa"/>
          </w:tcPr>
          <w:p w14:paraId="2C89EB92" w14:textId="34A2F0D8"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22</w:t>
            </w:r>
          </w:p>
        </w:tc>
        <w:tc>
          <w:tcPr>
            <w:tcW w:w="1109" w:type="dxa"/>
          </w:tcPr>
          <w:p w14:paraId="421F080C" w14:textId="006AD778"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41116106</w:t>
            </w:r>
          </w:p>
        </w:tc>
        <w:tc>
          <w:tcPr>
            <w:tcW w:w="2497" w:type="dxa"/>
          </w:tcPr>
          <w:p w14:paraId="3B847D31" w14:textId="2F7D32AD"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C67607">
              <w:t xml:space="preserve">El rollo de papel indicador de pH (tornasol): es un material de uso analítico y educativo, consistente en una cinta continua de papel impregnada con reactivos químicos sensibles a acidez o alcalinidad, que permite determinar de forma rápida y cualitativa el pH de soluciones mediante </w:t>
            </w:r>
            <w:r w:rsidRPr="00C67607">
              <w:lastRenderedPageBreak/>
              <w:t>cambio de color. El rollo está presentado sellado y con longitud aproximada de 5</w:t>
            </w:r>
            <w:r w:rsidRPr="00C67607">
              <w:rPr>
                <w:rFonts w:ascii="Arial" w:hAnsi="Arial" w:cs="Arial"/>
              </w:rPr>
              <w:t> </w:t>
            </w:r>
            <w:r w:rsidRPr="00C67607">
              <w:t>m, cortable seg</w:t>
            </w:r>
            <w:r w:rsidRPr="00C67607">
              <w:rPr>
                <w:rFonts w:ascii="Aptos" w:hAnsi="Aptos" w:cs="Aptos"/>
              </w:rPr>
              <w:t>ú</w:t>
            </w:r>
            <w:r w:rsidRPr="00C67607">
              <w:t>n necesidad, con un rango de medici</w:t>
            </w:r>
            <w:r w:rsidRPr="00C67607">
              <w:rPr>
                <w:rFonts w:ascii="Aptos" w:hAnsi="Aptos" w:cs="Aptos"/>
              </w:rPr>
              <w:t>ó</w:t>
            </w:r>
            <w:r w:rsidRPr="00C67607">
              <w:t>n de pH 1</w:t>
            </w:r>
            <w:r w:rsidRPr="00C67607">
              <w:rPr>
                <w:rFonts w:ascii="Aptos" w:hAnsi="Aptos" w:cs="Aptos"/>
              </w:rPr>
              <w:t>–</w:t>
            </w:r>
            <w:r w:rsidRPr="00C67607">
              <w:t>14 y lectura mediante comparaci</w:t>
            </w:r>
            <w:r w:rsidRPr="00C67607">
              <w:rPr>
                <w:rFonts w:ascii="Aptos" w:hAnsi="Aptos" w:cs="Aptos"/>
              </w:rPr>
              <w:t>ó</w:t>
            </w:r>
            <w:r w:rsidRPr="00C67607">
              <w:t>n visual con escala crom</w:t>
            </w:r>
            <w:r w:rsidRPr="00C67607">
              <w:rPr>
                <w:rFonts w:ascii="Aptos" w:hAnsi="Aptos" w:cs="Aptos"/>
              </w:rPr>
              <w:t>á</w:t>
            </w:r>
            <w:r w:rsidRPr="00C67607">
              <w:t>tica incluida. Su respuesta es inmediata, facilitando procesos de control, verificación y prácticas de laboratorio.</w:t>
            </w:r>
          </w:p>
        </w:tc>
        <w:tc>
          <w:tcPr>
            <w:tcW w:w="1164" w:type="dxa"/>
          </w:tcPr>
          <w:p w14:paraId="64C3898E" w14:textId="12697E6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3</w:t>
            </w:r>
          </w:p>
        </w:tc>
        <w:tc>
          <w:tcPr>
            <w:tcW w:w="1105" w:type="dxa"/>
          </w:tcPr>
          <w:p w14:paraId="3C80F4BD" w14:textId="3AC7150D"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3A39BC92"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5403F292"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2FE8D3B5" w14:textId="77777777" w:rsidTr="00D761CD">
        <w:tc>
          <w:tcPr>
            <w:tcW w:w="676" w:type="dxa"/>
          </w:tcPr>
          <w:p w14:paraId="1066F82B" w14:textId="69FE709F"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23</w:t>
            </w:r>
          </w:p>
        </w:tc>
        <w:tc>
          <w:tcPr>
            <w:tcW w:w="1109" w:type="dxa"/>
          </w:tcPr>
          <w:p w14:paraId="594B3F0B" w14:textId="1DD8C414"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41122602</w:t>
            </w:r>
          </w:p>
        </w:tc>
        <w:tc>
          <w:tcPr>
            <w:tcW w:w="2497" w:type="dxa"/>
          </w:tcPr>
          <w:p w14:paraId="36BE7664" w14:textId="3E2249C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C67607">
              <w:t>Caja de cubreobjetos: Los cubreobjetos de vidrio miden 22</w:t>
            </w:r>
            <w:r w:rsidRPr="00C67607">
              <w:rPr>
                <w:rFonts w:ascii="Arial" w:hAnsi="Arial" w:cs="Arial"/>
              </w:rPr>
              <w:t> </w:t>
            </w:r>
            <w:r w:rsidRPr="00C67607">
              <w:t xml:space="preserve">mm </w:t>
            </w:r>
            <w:r w:rsidRPr="00C67607">
              <w:rPr>
                <w:rFonts w:ascii="Aptos" w:hAnsi="Aptos" w:cs="Aptos"/>
              </w:rPr>
              <w:t>×</w:t>
            </w:r>
            <w:r w:rsidRPr="00C67607">
              <w:t xml:space="preserve"> 22</w:t>
            </w:r>
            <w:r w:rsidRPr="00C67607">
              <w:rPr>
                <w:rFonts w:ascii="Arial" w:hAnsi="Arial" w:cs="Arial"/>
              </w:rPr>
              <w:t> </w:t>
            </w:r>
            <w:r w:rsidRPr="00C67607">
              <w:t>mm, en presentaci</w:t>
            </w:r>
            <w:r w:rsidRPr="00C67607">
              <w:rPr>
                <w:rFonts w:ascii="Aptos" w:hAnsi="Aptos" w:cs="Aptos"/>
              </w:rPr>
              <w:t>ó</w:t>
            </w:r>
            <w:r w:rsidRPr="00C67607">
              <w:t xml:space="preserve">n en caja de 100 unidades, fabricados en vidrio </w:t>
            </w:r>
            <w:r w:rsidRPr="00C67607">
              <w:rPr>
                <w:rFonts w:ascii="Aptos" w:hAnsi="Aptos" w:cs="Aptos"/>
              </w:rPr>
              <w:t>ó</w:t>
            </w:r>
            <w:r w:rsidRPr="00C67607">
              <w:t>ptico transparente con superficie lisa y bordes pulidos. Su espesor est</w:t>
            </w:r>
            <w:r w:rsidRPr="00C67607">
              <w:rPr>
                <w:rFonts w:ascii="Aptos" w:hAnsi="Aptos" w:cs="Aptos"/>
              </w:rPr>
              <w:t>á</w:t>
            </w:r>
            <w:r w:rsidRPr="00C67607">
              <w:t>ndar es de 0,13</w:t>
            </w:r>
            <w:r w:rsidRPr="00C67607">
              <w:rPr>
                <w:rFonts w:ascii="Aptos" w:hAnsi="Aptos" w:cs="Aptos"/>
              </w:rPr>
              <w:t>–</w:t>
            </w:r>
            <w:r w:rsidRPr="00C67607">
              <w:t>0,17</w:t>
            </w:r>
            <w:r w:rsidRPr="00C67607">
              <w:rPr>
                <w:rFonts w:ascii="Arial" w:hAnsi="Arial" w:cs="Arial"/>
              </w:rPr>
              <w:t> </w:t>
            </w:r>
            <w:r w:rsidRPr="00C67607">
              <w:t xml:space="preserve">mm, garantizando uniformidad, planicidad y claridad </w:t>
            </w:r>
            <w:r w:rsidRPr="00C67607">
              <w:rPr>
                <w:rFonts w:ascii="Aptos" w:hAnsi="Aptos" w:cs="Aptos"/>
              </w:rPr>
              <w:t>ó</w:t>
            </w:r>
            <w:r w:rsidRPr="00C67607">
              <w:t>ptica para aplicaciones microsc</w:t>
            </w:r>
            <w:r w:rsidRPr="00C67607">
              <w:rPr>
                <w:rFonts w:ascii="Aptos" w:hAnsi="Aptos" w:cs="Aptos"/>
              </w:rPr>
              <w:t>ó</w:t>
            </w:r>
            <w:r w:rsidRPr="00C67607">
              <w:t>picas. Son compatibles con l</w:t>
            </w:r>
            <w:r w:rsidRPr="00C67607">
              <w:rPr>
                <w:rFonts w:ascii="Aptos" w:hAnsi="Aptos" w:cs="Aptos"/>
              </w:rPr>
              <w:t>á</w:t>
            </w:r>
            <w:r w:rsidRPr="00C67607">
              <w:t>minas portaobjetos est</w:t>
            </w:r>
            <w:r w:rsidRPr="00C67607">
              <w:rPr>
                <w:rFonts w:ascii="Aptos" w:hAnsi="Aptos" w:cs="Aptos"/>
              </w:rPr>
              <w:t>á</w:t>
            </w:r>
            <w:r w:rsidRPr="00C67607">
              <w:t>ndar</w:t>
            </w:r>
          </w:p>
        </w:tc>
        <w:tc>
          <w:tcPr>
            <w:tcW w:w="1164" w:type="dxa"/>
          </w:tcPr>
          <w:p w14:paraId="43D0BBA9" w14:textId="7422D94E"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t>3</w:t>
            </w:r>
          </w:p>
        </w:tc>
        <w:tc>
          <w:tcPr>
            <w:tcW w:w="1105" w:type="dxa"/>
          </w:tcPr>
          <w:p w14:paraId="39BC1A5C" w14:textId="027F620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004C1EB5"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0342ACB8"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0A5D1FC8" w14:textId="77777777" w:rsidTr="00D761CD">
        <w:tc>
          <w:tcPr>
            <w:tcW w:w="676" w:type="dxa"/>
          </w:tcPr>
          <w:p w14:paraId="120E85D6" w14:textId="61338204"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24</w:t>
            </w:r>
          </w:p>
        </w:tc>
        <w:tc>
          <w:tcPr>
            <w:tcW w:w="1109" w:type="dxa"/>
          </w:tcPr>
          <w:p w14:paraId="52311415" w14:textId="1FE6F08F"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41122601</w:t>
            </w:r>
          </w:p>
        </w:tc>
        <w:tc>
          <w:tcPr>
            <w:tcW w:w="2497" w:type="dxa"/>
          </w:tcPr>
          <w:p w14:paraId="3FDC47B4" w14:textId="40C7922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C67607">
              <w:t>Caja de Laminas de vidrio para muestras: las láminas portaobjetos de vidrio miden 75</w:t>
            </w:r>
            <w:r w:rsidRPr="00C67607">
              <w:rPr>
                <w:rFonts w:ascii="Arial" w:hAnsi="Arial" w:cs="Arial"/>
              </w:rPr>
              <w:t> </w:t>
            </w:r>
            <w:r w:rsidRPr="00C67607">
              <w:t xml:space="preserve">mm </w:t>
            </w:r>
            <w:r w:rsidRPr="00C67607">
              <w:rPr>
                <w:rFonts w:ascii="Aptos" w:hAnsi="Aptos" w:cs="Aptos"/>
              </w:rPr>
              <w:t>×</w:t>
            </w:r>
            <w:r w:rsidRPr="00C67607">
              <w:t xml:space="preserve"> 25</w:t>
            </w:r>
            <w:r w:rsidRPr="00C67607">
              <w:rPr>
                <w:rFonts w:ascii="Arial" w:hAnsi="Arial" w:cs="Arial"/>
              </w:rPr>
              <w:t> </w:t>
            </w:r>
            <w:r w:rsidRPr="00C67607">
              <w:t xml:space="preserve">mm </w:t>
            </w:r>
            <w:r w:rsidRPr="00C67607">
              <w:rPr>
                <w:rFonts w:ascii="Aptos" w:hAnsi="Aptos" w:cs="Aptos"/>
              </w:rPr>
              <w:t>×</w:t>
            </w:r>
            <w:r w:rsidRPr="00C67607">
              <w:t xml:space="preserve"> 1</w:t>
            </w:r>
            <w:r w:rsidRPr="00C67607">
              <w:rPr>
                <w:rFonts w:ascii="Arial" w:hAnsi="Arial" w:cs="Arial"/>
              </w:rPr>
              <w:t> </w:t>
            </w:r>
            <w:r w:rsidRPr="00C67607">
              <w:t xml:space="preserve">mm, se presenta en </w:t>
            </w:r>
            <w:proofErr w:type="gramStart"/>
            <w:r w:rsidRPr="00C67607">
              <w:t>caja</w:t>
            </w:r>
            <w:proofErr w:type="gramEnd"/>
            <w:r w:rsidRPr="00C67607">
              <w:t xml:space="preserve"> de 50 unidades y est</w:t>
            </w:r>
            <w:r w:rsidRPr="00C67607">
              <w:rPr>
                <w:rFonts w:ascii="Aptos" w:hAnsi="Aptos" w:cs="Aptos"/>
              </w:rPr>
              <w:t>á</w:t>
            </w:r>
            <w:r w:rsidRPr="00C67607">
              <w:t xml:space="preserve">n fabricadas en vidrio </w:t>
            </w:r>
            <w:r w:rsidRPr="00C67607">
              <w:rPr>
                <w:rFonts w:ascii="Aptos" w:hAnsi="Aptos" w:cs="Aptos"/>
              </w:rPr>
              <w:t>ó</w:t>
            </w:r>
            <w:r w:rsidRPr="00C67607">
              <w:t xml:space="preserve">ptico transparente con superficie lisa y bordes pulidos. Son uniformes en espesor y planicidad, resistentes a agentes </w:t>
            </w:r>
            <w:r w:rsidRPr="00C67607">
              <w:lastRenderedPageBreak/>
              <w:t>qu</w:t>
            </w:r>
            <w:r w:rsidRPr="00C67607">
              <w:rPr>
                <w:rFonts w:ascii="Aptos" w:hAnsi="Aptos" w:cs="Aptos"/>
              </w:rPr>
              <w:t>í</w:t>
            </w:r>
            <w:r w:rsidRPr="00C67607">
              <w:t>micos comunes de laboratorio y compatibles con cubreobjetos est</w:t>
            </w:r>
            <w:r w:rsidRPr="00C67607">
              <w:rPr>
                <w:rFonts w:ascii="Aptos" w:hAnsi="Aptos" w:cs="Aptos"/>
              </w:rPr>
              <w:t>á</w:t>
            </w:r>
            <w:r w:rsidRPr="00C67607">
              <w:t xml:space="preserve">ndar, garantizando claridad </w:t>
            </w:r>
            <w:r w:rsidRPr="00C67607">
              <w:rPr>
                <w:rFonts w:ascii="Aptos" w:hAnsi="Aptos" w:cs="Aptos"/>
              </w:rPr>
              <w:t>ó</w:t>
            </w:r>
            <w:r w:rsidRPr="00C67607">
              <w:t>ptica y estabilidad dimensional para aplicaciones cient</w:t>
            </w:r>
            <w:r w:rsidRPr="00C67607">
              <w:rPr>
                <w:rFonts w:ascii="Aptos" w:hAnsi="Aptos" w:cs="Aptos"/>
              </w:rPr>
              <w:t>í</w:t>
            </w:r>
            <w:r w:rsidRPr="00C67607">
              <w:t>ficas.</w:t>
            </w:r>
          </w:p>
        </w:tc>
        <w:tc>
          <w:tcPr>
            <w:tcW w:w="1164" w:type="dxa"/>
          </w:tcPr>
          <w:p w14:paraId="00B78CED" w14:textId="77F785C3"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2</w:t>
            </w:r>
          </w:p>
        </w:tc>
        <w:tc>
          <w:tcPr>
            <w:tcW w:w="1105" w:type="dxa"/>
          </w:tcPr>
          <w:p w14:paraId="1CA60CFB" w14:textId="6BE05E5D"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294CCB75"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0226176B"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0B9A276B" w14:textId="77777777" w:rsidTr="00D761CD">
        <w:tc>
          <w:tcPr>
            <w:tcW w:w="676" w:type="dxa"/>
          </w:tcPr>
          <w:p w14:paraId="3198E475" w14:textId="100FAFC5"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25</w:t>
            </w:r>
          </w:p>
        </w:tc>
        <w:tc>
          <w:tcPr>
            <w:tcW w:w="1109" w:type="dxa"/>
          </w:tcPr>
          <w:p w14:paraId="51813672" w14:textId="79A77340"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41122413</w:t>
            </w:r>
          </w:p>
        </w:tc>
        <w:tc>
          <w:tcPr>
            <w:tcW w:w="2497" w:type="dxa"/>
          </w:tcPr>
          <w:p w14:paraId="65129378" w14:textId="3DC6E10A"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C67607">
              <w:t>Pinzas metálicas de acero inoxidable: miden 14</w:t>
            </w:r>
            <w:r w:rsidRPr="00C67607">
              <w:rPr>
                <w:rFonts w:ascii="Arial" w:hAnsi="Arial" w:cs="Arial"/>
              </w:rPr>
              <w:t> </w:t>
            </w:r>
            <w:r w:rsidRPr="00C67607">
              <w:t>cm de longitud, con punta roma y dise</w:t>
            </w:r>
            <w:r w:rsidRPr="00C67607">
              <w:rPr>
                <w:rFonts w:ascii="Aptos" w:hAnsi="Aptos" w:cs="Aptos"/>
              </w:rPr>
              <w:t>ñ</w:t>
            </w:r>
            <w:r w:rsidRPr="00C67607">
              <w:t>o sin garra, fabricadas en acero inoxidable de alta resistencia a la corrosi</w:t>
            </w:r>
            <w:r w:rsidRPr="00C67607">
              <w:rPr>
                <w:rFonts w:ascii="Aptos" w:hAnsi="Aptos" w:cs="Aptos"/>
              </w:rPr>
              <w:t>ó</w:t>
            </w:r>
            <w:r w:rsidRPr="00C67607">
              <w:t>n. Son unitarias, ligeras, duraderas y permiten manipulaci</w:t>
            </w:r>
            <w:r w:rsidRPr="00C67607">
              <w:rPr>
                <w:rFonts w:ascii="Aptos" w:hAnsi="Aptos" w:cs="Aptos"/>
              </w:rPr>
              <w:t>ó</w:t>
            </w:r>
            <w:r w:rsidRPr="00C67607">
              <w:t>n segura de muestras o materiales de laboratorio sin riesgo de da</w:t>
            </w:r>
            <w:r w:rsidRPr="00C67607">
              <w:rPr>
                <w:rFonts w:ascii="Aptos" w:hAnsi="Aptos" w:cs="Aptos"/>
              </w:rPr>
              <w:t>ñ</w:t>
            </w:r>
            <w:r w:rsidRPr="00C67607">
              <w:t>o. Su acabado liso y uniforme garantiza facilidad de limpieza y esterilizaci</w:t>
            </w:r>
            <w:r w:rsidRPr="00C67607">
              <w:rPr>
                <w:rFonts w:ascii="Aptos" w:hAnsi="Aptos" w:cs="Aptos"/>
              </w:rPr>
              <w:t>ó</w:t>
            </w:r>
            <w:r w:rsidRPr="00C67607">
              <w:t>n, siendo adecuadas para aplicaciones generales en laboratorios cl</w:t>
            </w:r>
            <w:r w:rsidRPr="00C67607">
              <w:rPr>
                <w:rFonts w:ascii="Aptos" w:hAnsi="Aptos" w:cs="Aptos"/>
              </w:rPr>
              <w:t>í</w:t>
            </w:r>
            <w:r w:rsidRPr="00C67607">
              <w:t>nicos, educativos o de investigaci</w:t>
            </w:r>
            <w:r w:rsidRPr="00C67607">
              <w:rPr>
                <w:rFonts w:ascii="Aptos" w:hAnsi="Aptos" w:cs="Aptos"/>
              </w:rPr>
              <w:t>ó</w:t>
            </w:r>
            <w:r w:rsidRPr="00C67607">
              <w:t>n donde se requiere precisi</w:t>
            </w:r>
            <w:r w:rsidRPr="00C67607">
              <w:rPr>
                <w:rFonts w:ascii="Aptos" w:hAnsi="Aptos" w:cs="Aptos"/>
              </w:rPr>
              <w:t>ó</w:t>
            </w:r>
            <w:r w:rsidRPr="00C67607">
              <w:t>n y resistencia química.</w:t>
            </w:r>
          </w:p>
        </w:tc>
        <w:tc>
          <w:tcPr>
            <w:tcW w:w="1164" w:type="dxa"/>
          </w:tcPr>
          <w:p w14:paraId="14B05D8E" w14:textId="6DD37090"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t>3</w:t>
            </w:r>
          </w:p>
        </w:tc>
        <w:tc>
          <w:tcPr>
            <w:tcW w:w="1105" w:type="dxa"/>
          </w:tcPr>
          <w:p w14:paraId="4D01C6D5" w14:textId="1990FBFE"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UNIDAD</w:t>
            </w:r>
          </w:p>
        </w:tc>
        <w:tc>
          <w:tcPr>
            <w:tcW w:w="956" w:type="dxa"/>
          </w:tcPr>
          <w:p w14:paraId="5835C6B3"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22149B65"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45313A46" w14:textId="77777777" w:rsidTr="00D761CD">
        <w:tc>
          <w:tcPr>
            <w:tcW w:w="676" w:type="dxa"/>
          </w:tcPr>
          <w:p w14:paraId="33E6F06A" w14:textId="44D6C3A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26</w:t>
            </w:r>
          </w:p>
        </w:tc>
        <w:tc>
          <w:tcPr>
            <w:tcW w:w="1109" w:type="dxa"/>
          </w:tcPr>
          <w:p w14:paraId="3DA1E35B" w14:textId="27FD69E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48102109</w:t>
            </w:r>
          </w:p>
        </w:tc>
        <w:tc>
          <w:tcPr>
            <w:tcW w:w="2497" w:type="dxa"/>
          </w:tcPr>
          <w:p w14:paraId="069BF387" w14:textId="44E5F098"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C67607">
              <w:t xml:space="preserve">Rollo de papel </w:t>
            </w:r>
            <w:proofErr w:type="spellStart"/>
            <w:r w:rsidRPr="00C67607">
              <w:t>plastico</w:t>
            </w:r>
            <w:proofErr w:type="spellEnd"/>
            <w:r w:rsidRPr="00C67607">
              <w:t>: El papel plástico Vinipel transparente para alimentos es una película estirable y adherente fabricada en polietileno de baja densidad (LDPE) apto para contacto con alimentos, con grosor aproximado de 12–15</w:t>
            </w:r>
            <w:r w:rsidRPr="00C67607">
              <w:rPr>
                <w:rFonts w:ascii="Arial" w:hAnsi="Arial" w:cs="Arial"/>
              </w:rPr>
              <w:t> </w:t>
            </w:r>
            <w:r w:rsidRPr="00C67607">
              <w:rPr>
                <w:rFonts w:ascii="Aptos" w:hAnsi="Aptos" w:cs="Aptos"/>
              </w:rPr>
              <w:t>µ</w:t>
            </w:r>
            <w:r w:rsidRPr="00C67607">
              <w:t>m, ancho de 30</w:t>
            </w:r>
            <w:r w:rsidRPr="00C67607">
              <w:rPr>
                <w:rFonts w:ascii="Arial" w:hAnsi="Arial" w:cs="Arial"/>
              </w:rPr>
              <w:t> </w:t>
            </w:r>
            <w:r w:rsidRPr="00C67607">
              <w:t>cm y longitud de 100</w:t>
            </w:r>
            <w:r w:rsidRPr="00C67607">
              <w:rPr>
                <w:rFonts w:ascii="Arial" w:hAnsi="Arial" w:cs="Arial"/>
              </w:rPr>
              <w:t> </w:t>
            </w:r>
            <w:r w:rsidRPr="00C67607">
              <w:t xml:space="preserve">metros por rollo. Ofrece alta </w:t>
            </w:r>
            <w:r w:rsidRPr="00C67607">
              <w:lastRenderedPageBreak/>
              <w:t>elasticidad, resistencia a rasgaduras, buena adherencia y transparencia total, permitiendo envolver frutas, verduras, carnes y otros productos frescos manteniendo su frescura. Es resistente a humedad y al aire, protege contra contaminación y olores, y puede usarse en refrigeración, congelación y almacenamiento temporal, facilitando la identificación visual del contenido sin retirar la película y optimizando la conservación y transporte de alimentos.</w:t>
            </w:r>
          </w:p>
        </w:tc>
        <w:tc>
          <w:tcPr>
            <w:tcW w:w="1164" w:type="dxa"/>
          </w:tcPr>
          <w:p w14:paraId="27DA30E0" w14:textId="639245B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3</w:t>
            </w:r>
          </w:p>
        </w:tc>
        <w:tc>
          <w:tcPr>
            <w:tcW w:w="1105" w:type="dxa"/>
          </w:tcPr>
          <w:p w14:paraId="7891C901" w14:textId="6A20008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ROLLO</w:t>
            </w:r>
          </w:p>
        </w:tc>
        <w:tc>
          <w:tcPr>
            <w:tcW w:w="956" w:type="dxa"/>
          </w:tcPr>
          <w:p w14:paraId="0BD91E15"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2363C2B4"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75EA03C0" w14:textId="77777777" w:rsidTr="00D761CD">
        <w:tc>
          <w:tcPr>
            <w:tcW w:w="676" w:type="dxa"/>
          </w:tcPr>
          <w:p w14:paraId="0C9562D4" w14:textId="7E1CA22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27</w:t>
            </w:r>
          </w:p>
        </w:tc>
        <w:tc>
          <w:tcPr>
            <w:tcW w:w="1109" w:type="dxa"/>
          </w:tcPr>
          <w:p w14:paraId="59FD18DC" w14:textId="3FD3B62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48102108</w:t>
            </w:r>
          </w:p>
        </w:tc>
        <w:tc>
          <w:tcPr>
            <w:tcW w:w="2497" w:type="dxa"/>
          </w:tcPr>
          <w:p w14:paraId="5DAF9273" w14:textId="2C5DB59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C67607">
              <w:t>Rollo Papel aluminio: El papel aluminio en rollo de 300</w:t>
            </w:r>
            <w:r w:rsidRPr="00C67607">
              <w:rPr>
                <w:rFonts w:ascii="Arial" w:hAnsi="Arial" w:cs="Arial"/>
              </w:rPr>
              <w:t> </w:t>
            </w:r>
            <w:r w:rsidRPr="00C67607">
              <w:t>metros es una l</w:t>
            </w:r>
            <w:r w:rsidRPr="00C67607">
              <w:rPr>
                <w:rFonts w:ascii="Aptos" w:hAnsi="Aptos" w:cs="Aptos"/>
              </w:rPr>
              <w:t>á</w:t>
            </w:r>
            <w:r w:rsidRPr="00C67607">
              <w:t>mina de aluminio de alta pureza para uso alimentario y dom</w:t>
            </w:r>
            <w:r w:rsidRPr="00C67607">
              <w:rPr>
                <w:rFonts w:ascii="Aptos" w:hAnsi="Aptos" w:cs="Aptos"/>
              </w:rPr>
              <w:t>é</w:t>
            </w:r>
            <w:r w:rsidRPr="00C67607">
              <w:t xml:space="preserve">stico, con resistencia a temperatura de </w:t>
            </w:r>
            <w:r w:rsidRPr="00C67607">
              <w:rPr>
                <w:rFonts w:ascii="Aptos" w:hAnsi="Aptos" w:cs="Aptos"/>
              </w:rPr>
              <w:t>−</w:t>
            </w:r>
            <w:r w:rsidRPr="00C67607">
              <w:t>40</w:t>
            </w:r>
            <w:r w:rsidRPr="00C67607">
              <w:rPr>
                <w:rFonts w:ascii="Arial" w:hAnsi="Arial" w:cs="Arial"/>
              </w:rPr>
              <w:t> </w:t>
            </w:r>
            <w:r w:rsidRPr="00C67607">
              <w:rPr>
                <w:rFonts w:ascii="Aptos" w:hAnsi="Aptos" w:cs="Aptos"/>
              </w:rPr>
              <w:t>°</w:t>
            </w:r>
            <w:r w:rsidRPr="00C67607">
              <w:t>C a 260</w:t>
            </w:r>
            <w:r w:rsidRPr="00C67607">
              <w:rPr>
                <w:rFonts w:ascii="Arial" w:hAnsi="Arial" w:cs="Arial"/>
              </w:rPr>
              <w:t> </w:t>
            </w:r>
            <w:r w:rsidRPr="00C67607">
              <w:rPr>
                <w:rFonts w:ascii="Aptos" w:hAnsi="Aptos" w:cs="Aptos"/>
              </w:rPr>
              <w:t>°</w:t>
            </w:r>
            <w:r w:rsidRPr="00C67607">
              <w:t>C, barrera contra luz, ox</w:t>
            </w:r>
            <w:r w:rsidRPr="00C67607">
              <w:rPr>
                <w:rFonts w:ascii="Aptos" w:hAnsi="Aptos" w:cs="Aptos"/>
              </w:rPr>
              <w:t>í</w:t>
            </w:r>
            <w:r w:rsidRPr="00C67607">
              <w:t>geno, humedad y olores, grosor aproximado 12</w:t>
            </w:r>
            <w:r w:rsidRPr="00C67607">
              <w:rPr>
                <w:rFonts w:ascii="Aptos" w:hAnsi="Aptos" w:cs="Aptos"/>
              </w:rPr>
              <w:t>–</w:t>
            </w:r>
            <w:r w:rsidRPr="00C67607">
              <w:t>15</w:t>
            </w:r>
            <w:r w:rsidRPr="00C67607">
              <w:rPr>
                <w:rFonts w:ascii="Arial" w:hAnsi="Arial" w:cs="Arial"/>
              </w:rPr>
              <w:t> </w:t>
            </w:r>
            <w:r w:rsidRPr="00C67607">
              <w:rPr>
                <w:rFonts w:ascii="Aptos" w:hAnsi="Aptos" w:cs="Aptos"/>
              </w:rPr>
              <w:t>µ</w:t>
            </w:r>
            <w:r w:rsidRPr="00C67607">
              <w:t>m, ancho est</w:t>
            </w:r>
            <w:r w:rsidRPr="00C67607">
              <w:rPr>
                <w:rFonts w:ascii="Aptos" w:hAnsi="Aptos" w:cs="Aptos"/>
              </w:rPr>
              <w:t>á</w:t>
            </w:r>
            <w:r w:rsidRPr="00C67607">
              <w:t>ndar 30</w:t>
            </w:r>
            <w:r w:rsidRPr="00C67607">
              <w:rPr>
                <w:rFonts w:ascii="Arial" w:hAnsi="Arial" w:cs="Arial"/>
              </w:rPr>
              <w:t> </w:t>
            </w:r>
            <w:r w:rsidRPr="00C67607">
              <w:t>cm, maleable para envolver, cubrir o sellar alimentos, y apto para horneado, refrigeraci</w:t>
            </w:r>
            <w:r w:rsidRPr="00C67607">
              <w:rPr>
                <w:rFonts w:ascii="Aptos" w:hAnsi="Aptos" w:cs="Aptos"/>
              </w:rPr>
              <w:t>ó</w:t>
            </w:r>
            <w:r w:rsidRPr="00C67607">
              <w:t>n y congelaci</w:t>
            </w:r>
            <w:r w:rsidRPr="00C67607">
              <w:rPr>
                <w:rFonts w:ascii="Aptos" w:hAnsi="Aptos" w:cs="Aptos"/>
              </w:rPr>
              <w:t>ó</w:t>
            </w:r>
            <w:r w:rsidRPr="00C67607">
              <w:t>n.</w:t>
            </w:r>
          </w:p>
        </w:tc>
        <w:tc>
          <w:tcPr>
            <w:tcW w:w="1164" w:type="dxa"/>
          </w:tcPr>
          <w:p w14:paraId="33924083" w14:textId="7D894BA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t>1</w:t>
            </w:r>
          </w:p>
        </w:tc>
        <w:tc>
          <w:tcPr>
            <w:tcW w:w="1105" w:type="dxa"/>
          </w:tcPr>
          <w:p w14:paraId="0CC1A94D" w14:textId="68C169A0"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ROLLO</w:t>
            </w:r>
          </w:p>
        </w:tc>
        <w:tc>
          <w:tcPr>
            <w:tcW w:w="956" w:type="dxa"/>
          </w:tcPr>
          <w:p w14:paraId="7C889BED"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1FD2D2B4"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083C3B95" w14:textId="77777777" w:rsidTr="00D761CD">
        <w:tc>
          <w:tcPr>
            <w:tcW w:w="676" w:type="dxa"/>
          </w:tcPr>
          <w:p w14:paraId="2D9EDE14" w14:textId="2B858CC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28</w:t>
            </w:r>
          </w:p>
        </w:tc>
        <w:tc>
          <w:tcPr>
            <w:tcW w:w="1109" w:type="dxa"/>
          </w:tcPr>
          <w:p w14:paraId="42BA6C86" w14:textId="37FEDE3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10191509</w:t>
            </w:r>
          </w:p>
        </w:tc>
        <w:tc>
          <w:tcPr>
            <w:tcW w:w="2497" w:type="dxa"/>
          </w:tcPr>
          <w:p w14:paraId="04E2208F" w14:textId="027170F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2A0632">
              <w:t xml:space="preserve">Spray </w:t>
            </w:r>
            <w:proofErr w:type="gramStart"/>
            <w:r w:rsidRPr="002A0632">
              <w:t>Repelente  de</w:t>
            </w:r>
            <w:proofErr w:type="gramEnd"/>
            <w:r w:rsidRPr="002A0632">
              <w:t xml:space="preserve"> mosquitos: El spray repelente de insectos 120 ml protege contra mosquitos, zancudos y </w:t>
            </w:r>
            <w:r w:rsidRPr="002A0632">
              <w:lastRenderedPageBreak/>
              <w:t xml:space="preserve">vectores de dengue, zika y </w:t>
            </w:r>
            <w:proofErr w:type="spellStart"/>
            <w:r w:rsidRPr="002A0632">
              <w:t>chikungunya</w:t>
            </w:r>
            <w:proofErr w:type="spellEnd"/>
            <w:r w:rsidRPr="002A0632">
              <w:t>, con duración de 6–8 horas por aplicación. Contiene principio activo equivalente IR3535® - 15</w:t>
            </w:r>
            <w:proofErr w:type="gramStart"/>
            <w:r w:rsidRPr="002A0632">
              <w:t>% ,</w:t>
            </w:r>
            <w:proofErr w:type="gramEnd"/>
            <w:r w:rsidRPr="002A0632">
              <w:t xml:space="preserve"> de liberación controlada en niebla fina, de secado rápido, baja irritación cutánea y adherencia a piel y ropa.</w:t>
            </w:r>
          </w:p>
        </w:tc>
        <w:tc>
          <w:tcPr>
            <w:tcW w:w="1164" w:type="dxa"/>
          </w:tcPr>
          <w:p w14:paraId="7207B330" w14:textId="17274AA3"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3</w:t>
            </w:r>
          </w:p>
        </w:tc>
        <w:tc>
          <w:tcPr>
            <w:tcW w:w="1105" w:type="dxa"/>
          </w:tcPr>
          <w:p w14:paraId="2C721CD8" w14:textId="5EFE018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30C94D3B"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35A4A434"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679563FB" w14:textId="77777777" w:rsidTr="00D761CD">
        <w:tc>
          <w:tcPr>
            <w:tcW w:w="676" w:type="dxa"/>
          </w:tcPr>
          <w:p w14:paraId="09C66AB2" w14:textId="3D75B92E"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29</w:t>
            </w:r>
          </w:p>
        </w:tc>
        <w:tc>
          <w:tcPr>
            <w:tcW w:w="1109" w:type="dxa"/>
          </w:tcPr>
          <w:p w14:paraId="1BF7DE8C" w14:textId="479FAFBC"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0F2156F6" w14:textId="2207BB1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2A0632">
              <w:t xml:space="preserve">Agar </w:t>
            </w:r>
            <w:proofErr w:type="spellStart"/>
            <w:r w:rsidRPr="002A0632">
              <w:t>Cetrimida</w:t>
            </w:r>
            <w:proofErr w:type="spellEnd"/>
            <w:r w:rsidRPr="002A0632">
              <w:t xml:space="preserve">: Contiene </w:t>
            </w:r>
            <w:proofErr w:type="spellStart"/>
            <w:r w:rsidRPr="002A0632">
              <w:t>cetrimida</w:t>
            </w:r>
            <w:proofErr w:type="spellEnd"/>
            <w:r w:rsidRPr="002A0632">
              <w:t xml:space="preserve"> (bromuro de </w:t>
            </w:r>
            <w:proofErr w:type="spellStart"/>
            <w:r w:rsidRPr="002A0632">
              <w:t>cetiltrimetilamonio</w:t>
            </w:r>
            <w:proofErr w:type="spellEnd"/>
            <w:r w:rsidRPr="002A0632">
              <w:t>). Especificaciones técnicas mínimas requeridas: presentación en polvo deshidratado; color beige claro; contenido neto de 500 g; pH del medio preparado de 7,2 ± 0,2 a 25 °C; soluble en agua destilada mediante calentamiento; esterilización por autoclave a 121 °C durante 15 minutos; medio selectivo conforme a estándares microbiológicos vigentes y apto para uso en laboratorio de análisis clínico, ambiental o académico. Presentación: envase herméticamente sellado, debidamente rotulado con nombre del producto, lote, fecha de fabricación y vencimiento, condiciones de almacenamiento y ficha técnica del fabricante.</w:t>
            </w:r>
          </w:p>
        </w:tc>
        <w:tc>
          <w:tcPr>
            <w:tcW w:w="1164" w:type="dxa"/>
          </w:tcPr>
          <w:p w14:paraId="0D11D464" w14:textId="59671F7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t>1</w:t>
            </w:r>
          </w:p>
        </w:tc>
        <w:tc>
          <w:tcPr>
            <w:tcW w:w="1105" w:type="dxa"/>
          </w:tcPr>
          <w:p w14:paraId="000DBC93" w14:textId="518C9EA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2A080861"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113634D4"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78AEBD8A" w14:textId="77777777" w:rsidTr="00D761CD">
        <w:tc>
          <w:tcPr>
            <w:tcW w:w="676" w:type="dxa"/>
          </w:tcPr>
          <w:p w14:paraId="69299283" w14:textId="684DF738"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lastRenderedPageBreak/>
              <w:t>30</w:t>
            </w:r>
          </w:p>
        </w:tc>
        <w:tc>
          <w:tcPr>
            <w:tcW w:w="1109" w:type="dxa"/>
          </w:tcPr>
          <w:p w14:paraId="7AE68EDE" w14:textId="54258B4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355565A1" w14:textId="77777777" w:rsidR="00B56599" w:rsidRDefault="00B56599" w:rsidP="00B56599">
            <w:pPr>
              <w:spacing w:after="0" w:line="240" w:lineRule="auto"/>
              <w:jc w:val="both"/>
            </w:pPr>
            <w:r w:rsidRPr="002A0632">
              <w:t xml:space="preserve">"Medio de caldo </w:t>
            </w:r>
            <w:proofErr w:type="spellStart"/>
            <w:r w:rsidRPr="002A0632">
              <w:t>esteril</w:t>
            </w:r>
            <w:proofErr w:type="spellEnd"/>
            <w:r w:rsidRPr="002A0632">
              <w:t xml:space="preserve"> (#18 </w:t>
            </w:r>
            <w:proofErr w:type="spellStart"/>
            <w:r w:rsidRPr="002A0632">
              <w:t>Broth</w:t>
            </w:r>
            <w:proofErr w:type="spellEnd"/>
            <w:r w:rsidRPr="002A0632">
              <w:t>/TSB</w:t>
            </w:r>
            <w:proofErr w:type="gramStart"/>
            <w:r w:rsidRPr="002A0632">
              <w:t>) :</w:t>
            </w:r>
            <w:proofErr w:type="gramEnd"/>
            <w:r w:rsidRPr="002A0632">
              <w:t xml:space="preserve"> Medio de cultivo no selectivo de uso general, empleado en microbiología para el crecimiento, enriquecimiento y mantenimiento de bacterias exigentes y no exigentes. </w:t>
            </w:r>
          </w:p>
          <w:p w14:paraId="21F15E91" w14:textId="77777777" w:rsidR="00B56599" w:rsidRPr="00B56599" w:rsidRDefault="00B56599" w:rsidP="00B56599">
            <w:pPr>
              <w:spacing w:after="0" w:line="240" w:lineRule="auto"/>
              <w:jc w:val="both"/>
            </w:pPr>
            <w:r w:rsidRPr="00B56599">
              <w:t>Especificaciones técnicas mínimas requeridas: presentación en frasco de 500 g; estado físico en polvo deshidratado para preparación estéril; color beige claro; pH del medio preparado de 7,3 ± 0,2 a 25 °C; soluble en agua destilada; esterilización mediante autoclave a 121 °C durante 15 minutos; garantiza esterilidad una vez preparado bajo condiciones adecuadas.</w:t>
            </w:r>
          </w:p>
          <w:p w14:paraId="7A03CE56" w14:textId="43C5B0D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B56599">
              <w:t>Presentación: envase herméticamente sellado, debidamente rotulado con nombre del producto, lote, fecha de fabricación y vencimiento, condiciones de almacenamiento y ficha técnica correspondiente.</w:t>
            </w:r>
          </w:p>
        </w:tc>
        <w:tc>
          <w:tcPr>
            <w:tcW w:w="1164" w:type="dxa"/>
          </w:tcPr>
          <w:p w14:paraId="7F0FA476" w14:textId="642EE04F"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t>1</w:t>
            </w:r>
          </w:p>
        </w:tc>
        <w:tc>
          <w:tcPr>
            <w:tcW w:w="1105" w:type="dxa"/>
          </w:tcPr>
          <w:p w14:paraId="16254060" w14:textId="1AAF8958"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2E235FF1"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1E247BD1"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0CA81CD6" w14:textId="77777777" w:rsidTr="00D761CD">
        <w:tc>
          <w:tcPr>
            <w:tcW w:w="676" w:type="dxa"/>
          </w:tcPr>
          <w:p w14:paraId="62AA554F" w14:textId="12121390"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31</w:t>
            </w:r>
          </w:p>
        </w:tc>
        <w:tc>
          <w:tcPr>
            <w:tcW w:w="1109" w:type="dxa"/>
          </w:tcPr>
          <w:p w14:paraId="3B97B368" w14:textId="3F5CDD50"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45CA7259" w14:textId="07DF2943"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roofErr w:type="spellStart"/>
            <w:r w:rsidRPr="008D35B3">
              <w:t>Tryptic</w:t>
            </w:r>
            <w:proofErr w:type="spellEnd"/>
            <w:r w:rsidRPr="008D35B3">
              <w:t xml:space="preserve"> Soy Agar (TSA): Medio de cultivo no selectivo de uso general, ampliamente utilizado en microbiología para el aislamiento, crecimiento y mantenimiento de bacterias exigentes y no exigentes. </w:t>
            </w:r>
            <w:r w:rsidRPr="008D35B3">
              <w:lastRenderedPageBreak/>
              <w:t>Especificaciones técnicas mínimas requeridas: presentación en frasco de 500 g; estado físico en polvo deshidratado; color beige claro; pH del medio preparado de 7,3 ± 0,2 a 25 °C; soluble en agua destilada mediante calentamiento; esterilización mediante autoclave a 121 °C durante 15 minutos; medio no selectivo</w:t>
            </w:r>
            <w:proofErr w:type="gramStart"/>
            <w:r w:rsidRPr="008D35B3">
              <w:t>; .</w:t>
            </w:r>
            <w:proofErr w:type="gramEnd"/>
            <w:r w:rsidRPr="008D35B3">
              <w:t xml:space="preserve"> Presentación: envase herméticamente sellado, debidamente rotulado con nombre del producto, lote, fecha de fabricación y vencimiento, condiciones de almacenamiento y ficha técnica del fabricante.</w:t>
            </w:r>
          </w:p>
        </w:tc>
        <w:tc>
          <w:tcPr>
            <w:tcW w:w="1164" w:type="dxa"/>
          </w:tcPr>
          <w:p w14:paraId="0291AACF" w14:textId="75602CDC"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1</w:t>
            </w:r>
          </w:p>
        </w:tc>
        <w:tc>
          <w:tcPr>
            <w:tcW w:w="1105" w:type="dxa"/>
          </w:tcPr>
          <w:p w14:paraId="29527EF3" w14:textId="5B34C78A"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5CDCE926"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21E9427B"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580C2664" w14:textId="77777777" w:rsidTr="00D761CD">
        <w:tc>
          <w:tcPr>
            <w:tcW w:w="676" w:type="dxa"/>
          </w:tcPr>
          <w:p w14:paraId="28670167" w14:textId="5A85243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32</w:t>
            </w:r>
          </w:p>
        </w:tc>
        <w:tc>
          <w:tcPr>
            <w:tcW w:w="1109" w:type="dxa"/>
          </w:tcPr>
          <w:p w14:paraId="12ADA716" w14:textId="68A31A94"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2AEFA23A" w14:textId="5A380F3E"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8D35B3">
              <w:t xml:space="preserve">Pseudomonas Agar P: Medio de cultivo selectivo y diferencial, diseñado para el aislamiento, identificación y estimulación de la producción de pigmentos de bacterias del género Pseudomonas, especialmente Pseudomonas </w:t>
            </w:r>
            <w:proofErr w:type="spellStart"/>
            <w:r w:rsidRPr="008D35B3">
              <w:t>aeruginosa</w:t>
            </w:r>
            <w:proofErr w:type="spellEnd"/>
            <w:r w:rsidRPr="008D35B3">
              <w:t xml:space="preserve">. Especificaciones técnicas mínimas requeridas: presentación en frasco de 500 g; estado físico en polvo deshidratado; color beige claro; pH del medio preparado </w:t>
            </w:r>
            <w:r w:rsidRPr="008D35B3">
              <w:lastRenderedPageBreak/>
              <w:t>aproximadamente 7,1 ± 0,2 a 25 °C; soluble en agua destilada mediante calentamiento; esterilización mediante autoclave a 121 °C durante 15 minutos; medio selectivo y diferencial. Presentación: envase herméticamente sellado, debidamente rotulado con nombre del producto, lote, fecha de fabricación y vencimiento, condiciones de almacenamiento y ficha técnica del fabricante.</w:t>
            </w:r>
          </w:p>
        </w:tc>
        <w:tc>
          <w:tcPr>
            <w:tcW w:w="1164" w:type="dxa"/>
          </w:tcPr>
          <w:p w14:paraId="462F5D7E" w14:textId="05A5DEEC"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1</w:t>
            </w:r>
          </w:p>
        </w:tc>
        <w:tc>
          <w:tcPr>
            <w:tcW w:w="1105" w:type="dxa"/>
          </w:tcPr>
          <w:p w14:paraId="22227D1F" w14:textId="12D7D96B"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2026D9A4"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0D783815"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40E97B5B" w14:textId="77777777" w:rsidTr="00D761CD">
        <w:tc>
          <w:tcPr>
            <w:tcW w:w="676" w:type="dxa"/>
          </w:tcPr>
          <w:p w14:paraId="65299CF9" w14:textId="40CB7F4A"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33</w:t>
            </w:r>
          </w:p>
        </w:tc>
        <w:tc>
          <w:tcPr>
            <w:tcW w:w="1109" w:type="dxa"/>
          </w:tcPr>
          <w:p w14:paraId="0877E3B6" w14:textId="543F9BC5"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7A677C21" w14:textId="25F3783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8D35B3">
              <w:t xml:space="preserve">Pseudomonas Agar F: Medio de cultivo selectivo y diferencial, formulado para el aislamiento e identificación presuntiva de bacterias del género Pseudomonas, especialmente Pseudomonas </w:t>
            </w:r>
            <w:proofErr w:type="spellStart"/>
            <w:r w:rsidRPr="008D35B3">
              <w:t>aeruginosa</w:t>
            </w:r>
            <w:proofErr w:type="spellEnd"/>
            <w:r w:rsidRPr="008D35B3">
              <w:t xml:space="preserve">, mediante la estimulación de la producción del pigmento fluorescente </w:t>
            </w:r>
            <w:proofErr w:type="spellStart"/>
            <w:r w:rsidRPr="008D35B3">
              <w:t>pioverdina</w:t>
            </w:r>
            <w:proofErr w:type="spellEnd"/>
            <w:r w:rsidRPr="008D35B3">
              <w:t xml:space="preserve">. Especificaciones técnicas mínimas requeridas: presentación en frasco de 500 g; estado físico en polvo deshidratado; color beige claro; pH del medio preparado aproximadamente 7,1 ± 0,2 a 25 °C; soluble en agua destilada mediante calentamiento; esterilización mediante </w:t>
            </w:r>
            <w:r w:rsidRPr="008D35B3">
              <w:lastRenderedPageBreak/>
              <w:t>autoclave a 121 °C durante 15 minutos; medio selectivo y diferencial; permite observación de fluorescencia bajo luz UV; cumple con estándares microbiológicos según fabricante. Presentación: envase herméticamente sellado, debidamente rotulado con nombre del producto, lote, fecha de fabricación y vencimiento, condiciones de almacenamiento y ficha técnica.</w:t>
            </w:r>
          </w:p>
        </w:tc>
        <w:tc>
          <w:tcPr>
            <w:tcW w:w="1164" w:type="dxa"/>
          </w:tcPr>
          <w:p w14:paraId="6F11F4F9" w14:textId="4765C5E5"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1</w:t>
            </w:r>
          </w:p>
        </w:tc>
        <w:tc>
          <w:tcPr>
            <w:tcW w:w="1105" w:type="dxa"/>
          </w:tcPr>
          <w:p w14:paraId="1EEFDF62" w14:textId="7DBCA10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73596DDE"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48D8D17D"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0DA91947" w14:textId="77777777" w:rsidTr="00D761CD">
        <w:tc>
          <w:tcPr>
            <w:tcW w:w="676" w:type="dxa"/>
          </w:tcPr>
          <w:p w14:paraId="582E2ED2" w14:textId="59DF18E4"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34</w:t>
            </w:r>
          </w:p>
        </w:tc>
        <w:tc>
          <w:tcPr>
            <w:tcW w:w="1109" w:type="dxa"/>
          </w:tcPr>
          <w:p w14:paraId="7EC7032E" w14:textId="2747C60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33D1F432" w14:textId="014F2F1D"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8D35B3">
              <w:t xml:space="preserve">ATCC </w:t>
            </w:r>
            <w:proofErr w:type="gramStart"/>
            <w:r w:rsidRPr="008D35B3">
              <w:t>15442  Pseudomonas</w:t>
            </w:r>
            <w:proofErr w:type="gramEnd"/>
            <w:r w:rsidRPr="008D35B3">
              <w:t xml:space="preserve"> </w:t>
            </w:r>
            <w:proofErr w:type="spellStart"/>
            <w:r w:rsidRPr="008D35B3">
              <w:t>aeruginosa</w:t>
            </w:r>
            <w:proofErr w:type="spellEnd"/>
            <w:r w:rsidRPr="008D35B3">
              <w:t xml:space="preserve">: Cepa bacteriana de referencia certificada, correspondiente a Pseudomonas </w:t>
            </w:r>
            <w:proofErr w:type="spellStart"/>
            <w:r w:rsidRPr="008D35B3">
              <w:t>aeruginosa</w:t>
            </w:r>
            <w:proofErr w:type="spellEnd"/>
            <w:r w:rsidRPr="008D35B3">
              <w:t xml:space="preserve"> ATCC® 15442™, suministrada por la American </w:t>
            </w:r>
            <w:proofErr w:type="spellStart"/>
            <w:r w:rsidRPr="008D35B3">
              <w:t>Type</w:t>
            </w:r>
            <w:proofErr w:type="spellEnd"/>
            <w:r w:rsidRPr="008D35B3">
              <w:t xml:space="preserve"> Culture </w:t>
            </w:r>
            <w:proofErr w:type="spellStart"/>
            <w:r w:rsidRPr="008D35B3">
              <w:t>Collection</w:t>
            </w:r>
            <w:proofErr w:type="spellEnd"/>
            <w:r w:rsidRPr="008D35B3">
              <w:t xml:space="preserve"> (ATCC). Especificaciones técnicas mínimas requeridas: cepa con características fenotípicas y genotípicas estandarizadas, que garantizan reproducibilidad, confiabilidad y consistencia en los resultados; suministrada con certificado de autenticidad; adecuada para uso en laboratorios de microbiología según normas de bioseguridad vigentes; manipulable </w:t>
            </w:r>
            <w:r w:rsidRPr="008D35B3">
              <w:lastRenderedPageBreak/>
              <w:t>bajo condiciones de seguridad apropiadas. Presentación: envase certificado por ATCC, con información de lote, fecha de suministro, condiciones de almacenamiento y manejo seguro, apto para transporte conforme a regulaciones para microorganismos de referencia.</w:t>
            </w:r>
          </w:p>
        </w:tc>
        <w:tc>
          <w:tcPr>
            <w:tcW w:w="1164" w:type="dxa"/>
          </w:tcPr>
          <w:p w14:paraId="1891FF01" w14:textId="2665CAF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1</w:t>
            </w:r>
          </w:p>
        </w:tc>
        <w:tc>
          <w:tcPr>
            <w:tcW w:w="1105" w:type="dxa"/>
          </w:tcPr>
          <w:p w14:paraId="33F07EDD" w14:textId="487999F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2C3FB249"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22A777BC"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158FCE12" w14:textId="77777777" w:rsidTr="00D761CD">
        <w:tc>
          <w:tcPr>
            <w:tcW w:w="676" w:type="dxa"/>
          </w:tcPr>
          <w:p w14:paraId="2B3B7231" w14:textId="5ECAC8F4"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35</w:t>
            </w:r>
          </w:p>
        </w:tc>
        <w:tc>
          <w:tcPr>
            <w:tcW w:w="1109" w:type="dxa"/>
          </w:tcPr>
          <w:p w14:paraId="22987A86" w14:textId="078414B8"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4EA12D69" w14:textId="39BDA5A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2A73E2">
              <w:t xml:space="preserve">Asas redondas </w:t>
            </w:r>
            <w:proofErr w:type="spellStart"/>
            <w:r w:rsidRPr="002A73E2">
              <w:t>esteriles</w:t>
            </w:r>
            <w:proofErr w:type="spellEnd"/>
            <w:r w:rsidRPr="002A73E2">
              <w:t xml:space="preserve"> desechables paquete por 10 unidades: asas redondas desechables elaboradas en plástico de grado laboratorio y esterilizadas de fábrica mediante radiación u otros métodos equivalentes, diseñadas para la transferencia, toma y siembra de microorganismos en medios de cultivo sólidos o líquidos. Cada paquete contiene 10 asas estériles, con longitud total aproximada de 150</w:t>
            </w:r>
            <w:r w:rsidRPr="002A73E2">
              <w:rPr>
                <w:rFonts w:ascii="Arial" w:hAnsi="Arial" w:cs="Arial"/>
              </w:rPr>
              <w:t> </w:t>
            </w:r>
            <w:r w:rsidRPr="002A73E2">
              <w:t>mm y di</w:t>
            </w:r>
            <w:r w:rsidRPr="002A73E2">
              <w:rPr>
                <w:rFonts w:ascii="Aptos" w:hAnsi="Aptos" w:cs="Aptos"/>
              </w:rPr>
              <w:t>á</w:t>
            </w:r>
            <w:r w:rsidRPr="002A73E2">
              <w:t>metro de la punta redonda de 1</w:t>
            </w:r>
            <w:r w:rsidRPr="002A73E2">
              <w:rPr>
                <w:rFonts w:ascii="Arial" w:hAnsi="Arial" w:cs="Arial"/>
              </w:rPr>
              <w:t> </w:t>
            </w:r>
            <w:r w:rsidRPr="002A73E2">
              <w:t>mm, y un dise</w:t>
            </w:r>
            <w:r w:rsidRPr="002A73E2">
              <w:rPr>
                <w:rFonts w:ascii="Aptos" w:hAnsi="Aptos" w:cs="Aptos"/>
              </w:rPr>
              <w:t>ñ</w:t>
            </w:r>
            <w:r w:rsidRPr="002A73E2">
              <w:t>o ergon</w:t>
            </w:r>
            <w:r w:rsidRPr="002A73E2">
              <w:rPr>
                <w:rFonts w:ascii="Aptos" w:hAnsi="Aptos" w:cs="Aptos"/>
              </w:rPr>
              <w:t>ó</w:t>
            </w:r>
            <w:r w:rsidRPr="002A73E2">
              <w:t>mico que permite manipulaci</w:t>
            </w:r>
            <w:r w:rsidRPr="002A73E2">
              <w:rPr>
                <w:rFonts w:ascii="Aptos" w:hAnsi="Aptos" w:cs="Aptos"/>
              </w:rPr>
              <w:t>ó</w:t>
            </w:r>
            <w:r w:rsidRPr="002A73E2">
              <w:t xml:space="preserve">n segura y precisa, minimizando el riesgo de contaminación cruzada y garantizando condiciones asépticas durante el trabajo en laboratorio. Son de uso único, de color variable según fabricante, y </w:t>
            </w:r>
            <w:r w:rsidRPr="002A73E2">
              <w:lastRenderedPageBreak/>
              <w:t>proporcionan comodidad y confiabilidad para aplicaciones en microbiología, enseñanza, investigación y control de calidad.</w:t>
            </w:r>
          </w:p>
        </w:tc>
        <w:tc>
          <w:tcPr>
            <w:tcW w:w="1164" w:type="dxa"/>
          </w:tcPr>
          <w:p w14:paraId="185800F8" w14:textId="2A2756D8"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8</w:t>
            </w:r>
          </w:p>
        </w:tc>
        <w:tc>
          <w:tcPr>
            <w:tcW w:w="1105" w:type="dxa"/>
          </w:tcPr>
          <w:p w14:paraId="0329EC2F" w14:textId="7C14D3F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Paquete</w:t>
            </w:r>
          </w:p>
        </w:tc>
        <w:tc>
          <w:tcPr>
            <w:tcW w:w="956" w:type="dxa"/>
          </w:tcPr>
          <w:p w14:paraId="7A56827D"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63D8F730"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3A2EBA0D" w14:textId="77777777" w:rsidTr="00D761CD">
        <w:tc>
          <w:tcPr>
            <w:tcW w:w="676" w:type="dxa"/>
          </w:tcPr>
          <w:p w14:paraId="48E15604" w14:textId="248C289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36</w:t>
            </w:r>
          </w:p>
        </w:tc>
        <w:tc>
          <w:tcPr>
            <w:tcW w:w="1109" w:type="dxa"/>
          </w:tcPr>
          <w:p w14:paraId="07ADAA41" w14:textId="711B901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2C692813" w14:textId="681F69E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2A73E2">
              <w:t xml:space="preserve">Cajas de </w:t>
            </w:r>
            <w:proofErr w:type="spellStart"/>
            <w:r w:rsidRPr="002A73E2">
              <w:t>petri</w:t>
            </w:r>
            <w:proofErr w:type="spellEnd"/>
            <w:r w:rsidRPr="002A73E2">
              <w:t xml:space="preserve"> </w:t>
            </w:r>
            <w:proofErr w:type="spellStart"/>
            <w:r w:rsidRPr="002A73E2">
              <w:t>esteriles</w:t>
            </w:r>
            <w:proofErr w:type="spellEnd"/>
            <w:r w:rsidRPr="002A73E2">
              <w:t xml:space="preserve"> </w:t>
            </w:r>
            <w:proofErr w:type="spellStart"/>
            <w:r w:rsidRPr="002A73E2">
              <w:t>plasticas</w:t>
            </w:r>
            <w:proofErr w:type="spellEnd"/>
            <w:r w:rsidRPr="002A73E2">
              <w:t xml:space="preserve"> paquete por 10 placas: Las cajas de Petri estériles plásticas son recipientes circulares desechables de 100</w:t>
            </w:r>
            <w:r w:rsidRPr="002A73E2">
              <w:rPr>
                <w:rFonts w:ascii="Arial" w:hAnsi="Arial" w:cs="Arial"/>
              </w:rPr>
              <w:t> </w:t>
            </w:r>
            <w:r w:rsidRPr="002A73E2">
              <w:t>mm de di</w:t>
            </w:r>
            <w:r w:rsidRPr="002A73E2">
              <w:rPr>
                <w:rFonts w:ascii="Aptos" w:hAnsi="Aptos" w:cs="Aptos"/>
              </w:rPr>
              <w:t>á</w:t>
            </w:r>
            <w:r w:rsidRPr="002A73E2">
              <w:t>metro por 15</w:t>
            </w:r>
            <w:r w:rsidRPr="002A73E2">
              <w:rPr>
                <w:rFonts w:ascii="Arial" w:hAnsi="Arial" w:cs="Arial"/>
              </w:rPr>
              <w:t> </w:t>
            </w:r>
            <w:r w:rsidRPr="002A73E2">
              <w:t>mm de altura, fabricadas en pl</w:t>
            </w:r>
            <w:r w:rsidRPr="002A73E2">
              <w:rPr>
                <w:rFonts w:ascii="Aptos" w:hAnsi="Aptos" w:cs="Aptos"/>
              </w:rPr>
              <w:t>á</w:t>
            </w:r>
            <w:r w:rsidRPr="002A73E2">
              <w:t>stico transparente de grado laboratorio (poliestireno) y est</w:t>
            </w:r>
            <w:r w:rsidRPr="002A73E2">
              <w:rPr>
                <w:rFonts w:ascii="Aptos" w:hAnsi="Aptos" w:cs="Aptos"/>
              </w:rPr>
              <w:t>é</w:t>
            </w:r>
            <w:r w:rsidRPr="002A73E2">
              <w:t>riles de f</w:t>
            </w:r>
            <w:r w:rsidRPr="002A73E2">
              <w:rPr>
                <w:rFonts w:ascii="Aptos" w:hAnsi="Aptos" w:cs="Aptos"/>
              </w:rPr>
              <w:t>á</w:t>
            </w:r>
            <w:r w:rsidRPr="002A73E2">
              <w:t>brica, dise</w:t>
            </w:r>
            <w:r w:rsidRPr="002A73E2">
              <w:rPr>
                <w:rFonts w:ascii="Aptos" w:hAnsi="Aptos" w:cs="Aptos"/>
              </w:rPr>
              <w:t>ñ</w:t>
            </w:r>
            <w:r w:rsidRPr="002A73E2">
              <w:t>adas para la preparaci</w:t>
            </w:r>
            <w:r w:rsidRPr="002A73E2">
              <w:rPr>
                <w:rFonts w:ascii="Aptos" w:hAnsi="Aptos" w:cs="Aptos"/>
              </w:rPr>
              <w:t>ó</w:t>
            </w:r>
            <w:r w:rsidRPr="002A73E2">
              <w:t>n, siembra, incubaci</w:t>
            </w:r>
            <w:r w:rsidRPr="002A73E2">
              <w:rPr>
                <w:rFonts w:ascii="Aptos" w:hAnsi="Aptos" w:cs="Aptos"/>
              </w:rPr>
              <w:t>ó</w:t>
            </w:r>
            <w:r w:rsidRPr="002A73E2">
              <w:t>n y observaci</w:t>
            </w:r>
            <w:r w:rsidRPr="002A73E2">
              <w:rPr>
                <w:rFonts w:ascii="Aptos" w:hAnsi="Aptos" w:cs="Aptos"/>
              </w:rPr>
              <w:t>ó</w:t>
            </w:r>
            <w:r w:rsidRPr="002A73E2">
              <w:t>n de cultivos microbiol</w:t>
            </w:r>
            <w:r w:rsidRPr="002A73E2">
              <w:rPr>
                <w:rFonts w:ascii="Aptos" w:hAnsi="Aptos" w:cs="Aptos"/>
              </w:rPr>
              <w:t>ó</w:t>
            </w:r>
            <w:r w:rsidRPr="002A73E2">
              <w:t>gicos en medios s</w:t>
            </w:r>
            <w:r w:rsidRPr="002A73E2">
              <w:rPr>
                <w:rFonts w:ascii="Aptos" w:hAnsi="Aptos" w:cs="Aptos"/>
              </w:rPr>
              <w:t>ó</w:t>
            </w:r>
            <w:r w:rsidRPr="002A73E2">
              <w:t>lidos. Cada paquete incluye 10 placas de un solo uso, con superficie lisa y uniforme que garantiza un crecimiento homog</w:t>
            </w:r>
            <w:r w:rsidRPr="002A73E2">
              <w:rPr>
                <w:rFonts w:ascii="Aptos" w:hAnsi="Aptos" w:cs="Aptos"/>
              </w:rPr>
              <w:t>é</w:t>
            </w:r>
            <w:r w:rsidRPr="002A73E2">
              <w:t xml:space="preserve">neo de microorganismos, alta transparencia para facilitar la observación y el conteo de colonias, y ajuste preciso tapa–base que protege el contenido durante incubación o manipulación. Son compatibles con incubadoras estándar, seguras para uso en laboratorios educativos, clínicos o de investigación, y eliminan la necesidad de esterilización previa, </w:t>
            </w:r>
            <w:r w:rsidRPr="002A73E2">
              <w:lastRenderedPageBreak/>
              <w:t>ofreciendo comodidad y confiabilidad en trabajos microbiológicos.</w:t>
            </w:r>
          </w:p>
        </w:tc>
        <w:tc>
          <w:tcPr>
            <w:tcW w:w="1164" w:type="dxa"/>
          </w:tcPr>
          <w:p w14:paraId="59333E09" w14:textId="423B676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8</w:t>
            </w:r>
          </w:p>
        </w:tc>
        <w:tc>
          <w:tcPr>
            <w:tcW w:w="1105" w:type="dxa"/>
          </w:tcPr>
          <w:p w14:paraId="1DDFD702" w14:textId="4614F496"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Paquete</w:t>
            </w:r>
          </w:p>
        </w:tc>
        <w:tc>
          <w:tcPr>
            <w:tcW w:w="956" w:type="dxa"/>
          </w:tcPr>
          <w:p w14:paraId="2F48253E"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7DC99A3B"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55D912E9" w14:textId="77777777" w:rsidTr="00D761CD">
        <w:tc>
          <w:tcPr>
            <w:tcW w:w="676" w:type="dxa"/>
          </w:tcPr>
          <w:p w14:paraId="2DA45EDD" w14:textId="2FFDC435"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37</w:t>
            </w:r>
          </w:p>
        </w:tc>
        <w:tc>
          <w:tcPr>
            <w:tcW w:w="1109" w:type="dxa"/>
          </w:tcPr>
          <w:p w14:paraId="15D80B78" w14:textId="4973938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1C3CC380" w14:textId="50A7DFFB"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2A73E2">
              <w:t xml:space="preserve">Agar de recuento en placa (PCA) según ISO 4833, ISO 17410, IFU, FDA-BAM y SMWW Presentación </w:t>
            </w:r>
            <w:proofErr w:type="gramStart"/>
            <w:r w:rsidRPr="002A73E2">
              <w:t>frasco  500</w:t>
            </w:r>
            <w:proofErr w:type="gramEnd"/>
            <w:r w:rsidRPr="002A73E2">
              <w:t xml:space="preserve"> g: Medio de cultivo no selectivo utilizado para el recuento de microorganismos aerobios mesófilos mediante la técnica de recuento en placa. Especificaciones técnicas mínimas requeridas: estado físico en polvo deshidratado; color beige claro; contenido neto de 500 g; pH del medio preparado de 7,0 ± 0,2 a 25 °C; soluble en agua destilada mediante calentamiento; esterilización mediante autoclave a 121 °C durante 15 minutos; medio no selectivo. Presentación: frasco herméticamente sellado, debidamente rotulado con nombre del producto, lote, fecha de fabricación, instrucciones de preparación y almacenamiento.</w:t>
            </w:r>
          </w:p>
        </w:tc>
        <w:tc>
          <w:tcPr>
            <w:tcW w:w="1164" w:type="dxa"/>
          </w:tcPr>
          <w:p w14:paraId="6224D539" w14:textId="7BFA801B"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t>1</w:t>
            </w:r>
          </w:p>
        </w:tc>
        <w:tc>
          <w:tcPr>
            <w:tcW w:w="1105" w:type="dxa"/>
          </w:tcPr>
          <w:p w14:paraId="3A14CFBD" w14:textId="2CF80585"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4B724BF1"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7AD844EC"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1BD937BC" w14:textId="77777777" w:rsidTr="00D761CD">
        <w:tc>
          <w:tcPr>
            <w:tcW w:w="676" w:type="dxa"/>
          </w:tcPr>
          <w:p w14:paraId="03B7542F" w14:textId="355CE43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38</w:t>
            </w:r>
          </w:p>
        </w:tc>
        <w:tc>
          <w:tcPr>
            <w:tcW w:w="1109" w:type="dxa"/>
          </w:tcPr>
          <w:p w14:paraId="2B2532E4" w14:textId="71EE8AE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4D1E27EC" w14:textId="21B704BD"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2A73E2">
              <w:t xml:space="preserve">Agar glucosa 4% según SABOURAUD. Presentación </w:t>
            </w:r>
            <w:proofErr w:type="gramStart"/>
            <w:r w:rsidRPr="002A73E2">
              <w:t>frasco  500</w:t>
            </w:r>
            <w:proofErr w:type="gramEnd"/>
            <w:r w:rsidRPr="002A73E2">
              <w:t xml:space="preserve"> g: Medio de cultivo selectivo utilizado en microbiología para el aislamiento y crecimiento </w:t>
            </w:r>
            <w:r w:rsidRPr="002A73E2">
              <w:lastRenderedPageBreak/>
              <w:t xml:space="preserve">de hongos y levaduras. Formulado a base de peptonas y una concentración elevada de glucosa (4 %) conforme a la formulación clásica del agar Sabouraud, con pH ácido que inhibe el crecimiento de la mayoría de </w:t>
            </w:r>
            <w:proofErr w:type="gramStart"/>
            <w:r w:rsidRPr="002A73E2">
              <w:t>bacterias</w:t>
            </w:r>
            <w:proofErr w:type="gramEnd"/>
            <w:r w:rsidRPr="002A73E2">
              <w:t xml:space="preserve">, favoreciendo el desarrollo de microorganismos fúngicos en análisis clínicos, ambientales y de control de calidad. Especificaciones técnicas mínimas requeridas: estado físico en polvo deshidratado; color beige claro a crema; contenido neto de 500 g; composición principal: peptonas, glucosa 4 % y agar; pH del medio preparado aproximadamente 5,6 ± 0,2 a 25 °C; soluble en agua destilada mediante calentamiento; esterilización mediante autoclave a 121 °C durante 15 minutos; medio selectivo para hongos y levaduras; cumplimiento de las especificaciones microbiológicas del agar Sabouraud. Presentación: frasco herméticamente sellado, debidamente rotulado con nombre del producto, lote, fecha de </w:t>
            </w:r>
            <w:r w:rsidRPr="002A73E2">
              <w:lastRenderedPageBreak/>
              <w:t>fabricación, instrucciones de preparación y almacenamiento.</w:t>
            </w:r>
          </w:p>
        </w:tc>
        <w:tc>
          <w:tcPr>
            <w:tcW w:w="1164" w:type="dxa"/>
          </w:tcPr>
          <w:p w14:paraId="18EE736F" w14:textId="541173A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1</w:t>
            </w:r>
          </w:p>
        </w:tc>
        <w:tc>
          <w:tcPr>
            <w:tcW w:w="1105" w:type="dxa"/>
          </w:tcPr>
          <w:p w14:paraId="0ECF35FB" w14:textId="41F88FCA"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3E568AB1"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19137E19"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38E5A478" w14:textId="77777777" w:rsidTr="00D761CD">
        <w:tc>
          <w:tcPr>
            <w:tcW w:w="676" w:type="dxa"/>
          </w:tcPr>
          <w:p w14:paraId="773BF90A" w14:textId="47AB1BD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lastRenderedPageBreak/>
              <w:t>39</w:t>
            </w:r>
          </w:p>
        </w:tc>
        <w:tc>
          <w:tcPr>
            <w:tcW w:w="1109" w:type="dxa"/>
          </w:tcPr>
          <w:p w14:paraId="52CDFB5A" w14:textId="6753FEAF"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43309C50" w14:textId="26B63B45"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124F63">
              <w:t xml:space="preserve">Agar de Aislamiento de Actinomicetos con Glicerol L-Ra. medio deshidratado. Presentación </w:t>
            </w:r>
            <w:proofErr w:type="gramStart"/>
            <w:r w:rsidRPr="00124F63">
              <w:t>frasco  500</w:t>
            </w:r>
            <w:proofErr w:type="gramEnd"/>
            <w:r w:rsidRPr="00124F63">
              <w:t xml:space="preserve"> g: Medio de cultivo selectivo especialmente formulado para el aislamiento, recuento y estudio de actinomicetos presentes en muestras de suelo, compost, residuos orgánicos y ambientes naturales. Contiene glicerol como fuente de carbono preferencial. Especificaciones técnicas mínimas requeridas: estado físico en polvo deshidratado; color beige claro; contenido neto de 500 g; composición principal: glicerol, sales minerales y agar; pH del medio preparado aproximadamente 7,2 ± 0,2 a 25 °C; soluble en agua destilada mediante calentamiento; esterilización mediante autoclave a 121 °C durante 15 minutos; medio selectivo para actinomicetos; cumplimiento de especificaciones microbiológicas para aislamiento ambiental. Presentación: frasco herméticamente sellado, debidamente rotulado </w:t>
            </w:r>
            <w:r w:rsidRPr="00124F63">
              <w:lastRenderedPageBreak/>
              <w:t>con nombre del producto, lote, fecha de fabricación, instrucciones de preparación y almacenamiento.</w:t>
            </w:r>
          </w:p>
        </w:tc>
        <w:tc>
          <w:tcPr>
            <w:tcW w:w="1164" w:type="dxa"/>
          </w:tcPr>
          <w:p w14:paraId="3AE98320" w14:textId="3C8EEAF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lastRenderedPageBreak/>
              <w:t>1</w:t>
            </w:r>
          </w:p>
        </w:tc>
        <w:tc>
          <w:tcPr>
            <w:tcW w:w="1105" w:type="dxa"/>
          </w:tcPr>
          <w:p w14:paraId="2B584934" w14:textId="77B1155E"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74FD1CEA"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2D4B32B9"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r w:rsidR="00B56599" w14:paraId="042E5B4A" w14:textId="77777777" w:rsidTr="00D761CD">
        <w:tc>
          <w:tcPr>
            <w:tcW w:w="676" w:type="dxa"/>
          </w:tcPr>
          <w:p w14:paraId="5CE37173" w14:textId="0A570FF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0143B6">
              <w:t>40</w:t>
            </w:r>
          </w:p>
        </w:tc>
        <w:tc>
          <w:tcPr>
            <w:tcW w:w="1109" w:type="dxa"/>
          </w:tcPr>
          <w:p w14:paraId="1C842B29" w14:textId="1C5E6B1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F61776">
              <w:t>41116129</w:t>
            </w:r>
          </w:p>
        </w:tc>
        <w:tc>
          <w:tcPr>
            <w:tcW w:w="2497" w:type="dxa"/>
          </w:tcPr>
          <w:p w14:paraId="15788A54" w14:textId="568202E9"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124F63">
              <w:t xml:space="preserve">Sodio hidróxido en lentejas: Compuesto químico inorgánico de alta pureza, identificado como hidróxido de sodio (NaOH) o soda cáustica, presentado en forma sólida tipo lentejas o perlas. Especificaciones técnicas mínimas requeridas: fórmula química NaOH; estado físico sólido en </w:t>
            </w:r>
            <w:proofErr w:type="gramStart"/>
            <w:r w:rsidRPr="00124F63">
              <w:t>lentejas ;</w:t>
            </w:r>
            <w:proofErr w:type="gramEnd"/>
            <w:r w:rsidRPr="00124F63">
              <w:t xml:space="preserve"> color blanco; contenido neto de 1000 g; altamente soluble en agua; pH fuertemente alcalino en solución; sustancia higroscópica y corrosiva; almacenamiento hermético obligatorio para mantener estabilidad y seguridad. Información adicional de identificación: </w:t>
            </w:r>
            <w:proofErr w:type="spellStart"/>
            <w:r w:rsidRPr="00124F63">
              <w:t>Nº</w:t>
            </w:r>
            <w:proofErr w:type="spellEnd"/>
            <w:r w:rsidRPr="00124F63">
              <w:t xml:space="preserve"> CAS: 1310-73-2; número CE: 215-185-5; masa molar: 40 g/mol; fórmula Hill: </w:t>
            </w:r>
            <w:proofErr w:type="spellStart"/>
            <w:r w:rsidRPr="00124F63">
              <w:t>HNaO</w:t>
            </w:r>
            <w:proofErr w:type="spellEnd"/>
            <w:r w:rsidRPr="00124F63">
              <w:t>; Presentación: frasco sellado, debidamente rotulado con nombre del producto, lote, fecha de fabricación, precauciones de seguridad y condiciones de almacenamiento.</w:t>
            </w:r>
          </w:p>
        </w:tc>
        <w:tc>
          <w:tcPr>
            <w:tcW w:w="1164" w:type="dxa"/>
          </w:tcPr>
          <w:p w14:paraId="4C5F8877" w14:textId="51D80381"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B0723">
              <w:t>1</w:t>
            </w:r>
          </w:p>
        </w:tc>
        <w:tc>
          <w:tcPr>
            <w:tcW w:w="1105" w:type="dxa"/>
          </w:tcPr>
          <w:p w14:paraId="08030FCE" w14:textId="5F8DA0F2"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r w:rsidRPr="00A16E16">
              <w:t xml:space="preserve">Unidad </w:t>
            </w:r>
          </w:p>
        </w:tc>
        <w:tc>
          <w:tcPr>
            <w:tcW w:w="956" w:type="dxa"/>
          </w:tcPr>
          <w:p w14:paraId="78820BC1"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c>
          <w:tcPr>
            <w:tcW w:w="1321" w:type="dxa"/>
          </w:tcPr>
          <w:p w14:paraId="3009D49D" w14:textId="77777777" w:rsidR="00B56599" w:rsidRDefault="00B56599" w:rsidP="00B56599">
            <w:pPr>
              <w:spacing w:after="0" w:line="240" w:lineRule="auto"/>
              <w:jc w:val="both"/>
              <w:rPr>
                <w:rFonts w:asciiTheme="majorHAnsi" w:eastAsia="Times New Roman" w:hAnsiTheme="majorHAnsi" w:cstheme="majorHAnsi"/>
                <w:b/>
                <w:bCs/>
                <w:i/>
                <w:iCs/>
                <w:sz w:val="20"/>
                <w:szCs w:val="20"/>
                <w:lang w:val="es-ES" w:eastAsia="es-ES"/>
              </w:rPr>
            </w:pPr>
          </w:p>
        </w:tc>
      </w:tr>
    </w:tbl>
    <w:p w14:paraId="69E885D6" w14:textId="77777777" w:rsidR="004A3D27" w:rsidRDefault="004A3D27" w:rsidP="00617FEA">
      <w:pPr>
        <w:spacing w:after="0" w:line="240" w:lineRule="auto"/>
        <w:jc w:val="both"/>
        <w:rPr>
          <w:rFonts w:asciiTheme="majorHAnsi" w:eastAsia="Times New Roman" w:hAnsiTheme="majorHAnsi" w:cstheme="majorHAnsi"/>
          <w:b/>
          <w:bCs/>
          <w:i/>
          <w:iCs/>
          <w:sz w:val="20"/>
          <w:szCs w:val="20"/>
          <w:lang w:val="es-ES" w:eastAsia="es-ES"/>
        </w:rPr>
      </w:pPr>
    </w:p>
    <w:p w14:paraId="5D016D39" w14:textId="5600707E" w:rsidR="00716FA0" w:rsidRDefault="00716FA0" w:rsidP="00617FEA">
      <w:pPr>
        <w:spacing w:after="0" w:line="240" w:lineRule="auto"/>
        <w:jc w:val="both"/>
        <w:rPr>
          <w:rFonts w:asciiTheme="majorHAnsi" w:eastAsia="Times New Roman" w:hAnsiTheme="majorHAnsi" w:cstheme="majorHAnsi"/>
          <w:b/>
          <w:bCs/>
          <w:i/>
          <w:iCs/>
          <w:sz w:val="20"/>
          <w:szCs w:val="20"/>
          <w:lang w:val="es-ES" w:eastAsia="es-ES"/>
        </w:rPr>
      </w:pPr>
      <w:r>
        <w:rPr>
          <w:rFonts w:asciiTheme="majorHAnsi" w:eastAsia="Times New Roman" w:hAnsiTheme="majorHAnsi" w:cstheme="majorHAnsi"/>
          <w:b/>
          <w:bCs/>
          <w:i/>
          <w:iCs/>
          <w:sz w:val="20"/>
          <w:szCs w:val="20"/>
          <w:lang w:val="es-ES" w:eastAsia="es-ES"/>
        </w:rPr>
        <w:lastRenderedPageBreak/>
        <w:t>LOTE 2:</w:t>
      </w:r>
    </w:p>
    <w:p w14:paraId="68A356BD" w14:textId="77777777" w:rsidR="00716FA0" w:rsidRDefault="00716FA0" w:rsidP="00617FEA">
      <w:pPr>
        <w:spacing w:after="0" w:line="240" w:lineRule="auto"/>
        <w:jc w:val="both"/>
        <w:rPr>
          <w:rFonts w:asciiTheme="majorHAnsi" w:eastAsia="Times New Roman" w:hAnsiTheme="majorHAnsi" w:cstheme="majorHAnsi"/>
          <w:b/>
          <w:bCs/>
          <w:i/>
          <w:iCs/>
          <w:sz w:val="20"/>
          <w:szCs w:val="20"/>
          <w:lang w:val="es-ES" w:eastAsia="es-ES"/>
        </w:rPr>
      </w:pPr>
    </w:p>
    <w:tbl>
      <w:tblPr>
        <w:tblStyle w:val="Tablaconcuadrcula"/>
        <w:tblW w:w="8862" w:type="dxa"/>
        <w:tblLayout w:type="fixed"/>
        <w:tblLook w:val="04A0" w:firstRow="1" w:lastRow="0" w:firstColumn="1" w:lastColumn="0" w:noHBand="0" w:noVBand="1"/>
      </w:tblPr>
      <w:tblGrid>
        <w:gridCol w:w="684"/>
        <w:gridCol w:w="1036"/>
        <w:gridCol w:w="2670"/>
        <w:gridCol w:w="708"/>
        <w:gridCol w:w="1196"/>
        <w:gridCol w:w="1228"/>
        <w:gridCol w:w="1340"/>
      </w:tblGrid>
      <w:tr w:rsidR="00716FA0" w14:paraId="0680D1BB" w14:textId="77777777" w:rsidTr="00716FA0">
        <w:tc>
          <w:tcPr>
            <w:tcW w:w="684" w:type="dxa"/>
            <w:shd w:val="clear" w:color="auto" w:fill="BFBFBF" w:themeFill="background1" w:themeFillShade="BF"/>
          </w:tcPr>
          <w:p w14:paraId="41A2F08A" w14:textId="4DB806C1" w:rsidR="00716FA0" w:rsidRPr="00716FA0" w:rsidRDefault="00716FA0" w:rsidP="00716FA0">
            <w:pPr>
              <w:spacing w:after="0" w:line="240" w:lineRule="auto"/>
              <w:jc w:val="center"/>
              <w:rPr>
                <w:rFonts w:asciiTheme="majorHAnsi" w:eastAsia="Times New Roman" w:hAnsiTheme="majorHAnsi" w:cstheme="majorHAnsi"/>
                <w:b/>
                <w:bCs/>
                <w:i/>
                <w:iCs/>
                <w:sz w:val="20"/>
                <w:szCs w:val="20"/>
                <w:lang w:val="es-ES" w:eastAsia="es-ES"/>
              </w:rPr>
            </w:pPr>
            <w:r w:rsidRPr="00716FA0">
              <w:rPr>
                <w:b/>
                <w:bCs/>
              </w:rPr>
              <w:t>ITEM</w:t>
            </w:r>
          </w:p>
        </w:tc>
        <w:tc>
          <w:tcPr>
            <w:tcW w:w="1036" w:type="dxa"/>
            <w:shd w:val="clear" w:color="auto" w:fill="BFBFBF" w:themeFill="background1" w:themeFillShade="BF"/>
          </w:tcPr>
          <w:p w14:paraId="22F2B906" w14:textId="27E7EA4A" w:rsidR="00716FA0" w:rsidRPr="00716FA0" w:rsidRDefault="00716FA0" w:rsidP="00716FA0">
            <w:pPr>
              <w:spacing w:after="0" w:line="240" w:lineRule="auto"/>
              <w:jc w:val="center"/>
              <w:rPr>
                <w:rFonts w:asciiTheme="majorHAnsi" w:eastAsia="Times New Roman" w:hAnsiTheme="majorHAnsi" w:cstheme="majorHAnsi"/>
                <w:b/>
                <w:bCs/>
                <w:i/>
                <w:iCs/>
                <w:sz w:val="20"/>
                <w:szCs w:val="20"/>
                <w:lang w:val="es-ES" w:eastAsia="es-ES"/>
              </w:rPr>
            </w:pPr>
            <w:r w:rsidRPr="00716FA0">
              <w:rPr>
                <w:b/>
                <w:bCs/>
              </w:rPr>
              <w:t>CODIGO UNSPSC</w:t>
            </w:r>
          </w:p>
        </w:tc>
        <w:tc>
          <w:tcPr>
            <w:tcW w:w="2670" w:type="dxa"/>
            <w:shd w:val="clear" w:color="auto" w:fill="BFBFBF" w:themeFill="background1" w:themeFillShade="BF"/>
          </w:tcPr>
          <w:p w14:paraId="54B0DB51" w14:textId="0713DA00" w:rsidR="00716FA0" w:rsidRPr="00716FA0" w:rsidRDefault="00716FA0" w:rsidP="00716FA0">
            <w:pPr>
              <w:spacing w:after="0" w:line="240" w:lineRule="auto"/>
              <w:jc w:val="center"/>
              <w:rPr>
                <w:rFonts w:asciiTheme="majorHAnsi" w:eastAsia="Times New Roman" w:hAnsiTheme="majorHAnsi" w:cstheme="majorHAnsi"/>
                <w:b/>
                <w:bCs/>
                <w:i/>
                <w:iCs/>
                <w:sz w:val="20"/>
                <w:szCs w:val="20"/>
                <w:lang w:val="es-ES" w:eastAsia="es-ES"/>
              </w:rPr>
            </w:pPr>
            <w:r w:rsidRPr="00716FA0">
              <w:rPr>
                <w:b/>
                <w:bCs/>
              </w:rPr>
              <w:t>ESPECIFICACIONES TÉCNICAS DE LOS BIENES O SERVICIOS REQUERIDOS</w:t>
            </w:r>
          </w:p>
        </w:tc>
        <w:tc>
          <w:tcPr>
            <w:tcW w:w="708" w:type="dxa"/>
            <w:shd w:val="clear" w:color="auto" w:fill="BFBFBF" w:themeFill="background1" w:themeFillShade="BF"/>
          </w:tcPr>
          <w:p w14:paraId="1FDA9ED9" w14:textId="1F9EDF8F" w:rsidR="00716FA0" w:rsidRPr="00716FA0" w:rsidRDefault="00716FA0" w:rsidP="00716FA0">
            <w:pPr>
              <w:spacing w:after="0" w:line="240" w:lineRule="auto"/>
              <w:jc w:val="center"/>
              <w:rPr>
                <w:rFonts w:asciiTheme="majorHAnsi" w:eastAsia="Times New Roman" w:hAnsiTheme="majorHAnsi" w:cstheme="majorHAnsi"/>
                <w:b/>
                <w:bCs/>
                <w:i/>
                <w:iCs/>
                <w:sz w:val="20"/>
                <w:szCs w:val="20"/>
                <w:lang w:val="es-ES" w:eastAsia="es-ES"/>
              </w:rPr>
            </w:pPr>
            <w:r w:rsidRPr="00716FA0">
              <w:rPr>
                <w:b/>
                <w:bCs/>
              </w:rPr>
              <w:t>CANTIDAD</w:t>
            </w:r>
          </w:p>
        </w:tc>
        <w:tc>
          <w:tcPr>
            <w:tcW w:w="1196" w:type="dxa"/>
            <w:shd w:val="clear" w:color="auto" w:fill="BFBFBF" w:themeFill="background1" w:themeFillShade="BF"/>
          </w:tcPr>
          <w:p w14:paraId="210CBE4E" w14:textId="2CF33536" w:rsidR="00716FA0" w:rsidRPr="00716FA0" w:rsidRDefault="00716FA0" w:rsidP="00716FA0">
            <w:pPr>
              <w:spacing w:after="0" w:line="240" w:lineRule="auto"/>
              <w:jc w:val="center"/>
              <w:rPr>
                <w:rFonts w:asciiTheme="majorHAnsi" w:eastAsia="Times New Roman" w:hAnsiTheme="majorHAnsi" w:cstheme="majorHAnsi"/>
                <w:b/>
                <w:bCs/>
                <w:i/>
                <w:iCs/>
                <w:sz w:val="20"/>
                <w:szCs w:val="20"/>
                <w:lang w:val="es-ES" w:eastAsia="es-ES"/>
              </w:rPr>
            </w:pPr>
            <w:r w:rsidRPr="00716FA0">
              <w:rPr>
                <w:b/>
                <w:bCs/>
              </w:rPr>
              <w:t>UNIDAD DE MEDIDA</w:t>
            </w:r>
          </w:p>
        </w:tc>
        <w:tc>
          <w:tcPr>
            <w:tcW w:w="1228" w:type="dxa"/>
            <w:shd w:val="clear" w:color="auto" w:fill="BFBFBF" w:themeFill="background1" w:themeFillShade="BF"/>
          </w:tcPr>
          <w:p w14:paraId="00ED7727" w14:textId="094D1E4E" w:rsidR="00716FA0" w:rsidRPr="00716FA0" w:rsidRDefault="00716FA0" w:rsidP="00716FA0">
            <w:pPr>
              <w:spacing w:after="0" w:line="240" w:lineRule="auto"/>
              <w:jc w:val="center"/>
              <w:rPr>
                <w:rFonts w:asciiTheme="majorHAnsi" w:eastAsia="Times New Roman" w:hAnsiTheme="majorHAnsi" w:cstheme="majorHAnsi"/>
                <w:b/>
                <w:bCs/>
                <w:i/>
                <w:iCs/>
                <w:sz w:val="20"/>
                <w:szCs w:val="20"/>
                <w:lang w:val="es-ES" w:eastAsia="es-ES"/>
              </w:rPr>
            </w:pPr>
            <w:r w:rsidRPr="00716FA0">
              <w:rPr>
                <w:b/>
                <w:bCs/>
              </w:rPr>
              <w:t>MARCA</w:t>
            </w:r>
          </w:p>
        </w:tc>
        <w:tc>
          <w:tcPr>
            <w:tcW w:w="1340" w:type="dxa"/>
            <w:shd w:val="clear" w:color="auto" w:fill="BFBFBF" w:themeFill="background1" w:themeFillShade="BF"/>
          </w:tcPr>
          <w:p w14:paraId="3100CB37" w14:textId="6E9046F6" w:rsidR="00716FA0" w:rsidRPr="00716FA0" w:rsidRDefault="00716FA0" w:rsidP="00716FA0">
            <w:pPr>
              <w:spacing w:after="0" w:line="240" w:lineRule="auto"/>
              <w:jc w:val="center"/>
              <w:rPr>
                <w:rFonts w:asciiTheme="majorHAnsi" w:eastAsia="Times New Roman" w:hAnsiTheme="majorHAnsi" w:cstheme="majorHAnsi"/>
                <w:b/>
                <w:bCs/>
                <w:i/>
                <w:iCs/>
                <w:sz w:val="20"/>
                <w:szCs w:val="20"/>
                <w:lang w:val="es-ES" w:eastAsia="es-ES"/>
              </w:rPr>
            </w:pPr>
            <w:r w:rsidRPr="00716FA0">
              <w:rPr>
                <w:b/>
                <w:bCs/>
              </w:rPr>
              <w:t>REFERENCIA</w:t>
            </w:r>
          </w:p>
        </w:tc>
      </w:tr>
      <w:tr w:rsidR="00716FA0" w14:paraId="62345C0A" w14:textId="77777777" w:rsidTr="00716FA0">
        <w:tc>
          <w:tcPr>
            <w:tcW w:w="684" w:type="dxa"/>
          </w:tcPr>
          <w:p w14:paraId="16FA9C42" w14:textId="3C681A92" w:rsidR="00716FA0" w:rsidRPr="00716FA0" w:rsidRDefault="00716FA0" w:rsidP="00617FEA">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1</w:t>
            </w:r>
          </w:p>
        </w:tc>
        <w:tc>
          <w:tcPr>
            <w:tcW w:w="1036" w:type="dxa"/>
          </w:tcPr>
          <w:p w14:paraId="27495D58" w14:textId="5A6660C3" w:rsidR="00716FA0" w:rsidRPr="00716FA0" w:rsidRDefault="00716FA0" w:rsidP="00617FEA">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81141501</w:t>
            </w:r>
          </w:p>
        </w:tc>
        <w:tc>
          <w:tcPr>
            <w:tcW w:w="2670" w:type="dxa"/>
          </w:tcPr>
          <w:p w14:paraId="361F5A05"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Bloques patrón de dureza Rockwell en escala C: Bloque patrón de dureza Rockwell en escala C calibrados por </w:t>
            </w:r>
            <w:proofErr w:type="gramStart"/>
            <w:r w:rsidRPr="00716FA0">
              <w:rPr>
                <w:rFonts w:asciiTheme="majorHAnsi" w:eastAsia="Times New Roman" w:hAnsiTheme="majorHAnsi" w:cstheme="majorHAnsi"/>
                <w:lang w:val="es-ES" w:eastAsia="es-ES"/>
              </w:rPr>
              <w:t>una proveedor</w:t>
            </w:r>
            <w:proofErr w:type="gramEnd"/>
            <w:r w:rsidRPr="00716FA0">
              <w:rPr>
                <w:rFonts w:asciiTheme="majorHAnsi" w:eastAsia="Times New Roman" w:hAnsiTheme="majorHAnsi" w:cstheme="majorHAnsi"/>
                <w:lang w:val="es-ES" w:eastAsia="es-ES"/>
              </w:rPr>
              <w:t xml:space="preserve"> con acreditación vigente en la norma ISO 17034 en el intervalo de 25 HRC a 30 HRC.</w:t>
            </w:r>
          </w:p>
          <w:p w14:paraId="6BCD3194"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Cada bloque de prueba calibrado deberá ser suministrado con un certificado del laboratorio de calibración que indique al menos la </w:t>
            </w:r>
            <w:proofErr w:type="gramStart"/>
            <w:r w:rsidRPr="00716FA0">
              <w:rPr>
                <w:rFonts w:asciiTheme="majorHAnsi" w:eastAsia="Times New Roman" w:hAnsiTheme="majorHAnsi" w:cstheme="majorHAnsi"/>
                <w:lang w:val="es-ES" w:eastAsia="es-ES"/>
              </w:rPr>
              <w:t>siguiente  información</w:t>
            </w:r>
            <w:proofErr w:type="gramEnd"/>
            <w:r w:rsidRPr="00716FA0">
              <w:rPr>
                <w:rFonts w:asciiTheme="majorHAnsi" w:eastAsia="Times New Roman" w:hAnsiTheme="majorHAnsi" w:cstheme="majorHAnsi"/>
                <w:lang w:val="es-ES" w:eastAsia="es-ES"/>
              </w:rPr>
              <w:t xml:space="preserve"> de estandarización:</w:t>
            </w:r>
          </w:p>
          <w:p w14:paraId="39F3EAB6"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-Número de serie del bloque de prueba.</w:t>
            </w:r>
          </w:p>
          <w:p w14:paraId="5D8009FA"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-El valor de dureza calibrado, </w:t>
            </w:r>
            <w:proofErr w:type="gramStart"/>
            <w:r w:rsidRPr="00716FA0">
              <w:rPr>
                <w:rFonts w:asciiTheme="majorHAnsi" w:eastAsia="Times New Roman" w:hAnsiTheme="majorHAnsi" w:cstheme="majorHAnsi"/>
                <w:lang w:val="es-ES" w:eastAsia="es-ES"/>
              </w:rPr>
              <w:t>H ,</w:t>
            </w:r>
            <w:proofErr w:type="gramEnd"/>
            <w:r w:rsidRPr="00716FA0">
              <w:rPr>
                <w:rFonts w:asciiTheme="majorHAnsi" w:eastAsia="Times New Roman" w:hAnsiTheme="majorHAnsi" w:cstheme="majorHAnsi"/>
                <w:lang w:val="es-ES" w:eastAsia="es-ES"/>
              </w:rPr>
              <w:t xml:space="preserve"> del bloque de prueba con la designación de escala, redondeada a no menos de un decimal de acuerdo con la Práctica E29.</w:t>
            </w:r>
          </w:p>
          <w:p w14:paraId="140BAF10"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-Valor de la incertidumbre del valor de referencia</w:t>
            </w:r>
          </w:p>
          <w:p w14:paraId="1F47BA3A"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-Las mediciones de dureza calibradas individuales.</w:t>
            </w:r>
          </w:p>
          <w:p w14:paraId="1DC00C81"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-Fuente de trazabilidad metrológica</w:t>
            </w:r>
          </w:p>
          <w:p w14:paraId="6BAC64A3"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-Fecha de calibración</w:t>
            </w:r>
          </w:p>
          <w:p w14:paraId="4F9DAEC2"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-Código de certificación </w:t>
            </w:r>
          </w:p>
          <w:p w14:paraId="6F4637E4"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-Se debe tener en cuenta la emisión del certificado de calibración, según ISO 17034</w:t>
            </w:r>
          </w:p>
          <w:p w14:paraId="448EAE21" w14:textId="73DB29D9"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lastRenderedPageBreak/>
              <w:t>-El proveedor de los materiales de referencia debe tener la acreditación vigente en ISO 17034 por parte del organismo de acreditación del país de origen con validez en Colombia</w:t>
            </w:r>
          </w:p>
        </w:tc>
        <w:tc>
          <w:tcPr>
            <w:tcW w:w="708" w:type="dxa"/>
          </w:tcPr>
          <w:p w14:paraId="30BB102D" w14:textId="3487B8D8" w:rsidR="00716FA0" w:rsidRPr="00716FA0" w:rsidRDefault="00716FA0" w:rsidP="00617FEA">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lastRenderedPageBreak/>
              <w:t>1</w:t>
            </w:r>
          </w:p>
        </w:tc>
        <w:tc>
          <w:tcPr>
            <w:tcW w:w="1196" w:type="dxa"/>
          </w:tcPr>
          <w:p w14:paraId="13686AF6" w14:textId="6C5ED4A1" w:rsidR="00716FA0" w:rsidRPr="00716FA0" w:rsidRDefault="00716FA0" w:rsidP="00617FEA">
            <w:pPr>
              <w:spacing w:after="0" w:line="240" w:lineRule="auto"/>
              <w:jc w:val="both"/>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UNIDAD</w:t>
            </w:r>
          </w:p>
        </w:tc>
        <w:tc>
          <w:tcPr>
            <w:tcW w:w="1228" w:type="dxa"/>
          </w:tcPr>
          <w:p w14:paraId="27DC2653" w14:textId="77777777" w:rsidR="00716FA0" w:rsidRPr="00716FA0" w:rsidRDefault="00716FA0" w:rsidP="00617FEA">
            <w:pPr>
              <w:spacing w:after="0" w:line="240" w:lineRule="auto"/>
              <w:jc w:val="both"/>
              <w:rPr>
                <w:rFonts w:asciiTheme="majorHAnsi" w:eastAsia="Times New Roman" w:hAnsiTheme="majorHAnsi" w:cstheme="majorHAnsi"/>
                <w:lang w:val="es-ES" w:eastAsia="es-ES"/>
              </w:rPr>
            </w:pPr>
          </w:p>
        </w:tc>
        <w:tc>
          <w:tcPr>
            <w:tcW w:w="1340" w:type="dxa"/>
          </w:tcPr>
          <w:p w14:paraId="43B71884" w14:textId="77777777" w:rsidR="00716FA0" w:rsidRPr="00716FA0" w:rsidRDefault="00716FA0" w:rsidP="00617FEA">
            <w:pPr>
              <w:spacing w:after="0" w:line="240" w:lineRule="auto"/>
              <w:jc w:val="both"/>
              <w:rPr>
                <w:rFonts w:asciiTheme="majorHAnsi" w:eastAsia="Times New Roman" w:hAnsiTheme="majorHAnsi" w:cstheme="majorHAnsi"/>
                <w:lang w:val="es-ES" w:eastAsia="es-ES"/>
              </w:rPr>
            </w:pPr>
          </w:p>
        </w:tc>
      </w:tr>
      <w:tr w:rsidR="00716FA0" w14:paraId="117221C5" w14:textId="77777777" w:rsidTr="00716FA0">
        <w:tc>
          <w:tcPr>
            <w:tcW w:w="684" w:type="dxa"/>
          </w:tcPr>
          <w:p w14:paraId="0DBBCE8B" w14:textId="00D01F05" w:rsidR="00716FA0" w:rsidRPr="00716FA0" w:rsidRDefault="00716FA0" w:rsidP="00617FEA">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2</w:t>
            </w:r>
          </w:p>
        </w:tc>
        <w:tc>
          <w:tcPr>
            <w:tcW w:w="1036" w:type="dxa"/>
          </w:tcPr>
          <w:p w14:paraId="78EF54FA" w14:textId="3727ACE3" w:rsidR="00716FA0" w:rsidRPr="00716FA0" w:rsidRDefault="00716FA0" w:rsidP="00617FEA">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81141501</w:t>
            </w:r>
          </w:p>
        </w:tc>
        <w:tc>
          <w:tcPr>
            <w:tcW w:w="2670" w:type="dxa"/>
          </w:tcPr>
          <w:p w14:paraId="50166D23"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Bloques patrón de dureza Rockwell en escala C: Bloque patrón de dureza Rockwell en escala C calibrados por </w:t>
            </w:r>
            <w:proofErr w:type="gramStart"/>
            <w:r w:rsidRPr="00716FA0">
              <w:rPr>
                <w:rFonts w:asciiTheme="majorHAnsi" w:eastAsia="Times New Roman" w:hAnsiTheme="majorHAnsi" w:cstheme="majorHAnsi"/>
                <w:lang w:val="es-ES" w:eastAsia="es-ES"/>
              </w:rPr>
              <w:t>una proveedor</w:t>
            </w:r>
            <w:proofErr w:type="gramEnd"/>
            <w:r w:rsidRPr="00716FA0">
              <w:rPr>
                <w:rFonts w:asciiTheme="majorHAnsi" w:eastAsia="Times New Roman" w:hAnsiTheme="majorHAnsi" w:cstheme="majorHAnsi"/>
                <w:lang w:val="es-ES" w:eastAsia="es-ES"/>
              </w:rPr>
              <w:t xml:space="preserve"> con acreditación vigente en la norma ISO 17034 en el intervalo de 60 HRC a 65 HRC</w:t>
            </w:r>
          </w:p>
          <w:p w14:paraId="0765B049"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Cada bloque de prueba calibrado deberá ser suministrado con un certificado del laboratorio de calibración que indique al menos la </w:t>
            </w:r>
            <w:proofErr w:type="gramStart"/>
            <w:r w:rsidRPr="00716FA0">
              <w:rPr>
                <w:rFonts w:asciiTheme="majorHAnsi" w:eastAsia="Times New Roman" w:hAnsiTheme="majorHAnsi" w:cstheme="majorHAnsi"/>
                <w:lang w:val="es-ES" w:eastAsia="es-ES"/>
              </w:rPr>
              <w:t>siguiente  información</w:t>
            </w:r>
            <w:proofErr w:type="gramEnd"/>
            <w:r w:rsidRPr="00716FA0">
              <w:rPr>
                <w:rFonts w:asciiTheme="majorHAnsi" w:eastAsia="Times New Roman" w:hAnsiTheme="majorHAnsi" w:cstheme="majorHAnsi"/>
                <w:lang w:val="es-ES" w:eastAsia="es-ES"/>
              </w:rPr>
              <w:t xml:space="preserve"> de estandarización:</w:t>
            </w:r>
          </w:p>
          <w:p w14:paraId="63288874"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-Número de serie del bloque de prueba.</w:t>
            </w:r>
          </w:p>
          <w:p w14:paraId="2507C33A"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-El valor de dureza calibrado, </w:t>
            </w:r>
            <w:proofErr w:type="gramStart"/>
            <w:r w:rsidRPr="00716FA0">
              <w:rPr>
                <w:rFonts w:asciiTheme="majorHAnsi" w:eastAsia="Times New Roman" w:hAnsiTheme="majorHAnsi" w:cstheme="majorHAnsi"/>
                <w:lang w:val="es-ES" w:eastAsia="es-ES"/>
              </w:rPr>
              <w:t>H ,</w:t>
            </w:r>
            <w:proofErr w:type="gramEnd"/>
            <w:r w:rsidRPr="00716FA0">
              <w:rPr>
                <w:rFonts w:asciiTheme="majorHAnsi" w:eastAsia="Times New Roman" w:hAnsiTheme="majorHAnsi" w:cstheme="majorHAnsi"/>
                <w:lang w:val="es-ES" w:eastAsia="es-ES"/>
              </w:rPr>
              <w:t xml:space="preserve"> del bloque de prueba con la designación de escala, redondeada a no menos de un decimal de acuerdo con la Práctica E29.</w:t>
            </w:r>
          </w:p>
          <w:p w14:paraId="35D94FED"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-Valor de la incertidumbre del valor de referencia</w:t>
            </w:r>
          </w:p>
          <w:p w14:paraId="6CDC185A"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-Las mediciones de dureza calibradas individuales.</w:t>
            </w:r>
          </w:p>
          <w:p w14:paraId="529F2C0E"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-Fuente de trazabilidad metrológica</w:t>
            </w:r>
          </w:p>
          <w:p w14:paraId="3F69FC90"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-Fecha de calibración</w:t>
            </w:r>
          </w:p>
          <w:p w14:paraId="600AF43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-Código de certificación </w:t>
            </w:r>
          </w:p>
          <w:p w14:paraId="1F48660F"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-Se debe tener en cuenta la emisión del certificado de </w:t>
            </w:r>
            <w:r w:rsidRPr="00716FA0">
              <w:rPr>
                <w:rFonts w:asciiTheme="majorHAnsi" w:eastAsia="Times New Roman" w:hAnsiTheme="majorHAnsi" w:cstheme="majorHAnsi"/>
                <w:lang w:val="es-ES" w:eastAsia="es-ES"/>
              </w:rPr>
              <w:lastRenderedPageBreak/>
              <w:t>calibración, según ISO 17034</w:t>
            </w:r>
          </w:p>
          <w:p w14:paraId="109BFAA7" w14:textId="37801322"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-El proveedor de los materiales de referencia debe tener la acreditación vigente en ISO 17034 por parte del organismo de acreditación del país de origen con validez en Colombia</w:t>
            </w:r>
          </w:p>
        </w:tc>
        <w:tc>
          <w:tcPr>
            <w:tcW w:w="708" w:type="dxa"/>
          </w:tcPr>
          <w:p w14:paraId="4AEB87A6" w14:textId="55CAFFE6" w:rsidR="00716FA0" w:rsidRPr="00716FA0" w:rsidRDefault="00716FA0" w:rsidP="00617FEA">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lastRenderedPageBreak/>
              <w:t>1</w:t>
            </w:r>
          </w:p>
        </w:tc>
        <w:tc>
          <w:tcPr>
            <w:tcW w:w="1196" w:type="dxa"/>
          </w:tcPr>
          <w:p w14:paraId="48BFC0DF" w14:textId="5DB90C5B" w:rsidR="00716FA0" w:rsidRPr="00716FA0" w:rsidRDefault="00716FA0" w:rsidP="00617FEA">
            <w:pPr>
              <w:spacing w:after="0" w:line="240" w:lineRule="auto"/>
              <w:jc w:val="both"/>
              <w:rPr>
                <w:rFonts w:asciiTheme="majorHAnsi" w:eastAsia="Times New Roman" w:hAnsiTheme="majorHAnsi" w:cstheme="majorHAnsi"/>
                <w:lang w:val="es-ES" w:eastAsia="es-ES"/>
              </w:rPr>
            </w:pPr>
            <w:r>
              <w:rPr>
                <w:rFonts w:asciiTheme="majorHAnsi" w:eastAsia="Times New Roman" w:hAnsiTheme="majorHAnsi" w:cstheme="majorHAnsi"/>
                <w:lang w:val="es-ES" w:eastAsia="es-ES"/>
              </w:rPr>
              <w:t>UNIDAD</w:t>
            </w:r>
          </w:p>
        </w:tc>
        <w:tc>
          <w:tcPr>
            <w:tcW w:w="1228" w:type="dxa"/>
          </w:tcPr>
          <w:p w14:paraId="7F57157B" w14:textId="77777777" w:rsidR="00716FA0" w:rsidRPr="00716FA0" w:rsidRDefault="00716FA0" w:rsidP="00617FEA">
            <w:pPr>
              <w:spacing w:after="0" w:line="240" w:lineRule="auto"/>
              <w:jc w:val="both"/>
              <w:rPr>
                <w:rFonts w:asciiTheme="majorHAnsi" w:eastAsia="Times New Roman" w:hAnsiTheme="majorHAnsi" w:cstheme="majorHAnsi"/>
                <w:lang w:val="es-ES" w:eastAsia="es-ES"/>
              </w:rPr>
            </w:pPr>
          </w:p>
        </w:tc>
        <w:tc>
          <w:tcPr>
            <w:tcW w:w="1340" w:type="dxa"/>
          </w:tcPr>
          <w:p w14:paraId="4AE01428" w14:textId="77777777" w:rsidR="00716FA0" w:rsidRPr="00716FA0" w:rsidRDefault="00716FA0" w:rsidP="00617FEA">
            <w:pPr>
              <w:spacing w:after="0" w:line="240" w:lineRule="auto"/>
              <w:jc w:val="both"/>
              <w:rPr>
                <w:rFonts w:asciiTheme="majorHAnsi" w:eastAsia="Times New Roman" w:hAnsiTheme="majorHAnsi" w:cstheme="majorHAnsi"/>
                <w:lang w:val="es-ES" w:eastAsia="es-ES"/>
              </w:rPr>
            </w:pPr>
          </w:p>
        </w:tc>
      </w:tr>
    </w:tbl>
    <w:p w14:paraId="7F3C97F4" w14:textId="77777777" w:rsidR="00716FA0" w:rsidRDefault="00716FA0" w:rsidP="00617FEA">
      <w:pPr>
        <w:spacing w:after="0" w:line="240" w:lineRule="auto"/>
        <w:jc w:val="both"/>
        <w:rPr>
          <w:rFonts w:asciiTheme="majorHAnsi" w:eastAsia="Times New Roman" w:hAnsiTheme="majorHAnsi" w:cstheme="majorHAnsi"/>
          <w:b/>
          <w:bCs/>
          <w:i/>
          <w:iCs/>
          <w:sz w:val="20"/>
          <w:szCs w:val="20"/>
          <w:lang w:val="es-ES" w:eastAsia="es-ES"/>
        </w:rPr>
      </w:pPr>
    </w:p>
    <w:p w14:paraId="087E7132" w14:textId="77777777" w:rsidR="00716FA0" w:rsidRDefault="00716FA0" w:rsidP="00617FEA">
      <w:pPr>
        <w:spacing w:after="0" w:line="240" w:lineRule="auto"/>
        <w:jc w:val="both"/>
        <w:rPr>
          <w:rFonts w:asciiTheme="majorHAnsi" w:eastAsia="Times New Roman" w:hAnsiTheme="majorHAnsi" w:cstheme="majorHAnsi"/>
          <w:b/>
          <w:bCs/>
          <w:i/>
          <w:iCs/>
          <w:sz w:val="20"/>
          <w:szCs w:val="20"/>
          <w:lang w:val="es-ES" w:eastAsia="es-ES"/>
        </w:rPr>
      </w:pPr>
    </w:p>
    <w:p w14:paraId="47C6447C" w14:textId="77777777" w:rsidR="00716FA0" w:rsidRDefault="00716FA0" w:rsidP="00617FEA">
      <w:pPr>
        <w:spacing w:after="0" w:line="240" w:lineRule="auto"/>
        <w:jc w:val="both"/>
        <w:rPr>
          <w:rFonts w:asciiTheme="majorHAnsi" w:eastAsia="Times New Roman" w:hAnsiTheme="majorHAnsi" w:cstheme="majorHAnsi"/>
          <w:b/>
          <w:bCs/>
          <w:i/>
          <w:iCs/>
          <w:sz w:val="20"/>
          <w:szCs w:val="20"/>
          <w:lang w:val="es-ES" w:eastAsia="es-ES"/>
        </w:rPr>
      </w:pPr>
    </w:p>
    <w:p w14:paraId="4E3F6994" w14:textId="411E7048" w:rsidR="00CA5F8A" w:rsidRPr="00CA5F8A" w:rsidRDefault="00CA5F8A" w:rsidP="00617FEA">
      <w:pPr>
        <w:spacing w:after="0" w:line="240" w:lineRule="auto"/>
        <w:jc w:val="both"/>
        <w:rPr>
          <w:rFonts w:asciiTheme="majorHAnsi" w:eastAsia="Times New Roman" w:hAnsiTheme="majorHAnsi" w:cstheme="majorHAnsi"/>
          <w:b/>
          <w:bCs/>
          <w:i/>
          <w:iCs/>
          <w:sz w:val="20"/>
          <w:szCs w:val="20"/>
          <w:lang w:val="es-ES" w:eastAsia="es-ES"/>
        </w:rPr>
      </w:pPr>
      <w:r w:rsidRPr="00CA5F8A">
        <w:rPr>
          <w:rFonts w:asciiTheme="majorHAnsi" w:eastAsia="Times New Roman" w:hAnsiTheme="majorHAnsi" w:cstheme="majorHAnsi"/>
          <w:b/>
          <w:bCs/>
          <w:i/>
          <w:iCs/>
          <w:sz w:val="20"/>
          <w:szCs w:val="20"/>
          <w:lang w:val="es-ES" w:eastAsia="es-ES"/>
        </w:rPr>
        <w:t xml:space="preserve">LOTE </w:t>
      </w:r>
      <w:r w:rsidR="00716FA0">
        <w:rPr>
          <w:rFonts w:asciiTheme="majorHAnsi" w:eastAsia="Times New Roman" w:hAnsiTheme="majorHAnsi" w:cstheme="majorHAnsi"/>
          <w:b/>
          <w:bCs/>
          <w:i/>
          <w:iCs/>
          <w:sz w:val="20"/>
          <w:szCs w:val="20"/>
          <w:lang w:val="es-ES" w:eastAsia="es-ES"/>
        </w:rPr>
        <w:t>3</w:t>
      </w:r>
      <w:r w:rsidRPr="00CA5F8A">
        <w:rPr>
          <w:rFonts w:asciiTheme="majorHAnsi" w:eastAsia="Times New Roman" w:hAnsiTheme="majorHAnsi" w:cstheme="majorHAnsi"/>
          <w:b/>
          <w:bCs/>
          <w:i/>
          <w:iCs/>
          <w:sz w:val="20"/>
          <w:szCs w:val="20"/>
          <w:lang w:val="es-ES" w:eastAsia="es-ES"/>
        </w:rPr>
        <w:t xml:space="preserve">: </w:t>
      </w:r>
    </w:p>
    <w:tbl>
      <w:tblPr>
        <w:tblStyle w:val="Tablaconcuadrcula"/>
        <w:tblW w:w="0" w:type="auto"/>
        <w:tblLayout w:type="fixed"/>
        <w:tblLook w:val="04A0" w:firstRow="1" w:lastRow="0" w:firstColumn="1" w:lastColumn="0" w:noHBand="0" w:noVBand="1"/>
      </w:tblPr>
      <w:tblGrid>
        <w:gridCol w:w="684"/>
        <w:gridCol w:w="1154"/>
        <w:gridCol w:w="2268"/>
        <w:gridCol w:w="851"/>
        <w:gridCol w:w="992"/>
        <w:gridCol w:w="1417"/>
        <w:gridCol w:w="1462"/>
      </w:tblGrid>
      <w:tr w:rsidR="00716FA0" w14:paraId="35E16E7D" w14:textId="77777777" w:rsidTr="00716FA0">
        <w:trPr>
          <w:trHeight w:val="992"/>
        </w:trPr>
        <w:tc>
          <w:tcPr>
            <w:tcW w:w="684" w:type="dxa"/>
            <w:shd w:val="clear" w:color="auto" w:fill="BFBFBF" w:themeFill="background1" w:themeFillShade="BF"/>
          </w:tcPr>
          <w:p w14:paraId="4D2D7462" w14:textId="2CD25E57" w:rsidR="00716FA0" w:rsidRPr="00716FA0" w:rsidRDefault="00716FA0" w:rsidP="00716FA0">
            <w:pPr>
              <w:spacing w:after="0" w:line="240" w:lineRule="auto"/>
              <w:jc w:val="center"/>
              <w:rPr>
                <w:rFonts w:asciiTheme="majorHAnsi" w:eastAsia="Times New Roman" w:hAnsiTheme="majorHAnsi" w:cstheme="majorHAnsi"/>
                <w:b/>
                <w:bCs/>
                <w:lang w:val="es-ES" w:eastAsia="es-ES"/>
              </w:rPr>
            </w:pPr>
            <w:r w:rsidRPr="00716FA0">
              <w:rPr>
                <w:rFonts w:asciiTheme="majorHAnsi" w:eastAsia="Times New Roman" w:hAnsiTheme="majorHAnsi" w:cstheme="majorHAnsi"/>
                <w:b/>
                <w:bCs/>
                <w:lang w:val="es-ES" w:eastAsia="es-ES"/>
              </w:rPr>
              <w:t>ITEM</w:t>
            </w:r>
          </w:p>
        </w:tc>
        <w:tc>
          <w:tcPr>
            <w:tcW w:w="1154" w:type="dxa"/>
            <w:shd w:val="clear" w:color="auto" w:fill="BFBFBF" w:themeFill="background1" w:themeFillShade="BF"/>
          </w:tcPr>
          <w:p w14:paraId="63D6A0ED" w14:textId="046900DB" w:rsidR="00716FA0" w:rsidRPr="00716FA0" w:rsidRDefault="00716FA0" w:rsidP="00716FA0">
            <w:pPr>
              <w:spacing w:after="0" w:line="240" w:lineRule="auto"/>
              <w:jc w:val="center"/>
              <w:rPr>
                <w:rFonts w:asciiTheme="majorHAnsi" w:eastAsia="Times New Roman" w:hAnsiTheme="majorHAnsi" w:cstheme="majorHAnsi"/>
                <w:b/>
                <w:bCs/>
                <w:lang w:val="es-ES" w:eastAsia="es-ES"/>
              </w:rPr>
            </w:pPr>
            <w:r w:rsidRPr="00716FA0">
              <w:rPr>
                <w:rFonts w:asciiTheme="majorHAnsi" w:eastAsia="Times New Roman" w:hAnsiTheme="majorHAnsi" w:cstheme="majorHAnsi"/>
                <w:b/>
                <w:bCs/>
                <w:lang w:val="es-ES" w:eastAsia="es-ES"/>
              </w:rPr>
              <w:t>CODIGO UNSPSC</w:t>
            </w:r>
          </w:p>
        </w:tc>
        <w:tc>
          <w:tcPr>
            <w:tcW w:w="2268" w:type="dxa"/>
            <w:shd w:val="clear" w:color="auto" w:fill="BFBFBF" w:themeFill="background1" w:themeFillShade="BF"/>
          </w:tcPr>
          <w:p w14:paraId="3BE88F52" w14:textId="00641341" w:rsidR="00716FA0" w:rsidRPr="00716FA0" w:rsidRDefault="00716FA0" w:rsidP="00716FA0">
            <w:pPr>
              <w:spacing w:after="0" w:line="240" w:lineRule="auto"/>
              <w:jc w:val="center"/>
              <w:rPr>
                <w:rFonts w:asciiTheme="majorHAnsi" w:eastAsia="Times New Roman" w:hAnsiTheme="majorHAnsi" w:cstheme="majorHAnsi"/>
                <w:b/>
                <w:bCs/>
                <w:lang w:val="es-ES" w:eastAsia="es-ES"/>
              </w:rPr>
            </w:pPr>
            <w:r w:rsidRPr="00716FA0">
              <w:rPr>
                <w:rFonts w:asciiTheme="majorHAnsi" w:eastAsia="Times New Roman" w:hAnsiTheme="majorHAnsi" w:cstheme="majorHAnsi"/>
                <w:b/>
                <w:bCs/>
                <w:lang w:val="es-ES" w:eastAsia="es-ES"/>
              </w:rPr>
              <w:t>ESPECIFICACIONES TÉCNICAS DE LOS BIENES O SERVICIOS REQUERIDOS</w:t>
            </w:r>
          </w:p>
        </w:tc>
        <w:tc>
          <w:tcPr>
            <w:tcW w:w="851" w:type="dxa"/>
            <w:shd w:val="clear" w:color="auto" w:fill="BFBFBF" w:themeFill="background1" w:themeFillShade="BF"/>
          </w:tcPr>
          <w:p w14:paraId="63CF13DB" w14:textId="0C8CDE7D" w:rsidR="00716FA0" w:rsidRPr="00716FA0" w:rsidRDefault="00716FA0" w:rsidP="00716FA0">
            <w:pPr>
              <w:spacing w:after="0" w:line="240" w:lineRule="auto"/>
              <w:jc w:val="center"/>
              <w:rPr>
                <w:rFonts w:asciiTheme="majorHAnsi" w:eastAsia="Times New Roman" w:hAnsiTheme="majorHAnsi" w:cstheme="majorHAnsi"/>
                <w:b/>
                <w:bCs/>
                <w:lang w:val="es-ES" w:eastAsia="es-ES"/>
              </w:rPr>
            </w:pPr>
            <w:r w:rsidRPr="00716FA0">
              <w:rPr>
                <w:rFonts w:asciiTheme="majorHAnsi" w:eastAsia="Times New Roman" w:hAnsiTheme="majorHAnsi" w:cstheme="majorHAnsi"/>
                <w:b/>
                <w:bCs/>
                <w:lang w:val="es-ES" w:eastAsia="es-ES"/>
              </w:rPr>
              <w:t>CANTIDAD</w:t>
            </w:r>
          </w:p>
        </w:tc>
        <w:tc>
          <w:tcPr>
            <w:tcW w:w="992" w:type="dxa"/>
            <w:shd w:val="clear" w:color="auto" w:fill="BFBFBF" w:themeFill="background1" w:themeFillShade="BF"/>
          </w:tcPr>
          <w:p w14:paraId="1A3994F3" w14:textId="3302B93C" w:rsidR="00716FA0" w:rsidRPr="00716FA0" w:rsidRDefault="00716FA0" w:rsidP="00716FA0">
            <w:pPr>
              <w:spacing w:after="0" w:line="240" w:lineRule="auto"/>
              <w:jc w:val="center"/>
              <w:rPr>
                <w:rFonts w:asciiTheme="majorHAnsi" w:eastAsia="Times New Roman" w:hAnsiTheme="majorHAnsi" w:cstheme="majorHAnsi"/>
                <w:b/>
                <w:bCs/>
                <w:lang w:val="es-ES" w:eastAsia="es-ES"/>
              </w:rPr>
            </w:pPr>
            <w:r w:rsidRPr="00716FA0">
              <w:rPr>
                <w:rFonts w:asciiTheme="majorHAnsi" w:eastAsia="Times New Roman" w:hAnsiTheme="majorHAnsi" w:cstheme="majorHAnsi"/>
                <w:b/>
                <w:bCs/>
                <w:lang w:val="es-ES" w:eastAsia="es-ES"/>
              </w:rPr>
              <w:t>UNIDAD DE MEDIDA</w:t>
            </w:r>
          </w:p>
        </w:tc>
        <w:tc>
          <w:tcPr>
            <w:tcW w:w="1417" w:type="dxa"/>
            <w:shd w:val="clear" w:color="auto" w:fill="BFBFBF" w:themeFill="background1" w:themeFillShade="BF"/>
          </w:tcPr>
          <w:p w14:paraId="2E13E055" w14:textId="47B0D213" w:rsidR="00716FA0" w:rsidRPr="00716FA0" w:rsidRDefault="00716FA0" w:rsidP="00716FA0">
            <w:pPr>
              <w:spacing w:after="0" w:line="240" w:lineRule="auto"/>
              <w:jc w:val="center"/>
              <w:rPr>
                <w:rFonts w:asciiTheme="majorHAnsi" w:eastAsia="Times New Roman" w:hAnsiTheme="majorHAnsi" w:cstheme="majorHAnsi"/>
                <w:b/>
                <w:bCs/>
                <w:lang w:val="es-ES" w:eastAsia="es-ES"/>
              </w:rPr>
            </w:pPr>
            <w:r w:rsidRPr="00716FA0">
              <w:rPr>
                <w:rFonts w:asciiTheme="majorHAnsi" w:eastAsia="Times New Roman" w:hAnsiTheme="majorHAnsi" w:cstheme="majorHAnsi"/>
                <w:b/>
                <w:bCs/>
                <w:lang w:val="es-ES" w:eastAsia="es-ES"/>
              </w:rPr>
              <w:t>MARCA</w:t>
            </w:r>
          </w:p>
        </w:tc>
        <w:tc>
          <w:tcPr>
            <w:tcW w:w="1462" w:type="dxa"/>
            <w:shd w:val="clear" w:color="auto" w:fill="BFBFBF" w:themeFill="background1" w:themeFillShade="BF"/>
          </w:tcPr>
          <w:p w14:paraId="4B91DD3E" w14:textId="1BFFBCE2" w:rsidR="00716FA0" w:rsidRPr="00716FA0" w:rsidRDefault="00716FA0" w:rsidP="00617FEA">
            <w:pPr>
              <w:spacing w:after="0" w:line="240" w:lineRule="auto"/>
              <w:jc w:val="both"/>
              <w:rPr>
                <w:rFonts w:asciiTheme="majorHAnsi" w:eastAsia="Times New Roman" w:hAnsiTheme="majorHAnsi" w:cstheme="majorHAnsi"/>
                <w:b/>
                <w:bCs/>
                <w:lang w:val="es-ES" w:eastAsia="es-ES"/>
              </w:rPr>
            </w:pPr>
            <w:r w:rsidRPr="00716FA0">
              <w:rPr>
                <w:rFonts w:asciiTheme="majorHAnsi" w:eastAsia="Times New Roman" w:hAnsiTheme="majorHAnsi" w:cstheme="majorHAnsi"/>
                <w:b/>
                <w:bCs/>
                <w:lang w:val="es-ES" w:eastAsia="es-ES"/>
              </w:rPr>
              <w:t>REFERENCIA</w:t>
            </w:r>
          </w:p>
        </w:tc>
      </w:tr>
      <w:tr w:rsidR="00716FA0" w14:paraId="4181321F" w14:textId="77777777" w:rsidTr="00716FA0">
        <w:tc>
          <w:tcPr>
            <w:tcW w:w="684" w:type="dxa"/>
          </w:tcPr>
          <w:p w14:paraId="24587885" w14:textId="342F49D2" w:rsidR="00716FA0" w:rsidRDefault="00716FA0" w:rsidP="00716FA0">
            <w:pPr>
              <w:spacing w:after="0" w:line="240" w:lineRule="auto"/>
              <w:jc w:val="both"/>
              <w:rPr>
                <w:rFonts w:asciiTheme="majorHAnsi" w:eastAsia="Times New Roman" w:hAnsiTheme="majorHAnsi" w:cstheme="majorHAnsi"/>
                <w:lang w:val="es-ES" w:eastAsia="es-ES"/>
              </w:rPr>
            </w:pPr>
            <w:r w:rsidRPr="0053122B">
              <w:t>1</w:t>
            </w:r>
          </w:p>
        </w:tc>
        <w:tc>
          <w:tcPr>
            <w:tcW w:w="1154" w:type="dxa"/>
          </w:tcPr>
          <w:p w14:paraId="71144840" w14:textId="5E868FA8" w:rsidR="00716FA0" w:rsidRDefault="00716FA0" w:rsidP="00716FA0">
            <w:pPr>
              <w:spacing w:after="0" w:line="240" w:lineRule="auto"/>
              <w:jc w:val="both"/>
              <w:rPr>
                <w:rFonts w:asciiTheme="majorHAnsi" w:eastAsia="Times New Roman" w:hAnsiTheme="majorHAnsi" w:cstheme="majorHAnsi"/>
                <w:lang w:val="es-ES" w:eastAsia="es-ES"/>
              </w:rPr>
            </w:pPr>
            <w:r w:rsidRPr="00AB3462">
              <w:t>60102704</w:t>
            </w:r>
          </w:p>
        </w:tc>
        <w:tc>
          <w:tcPr>
            <w:tcW w:w="2268" w:type="dxa"/>
          </w:tcPr>
          <w:p w14:paraId="0190BB09"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El set Bloques LEGO Construcción Socioemocional 1 (188 piezas) es un recurso educativo diseñado para apoyar el desarrollo de habilidades socioemocionales a través de experiencias lúdico-constructivas. El kit está compuesto por una selección de piezas LEGO que permiten la exploración activa de conceptos como empatía, comunicación, trabajo en equipo, resolución de conflictos y construcción de significados personales y grupales.</w:t>
            </w:r>
          </w:p>
          <w:p w14:paraId="2863F1D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1D423122"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Características técnicas del producto</w:t>
            </w:r>
          </w:p>
          <w:p w14:paraId="0F63AAC7"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7D9B3FB6"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Componentes del kit</w:t>
            </w:r>
          </w:p>
          <w:p w14:paraId="47E82024"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2F25E06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Cantidad total de piezas: 188 unidades.</w:t>
            </w:r>
          </w:p>
          <w:p w14:paraId="5B1F2C75"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Tipos de elementos incluidos: bloques básicos y especiales, figuras, conectores, piezas para representar emociones y situaciones, además de elementos estructurales para modelado creativo.</w:t>
            </w:r>
          </w:p>
          <w:p w14:paraId="55F95833"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Colores: variedad de colores estándar LEGO (rojo, azul, amarillo, verde, negro, blanco, etc.) para facilitar la asociación de emociones y atributos según dinámicas de aprendizaje.</w:t>
            </w:r>
          </w:p>
          <w:p w14:paraId="59B9723E"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Material: Plástico ABS de alta resistencia, duradero y seguro para uso repetido en entornos formativos.</w:t>
            </w:r>
          </w:p>
          <w:p w14:paraId="3A60ACEF"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Acabado: Superficies lisas y bordes redondeados, sin aristas vivas, asegurando seguridad durante la manipulación por parte de aprendices.</w:t>
            </w:r>
          </w:p>
          <w:p w14:paraId="3224B976" w14:textId="29D722B2" w:rsid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Compatibilidad: Totalmente compatible con otros sistemas de bloques LEGO estándar, permitiendo </w:t>
            </w:r>
            <w:r w:rsidRPr="00716FA0">
              <w:rPr>
                <w:rFonts w:asciiTheme="majorHAnsi" w:eastAsia="Times New Roman" w:hAnsiTheme="majorHAnsi" w:cstheme="majorHAnsi"/>
                <w:lang w:val="es-ES" w:eastAsia="es-ES"/>
              </w:rPr>
              <w:lastRenderedPageBreak/>
              <w:t>ampliación y flexibilidad en actividades pedagógicas más complejas.</w:t>
            </w:r>
          </w:p>
        </w:tc>
        <w:tc>
          <w:tcPr>
            <w:tcW w:w="851" w:type="dxa"/>
          </w:tcPr>
          <w:p w14:paraId="45EBA13C" w14:textId="62BE7B88" w:rsidR="00716FA0" w:rsidRDefault="00716FA0" w:rsidP="00716FA0">
            <w:pPr>
              <w:spacing w:after="0" w:line="240" w:lineRule="auto"/>
              <w:jc w:val="both"/>
              <w:rPr>
                <w:rFonts w:asciiTheme="majorHAnsi" w:eastAsia="Times New Roman" w:hAnsiTheme="majorHAnsi" w:cstheme="majorHAnsi"/>
                <w:lang w:val="es-ES" w:eastAsia="es-ES"/>
              </w:rPr>
            </w:pPr>
            <w:r w:rsidRPr="007E3A5B">
              <w:lastRenderedPageBreak/>
              <w:t>1</w:t>
            </w:r>
          </w:p>
        </w:tc>
        <w:tc>
          <w:tcPr>
            <w:tcW w:w="992" w:type="dxa"/>
          </w:tcPr>
          <w:p w14:paraId="7B954B91" w14:textId="627459FC" w:rsidR="00716FA0" w:rsidRDefault="00716FA0" w:rsidP="00716FA0">
            <w:pPr>
              <w:spacing w:after="0" w:line="240" w:lineRule="auto"/>
              <w:jc w:val="both"/>
              <w:rPr>
                <w:rFonts w:asciiTheme="majorHAnsi" w:eastAsia="Times New Roman" w:hAnsiTheme="majorHAnsi" w:cstheme="majorHAnsi"/>
                <w:lang w:val="es-ES" w:eastAsia="es-ES"/>
              </w:rPr>
            </w:pPr>
            <w:r w:rsidRPr="004A2DAF">
              <w:t>UNIDAD</w:t>
            </w:r>
          </w:p>
        </w:tc>
        <w:tc>
          <w:tcPr>
            <w:tcW w:w="1417" w:type="dxa"/>
          </w:tcPr>
          <w:p w14:paraId="2980F289" w14:textId="77777777" w:rsidR="00716FA0" w:rsidRDefault="00716FA0" w:rsidP="00716FA0">
            <w:pPr>
              <w:spacing w:after="0" w:line="240" w:lineRule="auto"/>
              <w:jc w:val="both"/>
              <w:rPr>
                <w:rFonts w:asciiTheme="majorHAnsi" w:eastAsia="Times New Roman" w:hAnsiTheme="majorHAnsi" w:cstheme="majorHAnsi"/>
                <w:lang w:val="es-ES" w:eastAsia="es-ES"/>
              </w:rPr>
            </w:pPr>
          </w:p>
        </w:tc>
        <w:tc>
          <w:tcPr>
            <w:tcW w:w="1462" w:type="dxa"/>
          </w:tcPr>
          <w:p w14:paraId="52E54B28" w14:textId="77777777" w:rsidR="00716FA0" w:rsidRDefault="00716FA0" w:rsidP="00716FA0">
            <w:pPr>
              <w:spacing w:after="0" w:line="240" w:lineRule="auto"/>
              <w:jc w:val="both"/>
              <w:rPr>
                <w:rFonts w:asciiTheme="majorHAnsi" w:eastAsia="Times New Roman" w:hAnsiTheme="majorHAnsi" w:cstheme="majorHAnsi"/>
                <w:lang w:val="es-ES" w:eastAsia="es-ES"/>
              </w:rPr>
            </w:pPr>
          </w:p>
        </w:tc>
      </w:tr>
      <w:tr w:rsidR="00716FA0" w14:paraId="26861512" w14:textId="77777777" w:rsidTr="00716FA0">
        <w:tc>
          <w:tcPr>
            <w:tcW w:w="684" w:type="dxa"/>
          </w:tcPr>
          <w:p w14:paraId="146C9B04" w14:textId="152FDA34" w:rsidR="00716FA0" w:rsidRDefault="00716FA0" w:rsidP="00716FA0">
            <w:pPr>
              <w:spacing w:after="0" w:line="240" w:lineRule="auto"/>
              <w:jc w:val="both"/>
              <w:rPr>
                <w:rFonts w:asciiTheme="majorHAnsi" w:eastAsia="Times New Roman" w:hAnsiTheme="majorHAnsi" w:cstheme="majorHAnsi"/>
                <w:lang w:val="es-ES" w:eastAsia="es-ES"/>
              </w:rPr>
            </w:pPr>
            <w:r w:rsidRPr="0053122B">
              <w:lastRenderedPageBreak/>
              <w:t>2</w:t>
            </w:r>
          </w:p>
        </w:tc>
        <w:tc>
          <w:tcPr>
            <w:tcW w:w="1154" w:type="dxa"/>
          </w:tcPr>
          <w:p w14:paraId="2583B46F" w14:textId="6B421AE9" w:rsidR="00716FA0" w:rsidRDefault="00716FA0" w:rsidP="00716FA0">
            <w:pPr>
              <w:spacing w:after="0" w:line="240" w:lineRule="auto"/>
              <w:jc w:val="both"/>
              <w:rPr>
                <w:rFonts w:asciiTheme="majorHAnsi" w:eastAsia="Times New Roman" w:hAnsiTheme="majorHAnsi" w:cstheme="majorHAnsi"/>
                <w:lang w:val="es-ES" w:eastAsia="es-ES"/>
              </w:rPr>
            </w:pPr>
            <w:r w:rsidRPr="00AB3462">
              <w:t>60102704</w:t>
            </w:r>
          </w:p>
        </w:tc>
        <w:tc>
          <w:tcPr>
            <w:tcW w:w="2268" w:type="dxa"/>
          </w:tcPr>
          <w:p w14:paraId="614B8236"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El set Construcción Socioemocional 2 (1.176 piezas): es un recurso didáctico diseñado para fortalecer competencias socioemocionales mediante metodologías activas basadas en construcción y representación simbólica. El kit integra una amplia variedad de elementos del sistema LEGO, permitiendo el desarrollo de dinámicas grupales orientadas al liderazgo, comunicación asertiva, resolución de conflictos, pensamiento sistémico y trabajo colaborativo en entornos educativos o institucionales.</w:t>
            </w:r>
          </w:p>
          <w:p w14:paraId="28CF4ADA"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p>
          <w:p w14:paraId="337762FD"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Características técnicas del producto:</w:t>
            </w:r>
          </w:p>
          <w:p w14:paraId="061D5CEE"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p>
          <w:p w14:paraId="2F82C1D9"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1. Composición del kit</w:t>
            </w:r>
          </w:p>
          <w:p w14:paraId="46535BD4"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lastRenderedPageBreak/>
              <w:t>Cantidad total de piezas: 1.176 unidades.</w:t>
            </w:r>
          </w:p>
          <w:p w14:paraId="06F69E20"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Tipos de piezas: bloques básicos y estructurales, placas, conectores, elementos especiales, minifiguras y accesorios para representación simbólica de situaciones y emociones.</w:t>
            </w:r>
          </w:p>
          <w:p w14:paraId="3E1CD764"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Variedad cromática: amplia gama de colores que facilita la asociación conceptual y la expresión emocional en actividades pedagógicas.</w:t>
            </w:r>
          </w:p>
          <w:p w14:paraId="737FDFC8"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Material: plástico ABS de alta resistencia mecánica y durabilidad.</w:t>
            </w:r>
          </w:p>
          <w:p w14:paraId="0BB8EE4D"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Precisión dimensional: fabricación con tolerancias exactas que garantizan ajuste firme y estabilidad estructural.</w:t>
            </w:r>
          </w:p>
          <w:p w14:paraId="509AB027" w14:textId="77777777" w:rsidR="00716FA0" w:rsidRPr="00716FA0" w:rsidRDefault="00716FA0" w:rsidP="00716FA0">
            <w:pPr>
              <w:spacing w:after="0" w:line="240" w:lineRule="auto"/>
              <w:ind w:firstLine="708"/>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Acabado superficial: piezas lisas, con bordes redondeados y libres de imperfecciones.</w:t>
            </w:r>
          </w:p>
          <w:p w14:paraId="48ADC0D8" w14:textId="59649A23" w:rsidR="00716FA0" w:rsidRDefault="00716FA0" w:rsidP="00716FA0">
            <w:pPr>
              <w:spacing w:after="0" w:line="240" w:lineRule="auto"/>
              <w:ind w:firstLine="708"/>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Seguridad: materiales no tóxicos, aptos para uso educativo continuo.</w:t>
            </w:r>
          </w:p>
        </w:tc>
        <w:tc>
          <w:tcPr>
            <w:tcW w:w="851" w:type="dxa"/>
          </w:tcPr>
          <w:p w14:paraId="4CCBF2FD" w14:textId="409607C4" w:rsidR="00716FA0" w:rsidRDefault="00716FA0" w:rsidP="00716FA0">
            <w:pPr>
              <w:spacing w:after="0" w:line="240" w:lineRule="auto"/>
              <w:jc w:val="both"/>
              <w:rPr>
                <w:rFonts w:asciiTheme="majorHAnsi" w:eastAsia="Times New Roman" w:hAnsiTheme="majorHAnsi" w:cstheme="majorHAnsi"/>
                <w:lang w:val="es-ES" w:eastAsia="es-ES"/>
              </w:rPr>
            </w:pPr>
            <w:r w:rsidRPr="007E3A5B">
              <w:lastRenderedPageBreak/>
              <w:t>1</w:t>
            </w:r>
          </w:p>
        </w:tc>
        <w:tc>
          <w:tcPr>
            <w:tcW w:w="992" w:type="dxa"/>
          </w:tcPr>
          <w:p w14:paraId="4735A98E" w14:textId="24AD08DE" w:rsidR="00716FA0" w:rsidRDefault="00716FA0" w:rsidP="00716FA0">
            <w:pPr>
              <w:spacing w:after="0" w:line="240" w:lineRule="auto"/>
              <w:jc w:val="both"/>
              <w:rPr>
                <w:rFonts w:asciiTheme="majorHAnsi" w:eastAsia="Times New Roman" w:hAnsiTheme="majorHAnsi" w:cstheme="majorHAnsi"/>
                <w:lang w:val="es-ES" w:eastAsia="es-ES"/>
              </w:rPr>
            </w:pPr>
            <w:r w:rsidRPr="004A2DAF">
              <w:t>UNIDAD</w:t>
            </w:r>
          </w:p>
        </w:tc>
        <w:tc>
          <w:tcPr>
            <w:tcW w:w="1417" w:type="dxa"/>
          </w:tcPr>
          <w:p w14:paraId="70B677A9" w14:textId="77777777" w:rsidR="00716FA0" w:rsidRDefault="00716FA0" w:rsidP="00716FA0">
            <w:pPr>
              <w:spacing w:after="0" w:line="240" w:lineRule="auto"/>
              <w:jc w:val="both"/>
              <w:rPr>
                <w:rFonts w:asciiTheme="majorHAnsi" w:eastAsia="Times New Roman" w:hAnsiTheme="majorHAnsi" w:cstheme="majorHAnsi"/>
                <w:lang w:val="es-ES" w:eastAsia="es-ES"/>
              </w:rPr>
            </w:pPr>
          </w:p>
        </w:tc>
        <w:tc>
          <w:tcPr>
            <w:tcW w:w="1462" w:type="dxa"/>
          </w:tcPr>
          <w:p w14:paraId="23198EC0" w14:textId="77777777" w:rsidR="00716FA0" w:rsidRDefault="00716FA0" w:rsidP="00716FA0">
            <w:pPr>
              <w:spacing w:after="0" w:line="240" w:lineRule="auto"/>
              <w:jc w:val="both"/>
              <w:rPr>
                <w:rFonts w:asciiTheme="majorHAnsi" w:eastAsia="Times New Roman" w:hAnsiTheme="majorHAnsi" w:cstheme="majorHAnsi"/>
                <w:lang w:val="es-ES" w:eastAsia="es-ES"/>
              </w:rPr>
            </w:pPr>
          </w:p>
        </w:tc>
      </w:tr>
      <w:tr w:rsidR="00716FA0" w14:paraId="333FA438" w14:textId="77777777" w:rsidTr="00716FA0">
        <w:tc>
          <w:tcPr>
            <w:tcW w:w="684" w:type="dxa"/>
          </w:tcPr>
          <w:p w14:paraId="00E32BA9" w14:textId="67D2B95B" w:rsidR="00716FA0" w:rsidRDefault="00716FA0" w:rsidP="00716FA0">
            <w:pPr>
              <w:spacing w:after="0" w:line="240" w:lineRule="auto"/>
              <w:jc w:val="both"/>
              <w:rPr>
                <w:rFonts w:asciiTheme="majorHAnsi" w:eastAsia="Times New Roman" w:hAnsiTheme="majorHAnsi" w:cstheme="majorHAnsi"/>
                <w:lang w:val="es-ES" w:eastAsia="es-ES"/>
              </w:rPr>
            </w:pPr>
            <w:r w:rsidRPr="0053122B">
              <w:t>3</w:t>
            </w:r>
          </w:p>
        </w:tc>
        <w:tc>
          <w:tcPr>
            <w:tcW w:w="1154" w:type="dxa"/>
          </w:tcPr>
          <w:p w14:paraId="260E96E3" w14:textId="620F58A6" w:rsidR="00716FA0" w:rsidRDefault="00716FA0" w:rsidP="00716FA0">
            <w:pPr>
              <w:spacing w:after="0" w:line="240" w:lineRule="auto"/>
              <w:jc w:val="both"/>
              <w:rPr>
                <w:rFonts w:asciiTheme="majorHAnsi" w:eastAsia="Times New Roman" w:hAnsiTheme="majorHAnsi" w:cstheme="majorHAnsi"/>
                <w:lang w:val="es-ES" w:eastAsia="es-ES"/>
              </w:rPr>
            </w:pPr>
            <w:r w:rsidRPr="00AB3462">
              <w:t>60102704</w:t>
            </w:r>
          </w:p>
        </w:tc>
        <w:tc>
          <w:tcPr>
            <w:tcW w:w="2268" w:type="dxa"/>
          </w:tcPr>
          <w:p w14:paraId="0D61969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El Set Personas del Mundo (16 piezas): es un recurso didáctico </w:t>
            </w:r>
            <w:r w:rsidRPr="00716FA0">
              <w:rPr>
                <w:rFonts w:asciiTheme="majorHAnsi" w:eastAsia="Times New Roman" w:hAnsiTheme="majorHAnsi" w:cstheme="majorHAnsi"/>
                <w:lang w:val="es-ES" w:eastAsia="es-ES"/>
              </w:rPr>
              <w:lastRenderedPageBreak/>
              <w:t>construido con bloques del sistema LEGO, diseñado para apoyar actividades educativas centradas en la comprensión cultural, la diversidad, la identidad y las dinámicas sociales. Este set complementa procesos formativos que promueven habilidades socioemocionales y pensamiento intercultural mediante representaciones físicas y lúdicas de personajes y contextos del mundo.</w:t>
            </w:r>
          </w:p>
          <w:p w14:paraId="73DB5E25"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41B7A73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Características técnicas del producto</w:t>
            </w:r>
          </w:p>
          <w:p w14:paraId="3D974A97"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7015599F"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1. Composición del set</w:t>
            </w:r>
          </w:p>
          <w:p w14:paraId="7E1C0FA3"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Cantidad de piezas: 16 unidades.</w:t>
            </w:r>
          </w:p>
          <w:p w14:paraId="1590C931"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Componentes: figuras humanas (minifiguras o piezas representativas), elementos accesorios y bloques complementarios que permiten configurar representaciones de personas y roles sociales.</w:t>
            </w:r>
          </w:p>
          <w:p w14:paraId="6E8322B5"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Diseño de piezas: figuras estilizadas con rasgos y atributos que favorecen la representación de </w:t>
            </w:r>
            <w:r w:rsidRPr="00716FA0">
              <w:rPr>
                <w:rFonts w:asciiTheme="majorHAnsi" w:eastAsia="Times New Roman" w:hAnsiTheme="majorHAnsi" w:cstheme="majorHAnsi"/>
                <w:lang w:val="es-ES" w:eastAsia="es-ES"/>
              </w:rPr>
              <w:lastRenderedPageBreak/>
              <w:t>diversidad cultural y social.</w:t>
            </w:r>
          </w:p>
          <w:p w14:paraId="37D765A7"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5D6380B9"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2. Material y calidad</w:t>
            </w:r>
          </w:p>
          <w:p w14:paraId="4D4E16DE"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47D01E6F"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Material: plástico ABS de alta resistencia mecánica y estabilidad dimensional.</w:t>
            </w:r>
          </w:p>
          <w:p w14:paraId="162C75B9"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Precisión de fabricación: tolerancias milimétricas que garantizan compatibilidad con otros sistemas LEGO y un ensamble seguro y consistente.</w:t>
            </w:r>
          </w:p>
          <w:p w14:paraId="42ACF52D"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Acabado: superficies lisas, bordes redondeados, libres de imperfecciones y seguros para manipulación por usuarios de diversas edades.</w:t>
            </w:r>
          </w:p>
          <w:p w14:paraId="18BF478D" w14:textId="00469751" w:rsid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Cumplimiento de seguridad: materiales no tóxicos, diseñados bajo estándares internacionales para juegos educativos.</w:t>
            </w:r>
          </w:p>
        </w:tc>
        <w:tc>
          <w:tcPr>
            <w:tcW w:w="851" w:type="dxa"/>
          </w:tcPr>
          <w:p w14:paraId="7D28BD54" w14:textId="56B4D19A" w:rsidR="00716FA0" w:rsidRDefault="00716FA0" w:rsidP="00716FA0">
            <w:pPr>
              <w:spacing w:after="0" w:line="240" w:lineRule="auto"/>
              <w:jc w:val="both"/>
              <w:rPr>
                <w:rFonts w:asciiTheme="majorHAnsi" w:eastAsia="Times New Roman" w:hAnsiTheme="majorHAnsi" w:cstheme="majorHAnsi"/>
                <w:lang w:val="es-ES" w:eastAsia="es-ES"/>
              </w:rPr>
            </w:pPr>
            <w:r w:rsidRPr="007E3A5B">
              <w:lastRenderedPageBreak/>
              <w:t>1</w:t>
            </w:r>
          </w:p>
        </w:tc>
        <w:tc>
          <w:tcPr>
            <w:tcW w:w="992" w:type="dxa"/>
          </w:tcPr>
          <w:p w14:paraId="1EF4448E" w14:textId="1D39EAD7" w:rsidR="00716FA0" w:rsidRDefault="00716FA0" w:rsidP="00716FA0">
            <w:pPr>
              <w:spacing w:after="0" w:line="240" w:lineRule="auto"/>
              <w:jc w:val="both"/>
              <w:rPr>
                <w:rFonts w:asciiTheme="majorHAnsi" w:eastAsia="Times New Roman" w:hAnsiTheme="majorHAnsi" w:cstheme="majorHAnsi"/>
                <w:lang w:val="es-ES" w:eastAsia="es-ES"/>
              </w:rPr>
            </w:pPr>
            <w:r w:rsidRPr="004A2DAF">
              <w:t>UNIDAD</w:t>
            </w:r>
          </w:p>
        </w:tc>
        <w:tc>
          <w:tcPr>
            <w:tcW w:w="1417" w:type="dxa"/>
          </w:tcPr>
          <w:p w14:paraId="1BF6AF37" w14:textId="77777777" w:rsidR="00716FA0" w:rsidRDefault="00716FA0" w:rsidP="00716FA0">
            <w:pPr>
              <w:spacing w:after="0" w:line="240" w:lineRule="auto"/>
              <w:jc w:val="both"/>
              <w:rPr>
                <w:rFonts w:asciiTheme="majorHAnsi" w:eastAsia="Times New Roman" w:hAnsiTheme="majorHAnsi" w:cstheme="majorHAnsi"/>
                <w:lang w:val="es-ES" w:eastAsia="es-ES"/>
              </w:rPr>
            </w:pPr>
          </w:p>
        </w:tc>
        <w:tc>
          <w:tcPr>
            <w:tcW w:w="1462" w:type="dxa"/>
          </w:tcPr>
          <w:p w14:paraId="61AC8A39" w14:textId="77777777" w:rsidR="00716FA0" w:rsidRDefault="00716FA0" w:rsidP="00716FA0">
            <w:pPr>
              <w:spacing w:after="0" w:line="240" w:lineRule="auto"/>
              <w:jc w:val="both"/>
              <w:rPr>
                <w:rFonts w:asciiTheme="majorHAnsi" w:eastAsia="Times New Roman" w:hAnsiTheme="majorHAnsi" w:cstheme="majorHAnsi"/>
                <w:lang w:val="es-ES" w:eastAsia="es-ES"/>
              </w:rPr>
            </w:pPr>
          </w:p>
        </w:tc>
      </w:tr>
      <w:tr w:rsidR="00716FA0" w14:paraId="0973AE11" w14:textId="77777777" w:rsidTr="00716FA0">
        <w:tc>
          <w:tcPr>
            <w:tcW w:w="684" w:type="dxa"/>
          </w:tcPr>
          <w:p w14:paraId="2B8BC752" w14:textId="1A1DC84E" w:rsidR="00716FA0" w:rsidRDefault="00716FA0" w:rsidP="00716FA0">
            <w:pPr>
              <w:spacing w:after="0" w:line="240" w:lineRule="auto"/>
              <w:jc w:val="both"/>
              <w:rPr>
                <w:rFonts w:asciiTheme="majorHAnsi" w:eastAsia="Times New Roman" w:hAnsiTheme="majorHAnsi" w:cstheme="majorHAnsi"/>
                <w:lang w:val="es-ES" w:eastAsia="es-ES"/>
              </w:rPr>
            </w:pPr>
            <w:r w:rsidRPr="0053122B">
              <w:lastRenderedPageBreak/>
              <w:t>4</w:t>
            </w:r>
          </w:p>
        </w:tc>
        <w:tc>
          <w:tcPr>
            <w:tcW w:w="1154" w:type="dxa"/>
          </w:tcPr>
          <w:p w14:paraId="2C6A5980" w14:textId="01C8C9D3" w:rsidR="00716FA0" w:rsidRDefault="00716FA0" w:rsidP="00716FA0">
            <w:pPr>
              <w:spacing w:after="0" w:line="240" w:lineRule="auto"/>
              <w:jc w:val="both"/>
              <w:rPr>
                <w:rFonts w:asciiTheme="majorHAnsi" w:eastAsia="Times New Roman" w:hAnsiTheme="majorHAnsi" w:cstheme="majorHAnsi"/>
                <w:lang w:val="es-ES" w:eastAsia="es-ES"/>
              </w:rPr>
            </w:pPr>
            <w:r w:rsidRPr="00AB3462">
              <w:t>60102704</w:t>
            </w:r>
          </w:p>
        </w:tc>
        <w:tc>
          <w:tcPr>
            <w:tcW w:w="2268" w:type="dxa"/>
          </w:tcPr>
          <w:p w14:paraId="4C17615E"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El Set Personas de la Comunidad (20 piezas): es un recurso didáctico construido con bloques del sistema LEGO, diseñado para apoyar procesos de aprendizaje sobre interacciones sociales, roles comunitarios, diversidad cultural y </w:t>
            </w:r>
            <w:r w:rsidRPr="00716FA0">
              <w:rPr>
                <w:rFonts w:asciiTheme="majorHAnsi" w:eastAsia="Times New Roman" w:hAnsiTheme="majorHAnsi" w:cstheme="majorHAnsi"/>
                <w:lang w:val="es-ES" w:eastAsia="es-ES"/>
              </w:rPr>
              <w:lastRenderedPageBreak/>
              <w:t>dinámicas de convivencia. Este set permite representar y construir de manera lúdica componentes del entorno social, facilitando actividades pedagógicas enfocadas en el desarrollo de competencias socioemocionales y comprensión de la realidad comunitaria.</w:t>
            </w:r>
          </w:p>
          <w:p w14:paraId="37FF2C50"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5353D8BF"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Características técnicas del producto</w:t>
            </w:r>
          </w:p>
          <w:p w14:paraId="52AEEF80"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1. Composición del set Cantidad total de piezas: 20 unidades.</w:t>
            </w:r>
          </w:p>
          <w:p w14:paraId="1C26F2B8"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Elementos incluidos: figuras humanas (minifiguras o piezas representativas), bloques y accesorios que permiten simbolizar personas y roles presentes en una comunidad.</w:t>
            </w:r>
          </w:p>
          <w:p w14:paraId="1D3A41EE"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Diseño de piezas: diversidad de formas y atributos visuales que favorecen la identificación de diferentes roles comunitarios y perfiles sociales.</w:t>
            </w:r>
          </w:p>
          <w:p w14:paraId="5F000D11"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20023B91"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2. Material y calidad</w:t>
            </w:r>
          </w:p>
          <w:p w14:paraId="10B3DCD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Material: plástico ABS de alta resistencia y estabilidad dimensional, que garantiza durabilidad y </w:t>
            </w:r>
            <w:r w:rsidRPr="00716FA0">
              <w:rPr>
                <w:rFonts w:asciiTheme="majorHAnsi" w:eastAsia="Times New Roman" w:hAnsiTheme="majorHAnsi" w:cstheme="majorHAnsi"/>
                <w:lang w:val="es-ES" w:eastAsia="es-ES"/>
              </w:rPr>
              <w:lastRenderedPageBreak/>
              <w:t>repetida manipulación en ambientes formativos.</w:t>
            </w:r>
          </w:p>
          <w:p w14:paraId="5F2C735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Fabricación: producción con tolerancias controladas que asegura compatibilidad con otros bloques LEGO estándar y ensamble estable.</w:t>
            </w:r>
          </w:p>
          <w:p w14:paraId="475253EF"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Acabado: superficies lisas, bordes redondeados y libres de imperfecciones, garantizando seguridad durante la manipulación.</w:t>
            </w:r>
          </w:p>
          <w:p w14:paraId="06F84CA2" w14:textId="3C6AC48D" w:rsid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Seguridad: materiales no tóxicos y conformes con estándares internacionales para juguetes y recursos educativos.</w:t>
            </w:r>
          </w:p>
        </w:tc>
        <w:tc>
          <w:tcPr>
            <w:tcW w:w="851" w:type="dxa"/>
          </w:tcPr>
          <w:p w14:paraId="7EA0A11D" w14:textId="71D9F442" w:rsidR="00716FA0" w:rsidRDefault="00716FA0" w:rsidP="00716FA0">
            <w:pPr>
              <w:spacing w:after="0" w:line="240" w:lineRule="auto"/>
              <w:jc w:val="both"/>
              <w:rPr>
                <w:rFonts w:asciiTheme="majorHAnsi" w:eastAsia="Times New Roman" w:hAnsiTheme="majorHAnsi" w:cstheme="majorHAnsi"/>
                <w:lang w:val="es-ES" w:eastAsia="es-ES"/>
              </w:rPr>
            </w:pPr>
            <w:r w:rsidRPr="007E3A5B">
              <w:lastRenderedPageBreak/>
              <w:t>1</w:t>
            </w:r>
          </w:p>
        </w:tc>
        <w:tc>
          <w:tcPr>
            <w:tcW w:w="992" w:type="dxa"/>
          </w:tcPr>
          <w:p w14:paraId="7351D390" w14:textId="51F30ACD" w:rsidR="00716FA0" w:rsidRDefault="00716FA0" w:rsidP="00716FA0">
            <w:pPr>
              <w:spacing w:after="0" w:line="240" w:lineRule="auto"/>
              <w:jc w:val="both"/>
              <w:rPr>
                <w:rFonts w:asciiTheme="majorHAnsi" w:eastAsia="Times New Roman" w:hAnsiTheme="majorHAnsi" w:cstheme="majorHAnsi"/>
                <w:lang w:val="es-ES" w:eastAsia="es-ES"/>
              </w:rPr>
            </w:pPr>
            <w:r w:rsidRPr="004A2DAF">
              <w:t>UNIDAD</w:t>
            </w:r>
          </w:p>
        </w:tc>
        <w:tc>
          <w:tcPr>
            <w:tcW w:w="1417" w:type="dxa"/>
          </w:tcPr>
          <w:p w14:paraId="252E293C" w14:textId="77777777" w:rsidR="00716FA0" w:rsidRDefault="00716FA0" w:rsidP="00716FA0">
            <w:pPr>
              <w:spacing w:after="0" w:line="240" w:lineRule="auto"/>
              <w:jc w:val="both"/>
              <w:rPr>
                <w:rFonts w:asciiTheme="majorHAnsi" w:eastAsia="Times New Roman" w:hAnsiTheme="majorHAnsi" w:cstheme="majorHAnsi"/>
                <w:lang w:val="es-ES" w:eastAsia="es-ES"/>
              </w:rPr>
            </w:pPr>
          </w:p>
        </w:tc>
        <w:tc>
          <w:tcPr>
            <w:tcW w:w="1462" w:type="dxa"/>
          </w:tcPr>
          <w:p w14:paraId="76F0A841" w14:textId="77777777" w:rsidR="00716FA0" w:rsidRDefault="00716FA0" w:rsidP="00716FA0">
            <w:pPr>
              <w:spacing w:after="0" w:line="240" w:lineRule="auto"/>
              <w:jc w:val="both"/>
              <w:rPr>
                <w:rFonts w:asciiTheme="majorHAnsi" w:eastAsia="Times New Roman" w:hAnsiTheme="majorHAnsi" w:cstheme="majorHAnsi"/>
                <w:lang w:val="es-ES" w:eastAsia="es-ES"/>
              </w:rPr>
            </w:pPr>
          </w:p>
        </w:tc>
      </w:tr>
      <w:tr w:rsidR="00716FA0" w14:paraId="7CC8BAB0" w14:textId="77777777" w:rsidTr="00716FA0">
        <w:tc>
          <w:tcPr>
            <w:tcW w:w="684" w:type="dxa"/>
          </w:tcPr>
          <w:p w14:paraId="35E97DBF" w14:textId="039A0F90" w:rsidR="00716FA0" w:rsidRDefault="00716FA0" w:rsidP="00716FA0">
            <w:pPr>
              <w:spacing w:after="0" w:line="240" w:lineRule="auto"/>
              <w:jc w:val="both"/>
              <w:rPr>
                <w:rFonts w:asciiTheme="majorHAnsi" w:eastAsia="Times New Roman" w:hAnsiTheme="majorHAnsi" w:cstheme="majorHAnsi"/>
                <w:lang w:val="es-ES" w:eastAsia="es-ES"/>
              </w:rPr>
            </w:pPr>
            <w:r w:rsidRPr="0053122B">
              <w:lastRenderedPageBreak/>
              <w:t>5</w:t>
            </w:r>
          </w:p>
        </w:tc>
        <w:tc>
          <w:tcPr>
            <w:tcW w:w="1154" w:type="dxa"/>
          </w:tcPr>
          <w:p w14:paraId="5989CB5F" w14:textId="0EF35E40" w:rsidR="00716FA0" w:rsidRDefault="00716FA0" w:rsidP="00716FA0">
            <w:pPr>
              <w:spacing w:after="0" w:line="240" w:lineRule="auto"/>
              <w:jc w:val="both"/>
              <w:rPr>
                <w:rFonts w:asciiTheme="majorHAnsi" w:eastAsia="Times New Roman" w:hAnsiTheme="majorHAnsi" w:cstheme="majorHAnsi"/>
                <w:lang w:val="es-ES" w:eastAsia="es-ES"/>
              </w:rPr>
            </w:pPr>
            <w:r w:rsidRPr="00AB3462">
              <w:t>60102704</w:t>
            </w:r>
          </w:p>
        </w:tc>
        <w:tc>
          <w:tcPr>
            <w:tcW w:w="2268" w:type="dxa"/>
          </w:tcPr>
          <w:p w14:paraId="04DEAA07"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El set Elementos Constructivos Oportunidades: Puertas y Ventanas (278 piezas): es un recurso educativo basado en bloques del sistema LEGO, diseñado para facilitar el aprendizaje de conceptos arquitectónicos básicos, estructuras, interacción espacial y elementos constructivos mediante actividades lúdico-pedagógicas. Este kit permite a los </w:t>
            </w:r>
            <w:r w:rsidRPr="00716FA0">
              <w:rPr>
                <w:rFonts w:asciiTheme="majorHAnsi" w:eastAsia="Times New Roman" w:hAnsiTheme="majorHAnsi" w:cstheme="majorHAnsi"/>
                <w:lang w:val="es-ES" w:eastAsia="es-ES"/>
              </w:rPr>
              <w:lastRenderedPageBreak/>
              <w:t>participantes explorar, construir y analizar componentes fundamentales de edificaciones reales, como puertas y ventanas, fomentando el desarrollo de competencias técnicas, creatividad y pensamiento espacial.</w:t>
            </w:r>
          </w:p>
          <w:p w14:paraId="6D2D7AC0"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Características técnicas del producto: </w:t>
            </w:r>
          </w:p>
          <w:p w14:paraId="04CAF809"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799A347A"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1. Composición del set</w:t>
            </w:r>
          </w:p>
          <w:p w14:paraId="2BDC29E7"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Cantidad total de piezas: 278 unidades.</w:t>
            </w:r>
          </w:p>
          <w:p w14:paraId="384046E1"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Elementos incluidos: variedad de bloques básicos y especializados, piezas que representan aberturas arquitectónicas (marcos de puertas, marcos de ventanas, dinteles, umbrales, etc.), conectores, placas base y accesorios estructurales.</w:t>
            </w:r>
          </w:p>
          <w:p w14:paraId="14EBF5EA"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Diseño de piezas: formas y perfiles que permiten simular proporciones y funciones de puertas y ventanas en construcciones, facilitando representaciones y modelos tridimensionales.</w:t>
            </w:r>
          </w:p>
          <w:p w14:paraId="3B45D31F"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00C12030"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2. Material y calidad</w:t>
            </w:r>
          </w:p>
          <w:p w14:paraId="0BFC6F56"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lastRenderedPageBreak/>
              <w:t>Material: plástico ABS de alta calidad, resistente al uso repetido en actividades educativas.</w:t>
            </w:r>
          </w:p>
          <w:p w14:paraId="6E47FBED"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Precisión de fabricación: tolerancias controladas que aseguran compatibilidad con otros elementos LEGO estándar y un ensamble firme y seguro.</w:t>
            </w:r>
          </w:p>
          <w:p w14:paraId="5A989597"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Acabado: piezas con superficies lisas y bordes redondeados, libres de defectos, que garantizan seguridad durante la manipulación.</w:t>
            </w:r>
          </w:p>
          <w:p w14:paraId="164BE430" w14:textId="2AAFA609" w:rsid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Seguridad certificada: plástico no tóxico, conforme con estándares internacionales para recursos educativos y juguetes.</w:t>
            </w:r>
          </w:p>
        </w:tc>
        <w:tc>
          <w:tcPr>
            <w:tcW w:w="851" w:type="dxa"/>
          </w:tcPr>
          <w:p w14:paraId="787DD5C2" w14:textId="517C76B8" w:rsidR="00716FA0" w:rsidRDefault="00716FA0" w:rsidP="00716FA0">
            <w:pPr>
              <w:spacing w:after="0" w:line="240" w:lineRule="auto"/>
              <w:jc w:val="both"/>
              <w:rPr>
                <w:rFonts w:asciiTheme="majorHAnsi" w:eastAsia="Times New Roman" w:hAnsiTheme="majorHAnsi" w:cstheme="majorHAnsi"/>
                <w:lang w:val="es-ES" w:eastAsia="es-ES"/>
              </w:rPr>
            </w:pPr>
            <w:r w:rsidRPr="007E3A5B">
              <w:lastRenderedPageBreak/>
              <w:t>1</w:t>
            </w:r>
          </w:p>
        </w:tc>
        <w:tc>
          <w:tcPr>
            <w:tcW w:w="992" w:type="dxa"/>
          </w:tcPr>
          <w:p w14:paraId="0E7E68E4" w14:textId="73F24C5C" w:rsidR="00716FA0" w:rsidRDefault="00716FA0" w:rsidP="00716FA0">
            <w:pPr>
              <w:spacing w:after="0" w:line="240" w:lineRule="auto"/>
              <w:jc w:val="both"/>
              <w:rPr>
                <w:rFonts w:asciiTheme="majorHAnsi" w:eastAsia="Times New Roman" w:hAnsiTheme="majorHAnsi" w:cstheme="majorHAnsi"/>
                <w:lang w:val="es-ES" w:eastAsia="es-ES"/>
              </w:rPr>
            </w:pPr>
            <w:r w:rsidRPr="004A2DAF">
              <w:t>UNIDAD</w:t>
            </w:r>
          </w:p>
        </w:tc>
        <w:tc>
          <w:tcPr>
            <w:tcW w:w="1417" w:type="dxa"/>
          </w:tcPr>
          <w:p w14:paraId="228ABE95" w14:textId="77777777" w:rsidR="00716FA0" w:rsidRDefault="00716FA0" w:rsidP="00716FA0">
            <w:pPr>
              <w:spacing w:after="0" w:line="240" w:lineRule="auto"/>
              <w:jc w:val="both"/>
              <w:rPr>
                <w:rFonts w:asciiTheme="majorHAnsi" w:eastAsia="Times New Roman" w:hAnsiTheme="majorHAnsi" w:cstheme="majorHAnsi"/>
                <w:lang w:val="es-ES" w:eastAsia="es-ES"/>
              </w:rPr>
            </w:pPr>
          </w:p>
        </w:tc>
        <w:tc>
          <w:tcPr>
            <w:tcW w:w="1462" w:type="dxa"/>
          </w:tcPr>
          <w:p w14:paraId="3FBE261B" w14:textId="77777777" w:rsidR="00716FA0" w:rsidRDefault="00716FA0" w:rsidP="00716FA0">
            <w:pPr>
              <w:spacing w:after="0" w:line="240" w:lineRule="auto"/>
              <w:jc w:val="both"/>
              <w:rPr>
                <w:rFonts w:asciiTheme="majorHAnsi" w:eastAsia="Times New Roman" w:hAnsiTheme="majorHAnsi" w:cstheme="majorHAnsi"/>
                <w:lang w:val="es-ES" w:eastAsia="es-ES"/>
              </w:rPr>
            </w:pPr>
          </w:p>
        </w:tc>
      </w:tr>
      <w:tr w:rsidR="00716FA0" w14:paraId="40AA30D2" w14:textId="77777777" w:rsidTr="00716FA0">
        <w:tc>
          <w:tcPr>
            <w:tcW w:w="684" w:type="dxa"/>
          </w:tcPr>
          <w:p w14:paraId="3BAEECD2" w14:textId="4853B5C5" w:rsidR="00716FA0" w:rsidRDefault="00716FA0" w:rsidP="00716FA0">
            <w:pPr>
              <w:spacing w:after="0" w:line="240" w:lineRule="auto"/>
              <w:jc w:val="both"/>
              <w:rPr>
                <w:rFonts w:asciiTheme="majorHAnsi" w:eastAsia="Times New Roman" w:hAnsiTheme="majorHAnsi" w:cstheme="majorHAnsi"/>
                <w:lang w:val="es-ES" w:eastAsia="es-ES"/>
              </w:rPr>
            </w:pPr>
            <w:r w:rsidRPr="0053122B">
              <w:lastRenderedPageBreak/>
              <w:t>6</w:t>
            </w:r>
          </w:p>
        </w:tc>
        <w:tc>
          <w:tcPr>
            <w:tcW w:w="1154" w:type="dxa"/>
          </w:tcPr>
          <w:p w14:paraId="40C009EF" w14:textId="29737261" w:rsidR="00716FA0" w:rsidRDefault="00716FA0" w:rsidP="00716FA0">
            <w:pPr>
              <w:spacing w:after="0" w:line="240" w:lineRule="auto"/>
              <w:jc w:val="both"/>
              <w:rPr>
                <w:rFonts w:asciiTheme="majorHAnsi" w:eastAsia="Times New Roman" w:hAnsiTheme="majorHAnsi" w:cstheme="majorHAnsi"/>
                <w:lang w:val="es-ES" w:eastAsia="es-ES"/>
              </w:rPr>
            </w:pPr>
            <w:r w:rsidRPr="00AB3462">
              <w:t>60102704</w:t>
            </w:r>
          </w:p>
        </w:tc>
        <w:tc>
          <w:tcPr>
            <w:tcW w:w="2268" w:type="dxa"/>
          </w:tcPr>
          <w:p w14:paraId="7A211433"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El set Elementos Constructivos Oportunidades: Bases Constructivas (22 piezas) es un recurso educativo diseñado con bloques del sistema LEGO, orientado a introducir y reforzar conceptos fundamentales de estructura y base en procesos formativos. Este kit ofrece una selección de piezas </w:t>
            </w:r>
            <w:r w:rsidRPr="00716FA0">
              <w:rPr>
                <w:rFonts w:asciiTheme="majorHAnsi" w:eastAsia="Times New Roman" w:hAnsiTheme="majorHAnsi" w:cstheme="majorHAnsi"/>
                <w:lang w:val="es-ES" w:eastAsia="es-ES"/>
              </w:rPr>
              <w:lastRenderedPageBreak/>
              <w:t>que permiten construir bases y soportes estables para proyectos constructivos, facilitando el desarrollo de habilidades de diseño, pensamiento espacial y comprensión de relaciones estructurales en entornos pedagógicos.</w:t>
            </w:r>
          </w:p>
          <w:p w14:paraId="6210E5A8"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3D47450F"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Características técnicas del producto</w:t>
            </w:r>
          </w:p>
          <w:p w14:paraId="723120E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1. Composición del set:  Total de piezas: 22 unidades.</w:t>
            </w:r>
          </w:p>
          <w:p w14:paraId="61C8DAB8"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Elementos incluidos: bloques básicos, placas de base y piezas complementarias que facilitan la configuración de plataformas y estructuras iniciales.</w:t>
            </w:r>
          </w:p>
          <w:p w14:paraId="717BAEB7"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Diseño: formas geométricas que permiten el ensamblaje de bases planas y firmes para soportar construcciones posteriores con otros sets.</w:t>
            </w:r>
          </w:p>
          <w:p w14:paraId="30EA9592"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3278DBE1"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2. Material y calidad</w:t>
            </w:r>
          </w:p>
          <w:p w14:paraId="61981869"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Material de fabricación: plástico ABS de alta resistencia mecánica y durabilidad, apto para </w:t>
            </w:r>
            <w:r w:rsidRPr="00716FA0">
              <w:rPr>
                <w:rFonts w:asciiTheme="majorHAnsi" w:eastAsia="Times New Roman" w:hAnsiTheme="majorHAnsi" w:cstheme="majorHAnsi"/>
                <w:lang w:val="es-ES" w:eastAsia="es-ES"/>
              </w:rPr>
              <w:lastRenderedPageBreak/>
              <w:t>uso repetido en actividades educativas.</w:t>
            </w:r>
          </w:p>
          <w:p w14:paraId="22ED4D89"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Precisión dimensional: fabricado con tolerancias controladas que garantizan ajuste seguro entre piezas y compatibilidad plena con otros bloques LEGO estándar.</w:t>
            </w:r>
          </w:p>
          <w:p w14:paraId="04C44F00"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Acabado: superficies lisas y bordes redondeados que aseguran manipulación segura y cómoda por parte de los usuarios.</w:t>
            </w:r>
          </w:p>
          <w:p w14:paraId="2249E0E8" w14:textId="7A175863" w:rsid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Seguridad: materiales no tóxicos, diseñados bajo estándares internacionales para juguetes y recursos educativos.</w:t>
            </w:r>
          </w:p>
        </w:tc>
        <w:tc>
          <w:tcPr>
            <w:tcW w:w="851" w:type="dxa"/>
          </w:tcPr>
          <w:p w14:paraId="0745D7E9" w14:textId="2EE35CAB" w:rsidR="00716FA0" w:rsidRDefault="00716FA0" w:rsidP="00716FA0">
            <w:pPr>
              <w:spacing w:after="0" w:line="240" w:lineRule="auto"/>
              <w:jc w:val="both"/>
              <w:rPr>
                <w:rFonts w:asciiTheme="majorHAnsi" w:eastAsia="Times New Roman" w:hAnsiTheme="majorHAnsi" w:cstheme="majorHAnsi"/>
                <w:lang w:val="es-ES" w:eastAsia="es-ES"/>
              </w:rPr>
            </w:pPr>
            <w:r w:rsidRPr="007E3A5B">
              <w:lastRenderedPageBreak/>
              <w:t>1</w:t>
            </w:r>
          </w:p>
        </w:tc>
        <w:tc>
          <w:tcPr>
            <w:tcW w:w="992" w:type="dxa"/>
          </w:tcPr>
          <w:p w14:paraId="1D78BEE4" w14:textId="31686939" w:rsidR="00716FA0" w:rsidRDefault="00716FA0" w:rsidP="00716FA0">
            <w:pPr>
              <w:spacing w:after="0" w:line="240" w:lineRule="auto"/>
              <w:jc w:val="both"/>
              <w:rPr>
                <w:rFonts w:asciiTheme="majorHAnsi" w:eastAsia="Times New Roman" w:hAnsiTheme="majorHAnsi" w:cstheme="majorHAnsi"/>
                <w:lang w:val="es-ES" w:eastAsia="es-ES"/>
              </w:rPr>
            </w:pPr>
            <w:r w:rsidRPr="004A2DAF">
              <w:t>UNIDAD</w:t>
            </w:r>
          </w:p>
        </w:tc>
        <w:tc>
          <w:tcPr>
            <w:tcW w:w="1417" w:type="dxa"/>
          </w:tcPr>
          <w:p w14:paraId="3C4001FA" w14:textId="77777777" w:rsidR="00716FA0" w:rsidRDefault="00716FA0" w:rsidP="00716FA0">
            <w:pPr>
              <w:spacing w:after="0" w:line="240" w:lineRule="auto"/>
              <w:jc w:val="both"/>
              <w:rPr>
                <w:rFonts w:asciiTheme="majorHAnsi" w:eastAsia="Times New Roman" w:hAnsiTheme="majorHAnsi" w:cstheme="majorHAnsi"/>
                <w:lang w:val="es-ES" w:eastAsia="es-ES"/>
              </w:rPr>
            </w:pPr>
          </w:p>
        </w:tc>
        <w:tc>
          <w:tcPr>
            <w:tcW w:w="1462" w:type="dxa"/>
          </w:tcPr>
          <w:p w14:paraId="7E98A2CB" w14:textId="77777777" w:rsidR="00716FA0" w:rsidRDefault="00716FA0" w:rsidP="00716FA0">
            <w:pPr>
              <w:spacing w:after="0" w:line="240" w:lineRule="auto"/>
              <w:jc w:val="both"/>
              <w:rPr>
                <w:rFonts w:asciiTheme="majorHAnsi" w:eastAsia="Times New Roman" w:hAnsiTheme="majorHAnsi" w:cstheme="majorHAnsi"/>
                <w:lang w:val="es-ES" w:eastAsia="es-ES"/>
              </w:rPr>
            </w:pPr>
          </w:p>
        </w:tc>
      </w:tr>
      <w:tr w:rsidR="00716FA0" w14:paraId="7DF3F496" w14:textId="77777777" w:rsidTr="00716FA0">
        <w:tc>
          <w:tcPr>
            <w:tcW w:w="684" w:type="dxa"/>
          </w:tcPr>
          <w:p w14:paraId="5C1FB17E" w14:textId="4E7111B8" w:rsidR="00716FA0" w:rsidRDefault="00716FA0" w:rsidP="00716FA0">
            <w:pPr>
              <w:spacing w:after="0" w:line="240" w:lineRule="auto"/>
              <w:jc w:val="both"/>
              <w:rPr>
                <w:rFonts w:asciiTheme="majorHAnsi" w:eastAsia="Times New Roman" w:hAnsiTheme="majorHAnsi" w:cstheme="majorHAnsi"/>
                <w:lang w:val="es-ES" w:eastAsia="es-ES"/>
              </w:rPr>
            </w:pPr>
            <w:r w:rsidRPr="0053122B">
              <w:lastRenderedPageBreak/>
              <w:t>7</w:t>
            </w:r>
          </w:p>
        </w:tc>
        <w:tc>
          <w:tcPr>
            <w:tcW w:w="1154" w:type="dxa"/>
          </w:tcPr>
          <w:p w14:paraId="46E91A5F" w14:textId="4CF7B566" w:rsidR="00716FA0" w:rsidRDefault="00716FA0" w:rsidP="00716FA0">
            <w:pPr>
              <w:spacing w:after="0" w:line="240" w:lineRule="auto"/>
              <w:jc w:val="both"/>
              <w:rPr>
                <w:rFonts w:asciiTheme="majorHAnsi" w:eastAsia="Times New Roman" w:hAnsiTheme="majorHAnsi" w:cstheme="majorHAnsi"/>
                <w:lang w:val="es-ES" w:eastAsia="es-ES"/>
              </w:rPr>
            </w:pPr>
            <w:r w:rsidRPr="00AB3462">
              <w:t>60102704</w:t>
            </w:r>
          </w:p>
        </w:tc>
        <w:tc>
          <w:tcPr>
            <w:tcW w:w="2268" w:type="dxa"/>
          </w:tcPr>
          <w:p w14:paraId="2B871801"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El set Identidad y Paisajes: Set Vehículos (934 piezas) es un recurso educativo basado en el sistema modular de construcción de LEGO, diseñado para la representación y modelado de entornos urbanos, rurales y escenarios de movilidad. El kit permite construir distintos tipos de vehículos y elementos asociados al paisaje, facilitando el análisis de dinámicas sociales, territoriales y de </w:t>
            </w:r>
            <w:r w:rsidRPr="00716FA0">
              <w:rPr>
                <w:rFonts w:asciiTheme="majorHAnsi" w:eastAsia="Times New Roman" w:hAnsiTheme="majorHAnsi" w:cstheme="majorHAnsi"/>
                <w:lang w:val="es-ES" w:eastAsia="es-ES"/>
              </w:rPr>
              <w:lastRenderedPageBreak/>
              <w:t>infraestructura mediante metodologías activas de aprendizaje.</w:t>
            </w:r>
          </w:p>
          <w:p w14:paraId="78B09B5A"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2A44C65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Características técnicas del producto:</w:t>
            </w:r>
          </w:p>
          <w:p w14:paraId="2B7A51E0"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1. Composición del set</w:t>
            </w:r>
          </w:p>
          <w:p w14:paraId="0EA3B66D"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Cantidad total de piezas: 934 unidades.</w:t>
            </w:r>
          </w:p>
          <w:p w14:paraId="399A21F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Tipos de elementos incluidos:</w:t>
            </w:r>
          </w:p>
          <w:p w14:paraId="69165E5E"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Bloques estructurales básicos y especiales.</w:t>
            </w:r>
          </w:p>
          <w:p w14:paraId="1A2F213B"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Ruedas, ejes y sistemas de rodamiento.</w:t>
            </w:r>
          </w:p>
          <w:p w14:paraId="1D1A8930"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Placas base y conectores.</w:t>
            </w:r>
          </w:p>
          <w:p w14:paraId="1E0DA51F"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Elementos decorativos y accesorios para representación de contextos.</w:t>
            </w:r>
          </w:p>
          <w:p w14:paraId="0C844FF6"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Diseño modular: permite la construcción de múltiples configuraciones de vehículos (terrestres principalmente) y su integración en escenarios de paisaje.</w:t>
            </w:r>
          </w:p>
          <w:p w14:paraId="4AFC3E99"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p>
          <w:p w14:paraId="49FA5031"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2. Material y calidad</w:t>
            </w:r>
          </w:p>
          <w:p w14:paraId="22E35520"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Material: plástico ABS de alta resistencia mecánica.</w:t>
            </w:r>
          </w:p>
          <w:p w14:paraId="064560A1"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Precisión dimensional: fabricación con tolerancias controladas que garantizan ensamble firme, estabilidad estructural y compatibilidad con </w:t>
            </w:r>
            <w:r w:rsidRPr="00716FA0">
              <w:rPr>
                <w:rFonts w:asciiTheme="majorHAnsi" w:eastAsia="Times New Roman" w:hAnsiTheme="majorHAnsi" w:cstheme="majorHAnsi"/>
                <w:lang w:val="es-ES" w:eastAsia="es-ES"/>
              </w:rPr>
              <w:lastRenderedPageBreak/>
              <w:t>otros sistemas LEGO estándar.</w:t>
            </w:r>
          </w:p>
          <w:p w14:paraId="2E98B637" w14:textId="77777777" w:rsidR="00716FA0" w:rsidRP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Acabado: superficies lisas, bordes redondeados y piezas libres de imperfecciones.</w:t>
            </w:r>
          </w:p>
          <w:p w14:paraId="77A5820E" w14:textId="33931886" w:rsid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Seguridad: materiales no tóxicos, aptos para uso en entornos educativos y de formación continua.</w:t>
            </w:r>
          </w:p>
        </w:tc>
        <w:tc>
          <w:tcPr>
            <w:tcW w:w="851" w:type="dxa"/>
          </w:tcPr>
          <w:p w14:paraId="237B413C" w14:textId="6366CE35" w:rsidR="00716FA0" w:rsidRDefault="00716FA0" w:rsidP="00716FA0">
            <w:pPr>
              <w:spacing w:after="0" w:line="240" w:lineRule="auto"/>
              <w:jc w:val="both"/>
              <w:rPr>
                <w:rFonts w:asciiTheme="majorHAnsi" w:eastAsia="Times New Roman" w:hAnsiTheme="majorHAnsi" w:cstheme="majorHAnsi"/>
                <w:lang w:val="es-ES" w:eastAsia="es-ES"/>
              </w:rPr>
            </w:pPr>
            <w:r w:rsidRPr="007E3A5B">
              <w:lastRenderedPageBreak/>
              <w:t>1</w:t>
            </w:r>
          </w:p>
        </w:tc>
        <w:tc>
          <w:tcPr>
            <w:tcW w:w="992" w:type="dxa"/>
          </w:tcPr>
          <w:p w14:paraId="4A824EDF" w14:textId="0D9976AB" w:rsidR="00716FA0" w:rsidRDefault="00716FA0" w:rsidP="00716FA0">
            <w:pPr>
              <w:spacing w:after="0" w:line="240" w:lineRule="auto"/>
              <w:jc w:val="both"/>
              <w:rPr>
                <w:rFonts w:asciiTheme="majorHAnsi" w:eastAsia="Times New Roman" w:hAnsiTheme="majorHAnsi" w:cstheme="majorHAnsi"/>
                <w:lang w:val="es-ES" w:eastAsia="es-ES"/>
              </w:rPr>
            </w:pPr>
            <w:r w:rsidRPr="004A2DAF">
              <w:t>UNIDAD</w:t>
            </w:r>
          </w:p>
        </w:tc>
        <w:tc>
          <w:tcPr>
            <w:tcW w:w="1417" w:type="dxa"/>
          </w:tcPr>
          <w:p w14:paraId="0418A412" w14:textId="77777777" w:rsidR="00716FA0" w:rsidRDefault="00716FA0" w:rsidP="00716FA0">
            <w:pPr>
              <w:spacing w:after="0" w:line="240" w:lineRule="auto"/>
              <w:jc w:val="both"/>
              <w:rPr>
                <w:rFonts w:asciiTheme="majorHAnsi" w:eastAsia="Times New Roman" w:hAnsiTheme="majorHAnsi" w:cstheme="majorHAnsi"/>
                <w:lang w:val="es-ES" w:eastAsia="es-ES"/>
              </w:rPr>
            </w:pPr>
          </w:p>
        </w:tc>
        <w:tc>
          <w:tcPr>
            <w:tcW w:w="1462" w:type="dxa"/>
          </w:tcPr>
          <w:p w14:paraId="405AFEF6" w14:textId="77777777" w:rsidR="00716FA0" w:rsidRDefault="00716FA0" w:rsidP="00716FA0">
            <w:pPr>
              <w:spacing w:after="0" w:line="240" w:lineRule="auto"/>
              <w:jc w:val="both"/>
              <w:rPr>
                <w:rFonts w:asciiTheme="majorHAnsi" w:eastAsia="Times New Roman" w:hAnsiTheme="majorHAnsi" w:cstheme="majorHAnsi"/>
                <w:lang w:val="es-ES" w:eastAsia="es-ES"/>
              </w:rPr>
            </w:pPr>
          </w:p>
        </w:tc>
      </w:tr>
      <w:tr w:rsidR="00716FA0" w14:paraId="7DE84028" w14:textId="77777777" w:rsidTr="00716FA0">
        <w:tc>
          <w:tcPr>
            <w:tcW w:w="684" w:type="dxa"/>
          </w:tcPr>
          <w:p w14:paraId="12FB1ACD" w14:textId="62C1A0CD" w:rsidR="00716FA0" w:rsidRDefault="00716FA0" w:rsidP="00716FA0">
            <w:pPr>
              <w:spacing w:after="0" w:line="240" w:lineRule="auto"/>
              <w:jc w:val="both"/>
              <w:rPr>
                <w:rFonts w:asciiTheme="majorHAnsi" w:eastAsia="Times New Roman" w:hAnsiTheme="majorHAnsi" w:cstheme="majorHAnsi"/>
                <w:lang w:val="es-ES" w:eastAsia="es-ES"/>
              </w:rPr>
            </w:pPr>
            <w:r w:rsidRPr="0053122B">
              <w:lastRenderedPageBreak/>
              <w:t>8</w:t>
            </w:r>
          </w:p>
        </w:tc>
        <w:tc>
          <w:tcPr>
            <w:tcW w:w="1154" w:type="dxa"/>
          </w:tcPr>
          <w:p w14:paraId="463FEB23" w14:textId="55F6F2CE" w:rsidR="00716FA0" w:rsidRDefault="00716FA0" w:rsidP="00716FA0">
            <w:pPr>
              <w:spacing w:after="0" w:line="240" w:lineRule="auto"/>
              <w:jc w:val="both"/>
              <w:rPr>
                <w:rFonts w:asciiTheme="majorHAnsi" w:eastAsia="Times New Roman" w:hAnsiTheme="majorHAnsi" w:cstheme="majorHAnsi"/>
                <w:lang w:val="es-ES" w:eastAsia="es-ES"/>
              </w:rPr>
            </w:pPr>
            <w:r w:rsidRPr="00AB3462">
              <w:t>60102704</w:t>
            </w:r>
          </w:p>
        </w:tc>
        <w:tc>
          <w:tcPr>
            <w:tcW w:w="2268" w:type="dxa"/>
          </w:tcPr>
          <w:p w14:paraId="1D2C6E31" w14:textId="4E6F8789" w:rsidR="00716FA0" w:rsidRDefault="00716FA0" w:rsidP="00716FA0">
            <w:pPr>
              <w:spacing w:after="0" w:line="240" w:lineRule="auto"/>
              <w:jc w:val="both"/>
              <w:rPr>
                <w:rFonts w:asciiTheme="majorHAnsi" w:eastAsia="Times New Roman" w:hAnsiTheme="majorHAnsi" w:cstheme="majorHAnsi"/>
                <w:lang w:val="es-ES" w:eastAsia="es-ES"/>
              </w:rPr>
            </w:pPr>
            <w:r w:rsidRPr="00716FA0">
              <w:rPr>
                <w:rFonts w:asciiTheme="majorHAnsi" w:eastAsia="Times New Roman" w:hAnsiTheme="majorHAnsi" w:cstheme="majorHAnsi"/>
                <w:lang w:val="es-ES" w:eastAsia="es-ES"/>
              </w:rPr>
              <w:t xml:space="preserve">El Kit de Introducción a LEGO® SERIOUS PLAY® (LSP) es un recurso metodológico diseñado para implementar procesos estructurados de facilitación orientados al desarrollo de pensamiento estratégico, comunicación efectiva, resolución de problemas complejos y construcción colectiva de conocimiento. Este kit forma parte del sistema oficial desarrollado por LEGO y está configurado específicamente para introducir a los participantes en los principios y dinámicas de la metodología LSP.  Características técnicas del producto 1. Composición del kit Conjunto estructurado de piezas LEGO seleccionadas para facilitar la construcción </w:t>
            </w:r>
            <w:r w:rsidRPr="00716FA0">
              <w:rPr>
                <w:rFonts w:asciiTheme="majorHAnsi" w:eastAsia="Times New Roman" w:hAnsiTheme="majorHAnsi" w:cstheme="majorHAnsi"/>
                <w:lang w:val="es-ES" w:eastAsia="es-ES"/>
              </w:rPr>
              <w:lastRenderedPageBreak/>
              <w:t>metafórica y el modelado tridimensional de ideas. Incluye variedad de bloques básicos, piezas especiales, conectores y elementos simbólicos. Configuración diseñada para uso individual o grupal en sesiones de facilitación guiada. Cantidad de piezas optimizada para ejercicios introductorios y dinámicas de corta o media duración.  2. Material y fabricación Material: Fabricado en plástico ABS de alta resistencia y estabilidad dimensional. Precisión milimétrica en el sistema de ensamble, garantizando ajuste firme y reutilización prolongada. Superficies lisas, bordes redondeados y materiales no tóxicos. Alta durabilidad frente a uso intensivo en entornos formativos y organizacionales.</w:t>
            </w:r>
          </w:p>
        </w:tc>
        <w:tc>
          <w:tcPr>
            <w:tcW w:w="851" w:type="dxa"/>
          </w:tcPr>
          <w:p w14:paraId="4C8C046C" w14:textId="7A01A908" w:rsidR="00716FA0" w:rsidRDefault="00716FA0" w:rsidP="00716FA0">
            <w:pPr>
              <w:spacing w:after="0" w:line="240" w:lineRule="auto"/>
              <w:jc w:val="both"/>
              <w:rPr>
                <w:rFonts w:asciiTheme="majorHAnsi" w:eastAsia="Times New Roman" w:hAnsiTheme="majorHAnsi" w:cstheme="majorHAnsi"/>
                <w:lang w:val="es-ES" w:eastAsia="es-ES"/>
              </w:rPr>
            </w:pPr>
            <w:r w:rsidRPr="007E3A5B">
              <w:lastRenderedPageBreak/>
              <w:t>8</w:t>
            </w:r>
          </w:p>
        </w:tc>
        <w:tc>
          <w:tcPr>
            <w:tcW w:w="992" w:type="dxa"/>
          </w:tcPr>
          <w:p w14:paraId="32928D09" w14:textId="536A321F" w:rsidR="00716FA0" w:rsidRDefault="00716FA0" w:rsidP="00716FA0">
            <w:pPr>
              <w:spacing w:after="0" w:line="240" w:lineRule="auto"/>
              <w:jc w:val="both"/>
              <w:rPr>
                <w:rFonts w:asciiTheme="majorHAnsi" w:eastAsia="Times New Roman" w:hAnsiTheme="majorHAnsi" w:cstheme="majorHAnsi"/>
                <w:lang w:val="es-ES" w:eastAsia="es-ES"/>
              </w:rPr>
            </w:pPr>
            <w:r w:rsidRPr="004A2DAF">
              <w:t>UNIDAD</w:t>
            </w:r>
          </w:p>
        </w:tc>
        <w:tc>
          <w:tcPr>
            <w:tcW w:w="1417" w:type="dxa"/>
          </w:tcPr>
          <w:p w14:paraId="3B395807" w14:textId="77777777" w:rsidR="00716FA0" w:rsidRDefault="00716FA0" w:rsidP="00716FA0">
            <w:pPr>
              <w:spacing w:after="0" w:line="240" w:lineRule="auto"/>
              <w:jc w:val="both"/>
              <w:rPr>
                <w:rFonts w:asciiTheme="majorHAnsi" w:eastAsia="Times New Roman" w:hAnsiTheme="majorHAnsi" w:cstheme="majorHAnsi"/>
                <w:lang w:val="es-ES" w:eastAsia="es-ES"/>
              </w:rPr>
            </w:pPr>
          </w:p>
        </w:tc>
        <w:tc>
          <w:tcPr>
            <w:tcW w:w="1462" w:type="dxa"/>
          </w:tcPr>
          <w:p w14:paraId="21F2E281" w14:textId="77777777" w:rsidR="00716FA0" w:rsidRDefault="00716FA0" w:rsidP="00716FA0">
            <w:pPr>
              <w:spacing w:after="0" w:line="240" w:lineRule="auto"/>
              <w:jc w:val="both"/>
              <w:rPr>
                <w:rFonts w:asciiTheme="majorHAnsi" w:eastAsia="Times New Roman" w:hAnsiTheme="majorHAnsi" w:cstheme="majorHAnsi"/>
                <w:lang w:val="es-ES" w:eastAsia="es-ES"/>
              </w:rPr>
            </w:pPr>
          </w:p>
        </w:tc>
      </w:tr>
    </w:tbl>
    <w:p w14:paraId="047D8380" w14:textId="1C654C10" w:rsidR="00617FEA" w:rsidRPr="00075843" w:rsidRDefault="00617FEA" w:rsidP="00617FEA">
      <w:pPr>
        <w:spacing w:after="0" w:line="240" w:lineRule="auto"/>
        <w:jc w:val="both"/>
        <w:rPr>
          <w:rFonts w:asciiTheme="majorHAnsi" w:eastAsia="Times New Roman" w:hAnsiTheme="majorHAnsi" w:cstheme="majorHAnsi"/>
          <w:lang w:val="es-ES" w:eastAsia="es-ES"/>
        </w:rPr>
      </w:pPr>
    </w:p>
    <w:p w14:paraId="594F3FDF" w14:textId="77777777" w:rsidR="000163DF" w:rsidRPr="00075843" w:rsidRDefault="000163DF" w:rsidP="00A7102A">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13FC8C41" w14:textId="153FC9B1" w:rsidR="00235A11" w:rsidRDefault="00235A11" w:rsidP="00FE4271">
      <w:pPr>
        <w:pStyle w:val="paragraph"/>
        <w:spacing w:before="0" w:beforeAutospacing="0" w:after="0"/>
        <w:jc w:val="both"/>
        <w:textAlignment w:val="baseline"/>
        <w:rPr>
          <w:rStyle w:val="normaltextrun"/>
          <w:rFonts w:asciiTheme="majorHAnsi" w:hAnsiTheme="majorHAnsi" w:cstheme="majorHAnsi"/>
          <w:sz w:val="22"/>
          <w:szCs w:val="22"/>
        </w:rPr>
      </w:pPr>
      <w:r w:rsidRPr="00235A11">
        <w:rPr>
          <w:rStyle w:val="normaltextrun"/>
          <w:rFonts w:asciiTheme="majorHAnsi" w:hAnsiTheme="majorHAnsi" w:cstheme="majorHAnsi"/>
          <w:b/>
          <w:bCs/>
          <w:sz w:val="22"/>
          <w:szCs w:val="22"/>
        </w:rPr>
        <w:t>NOTA 1:</w:t>
      </w:r>
      <w:r w:rsidRPr="00235A11">
        <w:rPr>
          <w:rStyle w:val="normaltextrun"/>
          <w:rFonts w:asciiTheme="majorHAnsi" w:hAnsiTheme="majorHAnsi" w:cstheme="majorHAnsi"/>
          <w:sz w:val="22"/>
          <w:szCs w:val="22"/>
        </w:rPr>
        <w:t xml:space="preserve"> Cada uno de los equipos a contratar debe incluir en el valor total de la oferta los costos del transporte, </w:t>
      </w:r>
      <w:proofErr w:type="spellStart"/>
      <w:r w:rsidRPr="00235A11">
        <w:rPr>
          <w:rStyle w:val="normaltextrun"/>
          <w:rFonts w:asciiTheme="majorHAnsi" w:hAnsiTheme="majorHAnsi" w:cstheme="majorHAnsi"/>
          <w:sz w:val="22"/>
          <w:szCs w:val="22"/>
        </w:rPr>
        <w:t>izaje</w:t>
      </w:r>
      <w:proofErr w:type="spellEnd"/>
      <w:r w:rsidRPr="00235A11">
        <w:rPr>
          <w:rStyle w:val="normaltextrun"/>
          <w:rFonts w:asciiTheme="majorHAnsi" w:hAnsiTheme="majorHAnsi" w:cstheme="majorHAnsi"/>
          <w:sz w:val="22"/>
          <w:szCs w:val="22"/>
        </w:rPr>
        <w:t>, costos de importación, impuestos, permisos y todos aquellos a los que haya lugar para la instalación y hasta la correcta puesta en funcionamiento.</w:t>
      </w:r>
    </w:p>
    <w:p w14:paraId="1F48AA78" w14:textId="656B671B"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sz w:val="22"/>
          <w:szCs w:val="22"/>
        </w:rPr>
        <w:t xml:space="preserve">La propuesta deberá incluir todas las especificaciones esenciales señaladas en las </w:t>
      </w:r>
      <w:r w:rsidR="000163DF">
        <w:rPr>
          <w:rStyle w:val="normaltextrun"/>
          <w:rFonts w:asciiTheme="majorHAnsi" w:hAnsiTheme="majorHAnsi" w:cstheme="majorHAnsi"/>
          <w:sz w:val="22"/>
          <w:szCs w:val="22"/>
        </w:rPr>
        <w:t>especificaciones</w:t>
      </w:r>
      <w:r w:rsidRPr="00567113">
        <w:rPr>
          <w:rStyle w:val="normaltextrun"/>
          <w:rFonts w:asciiTheme="majorHAnsi" w:hAnsiTheme="majorHAnsi" w:cstheme="majorHAnsi"/>
          <w:sz w:val="22"/>
          <w:szCs w:val="22"/>
        </w:rPr>
        <w:t xml:space="preserve"> técnicas, garantizando que los elementos ofrecidos sean de primera calidad, libres de vencimientos, </w:t>
      </w:r>
      <w:r w:rsidRPr="00567113">
        <w:rPr>
          <w:rStyle w:val="normaltextrun"/>
          <w:rFonts w:asciiTheme="majorHAnsi" w:hAnsiTheme="majorHAnsi" w:cstheme="majorHAnsi"/>
          <w:sz w:val="22"/>
          <w:szCs w:val="22"/>
        </w:rPr>
        <w:lastRenderedPageBreak/>
        <w:t>imperfecciones o defectos, y que cumplan con las normas técnicas y de calidad aplicables. Asimismo, deberá ajustarse estrictamente a las especificaciones descritas en los documentos contractuales, asegurar el cumplimiento íntegro del objeto contractual y atender los plazos establecidos.</w:t>
      </w:r>
    </w:p>
    <w:p w14:paraId="0F066DFB"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sz w:val="22"/>
          <w:szCs w:val="22"/>
        </w:rPr>
        <w:t>Además de las condiciones mínimas previstas en las especificaciones técnicas anexas, los bienes objeto del presente proceso deberán cumplir con las siguientes especificaciones técnicas adicionales, cuyo cumplimiento será verificado por el supervisor del contrato en el momento de la entrega:</w:t>
      </w:r>
    </w:p>
    <w:p w14:paraId="538F5605"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Estado del bien:</w:t>
      </w:r>
      <w:r w:rsidRPr="00567113">
        <w:rPr>
          <w:rStyle w:val="normaltextrun"/>
          <w:rFonts w:asciiTheme="majorHAnsi" w:hAnsiTheme="majorHAnsi" w:cstheme="majorHAnsi"/>
          <w:sz w:val="22"/>
          <w:szCs w:val="22"/>
        </w:rPr>
        <w:t xml:space="preserve"> Todos los productos deberán ser completamente nuevos, sin uso previo, deterioro, manipulación, manufacturación o reacondicionamiento. No se aceptarán productos abiertos, reconstruidos ni re empacados.</w:t>
      </w:r>
    </w:p>
    <w:p w14:paraId="0DC66355"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Presentación y empaque:</w:t>
      </w:r>
      <w:r w:rsidRPr="00567113">
        <w:rPr>
          <w:rStyle w:val="normaltextrun"/>
          <w:rFonts w:asciiTheme="majorHAnsi" w:hAnsiTheme="majorHAnsi" w:cstheme="majorHAnsi"/>
          <w:sz w:val="22"/>
          <w:szCs w:val="22"/>
        </w:rPr>
        <w:t xml:space="preserve"> Los bienes deberán entregarse debidamente empacados, sellados y rotulados, en condiciones que garanticen su integridad física y adecuada manipulación. Se dará prioridad a empaques que protejan contra humedad, golpes, exposición solar y contaminación.</w:t>
      </w:r>
    </w:p>
    <w:p w14:paraId="6125E4F5" w14:textId="322D45BB"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Unidad de entrega:</w:t>
      </w:r>
      <w:r w:rsidRPr="00567113">
        <w:rPr>
          <w:rStyle w:val="normaltextrun"/>
          <w:rFonts w:asciiTheme="majorHAnsi" w:hAnsiTheme="majorHAnsi" w:cstheme="majorHAnsi"/>
          <w:sz w:val="22"/>
          <w:szCs w:val="22"/>
        </w:rPr>
        <w:t xml:space="preserve"> La presentación de los productos deberá corresponder con la unidad de medida establecida en la ficha técnica (unidad, </w:t>
      </w:r>
      <w:r w:rsidR="000163DF">
        <w:rPr>
          <w:rStyle w:val="normaltextrun"/>
          <w:rFonts w:asciiTheme="majorHAnsi" w:hAnsiTheme="majorHAnsi" w:cstheme="majorHAnsi"/>
          <w:sz w:val="22"/>
          <w:szCs w:val="22"/>
        </w:rPr>
        <w:t>litro</w:t>
      </w:r>
      <w:r w:rsidRPr="00567113">
        <w:rPr>
          <w:rStyle w:val="normaltextrun"/>
          <w:rFonts w:asciiTheme="majorHAnsi" w:hAnsiTheme="majorHAnsi" w:cstheme="majorHAnsi"/>
          <w:sz w:val="22"/>
          <w:szCs w:val="22"/>
        </w:rPr>
        <w:t>, entre otros). No se aceptarán fraccionamientos ni conversiones arbitrarias sin la autorización expresa del supervisor.</w:t>
      </w:r>
    </w:p>
    <w:p w14:paraId="37F5325A"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Rotulación e identificación:</w:t>
      </w:r>
      <w:r w:rsidRPr="00567113">
        <w:rPr>
          <w:rStyle w:val="normaltextrun"/>
          <w:rFonts w:asciiTheme="majorHAnsi" w:hAnsiTheme="majorHAnsi" w:cstheme="majorHAnsi"/>
          <w:sz w:val="22"/>
          <w:szCs w:val="22"/>
        </w:rPr>
        <w:t xml:space="preserve"> Los bienes deberán contar, cuando aplique, con rotulación visible que indique como mínimo: nombre del producto, marca, lote, fecha de fabricación y demás datos técnicos pertinentes. La información deberá presentarse en idioma español o acompañarse de traducción técnica equivalente.</w:t>
      </w:r>
    </w:p>
    <w:p w14:paraId="1DC591E3"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Compatibilidad técnica:</w:t>
      </w:r>
      <w:r w:rsidRPr="00567113">
        <w:rPr>
          <w:rStyle w:val="normaltextrun"/>
          <w:rFonts w:asciiTheme="majorHAnsi" w:hAnsiTheme="majorHAnsi" w:cstheme="majorHAnsi"/>
          <w:sz w:val="22"/>
          <w:szCs w:val="22"/>
        </w:rPr>
        <w:t xml:space="preserve"> Los productos deberán ser plenamente funcionales y compatibles con el entorno operativo del Centro, considerando condiciones de clima, infraestructura, instalaciones, herramientas y demás equipos existentes.</w:t>
      </w:r>
    </w:p>
    <w:p w14:paraId="572B8FF4"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Trazabilidad:</w:t>
      </w:r>
      <w:r w:rsidRPr="00567113">
        <w:rPr>
          <w:rStyle w:val="normaltextrun"/>
          <w:rFonts w:asciiTheme="majorHAnsi" w:hAnsiTheme="majorHAnsi" w:cstheme="majorHAnsi"/>
          <w:sz w:val="22"/>
          <w:szCs w:val="22"/>
        </w:rPr>
        <w:t xml:space="preserve"> El proveedor deberá garantizar la homogeneidad en marcas, características técnicas y calidad de los bienes. Cualquier variación deberá ser previamente autorizada por el supervisor.</w:t>
      </w:r>
    </w:p>
    <w:p w14:paraId="1C7B2A86"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Condiciones de almacenamiento y manejo:</w:t>
      </w:r>
      <w:r w:rsidRPr="00567113">
        <w:rPr>
          <w:rStyle w:val="normaltextrun"/>
          <w:rFonts w:asciiTheme="majorHAnsi" w:hAnsiTheme="majorHAnsi" w:cstheme="majorHAnsi"/>
          <w:sz w:val="22"/>
          <w:szCs w:val="22"/>
        </w:rPr>
        <w:t xml:space="preserve"> Cuando aplique, el proveedor deberá suministrar recomendaciones técnicas para el almacenamiento, conservación y uso de los productos, en especial para aquellos que tengan vida útil limitada, reacción química, riesgo de deterioro o sensibilidad a condiciones ambientales.</w:t>
      </w:r>
    </w:p>
    <w:p w14:paraId="78016FB1" w14:textId="741F552D" w:rsidR="00FE4271" w:rsidRDefault="00567113" w:rsidP="00567113">
      <w:pPr>
        <w:pStyle w:val="paragraph"/>
        <w:spacing w:before="0" w:beforeAutospacing="0" w:after="0" w:afterAutospacing="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Advertencia de incumplimiento:</w:t>
      </w:r>
      <w:r w:rsidRPr="00567113">
        <w:rPr>
          <w:rStyle w:val="normaltextrun"/>
          <w:rFonts w:asciiTheme="majorHAnsi" w:hAnsiTheme="majorHAnsi" w:cstheme="majorHAnsi"/>
          <w:sz w:val="22"/>
          <w:szCs w:val="22"/>
        </w:rPr>
        <w:t xml:space="preserve"> La inobservancia de cualquiera de las condiciones aquí descritas facultará al supervisor para rechazar los bienes entregados, exigir su inmediata reposición y aplicar las sanciones contractuales correspondientes, incluidas las derivadas de las garantías, sin perjuicio de las demás acciones legales y contractuales a que haya lugar.</w:t>
      </w:r>
    </w:p>
    <w:p w14:paraId="1ABC6AFA" w14:textId="77777777" w:rsidR="00567113" w:rsidRPr="00075843" w:rsidRDefault="00567113" w:rsidP="00567113">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44C7F880" w14:textId="6A55B373"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lastRenderedPageBreak/>
        <w:t>Nombre o Razón Social del Proponente: _____________________________</w:t>
      </w:r>
      <w:r w:rsidRPr="00075843">
        <w:rPr>
          <w:rStyle w:val="eop"/>
          <w:rFonts w:asciiTheme="majorHAnsi" w:hAnsiTheme="majorHAnsi" w:cstheme="majorHAnsi"/>
          <w:sz w:val="22"/>
          <w:szCs w:val="22"/>
        </w:rPr>
        <w:t> </w:t>
      </w:r>
    </w:p>
    <w:p w14:paraId="469521C3"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NIT ___________________________________________________________</w:t>
      </w:r>
      <w:r w:rsidRPr="00075843">
        <w:rPr>
          <w:rStyle w:val="eop"/>
          <w:rFonts w:asciiTheme="majorHAnsi" w:hAnsiTheme="majorHAnsi" w:cstheme="majorHAnsi"/>
          <w:sz w:val="22"/>
          <w:szCs w:val="22"/>
        </w:rPr>
        <w:t> </w:t>
      </w:r>
    </w:p>
    <w:p w14:paraId="623D18D1"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Nombre del Representante Legal: __________________________________</w:t>
      </w:r>
      <w:r w:rsidRPr="00075843">
        <w:rPr>
          <w:rStyle w:val="eop"/>
          <w:rFonts w:asciiTheme="majorHAnsi" w:hAnsiTheme="majorHAnsi" w:cstheme="majorHAnsi"/>
          <w:sz w:val="22"/>
          <w:szCs w:val="22"/>
        </w:rPr>
        <w:t> </w:t>
      </w:r>
    </w:p>
    <w:p w14:paraId="5CEE081B"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C.C. No. ______________________ de _____________________________</w:t>
      </w:r>
      <w:r w:rsidRPr="00075843">
        <w:rPr>
          <w:rStyle w:val="eop"/>
          <w:rFonts w:asciiTheme="majorHAnsi" w:hAnsiTheme="majorHAnsi" w:cstheme="majorHAnsi"/>
          <w:sz w:val="22"/>
          <w:szCs w:val="22"/>
        </w:rPr>
        <w:t> </w:t>
      </w:r>
    </w:p>
    <w:p w14:paraId="32B9C927"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Dirección   ____________________________________________________</w:t>
      </w:r>
      <w:r w:rsidRPr="00075843">
        <w:rPr>
          <w:rStyle w:val="eop"/>
          <w:rFonts w:asciiTheme="majorHAnsi" w:hAnsiTheme="majorHAnsi" w:cstheme="majorHAnsi"/>
          <w:sz w:val="22"/>
          <w:szCs w:val="22"/>
        </w:rPr>
        <w:t> </w:t>
      </w:r>
    </w:p>
    <w:p w14:paraId="1C66B2BD" w14:textId="6679256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Teléfonos ___________________________ Fax _________________________</w:t>
      </w:r>
      <w:r w:rsidRPr="00075843">
        <w:rPr>
          <w:rStyle w:val="eop"/>
          <w:rFonts w:asciiTheme="majorHAnsi" w:hAnsiTheme="majorHAnsi" w:cstheme="majorHAnsi"/>
          <w:sz w:val="22"/>
          <w:szCs w:val="22"/>
        </w:rPr>
        <w:t> </w:t>
      </w:r>
    </w:p>
    <w:p w14:paraId="2AE3C0C6"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Correos Electrónicos1 - ___________________________________________</w:t>
      </w:r>
      <w:r w:rsidRPr="00075843">
        <w:rPr>
          <w:rStyle w:val="eop"/>
          <w:rFonts w:asciiTheme="majorHAnsi" w:hAnsiTheme="majorHAnsi" w:cstheme="majorHAnsi"/>
          <w:sz w:val="22"/>
          <w:szCs w:val="22"/>
        </w:rPr>
        <w:t> </w:t>
      </w:r>
    </w:p>
    <w:p w14:paraId="7E6723AC" w14:textId="77777777" w:rsidR="00A7102A" w:rsidRPr="00075843" w:rsidRDefault="00A7102A" w:rsidP="004751F8">
      <w:pPr>
        <w:pStyle w:val="paragraph"/>
        <w:spacing w:before="0" w:beforeAutospacing="0" w:after="0" w:afterAutospacing="0"/>
        <w:ind w:left="1410" w:firstLine="705"/>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2 - ___________________________________________</w:t>
      </w:r>
      <w:r w:rsidRPr="00075843">
        <w:rPr>
          <w:rStyle w:val="eop"/>
          <w:rFonts w:asciiTheme="majorHAnsi" w:hAnsiTheme="majorHAnsi" w:cstheme="majorHAnsi"/>
          <w:sz w:val="22"/>
          <w:szCs w:val="22"/>
        </w:rPr>
        <w:t> </w:t>
      </w:r>
    </w:p>
    <w:p w14:paraId="55D08315"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Ciudad   ______________________________________________________</w:t>
      </w:r>
      <w:r w:rsidRPr="00075843">
        <w:rPr>
          <w:rStyle w:val="eop"/>
          <w:rFonts w:asciiTheme="majorHAnsi" w:hAnsiTheme="majorHAnsi" w:cstheme="majorHAnsi"/>
          <w:sz w:val="22"/>
          <w:szCs w:val="22"/>
        </w:rPr>
        <w:t> </w:t>
      </w:r>
    </w:p>
    <w:p w14:paraId="3B419160" w14:textId="509DFFB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FIRMA: ____________________________________</w:t>
      </w:r>
      <w:r w:rsidRPr="00075843">
        <w:rPr>
          <w:rStyle w:val="eop"/>
          <w:rFonts w:asciiTheme="majorHAnsi" w:hAnsiTheme="majorHAnsi" w:cstheme="majorHAnsi"/>
          <w:sz w:val="22"/>
          <w:szCs w:val="22"/>
        </w:rPr>
        <w:t> </w:t>
      </w:r>
    </w:p>
    <w:p w14:paraId="5D72D40F"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p w14:paraId="193E2888"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sectPr w:rsidR="00A7102A" w:rsidRPr="00075843" w:rsidSect="000163DF">
      <w:headerReference w:type="even" r:id="rId8"/>
      <w:footerReference w:type="even" r:id="rId9"/>
      <w:footerReference w:type="default" r:id="rId10"/>
      <w:pgSz w:w="12240" w:h="15840"/>
      <w:pgMar w:top="1985" w:right="1701" w:bottom="1134" w:left="1701"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56CED" w14:textId="77777777" w:rsidR="00972EAD" w:rsidRDefault="00972EAD" w:rsidP="001A74F0">
      <w:pPr>
        <w:spacing w:after="0" w:line="240" w:lineRule="auto"/>
      </w:pPr>
      <w:r>
        <w:separator/>
      </w:r>
    </w:p>
  </w:endnote>
  <w:endnote w:type="continuationSeparator" w:id="0">
    <w:p w14:paraId="0CEE1BB9" w14:textId="77777777" w:rsidR="00972EAD" w:rsidRDefault="00972EA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A3D2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559B17D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073EF" w:rsidRPr="001073EF">
          <w:rPr>
            <w:rFonts w:ascii="Arial" w:hAnsi="Arial" w:cs="Arial"/>
            <w:noProof/>
            <w:sz w:val="20"/>
            <w:szCs w:val="20"/>
            <w:lang w:val="es-ES"/>
          </w:rPr>
          <w:t>2</w:t>
        </w:r>
        <w:r w:rsidRPr="00A15A42">
          <w:rPr>
            <w:rFonts w:ascii="Arial" w:hAnsi="Arial" w:cs="Arial"/>
            <w:sz w:val="20"/>
            <w:szCs w:val="20"/>
          </w:rPr>
          <w:fldChar w:fldCharType="end"/>
        </w:r>
      </w:p>
      <w:p w14:paraId="3C7F8B46" w14:textId="216C3C50" w:rsidR="00A15A42" w:rsidRPr="00A15A42" w:rsidRDefault="004A3D2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62721" w14:textId="77777777" w:rsidR="00972EAD" w:rsidRDefault="00972EAD" w:rsidP="001A74F0">
      <w:pPr>
        <w:spacing w:after="0" w:line="240" w:lineRule="auto"/>
      </w:pPr>
      <w:r>
        <w:separator/>
      </w:r>
    </w:p>
  </w:footnote>
  <w:footnote w:type="continuationSeparator" w:id="0">
    <w:p w14:paraId="29F97535" w14:textId="77777777" w:rsidR="00972EAD" w:rsidRDefault="00972EA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A3D2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E34FC4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5603FC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EA6D4E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A786652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F0EAE9C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AA491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D47EF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947C1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E2F14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0598D082"/>
    <w:lvl w:ilvl="0">
      <w:start w:val="1"/>
      <w:numFmt w:val="bullet"/>
      <w:pStyle w:val="Listaconvietas"/>
      <w:lvlText w:val=""/>
      <w:lvlJc w:val="left"/>
      <w:pPr>
        <w:tabs>
          <w:tab w:val="num" w:pos="360"/>
        </w:tabs>
        <w:ind w:left="360" w:hanging="360"/>
      </w:pPr>
      <w:rPr>
        <w:rFonts w:ascii="Symbol" w:hAnsi="Symbol" w:hint="default"/>
      </w:rPr>
    </w:lvl>
  </w:abstractNum>
  <w:num w:numId="1" w16cid:durableId="1622881940">
    <w:abstractNumId w:val="8"/>
  </w:num>
  <w:num w:numId="2" w16cid:durableId="972750962">
    <w:abstractNumId w:val="3"/>
  </w:num>
  <w:num w:numId="3" w16cid:durableId="1408959934">
    <w:abstractNumId w:val="2"/>
  </w:num>
  <w:num w:numId="4" w16cid:durableId="825169606">
    <w:abstractNumId w:val="1"/>
  </w:num>
  <w:num w:numId="5" w16cid:durableId="1237667897">
    <w:abstractNumId w:val="0"/>
  </w:num>
  <w:num w:numId="6" w16cid:durableId="1665746271">
    <w:abstractNumId w:val="9"/>
  </w:num>
  <w:num w:numId="7" w16cid:durableId="1453865720">
    <w:abstractNumId w:val="7"/>
  </w:num>
  <w:num w:numId="8" w16cid:durableId="1473450994">
    <w:abstractNumId w:val="6"/>
  </w:num>
  <w:num w:numId="9" w16cid:durableId="1311986107">
    <w:abstractNumId w:val="5"/>
  </w:num>
  <w:num w:numId="10" w16cid:durableId="1518303389">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63DF"/>
    <w:rsid w:val="000266D7"/>
    <w:rsid w:val="00030AE0"/>
    <w:rsid w:val="00040DF6"/>
    <w:rsid w:val="00045254"/>
    <w:rsid w:val="00053143"/>
    <w:rsid w:val="00055E70"/>
    <w:rsid w:val="00064DE8"/>
    <w:rsid w:val="00075843"/>
    <w:rsid w:val="00080031"/>
    <w:rsid w:val="0008430D"/>
    <w:rsid w:val="00087A87"/>
    <w:rsid w:val="000911B6"/>
    <w:rsid w:val="00091956"/>
    <w:rsid w:val="00091A2E"/>
    <w:rsid w:val="000A4E45"/>
    <w:rsid w:val="000A7F4A"/>
    <w:rsid w:val="000B0590"/>
    <w:rsid w:val="000B61C6"/>
    <w:rsid w:val="000C1FF1"/>
    <w:rsid w:val="000C3EDF"/>
    <w:rsid w:val="000E291D"/>
    <w:rsid w:val="000E5E14"/>
    <w:rsid w:val="000F2F91"/>
    <w:rsid w:val="000F36EF"/>
    <w:rsid w:val="000F7D26"/>
    <w:rsid w:val="001073EF"/>
    <w:rsid w:val="00114AEC"/>
    <w:rsid w:val="00115DB7"/>
    <w:rsid w:val="001310F4"/>
    <w:rsid w:val="0016032D"/>
    <w:rsid w:val="00173C09"/>
    <w:rsid w:val="0017667A"/>
    <w:rsid w:val="00184D13"/>
    <w:rsid w:val="001A6548"/>
    <w:rsid w:val="001A74F0"/>
    <w:rsid w:val="001B0A14"/>
    <w:rsid w:val="001C05E2"/>
    <w:rsid w:val="001C5237"/>
    <w:rsid w:val="001C596F"/>
    <w:rsid w:val="001D259E"/>
    <w:rsid w:val="001D4BC6"/>
    <w:rsid w:val="001D7B94"/>
    <w:rsid w:val="001E0EF7"/>
    <w:rsid w:val="001E54AC"/>
    <w:rsid w:val="001E5CA9"/>
    <w:rsid w:val="001F29BA"/>
    <w:rsid w:val="00200E87"/>
    <w:rsid w:val="0020389A"/>
    <w:rsid w:val="00214857"/>
    <w:rsid w:val="002225EB"/>
    <w:rsid w:val="00224A9E"/>
    <w:rsid w:val="00225FB0"/>
    <w:rsid w:val="00230445"/>
    <w:rsid w:val="00235A11"/>
    <w:rsid w:val="00237DC2"/>
    <w:rsid w:val="0024049E"/>
    <w:rsid w:val="00241DF3"/>
    <w:rsid w:val="00242FE7"/>
    <w:rsid w:val="00260108"/>
    <w:rsid w:val="0026066B"/>
    <w:rsid w:val="00261E0B"/>
    <w:rsid w:val="002663B9"/>
    <w:rsid w:val="0029071C"/>
    <w:rsid w:val="00290CE4"/>
    <w:rsid w:val="002A4F39"/>
    <w:rsid w:val="002A5795"/>
    <w:rsid w:val="002B7E86"/>
    <w:rsid w:val="002C6B86"/>
    <w:rsid w:val="002D1747"/>
    <w:rsid w:val="002D7CC7"/>
    <w:rsid w:val="002E3195"/>
    <w:rsid w:val="002F56E8"/>
    <w:rsid w:val="0030542E"/>
    <w:rsid w:val="0030675A"/>
    <w:rsid w:val="003271BC"/>
    <w:rsid w:val="003306EC"/>
    <w:rsid w:val="003313DF"/>
    <w:rsid w:val="00331CAA"/>
    <w:rsid w:val="00331DDB"/>
    <w:rsid w:val="00341982"/>
    <w:rsid w:val="00344842"/>
    <w:rsid w:val="003450CF"/>
    <w:rsid w:val="00352EF2"/>
    <w:rsid w:val="00362A44"/>
    <w:rsid w:val="00366335"/>
    <w:rsid w:val="00380F24"/>
    <w:rsid w:val="00386797"/>
    <w:rsid w:val="003956D9"/>
    <w:rsid w:val="00395A34"/>
    <w:rsid w:val="003A0989"/>
    <w:rsid w:val="003A1B93"/>
    <w:rsid w:val="003A3448"/>
    <w:rsid w:val="003A4066"/>
    <w:rsid w:val="003A4D20"/>
    <w:rsid w:val="003B110D"/>
    <w:rsid w:val="003B21E1"/>
    <w:rsid w:val="003B6DE2"/>
    <w:rsid w:val="003C3584"/>
    <w:rsid w:val="003C7DE9"/>
    <w:rsid w:val="003D41EE"/>
    <w:rsid w:val="003F024A"/>
    <w:rsid w:val="003F6E39"/>
    <w:rsid w:val="0040402A"/>
    <w:rsid w:val="004174A0"/>
    <w:rsid w:val="0041765B"/>
    <w:rsid w:val="00417A95"/>
    <w:rsid w:val="0042368D"/>
    <w:rsid w:val="0043026B"/>
    <w:rsid w:val="00433946"/>
    <w:rsid w:val="00435AF8"/>
    <w:rsid w:val="00446FF4"/>
    <w:rsid w:val="00447E19"/>
    <w:rsid w:val="004658BE"/>
    <w:rsid w:val="00470362"/>
    <w:rsid w:val="004751F8"/>
    <w:rsid w:val="00484D25"/>
    <w:rsid w:val="004A3D27"/>
    <w:rsid w:val="004A46F8"/>
    <w:rsid w:val="004B47B4"/>
    <w:rsid w:val="004B4C5B"/>
    <w:rsid w:val="004B63DE"/>
    <w:rsid w:val="004C6C8D"/>
    <w:rsid w:val="004E2D23"/>
    <w:rsid w:val="004F3F2A"/>
    <w:rsid w:val="0050493B"/>
    <w:rsid w:val="00511546"/>
    <w:rsid w:val="005129F8"/>
    <w:rsid w:val="005207C9"/>
    <w:rsid w:val="00522558"/>
    <w:rsid w:val="0052670E"/>
    <w:rsid w:val="005337C2"/>
    <w:rsid w:val="00537FE7"/>
    <w:rsid w:val="0054095C"/>
    <w:rsid w:val="00541BAA"/>
    <w:rsid w:val="00551CCA"/>
    <w:rsid w:val="00554601"/>
    <w:rsid w:val="00555A69"/>
    <w:rsid w:val="00566C03"/>
    <w:rsid w:val="00567113"/>
    <w:rsid w:val="00574764"/>
    <w:rsid w:val="00574850"/>
    <w:rsid w:val="00583DA2"/>
    <w:rsid w:val="0058429B"/>
    <w:rsid w:val="005859E2"/>
    <w:rsid w:val="0058760C"/>
    <w:rsid w:val="005876C0"/>
    <w:rsid w:val="005911F4"/>
    <w:rsid w:val="005920AB"/>
    <w:rsid w:val="005949A7"/>
    <w:rsid w:val="00597CE1"/>
    <w:rsid w:val="005A1A61"/>
    <w:rsid w:val="005A3734"/>
    <w:rsid w:val="005A5E30"/>
    <w:rsid w:val="005C3F6F"/>
    <w:rsid w:val="005C447A"/>
    <w:rsid w:val="005C4749"/>
    <w:rsid w:val="005D0BEB"/>
    <w:rsid w:val="005D1027"/>
    <w:rsid w:val="005D4F9C"/>
    <w:rsid w:val="005E2478"/>
    <w:rsid w:val="005E3437"/>
    <w:rsid w:val="005E46ED"/>
    <w:rsid w:val="005E62A2"/>
    <w:rsid w:val="005F7800"/>
    <w:rsid w:val="00600C9B"/>
    <w:rsid w:val="006164E4"/>
    <w:rsid w:val="00617FEA"/>
    <w:rsid w:val="006203EB"/>
    <w:rsid w:val="00633BEF"/>
    <w:rsid w:val="0064012F"/>
    <w:rsid w:val="00641471"/>
    <w:rsid w:val="00647166"/>
    <w:rsid w:val="006605B3"/>
    <w:rsid w:val="00671F45"/>
    <w:rsid w:val="00672F9A"/>
    <w:rsid w:val="00673C6F"/>
    <w:rsid w:val="00681727"/>
    <w:rsid w:val="006853DF"/>
    <w:rsid w:val="00685FBC"/>
    <w:rsid w:val="006972F7"/>
    <w:rsid w:val="006A05BA"/>
    <w:rsid w:val="006A0B98"/>
    <w:rsid w:val="006A2D47"/>
    <w:rsid w:val="006B63E3"/>
    <w:rsid w:val="006B6BE7"/>
    <w:rsid w:val="006C0E29"/>
    <w:rsid w:val="006C5626"/>
    <w:rsid w:val="006C5E74"/>
    <w:rsid w:val="006E1A51"/>
    <w:rsid w:val="006E3978"/>
    <w:rsid w:val="006E584D"/>
    <w:rsid w:val="006F3821"/>
    <w:rsid w:val="006F4729"/>
    <w:rsid w:val="006F4E1B"/>
    <w:rsid w:val="00701EE7"/>
    <w:rsid w:val="0070448D"/>
    <w:rsid w:val="0070461F"/>
    <w:rsid w:val="007122F3"/>
    <w:rsid w:val="00712B58"/>
    <w:rsid w:val="00716FA0"/>
    <w:rsid w:val="00717F20"/>
    <w:rsid w:val="0073001F"/>
    <w:rsid w:val="00741785"/>
    <w:rsid w:val="00742516"/>
    <w:rsid w:val="00745B31"/>
    <w:rsid w:val="0075241D"/>
    <w:rsid w:val="00757D31"/>
    <w:rsid w:val="007712E1"/>
    <w:rsid w:val="00772AA3"/>
    <w:rsid w:val="0079083A"/>
    <w:rsid w:val="00795864"/>
    <w:rsid w:val="00796833"/>
    <w:rsid w:val="007A074E"/>
    <w:rsid w:val="007A237D"/>
    <w:rsid w:val="007A426D"/>
    <w:rsid w:val="007A44BD"/>
    <w:rsid w:val="007A57F9"/>
    <w:rsid w:val="007A6AA1"/>
    <w:rsid w:val="007B320F"/>
    <w:rsid w:val="007B375F"/>
    <w:rsid w:val="007B56C1"/>
    <w:rsid w:val="007B6E91"/>
    <w:rsid w:val="007D6B1D"/>
    <w:rsid w:val="007D71C1"/>
    <w:rsid w:val="007E7E14"/>
    <w:rsid w:val="007F29D0"/>
    <w:rsid w:val="008027D6"/>
    <w:rsid w:val="00806D4F"/>
    <w:rsid w:val="00815841"/>
    <w:rsid w:val="00817370"/>
    <w:rsid w:val="0081757D"/>
    <w:rsid w:val="00821888"/>
    <w:rsid w:val="00827CA8"/>
    <w:rsid w:val="00827E7A"/>
    <w:rsid w:val="00843138"/>
    <w:rsid w:val="00845490"/>
    <w:rsid w:val="00852B7B"/>
    <w:rsid w:val="00852CDF"/>
    <w:rsid w:val="00864FB8"/>
    <w:rsid w:val="00877662"/>
    <w:rsid w:val="00880BA8"/>
    <w:rsid w:val="0088212F"/>
    <w:rsid w:val="008848BC"/>
    <w:rsid w:val="00885CB0"/>
    <w:rsid w:val="00892BAC"/>
    <w:rsid w:val="008A1905"/>
    <w:rsid w:val="008A4549"/>
    <w:rsid w:val="008A5F05"/>
    <w:rsid w:val="008A7A3F"/>
    <w:rsid w:val="008B4294"/>
    <w:rsid w:val="008C2B14"/>
    <w:rsid w:val="008C2BCB"/>
    <w:rsid w:val="008C45B3"/>
    <w:rsid w:val="008C77CC"/>
    <w:rsid w:val="008D0F5D"/>
    <w:rsid w:val="008D647D"/>
    <w:rsid w:val="008E1465"/>
    <w:rsid w:val="008E17FD"/>
    <w:rsid w:val="008E2283"/>
    <w:rsid w:val="00900DFF"/>
    <w:rsid w:val="00906976"/>
    <w:rsid w:val="00921C57"/>
    <w:rsid w:val="00932A24"/>
    <w:rsid w:val="00936216"/>
    <w:rsid w:val="00936451"/>
    <w:rsid w:val="00936BA7"/>
    <w:rsid w:val="00961984"/>
    <w:rsid w:val="0096518A"/>
    <w:rsid w:val="00972A86"/>
    <w:rsid w:val="00972EAD"/>
    <w:rsid w:val="00975080"/>
    <w:rsid w:val="00975DB3"/>
    <w:rsid w:val="00983C98"/>
    <w:rsid w:val="00985661"/>
    <w:rsid w:val="009A0861"/>
    <w:rsid w:val="009B48D7"/>
    <w:rsid w:val="009C10E4"/>
    <w:rsid w:val="009C1B44"/>
    <w:rsid w:val="009D1DEC"/>
    <w:rsid w:val="009E04C2"/>
    <w:rsid w:val="009E0B90"/>
    <w:rsid w:val="009E6037"/>
    <w:rsid w:val="009F5644"/>
    <w:rsid w:val="009F5A56"/>
    <w:rsid w:val="00A04641"/>
    <w:rsid w:val="00A111B9"/>
    <w:rsid w:val="00A15A42"/>
    <w:rsid w:val="00A51AD9"/>
    <w:rsid w:val="00A7102A"/>
    <w:rsid w:val="00A7439D"/>
    <w:rsid w:val="00A76447"/>
    <w:rsid w:val="00A924DA"/>
    <w:rsid w:val="00A97244"/>
    <w:rsid w:val="00AA2937"/>
    <w:rsid w:val="00AB0A03"/>
    <w:rsid w:val="00AB6AA4"/>
    <w:rsid w:val="00AC068D"/>
    <w:rsid w:val="00AD78E4"/>
    <w:rsid w:val="00AE1C21"/>
    <w:rsid w:val="00AF01D6"/>
    <w:rsid w:val="00AF41F3"/>
    <w:rsid w:val="00AF7D6F"/>
    <w:rsid w:val="00B00A23"/>
    <w:rsid w:val="00B02C10"/>
    <w:rsid w:val="00B103CF"/>
    <w:rsid w:val="00B1396A"/>
    <w:rsid w:val="00B14F21"/>
    <w:rsid w:val="00B4761C"/>
    <w:rsid w:val="00B5068E"/>
    <w:rsid w:val="00B509EA"/>
    <w:rsid w:val="00B5155F"/>
    <w:rsid w:val="00B55C5A"/>
    <w:rsid w:val="00B56599"/>
    <w:rsid w:val="00B63152"/>
    <w:rsid w:val="00B7739F"/>
    <w:rsid w:val="00B87091"/>
    <w:rsid w:val="00B87542"/>
    <w:rsid w:val="00BA1E12"/>
    <w:rsid w:val="00BA3FD2"/>
    <w:rsid w:val="00BA5C49"/>
    <w:rsid w:val="00BA6812"/>
    <w:rsid w:val="00BB20FB"/>
    <w:rsid w:val="00BB4039"/>
    <w:rsid w:val="00BC29F8"/>
    <w:rsid w:val="00BC3EBF"/>
    <w:rsid w:val="00BE0DFF"/>
    <w:rsid w:val="00C02B36"/>
    <w:rsid w:val="00C127EE"/>
    <w:rsid w:val="00C240C2"/>
    <w:rsid w:val="00C25464"/>
    <w:rsid w:val="00C33D1E"/>
    <w:rsid w:val="00C47053"/>
    <w:rsid w:val="00C57E67"/>
    <w:rsid w:val="00C7136C"/>
    <w:rsid w:val="00C7463F"/>
    <w:rsid w:val="00C77F6D"/>
    <w:rsid w:val="00C86F3C"/>
    <w:rsid w:val="00C91F7D"/>
    <w:rsid w:val="00C94A83"/>
    <w:rsid w:val="00C968E6"/>
    <w:rsid w:val="00C97EC1"/>
    <w:rsid w:val="00CA1480"/>
    <w:rsid w:val="00CA4049"/>
    <w:rsid w:val="00CA4FBC"/>
    <w:rsid w:val="00CA54B5"/>
    <w:rsid w:val="00CA5F8A"/>
    <w:rsid w:val="00CB3D47"/>
    <w:rsid w:val="00CC4301"/>
    <w:rsid w:val="00CC5CB2"/>
    <w:rsid w:val="00CC7B8E"/>
    <w:rsid w:val="00CD61F6"/>
    <w:rsid w:val="00CE4B5F"/>
    <w:rsid w:val="00CE5C22"/>
    <w:rsid w:val="00CE5FCE"/>
    <w:rsid w:val="00CF3A4D"/>
    <w:rsid w:val="00CF413D"/>
    <w:rsid w:val="00D048B4"/>
    <w:rsid w:val="00D11DD3"/>
    <w:rsid w:val="00D123B6"/>
    <w:rsid w:val="00D17668"/>
    <w:rsid w:val="00D3202C"/>
    <w:rsid w:val="00D351C5"/>
    <w:rsid w:val="00D3582F"/>
    <w:rsid w:val="00D4268D"/>
    <w:rsid w:val="00D44FAB"/>
    <w:rsid w:val="00D46F7F"/>
    <w:rsid w:val="00D471AF"/>
    <w:rsid w:val="00D50A95"/>
    <w:rsid w:val="00D5177E"/>
    <w:rsid w:val="00D51E9D"/>
    <w:rsid w:val="00D533DD"/>
    <w:rsid w:val="00D53A48"/>
    <w:rsid w:val="00D53F16"/>
    <w:rsid w:val="00D60D27"/>
    <w:rsid w:val="00D6118E"/>
    <w:rsid w:val="00D71412"/>
    <w:rsid w:val="00D729BB"/>
    <w:rsid w:val="00D761CD"/>
    <w:rsid w:val="00D80750"/>
    <w:rsid w:val="00D81A09"/>
    <w:rsid w:val="00D96F80"/>
    <w:rsid w:val="00DA3DC8"/>
    <w:rsid w:val="00DA4ECC"/>
    <w:rsid w:val="00DA79E1"/>
    <w:rsid w:val="00DA7FED"/>
    <w:rsid w:val="00DC1D2D"/>
    <w:rsid w:val="00DC39A3"/>
    <w:rsid w:val="00DC5423"/>
    <w:rsid w:val="00DD209B"/>
    <w:rsid w:val="00DD5A8A"/>
    <w:rsid w:val="00DE5034"/>
    <w:rsid w:val="00DF242C"/>
    <w:rsid w:val="00E06732"/>
    <w:rsid w:val="00E13462"/>
    <w:rsid w:val="00E13A12"/>
    <w:rsid w:val="00E20B63"/>
    <w:rsid w:val="00E2171C"/>
    <w:rsid w:val="00E24D9E"/>
    <w:rsid w:val="00E32269"/>
    <w:rsid w:val="00E33BC2"/>
    <w:rsid w:val="00E34BBD"/>
    <w:rsid w:val="00E470E3"/>
    <w:rsid w:val="00E61FB6"/>
    <w:rsid w:val="00E63F21"/>
    <w:rsid w:val="00E65576"/>
    <w:rsid w:val="00E81C37"/>
    <w:rsid w:val="00E82952"/>
    <w:rsid w:val="00E90CE9"/>
    <w:rsid w:val="00E92F8B"/>
    <w:rsid w:val="00E949B1"/>
    <w:rsid w:val="00EA0F34"/>
    <w:rsid w:val="00EA229A"/>
    <w:rsid w:val="00EA2E4D"/>
    <w:rsid w:val="00EA7EBD"/>
    <w:rsid w:val="00EB41A1"/>
    <w:rsid w:val="00ED4F2F"/>
    <w:rsid w:val="00ED6D30"/>
    <w:rsid w:val="00EE1F7A"/>
    <w:rsid w:val="00EE2BA9"/>
    <w:rsid w:val="00EF5EEF"/>
    <w:rsid w:val="00F00C8F"/>
    <w:rsid w:val="00F170BC"/>
    <w:rsid w:val="00F234B1"/>
    <w:rsid w:val="00F37C3D"/>
    <w:rsid w:val="00F44475"/>
    <w:rsid w:val="00F501DA"/>
    <w:rsid w:val="00F50423"/>
    <w:rsid w:val="00F528EE"/>
    <w:rsid w:val="00F53498"/>
    <w:rsid w:val="00F56B9B"/>
    <w:rsid w:val="00F56C0B"/>
    <w:rsid w:val="00F66ED9"/>
    <w:rsid w:val="00F67443"/>
    <w:rsid w:val="00F811F3"/>
    <w:rsid w:val="00F84C92"/>
    <w:rsid w:val="00F86A4D"/>
    <w:rsid w:val="00FB27D5"/>
    <w:rsid w:val="00FB3727"/>
    <w:rsid w:val="00FB68F3"/>
    <w:rsid w:val="00FC1E44"/>
    <w:rsid w:val="00FC1EBD"/>
    <w:rsid w:val="00FC620E"/>
    <w:rsid w:val="00FD2365"/>
    <w:rsid w:val="00FD2AEB"/>
    <w:rsid w:val="00FE4271"/>
    <w:rsid w:val="00FE54B7"/>
    <w:rsid w:val="00FE54C5"/>
    <w:rsid w:val="00FF0110"/>
    <w:rsid w:val="00FF63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iPriority w:val="9"/>
    <w:unhideWhenUsed/>
    <w:qFormat/>
    <w:rsid w:val="005F7800"/>
    <w:pPr>
      <w:keepNext/>
      <w:keepLines/>
      <w:spacing w:before="200" w:after="0" w:line="240" w:lineRule="auto"/>
      <w:outlineLvl w:val="3"/>
    </w:pPr>
    <w:rPr>
      <w:rFonts w:asciiTheme="majorHAnsi" w:eastAsiaTheme="majorEastAsia" w:hAnsiTheme="majorHAnsi" w:cstheme="majorBidi"/>
      <w:b/>
      <w:bCs/>
      <w:i/>
      <w:iCs/>
      <w:color w:val="4F81BD" w:themeColor="accent1"/>
      <w:lang w:eastAsia="es-ES"/>
    </w:rPr>
  </w:style>
  <w:style w:type="paragraph" w:styleId="Ttulo5">
    <w:name w:val="heading 5"/>
    <w:basedOn w:val="Normal"/>
    <w:next w:val="Normal"/>
    <w:link w:val="Ttulo5Car"/>
    <w:uiPriority w:val="9"/>
    <w:semiHidden/>
    <w:unhideWhenUsed/>
    <w:qFormat/>
    <w:rsid w:val="005F7800"/>
    <w:pPr>
      <w:keepNext/>
      <w:keepLines/>
      <w:spacing w:before="200" w:after="0" w:line="240" w:lineRule="auto"/>
      <w:outlineLvl w:val="4"/>
    </w:pPr>
    <w:rPr>
      <w:rFonts w:asciiTheme="majorHAnsi" w:eastAsiaTheme="majorEastAsia" w:hAnsiTheme="majorHAnsi" w:cstheme="majorBidi"/>
      <w:color w:val="243F60" w:themeColor="accent1" w:themeShade="7F"/>
      <w:lang w:eastAsia="es-ES"/>
    </w:rPr>
  </w:style>
  <w:style w:type="paragraph" w:styleId="Ttulo6">
    <w:name w:val="heading 6"/>
    <w:basedOn w:val="Normal"/>
    <w:next w:val="Normal"/>
    <w:link w:val="Ttulo6Car"/>
    <w:uiPriority w:val="9"/>
    <w:semiHidden/>
    <w:unhideWhenUsed/>
    <w:qFormat/>
    <w:rsid w:val="005F7800"/>
    <w:pPr>
      <w:keepNext/>
      <w:keepLines/>
      <w:spacing w:before="200" w:after="0" w:line="240" w:lineRule="auto"/>
      <w:outlineLvl w:val="5"/>
    </w:pPr>
    <w:rPr>
      <w:rFonts w:asciiTheme="majorHAnsi" w:eastAsiaTheme="majorEastAsia" w:hAnsiTheme="majorHAnsi" w:cstheme="majorBidi"/>
      <w:i/>
      <w:iCs/>
      <w:color w:val="243F60" w:themeColor="accent1" w:themeShade="7F"/>
      <w:lang w:eastAsia="es-ES"/>
    </w:rPr>
  </w:style>
  <w:style w:type="paragraph" w:styleId="Ttulo7">
    <w:name w:val="heading 7"/>
    <w:basedOn w:val="Normal"/>
    <w:next w:val="Normal"/>
    <w:link w:val="Ttulo7Car"/>
    <w:uiPriority w:val="9"/>
    <w:semiHidden/>
    <w:unhideWhenUsed/>
    <w:qFormat/>
    <w:rsid w:val="005F7800"/>
    <w:pPr>
      <w:keepNext/>
      <w:keepLines/>
      <w:spacing w:before="200" w:after="0" w:line="240" w:lineRule="auto"/>
      <w:outlineLvl w:val="6"/>
    </w:pPr>
    <w:rPr>
      <w:rFonts w:asciiTheme="majorHAnsi" w:eastAsiaTheme="majorEastAsia" w:hAnsiTheme="majorHAnsi" w:cstheme="majorBidi"/>
      <w:i/>
      <w:iCs/>
      <w:color w:val="404040" w:themeColor="text1" w:themeTint="BF"/>
      <w:lang w:eastAsia="es-ES"/>
    </w:rPr>
  </w:style>
  <w:style w:type="paragraph" w:styleId="Ttulo8">
    <w:name w:val="heading 8"/>
    <w:basedOn w:val="Normal"/>
    <w:next w:val="Normal"/>
    <w:link w:val="Ttulo8Car"/>
    <w:uiPriority w:val="9"/>
    <w:semiHidden/>
    <w:unhideWhenUsed/>
    <w:qFormat/>
    <w:rsid w:val="005F7800"/>
    <w:pPr>
      <w:keepNext/>
      <w:keepLines/>
      <w:spacing w:before="200" w:after="0" w:line="240" w:lineRule="auto"/>
      <w:outlineLvl w:val="7"/>
    </w:pPr>
    <w:rPr>
      <w:rFonts w:asciiTheme="majorHAnsi" w:eastAsiaTheme="majorEastAsia" w:hAnsiTheme="majorHAnsi" w:cstheme="majorBidi"/>
      <w:color w:val="4F81BD" w:themeColor="accent1"/>
      <w:sz w:val="20"/>
      <w:szCs w:val="20"/>
      <w:lang w:eastAsia="es-ES"/>
    </w:rPr>
  </w:style>
  <w:style w:type="paragraph" w:styleId="Ttulo9">
    <w:name w:val="heading 9"/>
    <w:basedOn w:val="Normal"/>
    <w:next w:val="Normal"/>
    <w:link w:val="Ttulo9Car"/>
    <w:uiPriority w:val="9"/>
    <w:semiHidden/>
    <w:unhideWhenUsed/>
    <w:qFormat/>
    <w:rsid w:val="005F7800"/>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qFormat/>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TableParagraph">
    <w:name w:val="Table Paragraph"/>
    <w:basedOn w:val="Normal"/>
    <w:uiPriority w:val="1"/>
    <w:qFormat/>
    <w:rsid w:val="00055E70"/>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unhideWhenUsed/>
    <w:qFormat/>
    <w:rsid w:val="00055E7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qFormat/>
    <w:rsid w:val="00055E70"/>
    <w:pPr>
      <w:autoSpaceDE w:val="0"/>
      <w:autoSpaceDN w:val="0"/>
      <w:adjustRightInd w:val="0"/>
      <w:spacing w:after="0" w:line="240" w:lineRule="auto"/>
    </w:pPr>
    <w:rPr>
      <w:rFonts w:ascii="Arial" w:eastAsia="Times New Roman" w:hAnsi="Arial" w:cs="Arial"/>
      <w:color w:val="000000"/>
      <w:lang w:val="es-ES"/>
    </w:rPr>
  </w:style>
  <w:style w:type="paragraph" w:customStyle="1" w:styleId="xmsonormal">
    <w:name w:val="xmsonormal"/>
    <w:basedOn w:val="Normal"/>
    <w:rsid w:val="00055E70"/>
    <w:pPr>
      <w:spacing w:after="0" w:line="240" w:lineRule="auto"/>
    </w:pPr>
    <w:rPr>
      <w:rFonts w:ascii="Times New Roman" w:hAnsi="Times New Roman"/>
      <w:noProof/>
      <w:sz w:val="24"/>
      <w:szCs w:val="24"/>
      <w:lang w:eastAsia="es-CO"/>
    </w:rPr>
  </w:style>
  <w:style w:type="character" w:customStyle="1" w:styleId="DefaultCar">
    <w:name w:val="Default Car"/>
    <w:link w:val="Default"/>
    <w:locked/>
    <w:rsid w:val="00055E70"/>
    <w:rPr>
      <w:rFonts w:ascii="Arial" w:eastAsia="Times New Roman" w:hAnsi="Arial" w:cs="Arial"/>
      <w:color w:val="000000"/>
      <w:lang w:val="es-ES"/>
    </w:rPr>
  </w:style>
  <w:style w:type="paragraph" w:customStyle="1" w:styleId="Estilo">
    <w:name w:val="Estilo"/>
    <w:rsid w:val="00055E70"/>
    <w:pPr>
      <w:widowControl w:val="0"/>
      <w:autoSpaceDE w:val="0"/>
      <w:autoSpaceDN w:val="0"/>
      <w:adjustRightInd w:val="0"/>
      <w:spacing w:after="0" w:line="240" w:lineRule="auto"/>
    </w:pPr>
    <w:rPr>
      <w:rFonts w:ascii="Arial" w:eastAsia="Times New Roman" w:hAnsi="Arial" w:cs="Arial"/>
      <w:lang w:eastAsia="es-CO"/>
    </w:rPr>
  </w:style>
  <w:style w:type="paragraph" w:styleId="Textoindependiente2">
    <w:name w:val="Body Text 2"/>
    <w:basedOn w:val="Normal"/>
    <w:link w:val="Textoindependiente2Car"/>
    <w:uiPriority w:val="99"/>
    <w:unhideWhenUsed/>
    <w:rsid w:val="001F29BA"/>
    <w:pPr>
      <w:spacing w:after="120"/>
    </w:pPr>
  </w:style>
  <w:style w:type="character" w:customStyle="1" w:styleId="Textoindependiente2Car">
    <w:name w:val="Texto independiente 2 Car"/>
    <w:basedOn w:val="Fuentedeprrafopredeter"/>
    <w:link w:val="Textoindependiente2"/>
    <w:uiPriority w:val="99"/>
    <w:rsid w:val="001F29BA"/>
    <w:rPr>
      <w:rFonts w:ascii="Calibri" w:eastAsia="Calibri" w:hAnsi="Calibri" w:cs="Times New Roman"/>
      <w:sz w:val="22"/>
      <w:szCs w:val="22"/>
      <w:lang w:eastAsia="en-US"/>
    </w:rPr>
  </w:style>
  <w:style w:type="paragraph" w:customStyle="1" w:styleId="xmsolistparagraph">
    <w:name w:val="x_msolistparagraph"/>
    <w:basedOn w:val="Normal"/>
    <w:rsid w:val="001F29BA"/>
    <w:pPr>
      <w:spacing w:after="0" w:line="240" w:lineRule="auto"/>
      <w:ind w:left="720" w:right="51"/>
      <w:jc w:val="both"/>
    </w:pPr>
    <w:rPr>
      <w:rFonts w:ascii="Arial" w:eastAsiaTheme="minorHAnsi" w:hAnsi="Arial" w:cs="Arial"/>
      <w:color w:val="000000"/>
      <w:sz w:val="20"/>
      <w:szCs w:val="20"/>
      <w:lang w:eastAsia="es-CO"/>
    </w:rPr>
  </w:style>
  <w:style w:type="character" w:customStyle="1" w:styleId="markedcontent">
    <w:name w:val="markedcontent"/>
    <w:basedOn w:val="Fuentedeprrafopredeter"/>
    <w:rsid w:val="005D0BEB"/>
  </w:style>
  <w:style w:type="paragraph" w:customStyle="1" w:styleId="font0">
    <w:name w:val="font0"/>
    <w:basedOn w:val="Normal"/>
    <w:rsid w:val="002663B9"/>
    <w:pPr>
      <w:spacing w:before="100" w:beforeAutospacing="1" w:after="100" w:afterAutospacing="1" w:line="240" w:lineRule="auto"/>
    </w:pPr>
    <w:rPr>
      <w:rFonts w:eastAsia="Times New Roman" w:cs="Calibri"/>
      <w:color w:val="000000"/>
      <w:lang w:eastAsia="es-CO"/>
    </w:rPr>
  </w:style>
  <w:style w:type="paragraph" w:customStyle="1" w:styleId="font5">
    <w:name w:val="font5"/>
    <w:basedOn w:val="Normal"/>
    <w:rsid w:val="002663B9"/>
    <w:pPr>
      <w:spacing w:before="100" w:beforeAutospacing="1" w:after="100" w:afterAutospacing="1" w:line="240" w:lineRule="auto"/>
    </w:pPr>
    <w:rPr>
      <w:rFonts w:eastAsia="Times New Roman" w:cs="Calibri"/>
      <w:color w:val="FF0000"/>
      <w:lang w:eastAsia="es-CO"/>
    </w:rPr>
  </w:style>
  <w:style w:type="paragraph" w:customStyle="1" w:styleId="font6">
    <w:name w:val="font6"/>
    <w:basedOn w:val="Normal"/>
    <w:rsid w:val="002663B9"/>
    <w:pPr>
      <w:spacing w:before="100" w:beforeAutospacing="1" w:after="100" w:afterAutospacing="1" w:line="240" w:lineRule="auto"/>
    </w:pPr>
    <w:rPr>
      <w:rFonts w:eastAsia="Times New Roman" w:cs="Calibri"/>
      <w:lang w:eastAsia="es-CO"/>
    </w:rPr>
  </w:style>
  <w:style w:type="paragraph" w:customStyle="1" w:styleId="xl65">
    <w:name w:val="xl6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66">
    <w:name w:val="xl66"/>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7">
    <w:name w:val="xl6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8">
    <w:name w:val="xl68"/>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71">
    <w:name w:val="xl71"/>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73">
    <w:name w:val="xl73"/>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4">
    <w:name w:val="xl74"/>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5">
    <w:name w:val="xl75"/>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7">
    <w:name w:val="xl7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8">
    <w:name w:val="xl7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0">
    <w:name w:val="xl8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2663B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2">
    <w:name w:val="xl82"/>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3">
    <w:name w:val="xl83"/>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6">
    <w:name w:val="xl8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7">
    <w:name w:val="xl87"/>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8">
    <w:name w:val="xl8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9">
    <w:name w:val="xl89"/>
    <w:basedOn w:val="Normal"/>
    <w:rsid w:val="002663B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0">
    <w:name w:val="xl9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Ttulo4Car">
    <w:name w:val="Título 4 Car"/>
    <w:basedOn w:val="Fuentedeprrafopredeter"/>
    <w:link w:val="Ttulo4"/>
    <w:uiPriority w:val="9"/>
    <w:rsid w:val="005F7800"/>
    <w:rPr>
      <w:rFonts w:asciiTheme="majorHAnsi" w:eastAsiaTheme="majorEastAsia" w:hAnsiTheme="majorHAnsi" w:cstheme="majorBidi"/>
      <w:b/>
      <w:bCs/>
      <w:i/>
      <w:iCs/>
      <w:color w:val="4F81BD" w:themeColor="accent1"/>
      <w:sz w:val="22"/>
      <w:szCs w:val="22"/>
    </w:rPr>
  </w:style>
  <w:style w:type="character" w:customStyle="1" w:styleId="Ttulo5Car">
    <w:name w:val="Título 5 Car"/>
    <w:basedOn w:val="Fuentedeprrafopredeter"/>
    <w:link w:val="Ttulo5"/>
    <w:uiPriority w:val="9"/>
    <w:semiHidden/>
    <w:rsid w:val="005F7800"/>
    <w:rPr>
      <w:rFonts w:asciiTheme="majorHAnsi" w:eastAsiaTheme="majorEastAsia" w:hAnsiTheme="majorHAnsi" w:cstheme="majorBidi"/>
      <w:color w:val="243F60" w:themeColor="accent1" w:themeShade="7F"/>
      <w:sz w:val="22"/>
      <w:szCs w:val="22"/>
    </w:rPr>
  </w:style>
  <w:style w:type="character" w:customStyle="1" w:styleId="Ttulo6Car">
    <w:name w:val="Título 6 Car"/>
    <w:basedOn w:val="Fuentedeprrafopredeter"/>
    <w:link w:val="Ttulo6"/>
    <w:uiPriority w:val="9"/>
    <w:semiHidden/>
    <w:rsid w:val="005F7800"/>
    <w:rPr>
      <w:rFonts w:asciiTheme="majorHAnsi" w:eastAsiaTheme="majorEastAsia" w:hAnsiTheme="majorHAnsi" w:cstheme="majorBidi"/>
      <w:i/>
      <w:iCs/>
      <w:color w:val="243F60" w:themeColor="accent1" w:themeShade="7F"/>
      <w:sz w:val="22"/>
      <w:szCs w:val="22"/>
    </w:rPr>
  </w:style>
  <w:style w:type="character" w:customStyle="1" w:styleId="Ttulo7Car">
    <w:name w:val="Título 7 Car"/>
    <w:basedOn w:val="Fuentedeprrafopredeter"/>
    <w:link w:val="Ttulo7"/>
    <w:uiPriority w:val="9"/>
    <w:semiHidden/>
    <w:rsid w:val="005F7800"/>
    <w:rPr>
      <w:rFonts w:asciiTheme="majorHAnsi" w:eastAsiaTheme="majorEastAsia" w:hAnsiTheme="majorHAnsi" w:cstheme="majorBidi"/>
      <w:i/>
      <w:iCs/>
      <w:color w:val="404040" w:themeColor="text1" w:themeTint="BF"/>
      <w:sz w:val="22"/>
      <w:szCs w:val="22"/>
    </w:rPr>
  </w:style>
  <w:style w:type="character" w:customStyle="1" w:styleId="Ttulo8Car">
    <w:name w:val="Título 8 Car"/>
    <w:basedOn w:val="Fuentedeprrafopredeter"/>
    <w:link w:val="Ttulo8"/>
    <w:uiPriority w:val="9"/>
    <w:semiHidden/>
    <w:rsid w:val="005F7800"/>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5F7800"/>
    <w:rPr>
      <w:rFonts w:asciiTheme="majorHAnsi" w:eastAsiaTheme="majorEastAsia" w:hAnsiTheme="majorHAnsi" w:cstheme="majorBidi"/>
      <w:i/>
      <w:iCs/>
      <w:color w:val="404040" w:themeColor="text1" w:themeTint="BF"/>
      <w:sz w:val="20"/>
      <w:szCs w:val="20"/>
    </w:rPr>
  </w:style>
  <w:style w:type="numbering" w:customStyle="1" w:styleId="Sinlista1">
    <w:name w:val="Sin lista1"/>
    <w:next w:val="Sinlista"/>
    <w:uiPriority w:val="99"/>
    <w:semiHidden/>
    <w:unhideWhenUsed/>
    <w:rsid w:val="005F7800"/>
  </w:style>
  <w:style w:type="table" w:customStyle="1" w:styleId="Tablaconcuadrcula1">
    <w:name w:val="Tabla con cuadrícula1"/>
    <w:basedOn w:val="Tablanormal"/>
    <w:next w:val="Tablaconcuadrcula"/>
    <w:uiPriority w:val="59"/>
    <w:rsid w:val="005F7800"/>
    <w:pPr>
      <w:spacing w:after="8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5F7800"/>
    <w:rPr>
      <w:sz w:val="16"/>
      <w:szCs w:val="16"/>
    </w:rPr>
  </w:style>
  <w:style w:type="paragraph" w:styleId="Textocomentario">
    <w:name w:val="annotation text"/>
    <w:basedOn w:val="Normal"/>
    <w:link w:val="TextocomentarioCar"/>
    <w:uiPriority w:val="99"/>
    <w:unhideWhenUsed/>
    <w:rsid w:val="005F7800"/>
    <w:pPr>
      <w:spacing w:after="200" w:line="240" w:lineRule="auto"/>
    </w:pPr>
    <w:rPr>
      <w:rFonts w:ascii="Cambria" w:eastAsia="Cambria" w:hAnsi="Cambria" w:cstheme="minorBidi"/>
      <w:sz w:val="20"/>
      <w:szCs w:val="20"/>
      <w:lang w:val="es-ES_tradnl" w:eastAsia="es-ES"/>
    </w:rPr>
  </w:style>
  <w:style w:type="character" w:customStyle="1" w:styleId="TextocomentarioCar">
    <w:name w:val="Texto comentario Car"/>
    <w:basedOn w:val="Fuentedeprrafopredeter"/>
    <w:link w:val="Textocomentario"/>
    <w:uiPriority w:val="99"/>
    <w:rsid w:val="005F7800"/>
    <w:rPr>
      <w:rFonts w:ascii="Cambria" w:eastAsia="Cambria" w:hAnsi="Cambria"/>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5F7800"/>
    <w:rPr>
      <w:b/>
      <w:bCs/>
    </w:rPr>
  </w:style>
  <w:style w:type="character" w:customStyle="1" w:styleId="AsuntodelcomentarioCar">
    <w:name w:val="Asunto del comentario Car"/>
    <w:basedOn w:val="TextocomentarioCar"/>
    <w:link w:val="Asuntodelcomentario"/>
    <w:uiPriority w:val="99"/>
    <w:semiHidden/>
    <w:rsid w:val="005F7800"/>
    <w:rPr>
      <w:rFonts w:ascii="Cambria" w:eastAsia="Cambria" w:hAnsi="Cambria"/>
      <w:b/>
      <w:bCs/>
      <w:sz w:val="20"/>
      <w:szCs w:val="20"/>
      <w:lang w:val="es-ES_tradnl"/>
    </w:rPr>
  </w:style>
  <w:style w:type="character" w:customStyle="1" w:styleId="A9">
    <w:name w:val="A9"/>
    <w:rsid w:val="005F7800"/>
    <w:rPr>
      <w:color w:val="000000"/>
      <w:sz w:val="19"/>
      <w:szCs w:val="19"/>
    </w:rPr>
  </w:style>
  <w:style w:type="character" w:customStyle="1" w:styleId="Mencinsinresolver11">
    <w:name w:val="Mención sin resolver11"/>
    <w:basedOn w:val="Fuentedeprrafopredeter"/>
    <w:uiPriority w:val="99"/>
    <w:semiHidden/>
    <w:unhideWhenUsed/>
    <w:rsid w:val="005F7800"/>
    <w:rPr>
      <w:color w:val="808080"/>
      <w:shd w:val="clear" w:color="auto" w:fill="E6E6E6"/>
    </w:rPr>
  </w:style>
  <w:style w:type="paragraph" w:styleId="Textoindependiente3">
    <w:name w:val="Body Text 3"/>
    <w:basedOn w:val="Normal"/>
    <w:link w:val="Textoindependiente3Car"/>
    <w:uiPriority w:val="99"/>
    <w:unhideWhenUsed/>
    <w:rsid w:val="005F7800"/>
    <w:pPr>
      <w:spacing w:after="120" w:line="240" w:lineRule="auto"/>
    </w:pPr>
    <w:rPr>
      <w:rFonts w:ascii="Cambria" w:eastAsia="Cambria" w:hAnsi="Cambria" w:cstheme="minorBidi"/>
      <w:sz w:val="16"/>
      <w:szCs w:val="16"/>
      <w:lang w:val="es-ES_tradnl" w:eastAsia="es-ES"/>
    </w:rPr>
  </w:style>
  <w:style w:type="character" w:customStyle="1" w:styleId="Textoindependiente3Car">
    <w:name w:val="Texto independiente 3 Car"/>
    <w:basedOn w:val="Fuentedeprrafopredeter"/>
    <w:link w:val="Textoindependiente3"/>
    <w:uiPriority w:val="99"/>
    <w:rsid w:val="005F7800"/>
    <w:rPr>
      <w:rFonts w:ascii="Cambria" w:eastAsia="Cambria" w:hAnsi="Cambria"/>
      <w:sz w:val="16"/>
      <w:szCs w:val="16"/>
      <w:lang w:val="es-ES_tradnl"/>
    </w:rPr>
  </w:style>
  <w:style w:type="character" w:styleId="Textodelmarcadordeposicin">
    <w:name w:val="Placeholder Text"/>
    <w:basedOn w:val="Fuentedeprrafopredeter"/>
    <w:uiPriority w:val="99"/>
    <w:semiHidden/>
    <w:rsid w:val="005F7800"/>
    <w:rPr>
      <w:color w:val="808080"/>
    </w:rPr>
  </w:style>
  <w:style w:type="character" w:customStyle="1" w:styleId="Mencinsinresolver2">
    <w:name w:val="Mención sin resolver2"/>
    <w:basedOn w:val="Fuentedeprrafopredeter"/>
    <w:uiPriority w:val="99"/>
    <w:semiHidden/>
    <w:unhideWhenUsed/>
    <w:rsid w:val="005F7800"/>
    <w:rPr>
      <w:color w:val="605E5C"/>
      <w:shd w:val="clear" w:color="auto" w:fill="E1DFDD"/>
    </w:rPr>
  </w:style>
  <w:style w:type="paragraph" w:styleId="NormalWeb">
    <w:name w:val="Normal (Web)"/>
    <w:basedOn w:val="Normal"/>
    <w:uiPriority w:val="99"/>
    <w:unhideWhenUsed/>
    <w:rsid w:val="005F7800"/>
    <w:pPr>
      <w:spacing w:before="100" w:beforeAutospacing="1" w:after="100" w:afterAutospacing="1" w:line="240" w:lineRule="auto"/>
    </w:pPr>
    <w:rPr>
      <w:rFonts w:ascii="Times New Roman" w:eastAsia="Times New Roman" w:hAnsi="Times New Roman" w:cstheme="minorBidi"/>
      <w:sz w:val="24"/>
      <w:szCs w:val="24"/>
      <w:lang w:val="en-US" w:eastAsia="es-ES"/>
    </w:rPr>
  </w:style>
  <w:style w:type="character" w:styleId="nfasis">
    <w:name w:val="Emphasis"/>
    <w:basedOn w:val="Fuentedeprrafopredeter"/>
    <w:uiPriority w:val="20"/>
    <w:qFormat/>
    <w:rsid w:val="005F7800"/>
    <w:rPr>
      <w:i/>
      <w:iCs/>
    </w:rPr>
  </w:style>
  <w:style w:type="character" w:styleId="Textoennegrita">
    <w:name w:val="Strong"/>
    <w:basedOn w:val="Fuentedeprrafopredeter"/>
    <w:uiPriority w:val="22"/>
    <w:qFormat/>
    <w:rsid w:val="005F7800"/>
    <w:rPr>
      <w:b/>
      <w:bCs/>
    </w:rPr>
  </w:style>
  <w:style w:type="table" w:customStyle="1" w:styleId="TableNormal1">
    <w:name w:val="Table Normal1"/>
    <w:uiPriority w:val="2"/>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rsid w:val="005F7800"/>
    <w:rPr>
      <w:color w:val="605E5C"/>
      <w:shd w:val="clear" w:color="auto" w:fill="E1DFDD"/>
    </w:rPr>
  </w:style>
  <w:style w:type="table" w:customStyle="1" w:styleId="TableNormal2">
    <w:name w:val="Table Normal2"/>
    <w:uiPriority w:val="2"/>
    <w:semiHidden/>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rsid w:val="005F7800"/>
    <w:rPr>
      <w:color w:val="605E5C"/>
      <w:shd w:val="clear" w:color="auto" w:fill="E1DFDD"/>
    </w:rPr>
  </w:style>
  <w:style w:type="character" w:customStyle="1" w:styleId="Listavistosa-nfasis1Car">
    <w:name w:val="Lista vistosa - Énfasis 1 Car"/>
    <w:uiPriority w:val="34"/>
    <w:rsid w:val="005F7800"/>
    <w:rPr>
      <w:lang w:val="es-ES"/>
    </w:rPr>
  </w:style>
  <w:style w:type="character" w:customStyle="1" w:styleId="Mencinsinresolver5">
    <w:name w:val="Mención sin resolver5"/>
    <w:basedOn w:val="Fuentedeprrafopredeter"/>
    <w:uiPriority w:val="99"/>
    <w:rsid w:val="005F7800"/>
    <w:rPr>
      <w:color w:val="605E5C"/>
      <w:shd w:val="clear" w:color="auto" w:fill="E1DFDD"/>
    </w:rPr>
  </w:style>
  <w:style w:type="character" w:customStyle="1" w:styleId="Mencinsinresolver6">
    <w:name w:val="Mención sin resolver6"/>
    <w:basedOn w:val="Fuentedeprrafopredeter"/>
    <w:uiPriority w:val="99"/>
    <w:rsid w:val="005F7800"/>
    <w:rPr>
      <w:color w:val="605E5C"/>
      <w:shd w:val="clear" w:color="auto" w:fill="E1DFDD"/>
    </w:rPr>
  </w:style>
  <w:style w:type="character" w:customStyle="1" w:styleId="Mencinsinresolver7">
    <w:name w:val="Mención sin resolver7"/>
    <w:basedOn w:val="Fuentedeprrafopredeter"/>
    <w:uiPriority w:val="99"/>
    <w:rsid w:val="005F7800"/>
    <w:rPr>
      <w:color w:val="605E5C"/>
      <w:shd w:val="clear" w:color="auto" w:fill="E1DFDD"/>
    </w:rPr>
  </w:style>
  <w:style w:type="character" w:styleId="Mencinsinresolver">
    <w:name w:val="Unresolved Mention"/>
    <w:basedOn w:val="Fuentedeprrafopredeter"/>
    <w:uiPriority w:val="99"/>
    <w:semiHidden/>
    <w:unhideWhenUsed/>
    <w:rsid w:val="005F7800"/>
    <w:rPr>
      <w:color w:val="605E5C"/>
      <w:shd w:val="clear" w:color="auto" w:fill="E1DFDD"/>
    </w:rPr>
  </w:style>
  <w:style w:type="table" w:customStyle="1" w:styleId="TableNormal11">
    <w:name w:val="Table Normal11"/>
    <w:uiPriority w:val="2"/>
    <w:semiHidden/>
    <w:unhideWhenUsed/>
    <w:qFormat/>
    <w:rsid w:val="005F7800"/>
    <w:pPr>
      <w:widowControl w:val="0"/>
      <w:autoSpaceDE w:val="0"/>
      <w:autoSpaceDN w:val="0"/>
      <w:spacing w:after="0" w:line="240" w:lineRule="auto"/>
    </w:pPr>
    <w:rPr>
      <w:rFonts w:eastAsiaTheme="minorHAnsi"/>
      <w:sz w:val="22"/>
      <w:szCs w:val="22"/>
      <w:lang w:val="en-US" w:eastAsia="en-US"/>
    </w:rPr>
    <w:tblPr>
      <w:tblCellMar>
        <w:top w:w="0" w:type="dxa"/>
        <w:left w:w="0" w:type="dxa"/>
        <w:bottom w:w="0" w:type="dxa"/>
        <w:right w:w="0" w:type="dxa"/>
      </w:tblCellMar>
    </w:tblPr>
  </w:style>
  <w:style w:type="character" w:customStyle="1" w:styleId="vortalspan">
    <w:name w:val="vortalspan"/>
    <w:basedOn w:val="Fuentedeprrafopredeter"/>
    <w:rsid w:val="005F7800"/>
  </w:style>
  <w:style w:type="paragraph" w:customStyle="1" w:styleId="pf0">
    <w:name w:val="pf0"/>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cf01">
    <w:name w:val="cf01"/>
    <w:basedOn w:val="Fuentedeprrafopredeter"/>
    <w:rsid w:val="005F7800"/>
    <w:rPr>
      <w:rFonts w:ascii="Segoe UI" w:hAnsi="Segoe UI" w:cs="Segoe UI" w:hint="default"/>
      <w:b/>
      <w:bCs/>
      <w:sz w:val="18"/>
      <w:szCs w:val="18"/>
      <w:u w:val="single"/>
    </w:rPr>
  </w:style>
  <w:style w:type="character" w:customStyle="1" w:styleId="cf11">
    <w:name w:val="cf11"/>
    <w:basedOn w:val="Fuentedeprrafopredeter"/>
    <w:rsid w:val="005F7800"/>
    <w:rPr>
      <w:rFonts w:ascii="Segoe UI" w:hAnsi="Segoe UI" w:cs="Segoe UI" w:hint="default"/>
      <w:b/>
      <w:bCs/>
      <w:sz w:val="18"/>
      <w:szCs w:val="18"/>
    </w:rPr>
  </w:style>
  <w:style w:type="character" w:customStyle="1" w:styleId="cf21">
    <w:name w:val="cf21"/>
    <w:basedOn w:val="Fuentedeprrafopredeter"/>
    <w:rsid w:val="005F7800"/>
    <w:rPr>
      <w:rFonts w:ascii="Segoe UI" w:hAnsi="Segoe UI" w:cs="Segoe UI" w:hint="default"/>
      <w:sz w:val="18"/>
      <w:szCs w:val="18"/>
    </w:rPr>
  </w:style>
  <w:style w:type="paragraph" w:styleId="Bibliografa">
    <w:name w:val="Bibliography"/>
    <w:basedOn w:val="Normal"/>
    <w:next w:val="Normal"/>
    <w:uiPriority w:val="37"/>
    <w:semiHidden/>
    <w:unhideWhenUsed/>
    <w:rsid w:val="005F7800"/>
    <w:pPr>
      <w:spacing w:after="80" w:line="240" w:lineRule="auto"/>
    </w:pPr>
    <w:rPr>
      <w:rFonts w:asciiTheme="minorHAnsi" w:eastAsiaTheme="minorEastAsia" w:hAnsiTheme="minorHAnsi" w:cstheme="minorBidi"/>
      <w:lang w:eastAsia="es-ES"/>
    </w:rPr>
  </w:style>
  <w:style w:type="paragraph" w:styleId="Cierre">
    <w:name w:val="Closing"/>
    <w:basedOn w:val="Normal"/>
    <w:link w:val="Cierre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CierreCar">
    <w:name w:val="Cierre Car"/>
    <w:basedOn w:val="Fuentedeprrafopredeter"/>
    <w:link w:val="Cierre"/>
    <w:uiPriority w:val="99"/>
    <w:semiHidden/>
    <w:rsid w:val="005F7800"/>
    <w:rPr>
      <w:sz w:val="22"/>
      <w:szCs w:val="22"/>
    </w:rPr>
  </w:style>
  <w:style w:type="paragraph" w:styleId="Cita">
    <w:name w:val="Quote"/>
    <w:basedOn w:val="Normal"/>
    <w:next w:val="Normal"/>
    <w:link w:val="CitaCar"/>
    <w:uiPriority w:val="29"/>
    <w:qFormat/>
    <w:rsid w:val="005F7800"/>
    <w:pPr>
      <w:spacing w:after="80" w:line="240" w:lineRule="auto"/>
    </w:pPr>
    <w:rPr>
      <w:rFonts w:asciiTheme="minorHAnsi" w:eastAsiaTheme="minorEastAsia" w:hAnsiTheme="minorHAnsi" w:cstheme="minorBidi"/>
      <w:i/>
      <w:iCs/>
      <w:color w:val="000000" w:themeColor="text1"/>
      <w:lang w:eastAsia="es-ES"/>
    </w:rPr>
  </w:style>
  <w:style w:type="character" w:customStyle="1" w:styleId="CitaCar">
    <w:name w:val="Cita Car"/>
    <w:basedOn w:val="Fuentedeprrafopredeter"/>
    <w:link w:val="Cita"/>
    <w:uiPriority w:val="29"/>
    <w:rsid w:val="005F7800"/>
    <w:rPr>
      <w:i/>
      <w:iCs/>
      <w:color w:val="000000" w:themeColor="text1"/>
      <w:sz w:val="22"/>
      <w:szCs w:val="22"/>
    </w:rPr>
  </w:style>
  <w:style w:type="paragraph" w:styleId="Citadestacada">
    <w:name w:val="Intense Quote"/>
    <w:basedOn w:val="Normal"/>
    <w:next w:val="Normal"/>
    <w:link w:val="CitadestacadaCar"/>
    <w:uiPriority w:val="30"/>
    <w:qFormat/>
    <w:rsid w:val="005F7800"/>
    <w:pPr>
      <w:pBdr>
        <w:bottom w:val="single" w:sz="4" w:space="4" w:color="4F81BD" w:themeColor="accent1"/>
      </w:pBdr>
      <w:spacing w:before="200" w:after="280" w:line="240" w:lineRule="auto"/>
      <w:ind w:left="936" w:right="936"/>
    </w:pPr>
    <w:rPr>
      <w:rFonts w:asciiTheme="minorHAnsi" w:eastAsiaTheme="minorEastAsia" w:hAnsiTheme="minorHAnsi" w:cstheme="minorBidi"/>
      <w:b/>
      <w:bCs/>
      <w:i/>
      <w:iCs/>
      <w:color w:val="4F81BD" w:themeColor="accent1"/>
      <w:lang w:eastAsia="es-ES"/>
    </w:rPr>
  </w:style>
  <w:style w:type="character" w:customStyle="1" w:styleId="CitadestacadaCar">
    <w:name w:val="Cita destacada Car"/>
    <w:basedOn w:val="Fuentedeprrafopredeter"/>
    <w:link w:val="Citadestacada"/>
    <w:uiPriority w:val="30"/>
    <w:rsid w:val="005F7800"/>
    <w:rPr>
      <w:b/>
      <w:bCs/>
      <w:i/>
      <w:iCs/>
      <w:color w:val="4F81BD" w:themeColor="accent1"/>
      <w:sz w:val="22"/>
      <w:szCs w:val="22"/>
    </w:rPr>
  </w:style>
  <w:style w:type="paragraph" w:styleId="Continuarlista">
    <w:name w:val="List Continue"/>
    <w:basedOn w:val="Normal"/>
    <w:uiPriority w:val="99"/>
    <w:semiHidden/>
    <w:unhideWhenUsed/>
    <w:rsid w:val="005F7800"/>
    <w:pPr>
      <w:spacing w:after="120" w:line="240" w:lineRule="auto"/>
      <w:ind w:left="283"/>
      <w:contextualSpacing/>
    </w:pPr>
    <w:rPr>
      <w:rFonts w:asciiTheme="minorHAnsi" w:eastAsiaTheme="minorEastAsia" w:hAnsiTheme="minorHAnsi" w:cstheme="minorBidi"/>
      <w:lang w:eastAsia="es-ES"/>
    </w:rPr>
  </w:style>
  <w:style w:type="paragraph" w:styleId="Continuarlista2">
    <w:name w:val="List Continue 2"/>
    <w:basedOn w:val="Normal"/>
    <w:uiPriority w:val="99"/>
    <w:semiHidden/>
    <w:unhideWhenUsed/>
    <w:rsid w:val="005F7800"/>
    <w:pPr>
      <w:spacing w:after="120" w:line="240" w:lineRule="auto"/>
      <w:ind w:left="566"/>
      <w:contextualSpacing/>
    </w:pPr>
    <w:rPr>
      <w:rFonts w:asciiTheme="minorHAnsi" w:eastAsiaTheme="minorEastAsia" w:hAnsiTheme="minorHAnsi" w:cstheme="minorBidi"/>
      <w:lang w:eastAsia="es-ES"/>
    </w:rPr>
  </w:style>
  <w:style w:type="paragraph" w:styleId="Continuarlista3">
    <w:name w:val="List Continue 3"/>
    <w:basedOn w:val="Normal"/>
    <w:uiPriority w:val="99"/>
    <w:semiHidden/>
    <w:unhideWhenUsed/>
    <w:rsid w:val="005F7800"/>
    <w:pPr>
      <w:spacing w:after="120" w:line="240" w:lineRule="auto"/>
      <w:ind w:left="849"/>
      <w:contextualSpacing/>
    </w:pPr>
    <w:rPr>
      <w:rFonts w:asciiTheme="minorHAnsi" w:eastAsiaTheme="minorEastAsia" w:hAnsiTheme="minorHAnsi" w:cstheme="minorBidi"/>
      <w:lang w:eastAsia="es-ES"/>
    </w:rPr>
  </w:style>
  <w:style w:type="paragraph" w:styleId="Continuarlista4">
    <w:name w:val="List Continue 4"/>
    <w:basedOn w:val="Normal"/>
    <w:uiPriority w:val="99"/>
    <w:semiHidden/>
    <w:unhideWhenUsed/>
    <w:rsid w:val="005F7800"/>
    <w:pPr>
      <w:spacing w:after="120" w:line="240" w:lineRule="auto"/>
      <w:ind w:left="1132"/>
      <w:contextualSpacing/>
    </w:pPr>
    <w:rPr>
      <w:rFonts w:asciiTheme="minorHAnsi" w:eastAsiaTheme="minorEastAsia" w:hAnsiTheme="minorHAnsi" w:cstheme="minorBidi"/>
      <w:lang w:eastAsia="es-ES"/>
    </w:rPr>
  </w:style>
  <w:style w:type="paragraph" w:styleId="Continuarlista5">
    <w:name w:val="List Continue 5"/>
    <w:basedOn w:val="Normal"/>
    <w:uiPriority w:val="99"/>
    <w:semiHidden/>
    <w:unhideWhenUsed/>
    <w:rsid w:val="005F7800"/>
    <w:pPr>
      <w:spacing w:after="120" w:line="240" w:lineRule="auto"/>
      <w:ind w:left="1415"/>
      <w:contextualSpacing/>
    </w:pPr>
    <w:rPr>
      <w:rFonts w:asciiTheme="minorHAnsi" w:eastAsiaTheme="minorEastAsia" w:hAnsiTheme="minorHAnsi" w:cstheme="minorBidi"/>
      <w:lang w:eastAsia="es-ES"/>
    </w:rPr>
  </w:style>
  <w:style w:type="paragraph" w:styleId="DireccinHTML">
    <w:name w:val="HTML Address"/>
    <w:basedOn w:val="Normal"/>
    <w:link w:val="DireccinHTMLCar"/>
    <w:uiPriority w:val="99"/>
    <w:semiHidden/>
    <w:unhideWhenUsed/>
    <w:rsid w:val="005F7800"/>
    <w:pPr>
      <w:spacing w:after="0" w:line="240" w:lineRule="auto"/>
    </w:pPr>
    <w:rPr>
      <w:rFonts w:asciiTheme="minorHAnsi" w:eastAsiaTheme="minorEastAsia" w:hAnsiTheme="minorHAnsi" w:cstheme="minorBidi"/>
      <w:i/>
      <w:iCs/>
      <w:lang w:eastAsia="es-ES"/>
    </w:rPr>
  </w:style>
  <w:style w:type="character" w:customStyle="1" w:styleId="DireccinHTMLCar">
    <w:name w:val="Dirección HTML Car"/>
    <w:basedOn w:val="Fuentedeprrafopredeter"/>
    <w:link w:val="DireccinHTML"/>
    <w:uiPriority w:val="99"/>
    <w:semiHidden/>
    <w:rsid w:val="005F7800"/>
    <w:rPr>
      <w:i/>
      <w:iCs/>
      <w:sz w:val="22"/>
      <w:szCs w:val="22"/>
    </w:rPr>
  </w:style>
  <w:style w:type="paragraph" w:styleId="Direccinsobre">
    <w:name w:val="envelope address"/>
    <w:basedOn w:val="Normal"/>
    <w:uiPriority w:val="99"/>
    <w:semiHidden/>
    <w:unhideWhenUsed/>
    <w:rsid w:val="005F7800"/>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lang w:eastAsia="es-ES"/>
    </w:rPr>
  </w:style>
  <w:style w:type="paragraph" w:styleId="Encabezadodelista">
    <w:name w:val="toa heading"/>
    <w:basedOn w:val="Normal"/>
    <w:next w:val="Normal"/>
    <w:uiPriority w:val="99"/>
    <w:semiHidden/>
    <w:unhideWhenUsed/>
    <w:rsid w:val="005F7800"/>
    <w:pPr>
      <w:spacing w:before="120" w:after="80" w:line="240" w:lineRule="auto"/>
    </w:pPr>
    <w:rPr>
      <w:rFonts w:asciiTheme="majorHAnsi" w:eastAsiaTheme="majorEastAsia" w:hAnsiTheme="majorHAnsi" w:cstheme="majorBidi"/>
      <w:b/>
      <w:bCs/>
      <w:sz w:val="24"/>
      <w:szCs w:val="24"/>
      <w:lang w:eastAsia="es-ES"/>
    </w:rPr>
  </w:style>
  <w:style w:type="paragraph" w:styleId="Encabezadodemensaje">
    <w:name w:val="Message Header"/>
    <w:basedOn w:val="Normal"/>
    <w:link w:val="EncabezadodemensajeCar"/>
    <w:uiPriority w:val="99"/>
    <w:semiHidden/>
    <w:unhideWhenUsed/>
    <w:rsid w:val="005F780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ES"/>
    </w:rPr>
  </w:style>
  <w:style w:type="character" w:customStyle="1" w:styleId="EncabezadodemensajeCar">
    <w:name w:val="Encabezado de mensaje Car"/>
    <w:basedOn w:val="Fuentedeprrafopredeter"/>
    <w:link w:val="Encabezadodemensaje"/>
    <w:uiPriority w:val="99"/>
    <w:semiHidden/>
    <w:rsid w:val="005F7800"/>
    <w:rPr>
      <w:rFonts w:asciiTheme="majorHAnsi" w:eastAsiaTheme="majorEastAsia" w:hAnsiTheme="majorHAnsi" w:cstheme="majorBidi"/>
      <w:shd w:val="pct20" w:color="auto" w:fill="auto"/>
    </w:rPr>
  </w:style>
  <w:style w:type="paragraph" w:styleId="Encabezadodenota">
    <w:name w:val="Note Heading"/>
    <w:basedOn w:val="Normal"/>
    <w:next w:val="Normal"/>
    <w:link w:val="Encabezadodenota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EncabezadodenotaCar">
    <w:name w:val="Encabezado de nota Car"/>
    <w:basedOn w:val="Fuentedeprrafopredeter"/>
    <w:link w:val="Encabezadodenota"/>
    <w:uiPriority w:val="99"/>
    <w:semiHidden/>
    <w:rsid w:val="005F7800"/>
    <w:rPr>
      <w:sz w:val="22"/>
      <w:szCs w:val="22"/>
    </w:rPr>
  </w:style>
  <w:style w:type="paragraph" w:styleId="Fecha">
    <w:name w:val="Date"/>
    <w:basedOn w:val="Normal"/>
    <w:next w:val="Normal"/>
    <w:link w:val="FechaCar"/>
    <w:uiPriority w:val="99"/>
    <w:semiHidden/>
    <w:unhideWhenUsed/>
    <w:rsid w:val="005F7800"/>
    <w:pPr>
      <w:spacing w:after="80" w:line="240" w:lineRule="auto"/>
    </w:pPr>
    <w:rPr>
      <w:rFonts w:asciiTheme="minorHAnsi" w:eastAsiaTheme="minorEastAsia" w:hAnsiTheme="minorHAnsi" w:cstheme="minorBidi"/>
      <w:lang w:eastAsia="es-ES"/>
    </w:rPr>
  </w:style>
  <w:style w:type="character" w:customStyle="1" w:styleId="FechaCar">
    <w:name w:val="Fecha Car"/>
    <w:basedOn w:val="Fuentedeprrafopredeter"/>
    <w:link w:val="Fecha"/>
    <w:uiPriority w:val="99"/>
    <w:semiHidden/>
    <w:rsid w:val="005F7800"/>
    <w:rPr>
      <w:sz w:val="22"/>
      <w:szCs w:val="22"/>
    </w:rPr>
  </w:style>
  <w:style w:type="paragraph" w:styleId="Firma">
    <w:name w:val="Signature"/>
    <w:basedOn w:val="Normal"/>
    <w:link w:val="Firma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FirmaCar">
    <w:name w:val="Firma Car"/>
    <w:basedOn w:val="Fuentedeprrafopredeter"/>
    <w:link w:val="Firma"/>
    <w:uiPriority w:val="99"/>
    <w:semiHidden/>
    <w:rsid w:val="005F7800"/>
    <w:rPr>
      <w:sz w:val="22"/>
      <w:szCs w:val="22"/>
    </w:rPr>
  </w:style>
  <w:style w:type="paragraph" w:styleId="Firmadecorreoelectrnico">
    <w:name w:val="E-mail Signature"/>
    <w:basedOn w:val="Normal"/>
    <w:link w:val="Firmadecorreoelectrnico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FirmadecorreoelectrnicoCar">
    <w:name w:val="Firma de correo electrónico Car"/>
    <w:basedOn w:val="Fuentedeprrafopredeter"/>
    <w:link w:val="Firmadecorreoelectrnico"/>
    <w:uiPriority w:val="99"/>
    <w:semiHidden/>
    <w:rsid w:val="005F7800"/>
    <w:rPr>
      <w:sz w:val="22"/>
      <w:szCs w:val="22"/>
    </w:rPr>
  </w:style>
  <w:style w:type="paragraph" w:styleId="HTMLconformatoprevio">
    <w:name w:val="HTML Preformatted"/>
    <w:basedOn w:val="Normal"/>
    <w:link w:val="HTMLconformatoprevioCar"/>
    <w:uiPriority w:val="99"/>
    <w:semiHidden/>
    <w:unhideWhenUsed/>
    <w:rsid w:val="005F7800"/>
    <w:pPr>
      <w:spacing w:after="0" w:line="240" w:lineRule="auto"/>
    </w:pPr>
    <w:rPr>
      <w:rFonts w:ascii="Consolas" w:eastAsiaTheme="minorEastAsia" w:hAnsi="Consolas" w:cstheme="minorBidi"/>
      <w:sz w:val="20"/>
      <w:szCs w:val="20"/>
      <w:lang w:eastAsia="es-ES"/>
    </w:rPr>
  </w:style>
  <w:style w:type="character" w:customStyle="1" w:styleId="HTMLconformatoprevioCar">
    <w:name w:val="HTML con formato previo Car"/>
    <w:basedOn w:val="Fuentedeprrafopredeter"/>
    <w:link w:val="HTMLconformatoprevio"/>
    <w:uiPriority w:val="99"/>
    <w:semiHidden/>
    <w:rsid w:val="005F7800"/>
    <w:rPr>
      <w:rFonts w:ascii="Consolas" w:hAnsi="Consolas"/>
      <w:sz w:val="20"/>
      <w:szCs w:val="20"/>
    </w:rPr>
  </w:style>
  <w:style w:type="paragraph" w:styleId="ndice1">
    <w:name w:val="index 1"/>
    <w:basedOn w:val="Normal"/>
    <w:next w:val="Normal"/>
    <w:autoRedefine/>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ndice2">
    <w:name w:val="index 2"/>
    <w:basedOn w:val="Normal"/>
    <w:next w:val="Normal"/>
    <w:autoRedefine/>
    <w:uiPriority w:val="99"/>
    <w:semiHidden/>
    <w:unhideWhenUsed/>
    <w:rsid w:val="005F7800"/>
    <w:pPr>
      <w:spacing w:after="0" w:line="240" w:lineRule="auto"/>
      <w:ind w:left="440" w:hanging="220"/>
    </w:pPr>
    <w:rPr>
      <w:rFonts w:asciiTheme="minorHAnsi" w:eastAsiaTheme="minorEastAsia" w:hAnsiTheme="minorHAnsi" w:cstheme="minorBidi"/>
      <w:lang w:eastAsia="es-ES"/>
    </w:rPr>
  </w:style>
  <w:style w:type="paragraph" w:styleId="ndice3">
    <w:name w:val="index 3"/>
    <w:basedOn w:val="Normal"/>
    <w:next w:val="Normal"/>
    <w:autoRedefine/>
    <w:uiPriority w:val="99"/>
    <w:semiHidden/>
    <w:unhideWhenUsed/>
    <w:rsid w:val="005F7800"/>
    <w:pPr>
      <w:spacing w:after="0" w:line="240" w:lineRule="auto"/>
      <w:ind w:left="660" w:hanging="220"/>
    </w:pPr>
    <w:rPr>
      <w:rFonts w:asciiTheme="minorHAnsi" w:eastAsiaTheme="minorEastAsia" w:hAnsiTheme="minorHAnsi" w:cstheme="minorBidi"/>
      <w:lang w:eastAsia="es-ES"/>
    </w:rPr>
  </w:style>
  <w:style w:type="paragraph" w:styleId="ndice4">
    <w:name w:val="index 4"/>
    <w:basedOn w:val="Normal"/>
    <w:next w:val="Normal"/>
    <w:autoRedefine/>
    <w:uiPriority w:val="99"/>
    <w:semiHidden/>
    <w:unhideWhenUsed/>
    <w:rsid w:val="005F7800"/>
    <w:pPr>
      <w:spacing w:after="0" w:line="240" w:lineRule="auto"/>
      <w:ind w:left="880" w:hanging="220"/>
    </w:pPr>
    <w:rPr>
      <w:rFonts w:asciiTheme="minorHAnsi" w:eastAsiaTheme="minorEastAsia" w:hAnsiTheme="minorHAnsi" w:cstheme="minorBidi"/>
      <w:lang w:eastAsia="es-ES"/>
    </w:rPr>
  </w:style>
  <w:style w:type="paragraph" w:styleId="ndice5">
    <w:name w:val="index 5"/>
    <w:basedOn w:val="Normal"/>
    <w:next w:val="Normal"/>
    <w:autoRedefine/>
    <w:uiPriority w:val="99"/>
    <w:semiHidden/>
    <w:unhideWhenUsed/>
    <w:rsid w:val="005F7800"/>
    <w:pPr>
      <w:spacing w:after="0" w:line="240" w:lineRule="auto"/>
      <w:ind w:left="1100" w:hanging="220"/>
    </w:pPr>
    <w:rPr>
      <w:rFonts w:asciiTheme="minorHAnsi" w:eastAsiaTheme="minorEastAsia" w:hAnsiTheme="minorHAnsi" w:cstheme="minorBidi"/>
      <w:lang w:eastAsia="es-ES"/>
    </w:rPr>
  </w:style>
  <w:style w:type="paragraph" w:styleId="ndice6">
    <w:name w:val="index 6"/>
    <w:basedOn w:val="Normal"/>
    <w:next w:val="Normal"/>
    <w:autoRedefine/>
    <w:uiPriority w:val="99"/>
    <w:semiHidden/>
    <w:unhideWhenUsed/>
    <w:rsid w:val="005F7800"/>
    <w:pPr>
      <w:spacing w:after="0" w:line="240" w:lineRule="auto"/>
      <w:ind w:left="1320" w:hanging="220"/>
    </w:pPr>
    <w:rPr>
      <w:rFonts w:asciiTheme="minorHAnsi" w:eastAsiaTheme="minorEastAsia" w:hAnsiTheme="minorHAnsi" w:cstheme="minorBidi"/>
      <w:lang w:eastAsia="es-ES"/>
    </w:rPr>
  </w:style>
  <w:style w:type="paragraph" w:styleId="ndice7">
    <w:name w:val="index 7"/>
    <w:basedOn w:val="Normal"/>
    <w:next w:val="Normal"/>
    <w:autoRedefine/>
    <w:uiPriority w:val="99"/>
    <w:semiHidden/>
    <w:unhideWhenUsed/>
    <w:rsid w:val="005F7800"/>
    <w:pPr>
      <w:spacing w:after="0" w:line="240" w:lineRule="auto"/>
      <w:ind w:left="1540" w:hanging="220"/>
    </w:pPr>
    <w:rPr>
      <w:rFonts w:asciiTheme="minorHAnsi" w:eastAsiaTheme="minorEastAsia" w:hAnsiTheme="minorHAnsi" w:cstheme="minorBidi"/>
      <w:lang w:eastAsia="es-ES"/>
    </w:rPr>
  </w:style>
  <w:style w:type="paragraph" w:styleId="ndice8">
    <w:name w:val="index 8"/>
    <w:basedOn w:val="Normal"/>
    <w:next w:val="Normal"/>
    <w:autoRedefine/>
    <w:uiPriority w:val="99"/>
    <w:semiHidden/>
    <w:unhideWhenUsed/>
    <w:rsid w:val="005F7800"/>
    <w:pPr>
      <w:spacing w:after="0" w:line="240" w:lineRule="auto"/>
      <w:ind w:left="1760" w:hanging="220"/>
    </w:pPr>
    <w:rPr>
      <w:rFonts w:asciiTheme="minorHAnsi" w:eastAsiaTheme="minorEastAsia" w:hAnsiTheme="minorHAnsi" w:cstheme="minorBidi"/>
      <w:lang w:eastAsia="es-ES"/>
    </w:rPr>
  </w:style>
  <w:style w:type="paragraph" w:styleId="ndice9">
    <w:name w:val="index 9"/>
    <w:basedOn w:val="Normal"/>
    <w:next w:val="Normal"/>
    <w:autoRedefine/>
    <w:uiPriority w:val="99"/>
    <w:semiHidden/>
    <w:unhideWhenUsed/>
    <w:rsid w:val="005F7800"/>
    <w:pPr>
      <w:spacing w:after="0" w:line="240" w:lineRule="auto"/>
      <w:ind w:left="1980" w:hanging="220"/>
    </w:pPr>
    <w:rPr>
      <w:rFonts w:asciiTheme="minorHAnsi" w:eastAsiaTheme="minorEastAsia" w:hAnsiTheme="minorHAnsi" w:cstheme="minorBidi"/>
      <w:lang w:eastAsia="es-ES"/>
    </w:rPr>
  </w:style>
  <w:style w:type="paragraph" w:styleId="Lista">
    <w:name w:val="List"/>
    <w:basedOn w:val="Normal"/>
    <w:uiPriority w:val="99"/>
    <w:semiHidden/>
    <w:unhideWhenUsed/>
    <w:rsid w:val="005F7800"/>
    <w:pPr>
      <w:spacing w:after="80" w:line="240" w:lineRule="auto"/>
      <w:ind w:left="283" w:hanging="283"/>
      <w:contextualSpacing/>
    </w:pPr>
    <w:rPr>
      <w:rFonts w:asciiTheme="minorHAnsi" w:eastAsiaTheme="minorEastAsia" w:hAnsiTheme="minorHAnsi" w:cstheme="minorBidi"/>
      <w:lang w:eastAsia="es-ES"/>
    </w:rPr>
  </w:style>
  <w:style w:type="paragraph" w:styleId="Lista2">
    <w:name w:val="List 2"/>
    <w:basedOn w:val="Normal"/>
    <w:uiPriority w:val="99"/>
    <w:semiHidden/>
    <w:unhideWhenUsed/>
    <w:rsid w:val="005F7800"/>
    <w:pPr>
      <w:spacing w:after="80" w:line="240" w:lineRule="auto"/>
      <w:ind w:left="566" w:hanging="283"/>
      <w:contextualSpacing/>
    </w:pPr>
    <w:rPr>
      <w:rFonts w:asciiTheme="minorHAnsi" w:eastAsiaTheme="minorEastAsia" w:hAnsiTheme="minorHAnsi" w:cstheme="minorBidi"/>
      <w:lang w:eastAsia="es-ES"/>
    </w:rPr>
  </w:style>
  <w:style w:type="paragraph" w:styleId="Lista3">
    <w:name w:val="List 3"/>
    <w:basedOn w:val="Normal"/>
    <w:uiPriority w:val="99"/>
    <w:semiHidden/>
    <w:unhideWhenUsed/>
    <w:rsid w:val="005F7800"/>
    <w:pPr>
      <w:spacing w:after="80" w:line="240" w:lineRule="auto"/>
      <w:ind w:left="849" w:hanging="283"/>
      <w:contextualSpacing/>
    </w:pPr>
    <w:rPr>
      <w:rFonts w:asciiTheme="minorHAnsi" w:eastAsiaTheme="minorEastAsia" w:hAnsiTheme="minorHAnsi" w:cstheme="minorBidi"/>
      <w:lang w:eastAsia="es-ES"/>
    </w:rPr>
  </w:style>
  <w:style w:type="paragraph" w:styleId="Lista4">
    <w:name w:val="List 4"/>
    <w:basedOn w:val="Normal"/>
    <w:uiPriority w:val="99"/>
    <w:semiHidden/>
    <w:unhideWhenUsed/>
    <w:rsid w:val="005F7800"/>
    <w:pPr>
      <w:spacing w:after="80" w:line="240" w:lineRule="auto"/>
      <w:ind w:left="1132" w:hanging="283"/>
      <w:contextualSpacing/>
    </w:pPr>
    <w:rPr>
      <w:rFonts w:asciiTheme="minorHAnsi" w:eastAsiaTheme="minorEastAsia" w:hAnsiTheme="minorHAnsi" w:cstheme="minorBidi"/>
      <w:lang w:eastAsia="es-ES"/>
    </w:rPr>
  </w:style>
  <w:style w:type="paragraph" w:styleId="Lista5">
    <w:name w:val="List 5"/>
    <w:basedOn w:val="Normal"/>
    <w:uiPriority w:val="99"/>
    <w:semiHidden/>
    <w:unhideWhenUsed/>
    <w:rsid w:val="005F7800"/>
    <w:pPr>
      <w:spacing w:after="80" w:line="240" w:lineRule="auto"/>
      <w:ind w:left="1415" w:hanging="283"/>
      <w:contextualSpacing/>
    </w:pPr>
    <w:rPr>
      <w:rFonts w:asciiTheme="minorHAnsi" w:eastAsiaTheme="minorEastAsia" w:hAnsiTheme="minorHAnsi" w:cstheme="minorBidi"/>
      <w:lang w:eastAsia="es-ES"/>
    </w:rPr>
  </w:style>
  <w:style w:type="paragraph" w:styleId="Listaconnmeros">
    <w:name w:val="List Number"/>
    <w:basedOn w:val="Normal"/>
    <w:uiPriority w:val="99"/>
    <w:semiHidden/>
    <w:unhideWhenUsed/>
    <w:rsid w:val="005F7800"/>
    <w:pPr>
      <w:numPr>
        <w:numId w:val="1"/>
      </w:numPr>
      <w:spacing w:after="80" w:line="240" w:lineRule="auto"/>
      <w:contextualSpacing/>
    </w:pPr>
    <w:rPr>
      <w:rFonts w:asciiTheme="minorHAnsi" w:eastAsiaTheme="minorEastAsia" w:hAnsiTheme="minorHAnsi" w:cstheme="minorBidi"/>
      <w:lang w:eastAsia="es-ES"/>
    </w:rPr>
  </w:style>
  <w:style w:type="paragraph" w:styleId="Listaconnmeros2">
    <w:name w:val="List Number 2"/>
    <w:basedOn w:val="Normal"/>
    <w:uiPriority w:val="99"/>
    <w:semiHidden/>
    <w:unhideWhenUsed/>
    <w:rsid w:val="005F7800"/>
    <w:pPr>
      <w:numPr>
        <w:numId w:val="2"/>
      </w:numPr>
      <w:spacing w:after="80" w:line="240" w:lineRule="auto"/>
      <w:contextualSpacing/>
    </w:pPr>
    <w:rPr>
      <w:rFonts w:asciiTheme="minorHAnsi" w:eastAsiaTheme="minorEastAsia" w:hAnsiTheme="minorHAnsi" w:cstheme="minorBidi"/>
      <w:lang w:eastAsia="es-ES"/>
    </w:rPr>
  </w:style>
  <w:style w:type="paragraph" w:styleId="Listaconnmeros3">
    <w:name w:val="List Number 3"/>
    <w:basedOn w:val="Normal"/>
    <w:uiPriority w:val="99"/>
    <w:semiHidden/>
    <w:unhideWhenUsed/>
    <w:rsid w:val="005F7800"/>
    <w:pPr>
      <w:numPr>
        <w:numId w:val="3"/>
      </w:numPr>
      <w:spacing w:after="80" w:line="240" w:lineRule="auto"/>
      <w:contextualSpacing/>
    </w:pPr>
    <w:rPr>
      <w:rFonts w:asciiTheme="minorHAnsi" w:eastAsiaTheme="minorEastAsia" w:hAnsiTheme="minorHAnsi" w:cstheme="minorBidi"/>
      <w:lang w:eastAsia="es-ES"/>
    </w:rPr>
  </w:style>
  <w:style w:type="paragraph" w:styleId="Listaconnmeros4">
    <w:name w:val="List Number 4"/>
    <w:basedOn w:val="Normal"/>
    <w:uiPriority w:val="99"/>
    <w:semiHidden/>
    <w:unhideWhenUsed/>
    <w:rsid w:val="005F7800"/>
    <w:pPr>
      <w:numPr>
        <w:numId w:val="4"/>
      </w:numPr>
      <w:spacing w:after="80" w:line="240" w:lineRule="auto"/>
      <w:contextualSpacing/>
    </w:pPr>
    <w:rPr>
      <w:rFonts w:asciiTheme="minorHAnsi" w:eastAsiaTheme="minorEastAsia" w:hAnsiTheme="minorHAnsi" w:cstheme="minorBidi"/>
      <w:lang w:eastAsia="es-ES"/>
    </w:rPr>
  </w:style>
  <w:style w:type="paragraph" w:styleId="Listaconnmeros5">
    <w:name w:val="List Number 5"/>
    <w:basedOn w:val="Normal"/>
    <w:uiPriority w:val="99"/>
    <w:semiHidden/>
    <w:unhideWhenUsed/>
    <w:rsid w:val="005F7800"/>
    <w:pPr>
      <w:numPr>
        <w:numId w:val="5"/>
      </w:numPr>
      <w:spacing w:after="80" w:line="240" w:lineRule="auto"/>
      <w:contextualSpacing/>
    </w:pPr>
    <w:rPr>
      <w:rFonts w:asciiTheme="minorHAnsi" w:eastAsiaTheme="minorEastAsia" w:hAnsiTheme="minorHAnsi" w:cstheme="minorBidi"/>
      <w:lang w:eastAsia="es-ES"/>
    </w:rPr>
  </w:style>
  <w:style w:type="paragraph" w:styleId="Listaconvietas">
    <w:name w:val="List Bullet"/>
    <w:basedOn w:val="Normal"/>
    <w:uiPriority w:val="99"/>
    <w:semiHidden/>
    <w:unhideWhenUsed/>
    <w:rsid w:val="005F7800"/>
    <w:pPr>
      <w:numPr>
        <w:numId w:val="6"/>
      </w:numPr>
      <w:spacing w:after="80" w:line="240" w:lineRule="auto"/>
      <w:contextualSpacing/>
    </w:pPr>
    <w:rPr>
      <w:rFonts w:asciiTheme="minorHAnsi" w:eastAsiaTheme="minorEastAsia" w:hAnsiTheme="minorHAnsi" w:cstheme="minorBidi"/>
      <w:lang w:eastAsia="es-ES"/>
    </w:rPr>
  </w:style>
  <w:style w:type="paragraph" w:styleId="Listaconvietas2">
    <w:name w:val="List Bullet 2"/>
    <w:basedOn w:val="Normal"/>
    <w:uiPriority w:val="99"/>
    <w:semiHidden/>
    <w:unhideWhenUsed/>
    <w:rsid w:val="005F7800"/>
    <w:pPr>
      <w:numPr>
        <w:numId w:val="7"/>
      </w:numPr>
      <w:spacing w:after="80" w:line="240" w:lineRule="auto"/>
      <w:contextualSpacing/>
    </w:pPr>
    <w:rPr>
      <w:rFonts w:asciiTheme="minorHAnsi" w:eastAsiaTheme="minorEastAsia" w:hAnsiTheme="minorHAnsi" w:cstheme="minorBidi"/>
      <w:lang w:eastAsia="es-ES"/>
    </w:rPr>
  </w:style>
  <w:style w:type="paragraph" w:styleId="Listaconvietas3">
    <w:name w:val="List Bullet 3"/>
    <w:basedOn w:val="Normal"/>
    <w:uiPriority w:val="99"/>
    <w:semiHidden/>
    <w:unhideWhenUsed/>
    <w:rsid w:val="005F7800"/>
    <w:pPr>
      <w:numPr>
        <w:numId w:val="8"/>
      </w:numPr>
      <w:spacing w:after="80" w:line="240" w:lineRule="auto"/>
      <w:contextualSpacing/>
    </w:pPr>
    <w:rPr>
      <w:rFonts w:asciiTheme="minorHAnsi" w:eastAsiaTheme="minorEastAsia" w:hAnsiTheme="minorHAnsi" w:cstheme="minorBidi"/>
      <w:lang w:eastAsia="es-ES"/>
    </w:rPr>
  </w:style>
  <w:style w:type="paragraph" w:styleId="Listaconvietas4">
    <w:name w:val="List Bullet 4"/>
    <w:basedOn w:val="Normal"/>
    <w:uiPriority w:val="99"/>
    <w:semiHidden/>
    <w:unhideWhenUsed/>
    <w:rsid w:val="005F7800"/>
    <w:pPr>
      <w:numPr>
        <w:numId w:val="9"/>
      </w:numPr>
      <w:spacing w:after="80" w:line="240" w:lineRule="auto"/>
      <w:contextualSpacing/>
    </w:pPr>
    <w:rPr>
      <w:rFonts w:asciiTheme="minorHAnsi" w:eastAsiaTheme="minorEastAsia" w:hAnsiTheme="minorHAnsi" w:cstheme="minorBidi"/>
      <w:lang w:eastAsia="es-ES"/>
    </w:rPr>
  </w:style>
  <w:style w:type="paragraph" w:styleId="Listaconvietas5">
    <w:name w:val="List Bullet 5"/>
    <w:basedOn w:val="Normal"/>
    <w:uiPriority w:val="99"/>
    <w:semiHidden/>
    <w:unhideWhenUsed/>
    <w:rsid w:val="005F7800"/>
    <w:pPr>
      <w:numPr>
        <w:numId w:val="10"/>
      </w:numPr>
      <w:spacing w:after="80" w:line="240" w:lineRule="auto"/>
      <w:contextualSpacing/>
    </w:pPr>
    <w:rPr>
      <w:rFonts w:asciiTheme="minorHAnsi" w:eastAsiaTheme="minorEastAsia" w:hAnsiTheme="minorHAnsi" w:cstheme="minorBidi"/>
      <w:lang w:eastAsia="es-ES"/>
    </w:rPr>
  </w:style>
  <w:style w:type="paragraph" w:styleId="Mapadeldocumento">
    <w:name w:val="Document Map"/>
    <w:basedOn w:val="Normal"/>
    <w:link w:val="MapadeldocumentoCar"/>
    <w:uiPriority w:val="99"/>
    <w:semiHidden/>
    <w:unhideWhenUsed/>
    <w:rsid w:val="005F7800"/>
    <w:pPr>
      <w:spacing w:after="0" w:line="240" w:lineRule="auto"/>
    </w:pPr>
    <w:rPr>
      <w:rFonts w:ascii="Segoe UI" w:eastAsiaTheme="minorEastAsia" w:hAnsi="Segoe UI" w:cs="Segoe UI"/>
      <w:sz w:val="16"/>
      <w:szCs w:val="16"/>
      <w:lang w:eastAsia="es-ES"/>
    </w:rPr>
  </w:style>
  <w:style w:type="character" w:customStyle="1" w:styleId="MapadeldocumentoCar">
    <w:name w:val="Mapa del documento Car"/>
    <w:basedOn w:val="Fuentedeprrafopredeter"/>
    <w:link w:val="Mapadeldocumento"/>
    <w:uiPriority w:val="99"/>
    <w:semiHidden/>
    <w:rsid w:val="005F7800"/>
    <w:rPr>
      <w:rFonts w:ascii="Segoe UI" w:hAnsi="Segoe UI" w:cs="Segoe UI"/>
      <w:sz w:val="16"/>
      <w:szCs w:val="16"/>
    </w:rPr>
  </w:style>
  <w:style w:type="paragraph" w:styleId="Remitedesobre">
    <w:name w:val="envelope return"/>
    <w:basedOn w:val="Normal"/>
    <w:uiPriority w:val="99"/>
    <w:semiHidden/>
    <w:unhideWhenUsed/>
    <w:rsid w:val="005F7800"/>
    <w:pPr>
      <w:spacing w:after="0" w:line="240" w:lineRule="auto"/>
    </w:pPr>
    <w:rPr>
      <w:rFonts w:asciiTheme="majorHAnsi" w:eastAsiaTheme="majorEastAsia" w:hAnsiTheme="majorHAnsi" w:cstheme="majorBidi"/>
      <w:sz w:val="20"/>
      <w:szCs w:val="20"/>
      <w:lang w:eastAsia="es-ES"/>
    </w:rPr>
  </w:style>
  <w:style w:type="paragraph" w:styleId="Sangra2detindependiente">
    <w:name w:val="Body Text Indent 2"/>
    <w:basedOn w:val="Normal"/>
    <w:link w:val="Sangra2detindependienteCar"/>
    <w:uiPriority w:val="99"/>
    <w:semiHidden/>
    <w:unhideWhenUsed/>
    <w:rsid w:val="005F7800"/>
    <w:pPr>
      <w:spacing w:after="120" w:line="240" w:lineRule="auto"/>
      <w:ind w:left="283"/>
    </w:pPr>
    <w:rPr>
      <w:rFonts w:asciiTheme="minorHAnsi" w:eastAsiaTheme="minorEastAsia" w:hAnsiTheme="minorHAnsi" w:cstheme="minorBidi"/>
      <w:lang w:eastAsia="es-ES"/>
    </w:rPr>
  </w:style>
  <w:style w:type="character" w:customStyle="1" w:styleId="Sangra2detindependienteCar">
    <w:name w:val="Sangría 2 de t. independiente Car"/>
    <w:basedOn w:val="Fuentedeprrafopredeter"/>
    <w:link w:val="Sangra2detindependiente"/>
    <w:uiPriority w:val="99"/>
    <w:semiHidden/>
    <w:rsid w:val="005F7800"/>
    <w:rPr>
      <w:sz w:val="22"/>
      <w:szCs w:val="22"/>
    </w:rPr>
  </w:style>
  <w:style w:type="paragraph" w:styleId="Sangra3detindependiente">
    <w:name w:val="Body Text Indent 3"/>
    <w:basedOn w:val="Normal"/>
    <w:link w:val="Sangra3detindependienteCar"/>
    <w:uiPriority w:val="99"/>
    <w:semiHidden/>
    <w:unhideWhenUsed/>
    <w:rsid w:val="005F7800"/>
    <w:pPr>
      <w:spacing w:after="120" w:line="240" w:lineRule="auto"/>
      <w:ind w:left="283"/>
    </w:pPr>
    <w:rPr>
      <w:rFonts w:asciiTheme="minorHAnsi" w:eastAsiaTheme="minorEastAsia" w:hAnsiTheme="minorHAnsi" w:cstheme="minorBidi"/>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5F7800"/>
    <w:rPr>
      <w:sz w:val="16"/>
      <w:szCs w:val="16"/>
    </w:rPr>
  </w:style>
  <w:style w:type="paragraph" w:styleId="Sangranormal">
    <w:name w:val="Normal Indent"/>
    <w:basedOn w:val="Normal"/>
    <w:uiPriority w:val="99"/>
    <w:semiHidden/>
    <w:unhideWhenUsed/>
    <w:rsid w:val="005F7800"/>
    <w:pPr>
      <w:spacing w:after="80" w:line="240" w:lineRule="auto"/>
      <w:ind w:left="708"/>
    </w:pPr>
    <w:rPr>
      <w:rFonts w:asciiTheme="minorHAnsi" w:eastAsiaTheme="minorEastAsia" w:hAnsiTheme="minorHAnsi" w:cstheme="minorBidi"/>
      <w:lang w:eastAsia="es-ES"/>
    </w:rPr>
  </w:style>
  <w:style w:type="paragraph" w:styleId="Subttulo">
    <w:name w:val="Subtitle"/>
    <w:basedOn w:val="Normal"/>
    <w:next w:val="Normal"/>
    <w:link w:val="SubttuloCar"/>
    <w:uiPriority w:val="11"/>
    <w:qFormat/>
    <w:rsid w:val="005F7800"/>
    <w:pPr>
      <w:numPr>
        <w:ilvl w:val="1"/>
      </w:numPr>
      <w:spacing w:after="80" w:line="240" w:lineRule="auto"/>
    </w:pPr>
    <w:rPr>
      <w:rFonts w:asciiTheme="majorHAnsi" w:eastAsiaTheme="majorEastAsia" w:hAnsiTheme="majorHAnsi" w:cstheme="majorBidi"/>
      <w:i/>
      <w:iCs/>
      <w:color w:val="4F81BD" w:themeColor="accent1"/>
      <w:spacing w:val="15"/>
      <w:sz w:val="24"/>
      <w:szCs w:val="24"/>
      <w:lang w:eastAsia="es-ES"/>
    </w:rPr>
  </w:style>
  <w:style w:type="character" w:customStyle="1" w:styleId="SubttuloCar">
    <w:name w:val="Subtítulo Car"/>
    <w:basedOn w:val="Fuentedeprrafopredeter"/>
    <w:link w:val="Subttulo"/>
    <w:uiPriority w:val="11"/>
    <w:rsid w:val="005F7800"/>
    <w:rPr>
      <w:rFonts w:asciiTheme="majorHAnsi" w:eastAsiaTheme="majorEastAsia" w:hAnsiTheme="majorHAnsi" w:cstheme="majorBidi"/>
      <w:i/>
      <w:iCs/>
      <w:color w:val="4F81BD" w:themeColor="accent1"/>
      <w:spacing w:val="15"/>
    </w:rPr>
  </w:style>
  <w:style w:type="paragraph" w:styleId="TDC4">
    <w:name w:val="toc 4"/>
    <w:basedOn w:val="Normal"/>
    <w:next w:val="Normal"/>
    <w:autoRedefine/>
    <w:uiPriority w:val="39"/>
    <w:semiHidden/>
    <w:unhideWhenUsed/>
    <w:rsid w:val="005F7800"/>
    <w:pPr>
      <w:spacing w:after="100" w:line="240" w:lineRule="auto"/>
      <w:ind w:left="660"/>
    </w:pPr>
    <w:rPr>
      <w:rFonts w:asciiTheme="minorHAnsi" w:eastAsiaTheme="minorEastAsia" w:hAnsiTheme="minorHAnsi" w:cstheme="minorBidi"/>
      <w:lang w:eastAsia="es-ES"/>
    </w:rPr>
  </w:style>
  <w:style w:type="paragraph" w:styleId="TDC5">
    <w:name w:val="toc 5"/>
    <w:basedOn w:val="Normal"/>
    <w:next w:val="Normal"/>
    <w:autoRedefine/>
    <w:uiPriority w:val="39"/>
    <w:semiHidden/>
    <w:unhideWhenUsed/>
    <w:rsid w:val="005F7800"/>
    <w:pPr>
      <w:spacing w:after="100" w:line="240" w:lineRule="auto"/>
      <w:ind w:left="880"/>
    </w:pPr>
    <w:rPr>
      <w:rFonts w:asciiTheme="minorHAnsi" w:eastAsiaTheme="minorEastAsia" w:hAnsiTheme="minorHAnsi" w:cstheme="minorBidi"/>
      <w:lang w:eastAsia="es-ES"/>
    </w:rPr>
  </w:style>
  <w:style w:type="paragraph" w:styleId="TDC6">
    <w:name w:val="toc 6"/>
    <w:basedOn w:val="Normal"/>
    <w:next w:val="Normal"/>
    <w:autoRedefine/>
    <w:uiPriority w:val="39"/>
    <w:semiHidden/>
    <w:unhideWhenUsed/>
    <w:rsid w:val="005F7800"/>
    <w:pPr>
      <w:spacing w:after="100" w:line="240" w:lineRule="auto"/>
      <w:ind w:left="1100"/>
    </w:pPr>
    <w:rPr>
      <w:rFonts w:asciiTheme="minorHAnsi" w:eastAsiaTheme="minorEastAsia" w:hAnsiTheme="minorHAnsi" w:cstheme="minorBidi"/>
      <w:lang w:eastAsia="es-ES"/>
    </w:rPr>
  </w:style>
  <w:style w:type="paragraph" w:styleId="TDC7">
    <w:name w:val="toc 7"/>
    <w:basedOn w:val="Normal"/>
    <w:next w:val="Normal"/>
    <w:autoRedefine/>
    <w:uiPriority w:val="39"/>
    <w:semiHidden/>
    <w:unhideWhenUsed/>
    <w:rsid w:val="005F7800"/>
    <w:pPr>
      <w:spacing w:after="100" w:line="240" w:lineRule="auto"/>
      <w:ind w:left="1320"/>
    </w:pPr>
    <w:rPr>
      <w:rFonts w:asciiTheme="minorHAnsi" w:eastAsiaTheme="minorEastAsia" w:hAnsiTheme="minorHAnsi" w:cstheme="minorBidi"/>
      <w:lang w:eastAsia="es-ES"/>
    </w:rPr>
  </w:style>
  <w:style w:type="paragraph" w:styleId="TDC8">
    <w:name w:val="toc 8"/>
    <w:basedOn w:val="Normal"/>
    <w:next w:val="Normal"/>
    <w:autoRedefine/>
    <w:uiPriority w:val="39"/>
    <w:semiHidden/>
    <w:unhideWhenUsed/>
    <w:rsid w:val="005F7800"/>
    <w:pPr>
      <w:spacing w:after="100" w:line="240" w:lineRule="auto"/>
      <w:ind w:left="1540"/>
    </w:pPr>
    <w:rPr>
      <w:rFonts w:asciiTheme="minorHAnsi" w:eastAsiaTheme="minorEastAsia" w:hAnsiTheme="minorHAnsi" w:cstheme="minorBidi"/>
      <w:lang w:eastAsia="es-ES"/>
    </w:rPr>
  </w:style>
  <w:style w:type="paragraph" w:styleId="TDC9">
    <w:name w:val="toc 9"/>
    <w:basedOn w:val="Normal"/>
    <w:next w:val="Normal"/>
    <w:autoRedefine/>
    <w:uiPriority w:val="39"/>
    <w:semiHidden/>
    <w:unhideWhenUsed/>
    <w:rsid w:val="005F7800"/>
    <w:pPr>
      <w:spacing w:after="100" w:line="240" w:lineRule="auto"/>
      <w:ind w:left="1760"/>
    </w:pPr>
    <w:rPr>
      <w:rFonts w:asciiTheme="minorHAnsi" w:eastAsiaTheme="minorEastAsia" w:hAnsiTheme="minorHAnsi" w:cstheme="minorBidi"/>
      <w:lang w:eastAsia="es-ES"/>
    </w:rPr>
  </w:style>
  <w:style w:type="paragraph" w:styleId="Textoconsangra">
    <w:name w:val="table of authorities"/>
    <w:basedOn w:val="Normal"/>
    <w:next w:val="Normal"/>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Textodebloque">
    <w:name w:val="Block Text"/>
    <w:basedOn w:val="Normal"/>
    <w:uiPriority w:val="99"/>
    <w:semiHidden/>
    <w:unhideWhenUsed/>
    <w:rsid w:val="005F7800"/>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80" w:line="240" w:lineRule="auto"/>
      <w:ind w:left="1152" w:right="1152"/>
    </w:pPr>
    <w:rPr>
      <w:rFonts w:asciiTheme="minorHAnsi" w:eastAsiaTheme="minorEastAsia" w:hAnsiTheme="minorHAnsi" w:cstheme="minorBidi"/>
      <w:i/>
      <w:iCs/>
      <w:color w:val="4F81BD" w:themeColor="accent1"/>
      <w:lang w:eastAsia="es-ES"/>
    </w:rPr>
  </w:style>
  <w:style w:type="paragraph" w:styleId="Textoindependienteprimerasangra">
    <w:name w:val="Body Text First Indent"/>
    <w:basedOn w:val="Textoindependiente"/>
    <w:link w:val="TextoindependienteprimerasangraCar"/>
    <w:uiPriority w:val="99"/>
    <w:semiHidden/>
    <w:unhideWhenUsed/>
    <w:rsid w:val="005F7800"/>
    <w:pPr>
      <w:spacing w:after="160" w:line="240" w:lineRule="auto"/>
      <w:ind w:firstLine="360"/>
    </w:pPr>
    <w:rPr>
      <w:rFonts w:asciiTheme="minorHAnsi" w:eastAsiaTheme="minorEastAsia" w:hAnsiTheme="minorHAnsi" w:cstheme="minorBidi"/>
      <w:lang w:eastAsia="es-ES"/>
    </w:rPr>
  </w:style>
  <w:style w:type="character" w:customStyle="1" w:styleId="TextoindependienteprimerasangraCar">
    <w:name w:val="Texto independiente primera sangría Car"/>
    <w:basedOn w:val="TextoindependienteCar"/>
    <w:link w:val="Textoindependienteprimerasangra"/>
    <w:uiPriority w:val="99"/>
    <w:semiHidden/>
    <w:rsid w:val="005F7800"/>
    <w:rPr>
      <w:rFonts w:ascii="Calibri" w:eastAsia="Calibri" w:hAnsi="Calibri" w:cs="Times New Roman"/>
      <w:sz w:val="22"/>
      <w:szCs w:val="22"/>
      <w:lang w:eastAsia="en-US"/>
    </w:rPr>
  </w:style>
  <w:style w:type="paragraph" w:styleId="Textomacro">
    <w:name w:val="macro"/>
    <w:link w:val="TextomacroCar"/>
    <w:uiPriority w:val="99"/>
    <w:semiHidden/>
    <w:unhideWhenUsed/>
    <w:rsid w:val="005F780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Calibri" w:hAnsi="Consolas" w:cs="Times New Roman"/>
      <w:sz w:val="20"/>
      <w:szCs w:val="20"/>
      <w:lang w:eastAsia="en-US"/>
    </w:rPr>
  </w:style>
  <w:style w:type="character" w:customStyle="1" w:styleId="TextomacroCar">
    <w:name w:val="Texto macro Car"/>
    <w:basedOn w:val="Fuentedeprrafopredeter"/>
    <w:link w:val="Textomacro"/>
    <w:uiPriority w:val="99"/>
    <w:semiHidden/>
    <w:rsid w:val="005F7800"/>
    <w:rPr>
      <w:rFonts w:ascii="Consolas" w:eastAsia="Calibri" w:hAnsi="Consolas" w:cs="Times New Roman"/>
      <w:sz w:val="20"/>
      <w:szCs w:val="20"/>
      <w:lang w:eastAsia="en-US"/>
    </w:rPr>
  </w:style>
  <w:style w:type="paragraph" w:styleId="Textonotaalfinal">
    <w:name w:val="endnote text"/>
    <w:basedOn w:val="Normal"/>
    <w:link w:val="TextonotaalfinalCar"/>
    <w:uiPriority w:val="99"/>
    <w:semiHidden/>
    <w:unhideWhenUsed/>
    <w:rsid w:val="005F7800"/>
    <w:pPr>
      <w:spacing w:after="0" w:line="240" w:lineRule="auto"/>
    </w:pPr>
    <w:rPr>
      <w:rFonts w:asciiTheme="minorHAnsi" w:eastAsiaTheme="minorEastAsia" w:hAnsiTheme="minorHAnsi" w:cstheme="minorBidi"/>
      <w:sz w:val="20"/>
      <w:szCs w:val="20"/>
      <w:lang w:eastAsia="es-ES"/>
    </w:rPr>
  </w:style>
  <w:style w:type="character" w:customStyle="1" w:styleId="TextonotaalfinalCar">
    <w:name w:val="Texto nota al final Car"/>
    <w:basedOn w:val="Fuentedeprrafopredeter"/>
    <w:link w:val="Textonotaalfinal"/>
    <w:uiPriority w:val="99"/>
    <w:semiHidden/>
    <w:rsid w:val="005F7800"/>
    <w:rPr>
      <w:sz w:val="20"/>
      <w:szCs w:val="20"/>
    </w:rPr>
  </w:style>
  <w:style w:type="paragraph" w:styleId="Ttulo">
    <w:name w:val="Title"/>
    <w:basedOn w:val="Normal"/>
    <w:next w:val="Normal"/>
    <w:link w:val="TtuloCar"/>
    <w:uiPriority w:val="10"/>
    <w:qFormat/>
    <w:rsid w:val="005F78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lang w:eastAsia="es-ES"/>
    </w:rPr>
  </w:style>
  <w:style w:type="character" w:customStyle="1" w:styleId="TtuloCar">
    <w:name w:val="Título Car"/>
    <w:basedOn w:val="Fuentedeprrafopredeter"/>
    <w:link w:val="Ttulo"/>
    <w:uiPriority w:val="10"/>
    <w:rsid w:val="005F7800"/>
    <w:rPr>
      <w:rFonts w:asciiTheme="majorHAnsi" w:eastAsiaTheme="majorEastAsia" w:hAnsiTheme="majorHAnsi" w:cstheme="majorBidi"/>
      <w:color w:val="17365D" w:themeColor="text2" w:themeShade="BF"/>
      <w:spacing w:val="5"/>
      <w:sz w:val="52"/>
      <w:szCs w:val="52"/>
    </w:rPr>
  </w:style>
  <w:style w:type="paragraph" w:styleId="Ttulodendice">
    <w:name w:val="index heading"/>
    <w:basedOn w:val="Normal"/>
    <w:next w:val="ndice1"/>
    <w:uiPriority w:val="99"/>
    <w:semiHidden/>
    <w:unhideWhenUsed/>
    <w:rsid w:val="005F7800"/>
    <w:pPr>
      <w:spacing w:after="80" w:line="240" w:lineRule="auto"/>
    </w:pPr>
    <w:rPr>
      <w:rFonts w:asciiTheme="majorHAnsi" w:eastAsiaTheme="majorEastAsia" w:hAnsiTheme="majorHAnsi" w:cstheme="majorBidi"/>
      <w:b/>
      <w:bCs/>
      <w:lang w:eastAsia="es-ES"/>
    </w:rPr>
  </w:style>
  <w:style w:type="paragraph" w:styleId="TtuloTDC">
    <w:name w:val="TOC Heading"/>
    <w:basedOn w:val="Ttulo1"/>
    <w:next w:val="Normal"/>
    <w:uiPriority w:val="39"/>
    <w:semiHidden/>
    <w:unhideWhenUsed/>
    <w:qFormat/>
    <w:rsid w:val="005F7800"/>
    <w:pPr>
      <w:keepNext/>
      <w:keepLines/>
      <w:spacing w:before="480" w:after="0" w:line="240" w:lineRule="auto"/>
      <w:jc w:val="left"/>
      <w:outlineLvl w:val="9"/>
    </w:pPr>
    <w:rPr>
      <w:rFonts w:asciiTheme="majorHAnsi" w:eastAsiaTheme="majorEastAsia" w:hAnsiTheme="majorHAnsi" w:cstheme="majorBidi"/>
      <w:b/>
      <w:bCs/>
      <w:color w:val="365F91" w:themeColor="accent1" w:themeShade="BF"/>
      <w:sz w:val="28"/>
      <w:szCs w:val="28"/>
      <w:lang w:eastAsia="es-ES"/>
    </w:rPr>
  </w:style>
  <w:style w:type="paragraph" w:styleId="Revisin">
    <w:name w:val="Revision"/>
    <w:hidden/>
    <w:uiPriority w:val="99"/>
    <w:semiHidden/>
    <w:rsid w:val="005F7800"/>
    <w:pPr>
      <w:spacing w:after="0" w:line="240" w:lineRule="auto"/>
    </w:pPr>
    <w:rPr>
      <w:rFonts w:ascii="Calibri" w:eastAsia="Calibri" w:hAnsi="Calibri" w:cs="Times New Roman"/>
      <w:sz w:val="22"/>
      <w:szCs w:val="22"/>
      <w:lang w:eastAsia="en-US"/>
    </w:rPr>
  </w:style>
  <w:style w:type="table" w:customStyle="1" w:styleId="Tablaconcuadrcula11">
    <w:name w:val="Tabla con cuadrícula11"/>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2">
    <w:name w:val="Párrafo de lista2"/>
    <w:basedOn w:val="Normal"/>
    <w:rsid w:val="005F7800"/>
    <w:pPr>
      <w:spacing w:after="0" w:line="240" w:lineRule="auto"/>
      <w:ind w:left="708"/>
    </w:pPr>
    <w:rPr>
      <w:rFonts w:ascii="Times New Roman" w:eastAsia="Times New Roman" w:hAnsi="Times New Roman" w:cstheme="minorBidi"/>
      <w:sz w:val="20"/>
      <w:szCs w:val="20"/>
      <w:lang w:val="es-ES" w:eastAsia="es-ES"/>
    </w:rPr>
  </w:style>
  <w:style w:type="table" w:customStyle="1" w:styleId="Tablaconcuadrcula2">
    <w:name w:val="Tabla con cuadrícula2"/>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F7800"/>
  </w:style>
  <w:style w:type="character" w:customStyle="1" w:styleId="weight-bold">
    <w:name w:val="weight-bold"/>
    <w:basedOn w:val="Fuentedeprrafopredeter"/>
    <w:rsid w:val="005F7800"/>
  </w:style>
  <w:style w:type="paragraph" w:customStyle="1" w:styleId="parrafo">
    <w:name w:val="parrafo"/>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MINUTAS">
    <w:name w:val="MINUTAS"/>
    <w:uiPriority w:val="99"/>
    <w:rsid w:val="005F7800"/>
    <w:pPr>
      <w:spacing w:before="170" w:after="0" w:line="240" w:lineRule="auto"/>
      <w:ind w:left="170" w:right="170"/>
      <w:jc w:val="both"/>
    </w:pPr>
    <w:rPr>
      <w:rFonts w:ascii="Helvetica" w:eastAsia="Times New Roman" w:hAnsi="Helvetica" w:cs="Times New Roman"/>
      <w:sz w:val="20"/>
      <w:szCs w:val="20"/>
      <w:lang w:val="en-US"/>
    </w:rPr>
  </w:style>
  <w:style w:type="character" w:customStyle="1" w:styleId="Listavistosa-nfasis1Car1">
    <w:name w:val="Lista vistosa - Énfasis 1 Car1"/>
    <w:link w:val="Listavistosa-nfasis1"/>
    <w:uiPriority w:val="34"/>
    <w:semiHidden/>
    <w:rsid w:val="005F7800"/>
    <w:rPr>
      <w:rFonts w:ascii="Calibri" w:eastAsia="Calibri" w:hAnsi="Calibri"/>
      <w:sz w:val="22"/>
      <w:szCs w:val="22"/>
      <w:lang w:val="es-ES" w:eastAsia="en-US"/>
    </w:rPr>
  </w:style>
  <w:style w:type="table" w:customStyle="1" w:styleId="Listavistosa-nfasis12">
    <w:name w:val="Lista vistosa - Énfasis 12"/>
    <w:basedOn w:val="Tablanormal"/>
    <w:next w:val="Listavistosa-nfasis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xl91">
    <w:name w:val="xl91"/>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2">
    <w:name w:val="xl92"/>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93">
    <w:name w:val="xl93"/>
    <w:basedOn w:val="Normal"/>
    <w:rsid w:val="005F7800"/>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4">
    <w:name w:val="xl94"/>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5">
    <w:name w:val="xl9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6">
    <w:name w:val="xl9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7">
    <w:name w:val="xl97"/>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8">
    <w:name w:val="xl98"/>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99">
    <w:name w:val="xl99"/>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0">
    <w:name w:val="xl100"/>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1">
    <w:name w:val="xl10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2">
    <w:name w:val="xl10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3">
    <w:name w:val="xl103"/>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4">
    <w:name w:val="xl104"/>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05">
    <w:name w:val="xl10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6">
    <w:name w:val="xl106"/>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7">
    <w:name w:val="xl10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8">
    <w:name w:val="xl108"/>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9">
    <w:name w:val="xl109"/>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0">
    <w:name w:val="xl110"/>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1">
    <w:name w:val="xl11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2">
    <w:name w:val="xl11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13">
    <w:name w:val="xl113"/>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4">
    <w:name w:val="xl114"/>
    <w:basedOn w:val="Normal"/>
    <w:rsid w:val="005F7800"/>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5">
    <w:name w:val="xl115"/>
    <w:basedOn w:val="Normal"/>
    <w:rsid w:val="005F7800"/>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6">
    <w:name w:val="xl116"/>
    <w:basedOn w:val="Normal"/>
    <w:rsid w:val="005F78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7">
    <w:name w:val="xl11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18">
    <w:name w:val="xl118"/>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9">
    <w:name w:val="xl119"/>
    <w:basedOn w:val="Normal"/>
    <w:rsid w:val="005F780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0">
    <w:name w:val="xl120"/>
    <w:basedOn w:val="Normal"/>
    <w:rsid w:val="005F780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1">
    <w:name w:val="xl121"/>
    <w:basedOn w:val="Normal"/>
    <w:rsid w:val="005F780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2">
    <w:name w:val="xl122"/>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23">
    <w:name w:val="xl123"/>
    <w:basedOn w:val="Normal"/>
    <w:rsid w:val="005F7800"/>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4">
    <w:name w:val="xl124"/>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5">
    <w:name w:val="xl125"/>
    <w:basedOn w:val="Normal"/>
    <w:rsid w:val="005F7800"/>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6">
    <w:name w:val="xl12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27">
    <w:name w:val="xl12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color w:val="333333"/>
      <w:sz w:val="24"/>
      <w:szCs w:val="24"/>
      <w:lang w:eastAsia="es-CO"/>
    </w:rPr>
  </w:style>
  <w:style w:type="paragraph" w:customStyle="1" w:styleId="xl128">
    <w:name w:val="xl128"/>
    <w:basedOn w:val="Normal"/>
    <w:rsid w:val="005F7800"/>
    <w:pPr>
      <w:pBdr>
        <w:top w:val="single" w:sz="4" w:space="0" w:color="000000"/>
        <w:right w:val="single" w:sz="4" w:space="0" w:color="000000"/>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color w:val="000000"/>
      <w:sz w:val="20"/>
      <w:szCs w:val="20"/>
      <w:lang w:eastAsia="es-CO"/>
    </w:rPr>
  </w:style>
  <w:style w:type="paragraph" w:customStyle="1" w:styleId="xl129">
    <w:name w:val="xl129"/>
    <w:basedOn w:val="Normal"/>
    <w:rsid w:val="005F7800"/>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30">
    <w:name w:val="xl130"/>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1">
    <w:name w:val="xl131"/>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2">
    <w:name w:val="xl132"/>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3">
    <w:name w:val="xl133"/>
    <w:basedOn w:val="Normal"/>
    <w:rsid w:val="005F7800"/>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4">
    <w:name w:val="xl134"/>
    <w:basedOn w:val="Normal"/>
    <w:rsid w:val="005F7800"/>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5">
    <w:name w:val="xl13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6">
    <w:name w:val="xl13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character" w:customStyle="1" w:styleId="vortaltextbox">
    <w:name w:val="vortaltextbox"/>
    <w:basedOn w:val="Fuentedeprrafopredeter"/>
    <w:rsid w:val="005F7800"/>
  </w:style>
  <w:style w:type="character" w:customStyle="1" w:styleId="vortaltextarea">
    <w:name w:val="vortaltextarea"/>
    <w:basedOn w:val="Fuentedeprrafopredeter"/>
    <w:rsid w:val="005F7800"/>
  </w:style>
  <w:style w:type="paragraph" w:customStyle="1" w:styleId="chemchapter">
    <w:name w:val="chem_chapter"/>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p1">
    <w:name w:val="p1"/>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s1">
    <w:name w:val="s1"/>
    <w:basedOn w:val="Fuentedeprrafopredeter"/>
    <w:rsid w:val="005F7800"/>
  </w:style>
  <w:style w:type="character" w:customStyle="1" w:styleId="markppvffso83">
    <w:name w:val="markppvffso83"/>
    <w:basedOn w:val="Fuentedeprrafopredeter"/>
    <w:rsid w:val="005F7800"/>
  </w:style>
  <w:style w:type="character" w:customStyle="1" w:styleId="vortalnumericspan">
    <w:name w:val="vortalnumericspan"/>
    <w:basedOn w:val="Fuentedeprrafopredeter"/>
    <w:rsid w:val="005F7800"/>
  </w:style>
  <w:style w:type="paragraph" w:customStyle="1" w:styleId="Ttulo41">
    <w:name w:val="Título 41"/>
    <w:basedOn w:val="Normal"/>
    <w:next w:val="Normal"/>
    <w:uiPriority w:val="9"/>
    <w:semiHidden/>
    <w:unhideWhenUsed/>
    <w:qFormat/>
    <w:rsid w:val="005F7800"/>
    <w:pPr>
      <w:keepNext/>
      <w:keepLines/>
      <w:spacing w:before="80" w:after="40" w:line="259" w:lineRule="auto"/>
      <w:outlineLvl w:val="3"/>
    </w:pPr>
    <w:rPr>
      <w:rFonts w:ascii="Aptos" w:eastAsia="Times New Roman" w:hAnsi="Aptos" w:cstheme="minorBidi"/>
      <w:i/>
      <w:iCs/>
      <w:color w:val="0F4761"/>
      <w:kern w:val="2"/>
      <w:lang w:eastAsia="es-ES"/>
      <w14:ligatures w14:val="standardContextual"/>
    </w:rPr>
  </w:style>
  <w:style w:type="paragraph" w:customStyle="1" w:styleId="Ttulo51">
    <w:name w:val="Título 51"/>
    <w:basedOn w:val="Normal"/>
    <w:next w:val="Normal"/>
    <w:uiPriority w:val="9"/>
    <w:semiHidden/>
    <w:unhideWhenUsed/>
    <w:qFormat/>
    <w:rsid w:val="005F7800"/>
    <w:pPr>
      <w:keepNext/>
      <w:keepLines/>
      <w:spacing w:before="80" w:after="40" w:line="259" w:lineRule="auto"/>
      <w:outlineLvl w:val="4"/>
    </w:pPr>
    <w:rPr>
      <w:rFonts w:ascii="Aptos" w:eastAsia="Times New Roman" w:hAnsi="Aptos" w:cstheme="minorBidi"/>
      <w:color w:val="0F4761"/>
      <w:kern w:val="2"/>
      <w:lang w:eastAsia="es-ES"/>
      <w14:ligatures w14:val="standardContextual"/>
    </w:rPr>
  </w:style>
  <w:style w:type="paragraph" w:customStyle="1" w:styleId="Ttulo61">
    <w:name w:val="Título 61"/>
    <w:basedOn w:val="Normal"/>
    <w:next w:val="Normal"/>
    <w:uiPriority w:val="9"/>
    <w:semiHidden/>
    <w:unhideWhenUsed/>
    <w:qFormat/>
    <w:rsid w:val="005F7800"/>
    <w:pPr>
      <w:keepNext/>
      <w:keepLines/>
      <w:spacing w:before="40" w:after="0" w:line="259" w:lineRule="auto"/>
      <w:outlineLvl w:val="5"/>
    </w:pPr>
    <w:rPr>
      <w:rFonts w:ascii="Aptos" w:eastAsia="Times New Roman" w:hAnsi="Aptos" w:cstheme="minorBidi"/>
      <w:i/>
      <w:iCs/>
      <w:color w:val="595959"/>
      <w:kern w:val="2"/>
      <w:lang w:eastAsia="es-ES"/>
      <w14:ligatures w14:val="standardContextual"/>
    </w:rPr>
  </w:style>
  <w:style w:type="paragraph" w:customStyle="1" w:styleId="Ttulo71">
    <w:name w:val="Título 71"/>
    <w:basedOn w:val="Normal"/>
    <w:next w:val="Normal"/>
    <w:uiPriority w:val="9"/>
    <w:semiHidden/>
    <w:unhideWhenUsed/>
    <w:qFormat/>
    <w:rsid w:val="005F7800"/>
    <w:pPr>
      <w:keepNext/>
      <w:keepLines/>
      <w:spacing w:before="40" w:after="0" w:line="259" w:lineRule="auto"/>
      <w:outlineLvl w:val="6"/>
    </w:pPr>
    <w:rPr>
      <w:rFonts w:ascii="Aptos" w:eastAsia="Times New Roman" w:hAnsi="Aptos" w:cstheme="minorBidi"/>
      <w:color w:val="595959"/>
      <w:kern w:val="2"/>
      <w:lang w:eastAsia="es-ES"/>
      <w14:ligatures w14:val="standardContextual"/>
    </w:rPr>
  </w:style>
  <w:style w:type="paragraph" w:customStyle="1" w:styleId="Ttulo81">
    <w:name w:val="Título 81"/>
    <w:basedOn w:val="Normal"/>
    <w:next w:val="Normal"/>
    <w:uiPriority w:val="9"/>
    <w:semiHidden/>
    <w:unhideWhenUsed/>
    <w:qFormat/>
    <w:rsid w:val="005F7800"/>
    <w:pPr>
      <w:keepNext/>
      <w:keepLines/>
      <w:spacing w:after="0" w:line="259" w:lineRule="auto"/>
      <w:outlineLvl w:val="7"/>
    </w:pPr>
    <w:rPr>
      <w:rFonts w:ascii="Aptos" w:eastAsia="Times New Roman" w:hAnsi="Aptos" w:cstheme="minorBidi"/>
      <w:i/>
      <w:iCs/>
      <w:color w:val="272727"/>
      <w:kern w:val="2"/>
      <w:lang w:eastAsia="es-ES"/>
      <w14:ligatures w14:val="standardContextual"/>
    </w:rPr>
  </w:style>
  <w:style w:type="paragraph" w:customStyle="1" w:styleId="Ttulo91">
    <w:name w:val="Título 91"/>
    <w:basedOn w:val="Normal"/>
    <w:next w:val="Normal"/>
    <w:uiPriority w:val="9"/>
    <w:semiHidden/>
    <w:unhideWhenUsed/>
    <w:qFormat/>
    <w:rsid w:val="005F7800"/>
    <w:pPr>
      <w:keepNext/>
      <w:keepLines/>
      <w:spacing w:after="0" w:line="259" w:lineRule="auto"/>
      <w:outlineLvl w:val="8"/>
    </w:pPr>
    <w:rPr>
      <w:rFonts w:ascii="Aptos" w:eastAsia="Times New Roman" w:hAnsi="Aptos" w:cstheme="minorBidi"/>
      <w:color w:val="272727"/>
      <w:kern w:val="2"/>
      <w:lang w:eastAsia="es-ES"/>
      <w14:ligatures w14:val="standardContextual"/>
    </w:rPr>
  </w:style>
  <w:style w:type="numbering" w:customStyle="1" w:styleId="Sinlista111">
    <w:name w:val="Sin lista111"/>
    <w:next w:val="Sinlista"/>
    <w:uiPriority w:val="99"/>
    <w:semiHidden/>
    <w:unhideWhenUsed/>
    <w:rsid w:val="005F7800"/>
  </w:style>
  <w:style w:type="paragraph" w:customStyle="1" w:styleId="Ttulo10">
    <w:name w:val="Título1"/>
    <w:basedOn w:val="Normal"/>
    <w:next w:val="Normal"/>
    <w:uiPriority w:val="10"/>
    <w:qFormat/>
    <w:rsid w:val="005F7800"/>
    <w:pPr>
      <w:spacing w:after="80" w:line="240" w:lineRule="auto"/>
      <w:contextualSpacing/>
    </w:pPr>
    <w:rPr>
      <w:rFonts w:ascii="Aptos Display" w:eastAsia="Times New Roman" w:hAnsi="Aptos Display" w:cstheme="minorBidi"/>
      <w:spacing w:val="-10"/>
      <w:kern w:val="28"/>
      <w:sz w:val="56"/>
      <w:szCs w:val="56"/>
      <w:lang w:eastAsia="es-ES"/>
      <w14:ligatures w14:val="standardContextual"/>
    </w:rPr>
  </w:style>
  <w:style w:type="paragraph" w:customStyle="1" w:styleId="Subttulo1">
    <w:name w:val="Subtítulo1"/>
    <w:basedOn w:val="Normal"/>
    <w:next w:val="Normal"/>
    <w:uiPriority w:val="11"/>
    <w:qFormat/>
    <w:rsid w:val="005F7800"/>
    <w:pPr>
      <w:numPr>
        <w:ilvl w:val="1"/>
      </w:numPr>
      <w:spacing w:after="80" w:line="259" w:lineRule="auto"/>
    </w:pPr>
    <w:rPr>
      <w:rFonts w:ascii="Aptos" w:eastAsia="Times New Roman" w:hAnsi="Aptos" w:cstheme="minorBidi"/>
      <w:color w:val="595959"/>
      <w:spacing w:val="15"/>
      <w:kern w:val="2"/>
      <w:sz w:val="28"/>
      <w:szCs w:val="28"/>
      <w:lang w:eastAsia="es-ES"/>
      <w14:ligatures w14:val="standardContextual"/>
    </w:rPr>
  </w:style>
  <w:style w:type="paragraph" w:customStyle="1" w:styleId="Cita1">
    <w:name w:val="Cita1"/>
    <w:basedOn w:val="Normal"/>
    <w:next w:val="Normal"/>
    <w:uiPriority w:val="29"/>
    <w:qFormat/>
    <w:rsid w:val="005F7800"/>
    <w:pPr>
      <w:spacing w:before="160" w:after="80" w:line="259" w:lineRule="auto"/>
      <w:jc w:val="center"/>
    </w:pPr>
    <w:rPr>
      <w:rFonts w:ascii="Aptos" w:eastAsia="Aptos" w:hAnsi="Aptos" w:cstheme="minorBidi"/>
      <w:i/>
      <w:iCs/>
      <w:color w:val="404040"/>
      <w:kern w:val="2"/>
      <w:lang w:eastAsia="es-ES"/>
      <w14:ligatures w14:val="standardContextual"/>
    </w:rPr>
  </w:style>
  <w:style w:type="character" w:customStyle="1" w:styleId="nfasisintenso1">
    <w:name w:val="Énfasis intenso1"/>
    <w:basedOn w:val="Fuentedeprrafopredeter"/>
    <w:uiPriority w:val="21"/>
    <w:qFormat/>
    <w:rsid w:val="005F7800"/>
    <w:rPr>
      <w:i/>
      <w:iCs/>
      <w:color w:val="0F4761"/>
    </w:rPr>
  </w:style>
  <w:style w:type="paragraph" w:customStyle="1" w:styleId="Citadestacada1">
    <w:name w:val="Cita destacada1"/>
    <w:basedOn w:val="Normal"/>
    <w:next w:val="Normal"/>
    <w:uiPriority w:val="30"/>
    <w:qFormat/>
    <w:rsid w:val="005F7800"/>
    <w:pPr>
      <w:pBdr>
        <w:top w:val="single" w:sz="4" w:space="10" w:color="0F4761"/>
        <w:bottom w:val="single" w:sz="4" w:space="10" w:color="0F4761"/>
      </w:pBdr>
      <w:spacing w:before="360" w:after="360" w:line="259" w:lineRule="auto"/>
      <w:ind w:left="864" w:right="864"/>
      <w:jc w:val="center"/>
    </w:pPr>
    <w:rPr>
      <w:rFonts w:ascii="Aptos" w:eastAsia="Aptos" w:hAnsi="Aptos" w:cstheme="minorBidi"/>
      <w:i/>
      <w:iCs/>
      <w:color w:val="0F4761"/>
      <w:kern w:val="2"/>
      <w:lang w:eastAsia="es-ES"/>
      <w14:ligatures w14:val="standardContextual"/>
    </w:rPr>
  </w:style>
  <w:style w:type="character" w:customStyle="1" w:styleId="Referenciaintensa1">
    <w:name w:val="Referencia intensa1"/>
    <w:basedOn w:val="Fuentedeprrafopredeter"/>
    <w:uiPriority w:val="32"/>
    <w:qFormat/>
    <w:rsid w:val="005F7800"/>
    <w:rPr>
      <w:b/>
      <w:bCs/>
      <w:smallCaps/>
      <w:color w:val="0F4761"/>
      <w:spacing w:val="5"/>
    </w:rPr>
  </w:style>
  <w:style w:type="table" w:customStyle="1" w:styleId="Tablaconcuadrcula21">
    <w:name w:val="Tabla con cuadrícula21"/>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basedOn w:val="Fuentedeprrafopredeter"/>
    <w:uiPriority w:val="9"/>
    <w:semiHidden/>
    <w:rsid w:val="005F7800"/>
    <w:rPr>
      <w:rFonts w:ascii="Cambria" w:eastAsia="Times New Roman" w:hAnsi="Cambria" w:cs="Times New Roman"/>
      <w:i/>
      <w:iCs/>
      <w:color w:val="365F91"/>
      <w:lang w:val="es-ES"/>
    </w:rPr>
  </w:style>
  <w:style w:type="character" w:customStyle="1" w:styleId="Ttulo5Car1">
    <w:name w:val="Título 5 Car1"/>
    <w:basedOn w:val="Fuentedeprrafopredeter"/>
    <w:uiPriority w:val="9"/>
    <w:semiHidden/>
    <w:rsid w:val="005F7800"/>
    <w:rPr>
      <w:rFonts w:ascii="Cambria" w:eastAsia="Times New Roman" w:hAnsi="Cambria" w:cs="Times New Roman"/>
      <w:color w:val="365F91"/>
      <w:lang w:val="es-ES"/>
    </w:rPr>
  </w:style>
  <w:style w:type="character" w:customStyle="1" w:styleId="Ttulo6Car1">
    <w:name w:val="Título 6 Car1"/>
    <w:basedOn w:val="Fuentedeprrafopredeter"/>
    <w:uiPriority w:val="9"/>
    <w:semiHidden/>
    <w:rsid w:val="005F7800"/>
    <w:rPr>
      <w:rFonts w:ascii="Cambria" w:eastAsia="Times New Roman" w:hAnsi="Cambria" w:cs="Times New Roman"/>
      <w:color w:val="243F60"/>
      <w:lang w:val="es-ES"/>
    </w:rPr>
  </w:style>
  <w:style w:type="character" w:customStyle="1" w:styleId="Ttulo7Car1">
    <w:name w:val="Título 7 Car1"/>
    <w:basedOn w:val="Fuentedeprrafopredeter"/>
    <w:uiPriority w:val="9"/>
    <w:semiHidden/>
    <w:rsid w:val="005F7800"/>
    <w:rPr>
      <w:rFonts w:ascii="Cambria" w:eastAsia="Times New Roman" w:hAnsi="Cambria" w:cs="Times New Roman"/>
      <w:i/>
      <w:iCs/>
      <w:color w:val="243F60"/>
      <w:lang w:val="es-ES"/>
    </w:rPr>
  </w:style>
  <w:style w:type="character" w:customStyle="1" w:styleId="Ttulo8Car1">
    <w:name w:val="Título 8 Car1"/>
    <w:basedOn w:val="Fuentedeprrafopredeter"/>
    <w:uiPriority w:val="9"/>
    <w:semiHidden/>
    <w:rsid w:val="005F7800"/>
    <w:rPr>
      <w:rFonts w:ascii="Cambria" w:eastAsia="Times New Roman" w:hAnsi="Cambria" w:cs="Times New Roman"/>
      <w:color w:val="272727"/>
      <w:sz w:val="21"/>
      <w:szCs w:val="21"/>
      <w:lang w:val="es-ES"/>
    </w:rPr>
  </w:style>
  <w:style w:type="character" w:customStyle="1" w:styleId="Ttulo9Car1">
    <w:name w:val="Título 9 Car1"/>
    <w:basedOn w:val="Fuentedeprrafopredeter"/>
    <w:uiPriority w:val="9"/>
    <w:semiHidden/>
    <w:rsid w:val="005F7800"/>
    <w:rPr>
      <w:rFonts w:ascii="Cambria" w:eastAsia="Times New Roman" w:hAnsi="Cambria" w:cs="Times New Roman"/>
      <w:i/>
      <w:iCs/>
      <w:color w:val="272727"/>
      <w:sz w:val="21"/>
      <w:szCs w:val="21"/>
      <w:lang w:val="es-ES"/>
    </w:rPr>
  </w:style>
  <w:style w:type="character" w:customStyle="1" w:styleId="TtuloCar1">
    <w:name w:val="Título Car1"/>
    <w:basedOn w:val="Fuentedeprrafopredeter"/>
    <w:uiPriority w:val="10"/>
    <w:rsid w:val="005F7800"/>
    <w:rPr>
      <w:rFonts w:ascii="Cambria" w:eastAsia="Times New Roman" w:hAnsi="Cambria" w:cs="Times New Roman"/>
      <w:spacing w:val="-10"/>
      <w:kern w:val="28"/>
      <w:sz w:val="56"/>
      <w:szCs w:val="56"/>
      <w:lang w:val="es-ES"/>
    </w:rPr>
  </w:style>
  <w:style w:type="character" w:customStyle="1" w:styleId="SubttuloCar1">
    <w:name w:val="Subtítulo Car1"/>
    <w:basedOn w:val="Fuentedeprrafopredeter"/>
    <w:uiPriority w:val="11"/>
    <w:rsid w:val="005F7800"/>
    <w:rPr>
      <w:rFonts w:eastAsia="Times New Roman"/>
      <w:color w:val="5A5A5A"/>
      <w:spacing w:val="15"/>
      <w:lang w:val="es-ES"/>
    </w:rPr>
  </w:style>
  <w:style w:type="character" w:customStyle="1" w:styleId="CitaCar1">
    <w:name w:val="Cita Car1"/>
    <w:basedOn w:val="Fuentedeprrafopredeter"/>
    <w:uiPriority w:val="29"/>
    <w:rsid w:val="005F7800"/>
    <w:rPr>
      <w:rFonts w:ascii="Calibri" w:eastAsia="Calibri" w:hAnsi="Calibri" w:cs="Calibri"/>
      <w:i/>
      <w:iCs/>
      <w:color w:val="404040"/>
      <w:lang w:val="es-ES"/>
    </w:rPr>
  </w:style>
  <w:style w:type="character" w:customStyle="1" w:styleId="nfasisintenso2">
    <w:name w:val="Énfasis intenso2"/>
    <w:basedOn w:val="Fuentedeprrafopredeter"/>
    <w:uiPriority w:val="21"/>
    <w:rsid w:val="005F7800"/>
    <w:rPr>
      <w:i/>
      <w:iCs/>
      <w:color w:val="4F81BD"/>
    </w:rPr>
  </w:style>
  <w:style w:type="character" w:customStyle="1" w:styleId="CitadestacadaCar1">
    <w:name w:val="Cita destacada Car1"/>
    <w:basedOn w:val="Fuentedeprrafopredeter"/>
    <w:uiPriority w:val="30"/>
    <w:rsid w:val="005F7800"/>
    <w:rPr>
      <w:rFonts w:ascii="Calibri" w:eastAsia="Calibri" w:hAnsi="Calibri" w:cs="Calibri"/>
      <w:i/>
      <w:iCs/>
      <w:color w:val="4F81BD"/>
      <w:lang w:val="es-ES"/>
    </w:rPr>
  </w:style>
  <w:style w:type="character" w:customStyle="1" w:styleId="Referenciaintensa2">
    <w:name w:val="Referencia intensa2"/>
    <w:basedOn w:val="Fuentedeprrafopredeter"/>
    <w:uiPriority w:val="32"/>
    <w:rsid w:val="005F7800"/>
    <w:rPr>
      <w:b/>
      <w:bCs/>
      <w:smallCaps/>
      <w:color w:val="4F81BD"/>
      <w:spacing w:val="5"/>
    </w:rPr>
  </w:style>
  <w:style w:type="numbering" w:customStyle="1" w:styleId="Sinlista2">
    <w:name w:val="Sin lista2"/>
    <w:next w:val="Sinlista"/>
    <w:uiPriority w:val="99"/>
    <w:semiHidden/>
    <w:unhideWhenUsed/>
    <w:rsid w:val="005F7800"/>
  </w:style>
  <w:style w:type="table" w:customStyle="1" w:styleId="Tablaconcuadrcula3">
    <w:name w:val="Tabla con cuadrícula3"/>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5F7800"/>
    <w:pPr>
      <w:keepNext/>
      <w:keepLines/>
      <w:spacing w:before="360" w:after="80" w:line="259" w:lineRule="auto"/>
      <w:outlineLvl w:val="0"/>
    </w:pPr>
    <w:rPr>
      <w:rFonts w:ascii="Aptos Display" w:eastAsia="Times New Roman" w:hAnsi="Aptos Display" w:cstheme="minorBidi"/>
      <w:color w:val="0F4761"/>
      <w:kern w:val="2"/>
      <w:sz w:val="40"/>
      <w:szCs w:val="40"/>
      <w:lang w:eastAsia="es-ES"/>
      <w14:ligatures w14:val="standardContextual"/>
    </w:rPr>
  </w:style>
  <w:style w:type="paragraph" w:customStyle="1" w:styleId="Ttulo21">
    <w:name w:val="Título 21"/>
    <w:basedOn w:val="Normal"/>
    <w:next w:val="Normal"/>
    <w:uiPriority w:val="9"/>
    <w:semiHidden/>
    <w:unhideWhenUsed/>
    <w:qFormat/>
    <w:rsid w:val="005F7800"/>
    <w:pPr>
      <w:keepNext/>
      <w:keepLines/>
      <w:spacing w:before="160" w:after="80" w:line="259" w:lineRule="auto"/>
      <w:outlineLvl w:val="1"/>
    </w:pPr>
    <w:rPr>
      <w:rFonts w:ascii="Aptos Display" w:eastAsia="Times New Roman" w:hAnsi="Aptos Display" w:cstheme="minorBidi"/>
      <w:color w:val="0F4761"/>
      <w:kern w:val="2"/>
      <w:sz w:val="32"/>
      <w:szCs w:val="32"/>
      <w:lang w:eastAsia="es-ES"/>
      <w14:ligatures w14:val="standardContextual"/>
    </w:rPr>
  </w:style>
  <w:style w:type="paragraph" w:customStyle="1" w:styleId="Ttulo31">
    <w:name w:val="Título 31"/>
    <w:basedOn w:val="Normal"/>
    <w:next w:val="Normal"/>
    <w:uiPriority w:val="9"/>
    <w:semiHidden/>
    <w:unhideWhenUsed/>
    <w:qFormat/>
    <w:rsid w:val="005F7800"/>
    <w:pPr>
      <w:keepNext/>
      <w:keepLines/>
      <w:spacing w:before="160" w:after="80" w:line="259" w:lineRule="auto"/>
      <w:outlineLvl w:val="2"/>
    </w:pPr>
    <w:rPr>
      <w:rFonts w:ascii="Aptos" w:eastAsia="Times New Roman" w:hAnsi="Aptos" w:cstheme="minorBidi"/>
      <w:color w:val="0F4761"/>
      <w:kern w:val="2"/>
      <w:sz w:val="28"/>
      <w:szCs w:val="28"/>
      <w:lang w:eastAsia="es-ES"/>
      <w14:ligatures w14:val="standardContextual"/>
    </w:rPr>
  </w:style>
  <w:style w:type="character" w:customStyle="1" w:styleId="Hipervnculo1">
    <w:name w:val="Hipervínculo1"/>
    <w:basedOn w:val="Fuentedeprrafopredeter"/>
    <w:uiPriority w:val="99"/>
    <w:unhideWhenUsed/>
    <w:rsid w:val="005F7800"/>
    <w:rPr>
      <w:color w:val="467886"/>
      <w:u w:val="single"/>
    </w:rPr>
  </w:style>
  <w:style w:type="paragraph" w:customStyle="1" w:styleId="Encabezado1">
    <w:name w:val="Encabezado1"/>
    <w:basedOn w:val="Normal"/>
    <w:next w:val="Encabezado"/>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paragraph" w:customStyle="1" w:styleId="Piedepgina1">
    <w:name w:val="Pie de página1"/>
    <w:basedOn w:val="Normal"/>
    <w:next w:val="Piedepgina"/>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character" w:customStyle="1" w:styleId="Ttulo1Car1">
    <w:name w:val="Título 1 Car1"/>
    <w:basedOn w:val="Fuentedeprrafopredeter"/>
    <w:uiPriority w:val="9"/>
    <w:rsid w:val="005F7800"/>
    <w:rPr>
      <w:rFonts w:ascii="Calibri Light" w:eastAsia="Times New Roman" w:hAnsi="Calibri Light" w:cs="Times New Roman"/>
      <w:color w:val="2F5496"/>
      <w:sz w:val="32"/>
      <w:szCs w:val="32"/>
    </w:rPr>
  </w:style>
  <w:style w:type="character" w:customStyle="1" w:styleId="Ttulo2Car1">
    <w:name w:val="Título 2 Car1"/>
    <w:basedOn w:val="Fuentedeprrafopredeter"/>
    <w:uiPriority w:val="9"/>
    <w:semiHidden/>
    <w:rsid w:val="005F7800"/>
    <w:rPr>
      <w:rFonts w:ascii="Calibri Light" w:eastAsia="Times New Roman" w:hAnsi="Calibri Light" w:cs="Times New Roman"/>
      <w:color w:val="2F5496"/>
      <w:sz w:val="26"/>
      <w:szCs w:val="26"/>
    </w:rPr>
  </w:style>
  <w:style w:type="character" w:customStyle="1" w:styleId="Ttulo3Car1">
    <w:name w:val="Título 3 Car1"/>
    <w:basedOn w:val="Fuentedeprrafopredeter"/>
    <w:uiPriority w:val="9"/>
    <w:semiHidden/>
    <w:rsid w:val="005F7800"/>
    <w:rPr>
      <w:rFonts w:ascii="Calibri Light" w:eastAsia="Times New Roman" w:hAnsi="Calibri Light" w:cs="Times New Roman"/>
      <w:color w:val="1F3763"/>
      <w:sz w:val="24"/>
      <w:szCs w:val="24"/>
    </w:rPr>
  </w:style>
  <w:style w:type="character" w:customStyle="1" w:styleId="EncabezadoCar1">
    <w:name w:val="Encabezado Car1"/>
    <w:basedOn w:val="Fuentedeprrafopredeter"/>
    <w:uiPriority w:val="99"/>
    <w:semiHidden/>
    <w:rsid w:val="005F7800"/>
  </w:style>
  <w:style w:type="character" w:customStyle="1" w:styleId="PiedepginaCar1">
    <w:name w:val="Pie de página Car1"/>
    <w:basedOn w:val="Fuentedeprrafopredeter"/>
    <w:uiPriority w:val="99"/>
    <w:semiHidden/>
    <w:rsid w:val="005F7800"/>
  </w:style>
  <w:style w:type="table" w:styleId="Listavistosa-nfasis1">
    <w:name w:val="Colorful List Accent 1"/>
    <w:basedOn w:val="Tablanormal"/>
    <w:link w:val="Listavistosa-nfasis1Car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nfasisintenso">
    <w:name w:val="Intense Emphasis"/>
    <w:basedOn w:val="Fuentedeprrafopredeter"/>
    <w:uiPriority w:val="21"/>
    <w:qFormat/>
    <w:rsid w:val="005F7800"/>
    <w:rPr>
      <w:b/>
      <w:bCs/>
      <w:i/>
      <w:iCs/>
      <w:color w:val="4F81BD" w:themeColor="accent1"/>
    </w:rPr>
  </w:style>
  <w:style w:type="character" w:styleId="Referenciaintensa">
    <w:name w:val="Intense Reference"/>
    <w:basedOn w:val="Fuentedeprrafopredeter"/>
    <w:uiPriority w:val="32"/>
    <w:qFormat/>
    <w:rsid w:val="005F7800"/>
    <w:rPr>
      <w:b/>
      <w:bCs/>
      <w:smallCaps/>
      <w:color w:val="C0504D" w:themeColor="accent2"/>
      <w:spacing w:val="5"/>
      <w:u w:val="single"/>
    </w:rPr>
  </w:style>
  <w:style w:type="character" w:styleId="nfasissutil">
    <w:name w:val="Subtle Emphasis"/>
    <w:basedOn w:val="Fuentedeprrafopredeter"/>
    <w:uiPriority w:val="19"/>
    <w:qFormat/>
    <w:rsid w:val="005F7800"/>
    <w:rPr>
      <w:i/>
      <w:iCs/>
      <w:color w:val="808080" w:themeColor="text1" w:themeTint="7F"/>
    </w:rPr>
  </w:style>
  <w:style w:type="character" w:styleId="Referenciasutil">
    <w:name w:val="Subtle Reference"/>
    <w:basedOn w:val="Fuentedeprrafopredeter"/>
    <w:uiPriority w:val="31"/>
    <w:qFormat/>
    <w:rsid w:val="005F7800"/>
    <w:rPr>
      <w:smallCaps/>
      <w:color w:val="C0504D" w:themeColor="accent2"/>
      <w:u w:val="single"/>
    </w:rPr>
  </w:style>
  <w:style w:type="character" w:styleId="Ttulodellibro">
    <w:name w:val="Book Title"/>
    <w:basedOn w:val="Fuentedeprrafopredeter"/>
    <w:uiPriority w:val="33"/>
    <w:qFormat/>
    <w:rsid w:val="005F7800"/>
    <w:rPr>
      <w:b/>
      <w:bCs/>
      <w:smallCaps/>
      <w:spacing w:val="5"/>
    </w:rPr>
  </w:style>
  <w:style w:type="table" w:customStyle="1" w:styleId="Tablaconcuadrcula5">
    <w:name w:val="Tabla con cuadrícula5"/>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5F7800"/>
  </w:style>
  <w:style w:type="numbering" w:customStyle="1" w:styleId="Sinlista4">
    <w:name w:val="Sin lista4"/>
    <w:next w:val="Sinlista"/>
    <w:uiPriority w:val="99"/>
    <w:semiHidden/>
    <w:unhideWhenUsed/>
    <w:rsid w:val="005F7800"/>
  </w:style>
  <w:style w:type="character" w:customStyle="1" w:styleId="baj">
    <w:name w:val="b_aj"/>
    <w:basedOn w:val="Fuentedeprrafopredeter"/>
    <w:rsid w:val="005F7800"/>
  </w:style>
  <w:style w:type="table" w:customStyle="1" w:styleId="Tablaconcuadrcula6">
    <w:name w:val="Tabla con cuadrícula6"/>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1">
    <w:name w:val="Tabla de cuadrícula 41"/>
    <w:basedOn w:val="Tablanormal"/>
    <w:uiPriority w:val="49"/>
    <w:rsid w:val="009E04C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0">
    <w:name w:val="Tabla con cuadrícula10"/>
    <w:basedOn w:val="Tablanormal"/>
    <w:next w:val="Tablaconcuadrcula"/>
    <w:uiPriority w:val="59"/>
    <w:rsid w:val="009E04C2"/>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26"/>
    <w:basedOn w:val="Tablanormal"/>
    <w:rsid w:val="009E04C2"/>
    <w:rPr>
      <w:rFonts w:ascii="Calibri" w:eastAsia="Calibri" w:hAnsi="Calibri" w:cs="Calibri"/>
      <w:sz w:val="22"/>
      <w:szCs w:val="22"/>
      <w:lang w:eastAsia="es-CO"/>
    </w:rPr>
    <w:tblPr>
      <w:tblStyleRowBandSize w:val="1"/>
      <w:tblStyleColBandSize w:val="1"/>
      <w:tblInd w:w="0" w:type="nil"/>
      <w:tblCellMar>
        <w:left w:w="70" w:type="dxa"/>
        <w:right w:w="70" w:type="dxa"/>
      </w:tblCellMar>
    </w:tblPr>
  </w:style>
  <w:style w:type="table" w:customStyle="1" w:styleId="Tablaconcuadrcula8">
    <w:name w:val="Tabla con cuadrícula8"/>
    <w:basedOn w:val="Tablanormal"/>
    <w:next w:val="Tablaconcuadrcula"/>
    <w:uiPriority w:val="59"/>
    <w:rsid w:val="009E04C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Normal"/>
    <w:rsid w:val="000163DF"/>
    <w:pPr>
      <w:spacing w:after="0" w:line="240"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table" w:styleId="Tabladecuadrcula4">
    <w:name w:val="Grid Table 4"/>
    <w:basedOn w:val="Tablanormal"/>
    <w:uiPriority w:val="49"/>
    <w:rsid w:val="000163DF"/>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3081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449519087">
      <w:bodyDiv w:val="1"/>
      <w:marLeft w:val="0"/>
      <w:marRight w:val="0"/>
      <w:marTop w:val="0"/>
      <w:marBottom w:val="0"/>
      <w:divBdr>
        <w:top w:val="none" w:sz="0" w:space="0" w:color="auto"/>
        <w:left w:val="none" w:sz="0" w:space="0" w:color="auto"/>
        <w:bottom w:val="none" w:sz="0" w:space="0" w:color="auto"/>
        <w:right w:val="none" w:sz="0" w:space="0" w:color="auto"/>
      </w:divBdr>
    </w:div>
    <w:div w:id="555048401">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599920649">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814178933">
      <w:bodyDiv w:val="1"/>
      <w:marLeft w:val="0"/>
      <w:marRight w:val="0"/>
      <w:marTop w:val="0"/>
      <w:marBottom w:val="0"/>
      <w:divBdr>
        <w:top w:val="none" w:sz="0" w:space="0" w:color="auto"/>
        <w:left w:val="none" w:sz="0" w:space="0" w:color="auto"/>
        <w:bottom w:val="none" w:sz="0" w:space="0" w:color="auto"/>
        <w:right w:val="none" w:sz="0" w:space="0" w:color="auto"/>
      </w:divBdr>
    </w:div>
    <w:div w:id="101476508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59855803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97105526">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 w:id="2119790967">
      <w:bodyDiv w:val="1"/>
      <w:marLeft w:val="0"/>
      <w:marRight w:val="0"/>
      <w:marTop w:val="0"/>
      <w:marBottom w:val="0"/>
      <w:divBdr>
        <w:top w:val="none" w:sz="0" w:space="0" w:color="auto"/>
        <w:left w:val="none" w:sz="0" w:space="0" w:color="auto"/>
        <w:bottom w:val="none" w:sz="0" w:space="0" w:color="auto"/>
        <w:right w:val="none" w:sz="0" w:space="0" w:color="auto"/>
      </w:divBdr>
    </w:div>
    <w:div w:id="2141611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20F5"/>
    <w:rsid w:val="00134049"/>
    <w:rsid w:val="00153B6E"/>
    <w:rsid w:val="001C692C"/>
    <w:rsid w:val="001D4D62"/>
    <w:rsid w:val="001D7B94"/>
    <w:rsid w:val="001E1849"/>
    <w:rsid w:val="001F45FF"/>
    <w:rsid w:val="00280CFE"/>
    <w:rsid w:val="00290CE4"/>
    <w:rsid w:val="002A4D3D"/>
    <w:rsid w:val="002D1747"/>
    <w:rsid w:val="002D38F9"/>
    <w:rsid w:val="0033727B"/>
    <w:rsid w:val="00344695"/>
    <w:rsid w:val="00344842"/>
    <w:rsid w:val="003526EF"/>
    <w:rsid w:val="003551DB"/>
    <w:rsid w:val="00367691"/>
    <w:rsid w:val="003832D3"/>
    <w:rsid w:val="00386797"/>
    <w:rsid w:val="003A4D20"/>
    <w:rsid w:val="003A4F9B"/>
    <w:rsid w:val="003E53AC"/>
    <w:rsid w:val="003E6654"/>
    <w:rsid w:val="004210E3"/>
    <w:rsid w:val="004D545A"/>
    <w:rsid w:val="004E1875"/>
    <w:rsid w:val="004F785E"/>
    <w:rsid w:val="005A3668"/>
    <w:rsid w:val="005C2EA2"/>
    <w:rsid w:val="00600C9B"/>
    <w:rsid w:val="006605B3"/>
    <w:rsid w:val="006B08A6"/>
    <w:rsid w:val="006F40A7"/>
    <w:rsid w:val="0070448D"/>
    <w:rsid w:val="00796BE4"/>
    <w:rsid w:val="007F36EB"/>
    <w:rsid w:val="00821FBB"/>
    <w:rsid w:val="008407BD"/>
    <w:rsid w:val="00845490"/>
    <w:rsid w:val="008C7497"/>
    <w:rsid w:val="008F200E"/>
    <w:rsid w:val="00921121"/>
    <w:rsid w:val="00921C57"/>
    <w:rsid w:val="00924FDA"/>
    <w:rsid w:val="00936BE7"/>
    <w:rsid w:val="009453CC"/>
    <w:rsid w:val="00946C77"/>
    <w:rsid w:val="00961984"/>
    <w:rsid w:val="00975DB3"/>
    <w:rsid w:val="0098292E"/>
    <w:rsid w:val="009B2CC4"/>
    <w:rsid w:val="009E6037"/>
    <w:rsid w:val="009E6A90"/>
    <w:rsid w:val="00A5232C"/>
    <w:rsid w:val="00A8087D"/>
    <w:rsid w:val="00A9232F"/>
    <w:rsid w:val="00AF1C62"/>
    <w:rsid w:val="00AF205E"/>
    <w:rsid w:val="00B00A23"/>
    <w:rsid w:val="00B5068E"/>
    <w:rsid w:val="00B54F44"/>
    <w:rsid w:val="00B900E2"/>
    <w:rsid w:val="00B96D21"/>
    <w:rsid w:val="00BE46C2"/>
    <w:rsid w:val="00C02B36"/>
    <w:rsid w:val="00C3388B"/>
    <w:rsid w:val="00CA54B5"/>
    <w:rsid w:val="00D729BB"/>
    <w:rsid w:val="00D73C36"/>
    <w:rsid w:val="00DC0282"/>
    <w:rsid w:val="00E065D5"/>
    <w:rsid w:val="00E175EA"/>
    <w:rsid w:val="00E409D8"/>
    <w:rsid w:val="00E4576C"/>
    <w:rsid w:val="00F52BDD"/>
    <w:rsid w:val="00FC620E"/>
    <w:rsid w:val="00FE17A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9E343C7-7F8C-40C0-B684-B09724872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47</Pages>
  <Words>6950</Words>
  <Characters>38225</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Alejandra Castro Ciceri</cp:lastModifiedBy>
  <cp:revision>183</cp:revision>
  <dcterms:created xsi:type="dcterms:W3CDTF">2022-05-04T01:20:00Z</dcterms:created>
  <dcterms:modified xsi:type="dcterms:W3CDTF">2026-03-31T00:36:00Z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2025-04-17T20:14:10Z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de0bd0d0-e218-4c00-b0c3-ae86cde5a584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