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B38A9" w14:textId="16E6A9D0" w:rsidR="00602BCC" w:rsidRPr="001847EB" w:rsidRDefault="00602BCC" w:rsidP="00D13799">
      <w:pPr>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Las partes del </w:t>
      </w:r>
      <w:r w:rsidR="00537973" w:rsidRPr="001847EB">
        <w:rPr>
          <w:rFonts w:ascii="Calibri" w:hAnsi="Calibri" w:cs="Calibri"/>
          <w:color w:val="000000" w:themeColor="text1"/>
        </w:rPr>
        <w:t xml:space="preserve">contrato </w:t>
      </w:r>
      <w:r w:rsidRPr="001847EB">
        <w:rPr>
          <w:rFonts w:ascii="Calibri" w:hAnsi="Calibri" w:cs="Calibri"/>
          <w:color w:val="000000" w:themeColor="text1"/>
        </w:rPr>
        <w:t xml:space="preserve">No. </w:t>
      </w:r>
      <w:r w:rsidR="00EC4C04">
        <w:rPr>
          <w:rFonts w:ascii="Calibri" w:hAnsi="Calibri" w:cs="Calibri"/>
          <w:color w:val="000000" w:themeColor="text1"/>
        </w:rPr>
        <w:t>1182</w:t>
      </w:r>
      <w:r w:rsidRPr="001847EB">
        <w:rPr>
          <w:rFonts w:ascii="Calibri" w:hAnsi="Calibri" w:cs="Calibri"/>
          <w:color w:val="000000" w:themeColor="text1"/>
        </w:rPr>
        <w:t xml:space="preserve"> de 20</w:t>
      </w:r>
      <w:r w:rsidR="00FE6CCC" w:rsidRPr="001847EB">
        <w:rPr>
          <w:rFonts w:ascii="Calibri" w:hAnsi="Calibri" w:cs="Calibri"/>
          <w:color w:val="000000" w:themeColor="text1"/>
        </w:rPr>
        <w:t>25</w:t>
      </w:r>
      <w:r w:rsidRPr="001847EB">
        <w:rPr>
          <w:rFonts w:ascii="Calibri" w:hAnsi="Calibri" w:cs="Calibri"/>
          <w:color w:val="000000" w:themeColor="text1"/>
        </w:rPr>
        <w:t xml:space="preserve"> (en adelante el </w:t>
      </w:r>
      <w:r w:rsidR="00D13799">
        <w:rPr>
          <w:rFonts w:ascii="Calibri" w:hAnsi="Calibri" w:cs="Calibri"/>
          <w:b/>
          <w:color w:val="000000" w:themeColor="text1"/>
        </w:rPr>
        <w:t>“</w:t>
      </w:r>
      <w:r w:rsidRPr="001847EB">
        <w:rPr>
          <w:rFonts w:ascii="Calibri" w:hAnsi="Calibri" w:cs="Calibri"/>
          <w:b/>
          <w:color w:val="000000" w:themeColor="text1"/>
        </w:rPr>
        <w:t>Contrato</w:t>
      </w:r>
      <w:r w:rsidR="00D13799">
        <w:rPr>
          <w:rFonts w:ascii="Calibri" w:hAnsi="Calibri" w:cs="Calibri"/>
          <w:b/>
          <w:color w:val="000000" w:themeColor="text1"/>
        </w:rPr>
        <w:t>”</w:t>
      </w:r>
      <w:r w:rsidRPr="001847EB">
        <w:rPr>
          <w:rFonts w:ascii="Calibri" w:hAnsi="Calibri" w:cs="Calibri"/>
          <w:color w:val="000000" w:themeColor="text1"/>
        </w:rPr>
        <w:t xml:space="preserve">) concurrimos a su modificación a través de la firma del presente </w:t>
      </w:r>
      <w:r w:rsidR="00537973">
        <w:rPr>
          <w:rFonts w:ascii="Calibri" w:hAnsi="Calibri" w:cs="Calibri"/>
          <w:color w:val="000000" w:themeColor="text1"/>
        </w:rPr>
        <w:t>otrosí</w:t>
      </w:r>
      <w:r w:rsidRPr="001847EB">
        <w:rPr>
          <w:rFonts w:ascii="Calibri" w:hAnsi="Calibri" w:cs="Calibri"/>
          <w:color w:val="000000" w:themeColor="text1"/>
        </w:rPr>
        <w:t xml:space="preserve"> No. </w:t>
      </w:r>
      <w:r w:rsidR="00A405ED">
        <w:rPr>
          <w:rFonts w:ascii="Calibri" w:hAnsi="Calibri" w:cs="Calibri"/>
          <w:color w:val="000000" w:themeColor="text1"/>
        </w:rPr>
        <w:t>2</w:t>
      </w:r>
      <w:r w:rsidRPr="001847EB">
        <w:rPr>
          <w:rFonts w:ascii="Calibri" w:hAnsi="Calibri" w:cs="Calibri"/>
          <w:color w:val="000000" w:themeColor="text1"/>
        </w:rPr>
        <w:t xml:space="preserve">. Para tal efecto, </w:t>
      </w:r>
      <w:r w:rsidR="00FE6CCC" w:rsidRPr="001847EB">
        <w:rPr>
          <w:rFonts w:ascii="Calibri" w:hAnsi="Calibri" w:cs="Calibri"/>
          <w:color w:val="000000" w:themeColor="text1"/>
        </w:rPr>
        <w:t>estas</w:t>
      </w:r>
      <w:r w:rsidRPr="001847EB">
        <w:rPr>
          <w:rFonts w:ascii="Calibri" w:hAnsi="Calibri" w:cs="Calibri"/>
          <w:color w:val="000000" w:themeColor="text1"/>
        </w:rPr>
        <w:t xml:space="preserve"> se identifican y representan así:</w:t>
      </w:r>
    </w:p>
    <w:p w14:paraId="798B097F" w14:textId="77777777" w:rsidR="00BE47B9" w:rsidRPr="001847EB" w:rsidRDefault="00BE47B9" w:rsidP="00D13799">
      <w:pPr>
        <w:spacing w:after="0" w:line="276" w:lineRule="auto"/>
        <w:jc w:val="both"/>
        <w:rPr>
          <w:rFonts w:ascii="Calibri" w:hAnsi="Calibri" w:cs="Calibri"/>
          <w:color w:val="000000" w:themeColor="text1"/>
        </w:rPr>
      </w:pPr>
    </w:p>
    <w:p w14:paraId="59697220" w14:textId="49B2ADA8" w:rsidR="00602BCC" w:rsidRPr="001847EB" w:rsidRDefault="00602BCC" w:rsidP="00D13799">
      <w:pPr>
        <w:pStyle w:val="PPUlist1"/>
        <w:numPr>
          <w:ilvl w:val="0"/>
          <w:numId w:val="1"/>
        </w:numPr>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La Empresa de Transporte del Tercer Milenio – TRANSMILENIO S.A. (en adelante </w:t>
      </w:r>
      <w:r w:rsidR="00D13799">
        <w:rPr>
          <w:rFonts w:ascii="Calibri" w:hAnsi="Calibri" w:cs="Calibri"/>
          <w:b/>
          <w:color w:val="000000" w:themeColor="text1"/>
        </w:rPr>
        <w:t>“</w:t>
      </w:r>
      <w:r w:rsidRPr="001847EB">
        <w:rPr>
          <w:rFonts w:ascii="Calibri" w:hAnsi="Calibri" w:cs="Calibri"/>
          <w:b/>
          <w:color w:val="000000" w:themeColor="text1"/>
        </w:rPr>
        <w:t>Transmilenio</w:t>
      </w:r>
      <w:r w:rsidR="00D13799">
        <w:rPr>
          <w:rFonts w:ascii="Calibri" w:hAnsi="Calibri" w:cs="Calibri"/>
          <w:b/>
          <w:color w:val="000000" w:themeColor="text1"/>
        </w:rPr>
        <w:t>”</w:t>
      </w:r>
      <w:r w:rsidRPr="001847EB">
        <w:rPr>
          <w:rFonts w:ascii="Calibri" w:hAnsi="Calibri" w:cs="Calibri"/>
          <w:color w:val="000000" w:themeColor="text1"/>
        </w:rPr>
        <w:t xml:space="preserve">), </w:t>
      </w:r>
      <w:r w:rsidR="00CF4DB7" w:rsidRPr="001847EB">
        <w:rPr>
          <w:rFonts w:ascii="Calibri" w:hAnsi="Calibri" w:cs="Calibri"/>
          <w:color w:val="000000" w:themeColor="text1"/>
        </w:rPr>
        <w:t>en su</w:t>
      </w:r>
      <w:r w:rsidRPr="001847EB">
        <w:rPr>
          <w:rFonts w:ascii="Calibri" w:hAnsi="Calibri" w:cs="Calibri"/>
          <w:color w:val="000000" w:themeColor="text1"/>
        </w:rPr>
        <w:t xml:space="preserve"> calidad de </w:t>
      </w:r>
      <w:r w:rsidR="008E2A92" w:rsidRPr="001847EB">
        <w:rPr>
          <w:rFonts w:ascii="Calibri" w:hAnsi="Calibri" w:cs="Calibri"/>
          <w:color w:val="000000" w:themeColor="text1"/>
        </w:rPr>
        <w:t>contratante</w:t>
      </w:r>
      <w:r w:rsidR="00FE6CCC" w:rsidRPr="001847EB">
        <w:rPr>
          <w:rFonts w:ascii="Calibri" w:hAnsi="Calibri" w:cs="Calibri"/>
          <w:color w:val="000000" w:themeColor="text1"/>
        </w:rPr>
        <w:t>,</w:t>
      </w:r>
      <w:r w:rsidRPr="001847EB">
        <w:rPr>
          <w:rFonts w:ascii="Calibri" w:hAnsi="Calibri" w:cs="Calibri"/>
          <w:color w:val="000000" w:themeColor="text1"/>
        </w:rPr>
        <w:t xml:space="preserve"> concurre a través de </w:t>
      </w:r>
      <w:r w:rsidR="00CF4DB7" w:rsidRPr="001847EB">
        <w:rPr>
          <w:rFonts w:ascii="Calibri" w:hAnsi="Calibri" w:cs="Calibri"/>
          <w:b/>
          <w:bCs/>
          <w:color w:val="000000" w:themeColor="text1"/>
        </w:rPr>
        <w:t>PEDRO MAURICIO GUTIÉRREZ RODRÍGUEZ</w:t>
      </w:r>
      <w:r w:rsidRPr="001847EB">
        <w:rPr>
          <w:rFonts w:ascii="Calibri" w:hAnsi="Calibri" w:cs="Calibri"/>
          <w:color w:val="000000" w:themeColor="text1"/>
        </w:rPr>
        <w:t>, identificad</w:t>
      </w:r>
      <w:r w:rsidR="00CF4DB7" w:rsidRPr="001847EB">
        <w:rPr>
          <w:rFonts w:ascii="Calibri" w:hAnsi="Calibri" w:cs="Calibri"/>
          <w:color w:val="000000" w:themeColor="text1"/>
        </w:rPr>
        <w:t>o</w:t>
      </w:r>
      <w:r w:rsidRPr="001847EB">
        <w:rPr>
          <w:rFonts w:ascii="Calibri" w:hAnsi="Calibri" w:cs="Calibri"/>
          <w:color w:val="000000" w:themeColor="text1"/>
        </w:rPr>
        <w:t xml:space="preserve"> con la cédula de ciudadanía No. </w:t>
      </w:r>
      <w:r w:rsidR="00CF4DB7" w:rsidRPr="001847EB">
        <w:rPr>
          <w:rFonts w:ascii="Calibri" w:hAnsi="Calibri" w:cs="Calibri"/>
          <w:color w:val="000000" w:themeColor="text1"/>
        </w:rPr>
        <w:t>80.086.523</w:t>
      </w:r>
      <w:r w:rsidRPr="001847EB">
        <w:rPr>
          <w:rFonts w:ascii="Calibri" w:hAnsi="Calibri" w:cs="Calibri"/>
          <w:color w:val="000000" w:themeColor="text1"/>
        </w:rPr>
        <w:t>, nombrad</w:t>
      </w:r>
      <w:r w:rsidR="00CF4DB7" w:rsidRPr="001847EB">
        <w:rPr>
          <w:rFonts w:ascii="Calibri" w:hAnsi="Calibri" w:cs="Calibri"/>
          <w:color w:val="000000" w:themeColor="text1"/>
        </w:rPr>
        <w:t>o</w:t>
      </w:r>
      <w:r w:rsidRPr="001847EB">
        <w:rPr>
          <w:rFonts w:ascii="Calibri" w:hAnsi="Calibri" w:cs="Calibri"/>
          <w:color w:val="000000" w:themeColor="text1"/>
        </w:rPr>
        <w:t xml:space="preserve"> en el empleo de </w:t>
      </w:r>
      <w:r w:rsidR="00CF4DB7" w:rsidRPr="001847EB">
        <w:rPr>
          <w:rFonts w:ascii="Calibri" w:hAnsi="Calibri" w:cs="Calibri"/>
          <w:color w:val="000000" w:themeColor="text1"/>
        </w:rPr>
        <w:t>Subgerente General</w:t>
      </w:r>
      <w:r w:rsidRPr="001847EB">
        <w:rPr>
          <w:rFonts w:ascii="Calibri" w:hAnsi="Calibri" w:cs="Calibri"/>
          <w:color w:val="000000" w:themeColor="text1"/>
        </w:rPr>
        <w:t xml:space="preserve"> mediante Decreto Distrital 0</w:t>
      </w:r>
      <w:r w:rsidR="00FE6CCC" w:rsidRPr="001847EB">
        <w:rPr>
          <w:rFonts w:ascii="Calibri" w:hAnsi="Calibri" w:cs="Calibri"/>
          <w:color w:val="000000" w:themeColor="text1"/>
        </w:rPr>
        <w:t>33</w:t>
      </w:r>
      <w:r w:rsidRPr="001847EB">
        <w:rPr>
          <w:rFonts w:ascii="Calibri" w:hAnsi="Calibri" w:cs="Calibri"/>
          <w:color w:val="000000" w:themeColor="text1"/>
        </w:rPr>
        <w:t xml:space="preserve"> de </w:t>
      </w:r>
      <w:r w:rsidR="00FE6CCC" w:rsidRPr="001847EB">
        <w:rPr>
          <w:rFonts w:ascii="Calibri" w:hAnsi="Calibri" w:cs="Calibri"/>
          <w:color w:val="000000" w:themeColor="text1"/>
        </w:rPr>
        <w:t>29</w:t>
      </w:r>
      <w:r w:rsidRPr="001847EB">
        <w:rPr>
          <w:rFonts w:ascii="Calibri" w:hAnsi="Calibri" w:cs="Calibri"/>
          <w:color w:val="000000" w:themeColor="text1"/>
        </w:rPr>
        <w:t xml:space="preserve"> enero de 2024 expedido por el Alcalde Mayor de Bogotá D.C. y posesionad</w:t>
      </w:r>
      <w:r w:rsidR="00FE6CCC" w:rsidRPr="001847EB">
        <w:rPr>
          <w:rFonts w:ascii="Calibri" w:hAnsi="Calibri" w:cs="Calibri"/>
          <w:color w:val="000000" w:themeColor="text1"/>
        </w:rPr>
        <w:t>o</w:t>
      </w:r>
      <w:r w:rsidRPr="001847EB">
        <w:rPr>
          <w:rFonts w:ascii="Calibri" w:hAnsi="Calibri" w:cs="Calibri"/>
          <w:color w:val="000000" w:themeColor="text1"/>
        </w:rPr>
        <w:t xml:space="preserve"> según consta en acta No. 0</w:t>
      </w:r>
      <w:r w:rsidR="00FE6CCC" w:rsidRPr="001847EB">
        <w:rPr>
          <w:rFonts w:ascii="Calibri" w:hAnsi="Calibri" w:cs="Calibri"/>
          <w:color w:val="000000" w:themeColor="text1"/>
        </w:rPr>
        <w:t>57</w:t>
      </w:r>
      <w:r w:rsidRPr="001847EB">
        <w:rPr>
          <w:rFonts w:ascii="Calibri" w:hAnsi="Calibri" w:cs="Calibri"/>
          <w:color w:val="000000" w:themeColor="text1"/>
        </w:rPr>
        <w:t xml:space="preserve"> de la misma fecha</w:t>
      </w:r>
      <w:r w:rsidR="00231594" w:rsidRPr="001847EB">
        <w:rPr>
          <w:rFonts w:ascii="Calibri" w:hAnsi="Calibri" w:cs="Calibri"/>
          <w:color w:val="000000" w:themeColor="text1"/>
        </w:rPr>
        <w:t xml:space="preserve">, a quien fue delegada la ordenación del gasto </w:t>
      </w:r>
      <w:r w:rsidR="009C6D5F" w:rsidRPr="001847EB">
        <w:rPr>
          <w:rFonts w:ascii="Calibri" w:hAnsi="Calibri" w:cs="Calibri"/>
          <w:color w:val="000000" w:themeColor="text1"/>
        </w:rPr>
        <w:t>por medio de la Resolución No. 342 de 2025 expedida por la Gerente General</w:t>
      </w:r>
      <w:r w:rsidRPr="001847EB">
        <w:rPr>
          <w:rFonts w:ascii="Calibri" w:hAnsi="Calibri" w:cs="Calibri"/>
          <w:color w:val="000000" w:themeColor="text1"/>
        </w:rPr>
        <w:t>.</w:t>
      </w:r>
    </w:p>
    <w:p w14:paraId="7E3DDC7F" w14:textId="77777777" w:rsidR="00BE47B9" w:rsidRPr="001847EB" w:rsidRDefault="00BE47B9" w:rsidP="00D13799">
      <w:pPr>
        <w:pStyle w:val="PPUlist1"/>
        <w:spacing w:after="0" w:line="276" w:lineRule="auto"/>
        <w:jc w:val="both"/>
        <w:rPr>
          <w:rFonts w:ascii="Calibri" w:hAnsi="Calibri" w:cs="Calibri"/>
          <w:color w:val="000000" w:themeColor="text1"/>
        </w:rPr>
      </w:pPr>
    </w:p>
    <w:p w14:paraId="1E4FE0E2" w14:textId="3A58B597" w:rsidR="008E2A92" w:rsidRPr="001847EB" w:rsidRDefault="008E2A92" w:rsidP="00D13799">
      <w:pPr>
        <w:pStyle w:val="PPUlist1"/>
        <w:numPr>
          <w:ilvl w:val="0"/>
          <w:numId w:val="1"/>
        </w:numPr>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El Consorcio </w:t>
      </w:r>
      <w:r w:rsidR="00981134">
        <w:rPr>
          <w:rFonts w:ascii="Calibri" w:hAnsi="Calibri" w:cs="Calibri"/>
          <w:color w:val="000000" w:themeColor="text1"/>
        </w:rPr>
        <w:t>Vial JJ-ACI</w:t>
      </w:r>
      <w:r w:rsidR="0039159C" w:rsidRPr="001847EB">
        <w:rPr>
          <w:rFonts w:ascii="Calibri" w:hAnsi="Calibri" w:cs="Calibri"/>
          <w:color w:val="000000" w:themeColor="text1"/>
        </w:rPr>
        <w:t xml:space="preserve">, con NIT </w:t>
      </w:r>
      <w:r w:rsidR="00511880" w:rsidRPr="00511880">
        <w:rPr>
          <w:rFonts w:ascii="Calibri" w:hAnsi="Calibri" w:cs="Calibri"/>
          <w:color w:val="000000" w:themeColor="text1"/>
        </w:rPr>
        <w:t>901.938.866-6</w:t>
      </w:r>
      <w:r w:rsidR="0039159C" w:rsidRPr="001847EB">
        <w:rPr>
          <w:rFonts w:ascii="Calibri" w:hAnsi="Calibri" w:cs="Calibri"/>
          <w:color w:val="000000" w:themeColor="text1"/>
        </w:rPr>
        <w:t>, en</w:t>
      </w:r>
      <w:r w:rsidR="00602BCC" w:rsidRPr="001847EB">
        <w:rPr>
          <w:rFonts w:ascii="Calibri" w:hAnsi="Calibri" w:cs="Calibri"/>
          <w:color w:val="000000" w:themeColor="text1"/>
        </w:rPr>
        <w:t xml:space="preserve"> </w:t>
      </w:r>
      <w:r w:rsidR="0039159C" w:rsidRPr="001847EB">
        <w:rPr>
          <w:rFonts w:ascii="Calibri" w:hAnsi="Calibri" w:cs="Calibri"/>
          <w:color w:val="000000" w:themeColor="text1"/>
        </w:rPr>
        <w:t>su</w:t>
      </w:r>
      <w:r w:rsidR="00602BCC" w:rsidRPr="001847EB">
        <w:rPr>
          <w:rFonts w:ascii="Calibri" w:hAnsi="Calibri" w:cs="Calibri"/>
          <w:color w:val="000000" w:themeColor="text1"/>
        </w:rPr>
        <w:t xml:space="preserve"> calidad de contratista</w:t>
      </w:r>
      <w:r w:rsidRPr="001847EB">
        <w:rPr>
          <w:rFonts w:ascii="Calibri" w:hAnsi="Calibri" w:cs="Calibri"/>
          <w:color w:val="000000" w:themeColor="text1"/>
        </w:rPr>
        <w:t xml:space="preserve"> (en adelante el </w:t>
      </w:r>
      <w:r w:rsidR="00FD2A1A">
        <w:rPr>
          <w:rFonts w:ascii="Calibri" w:hAnsi="Calibri" w:cs="Calibri"/>
          <w:b/>
          <w:color w:val="000000" w:themeColor="text1"/>
        </w:rPr>
        <w:t>“</w:t>
      </w:r>
      <w:r w:rsidRPr="001847EB">
        <w:rPr>
          <w:rFonts w:ascii="Calibri" w:hAnsi="Calibri" w:cs="Calibri"/>
          <w:b/>
          <w:color w:val="000000" w:themeColor="text1"/>
        </w:rPr>
        <w:t>Contratista</w:t>
      </w:r>
      <w:r w:rsidR="00FD2A1A">
        <w:rPr>
          <w:rFonts w:ascii="Calibri" w:hAnsi="Calibri" w:cs="Calibri"/>
          <w:b/>
          <w:color w:val="000000" w:themeColor="text1"/>
        </w:rPr>
        <w:t>”</w:t>
      </w:r>
      <w:r w:rsidRPr="001847EB">
        <w:rPr>
          <w:rFonts w:ascii="Calibri" w:hAnsi="Calibri" w:cs="Calibri"/>
          <w:color w:val="000000" w:themeColor="text1"/>
        </w:rPr>
        <w:t>)</w:t>
      </w:r>
      <w:r w:rsidR="00602BCC" w:rsidRPr="001847EB">
        <w:rPr>
          <w:rFonts w:ascii="Calibri" w:hAnsi="Calibri" w:cs="Calibri"/>
          <w:color w:val="000000" w:themeColor="text1"/>
        </w:rPr>
        <w:t xml:space="preserve">, concurre a través de su representante legal, </w:t>
      </w:r>
      <w:r w:rsidR="00511880" w:rsidRPr="00511880">
        <w:rPr>
          <w:rFonts w:ascii="Calibri" w:hAnsi="Calibri" w:cs="Calibri"/>
          <w:color w:val="000000" w:themeColor="text1"/>
        </w:rPr>
        <w:t>Jhuliana Andrea Sarmiento García</w:t>
      </w:r>
      <w:r w:rsidR="00602BCC" w:rsidRPr="001847EB">
        <w:rPr>
          <w:rFonts w:ascii="Calibri" w:hAnsi="Calibri" w:cs="Calibri"/>
          <w:color w:val="000000" w:themeColor="text1"/>
        </w:rPr>
        <w:t xml:space="preserve">, identificado con la cédula de ciudadanía No. </w:t>
      </w:r>
      <w:r w:rsidR="00511880">
        <w:rPr>
          <w:rFonts w:ascii="Calibri" w:hAnsi="Calibri" w:cs="Calibri"/>
          <w:color w:val="000000" w:themeColor="text1"/>
        </w:rPr>
        <w:t>52.816.621</w:t>
      </w:r>
      <w:r w:rsidR="00602BCC" w:rsidRPr="001847EB">
        <w:rPr>
          <w:rFonts w:ascii="Calibri" w:hAnsi="Calibri" w:cs="Calibri"/>
          <w:color w:val="000000" w:themeColor="text1"/>
        </w:rPr>
        <w:t xml:space="preserve">, según consta en </w:t>
      </w:r>
      <w:r w:rsidR="0039159C" w:rsidRPr="001847EB">
        <w:rPr>
          <w:rFonts w:ascii="Calibri" w:hAnsi="Calibri" w:cs="Calibri"/>
          <w:color w:val="000000" w:themeColor="text1"/>
        </w:rPr>
        <w:t>su documento de constitución</w:t>
      </w:r>
      <w:r w:rsidR="00F47B3B" w:rsidRPr="001847EB">
        <w:rPr>
          <w:rFonts w:ascii="Calibri" w:hAnsi="Calibri" w:cs="Calibri"/>
          <w:color w:val="000000" w:themeColor="text1"/>
        </w:rPr>
        <w:t xml:space="preserve"> y en su Registro Único Tributario</w:t>
      </w:r>
      <w:r w:rsidR="00602BCC" w:rsidRPr="001847EB">
        <w:rPr>
          <w:rFonts w:ascii="Calibri" w:hAnsi="Calibri" w:cs="Calibri"/>
          <w:color w:val="000000" w:themeColor="text1"/>
        </w:rPr>
        <w:t>. El Con</w:t>
      </w:r>
      <w:r w:rsidR="00CF4DB7" w:rsidRPr="001847EB">
        <w:rPr>
          <w:rFonts w:ascii="Calibri" w:hAnsi="Calibri" w:cs="Calibri"/>
          <w:color w:val="000000" w:themeColor="text1"/>
        </w:rPr>
        <w:t>tratista</w:t>
      </w:r>
      <w:r w:rsidR="00602BCC" w:rsidRPr="001847EB">
        <w:rPr>
          <w:rFonts w:ascii="Calibri" w:hAnsi="Calibri" w:cs="Calibri"/>
          <w:color w:val="000000" w:themeColor="text1"/>
        </w:rPr>
        <w:t xml:space="preserve"> y Transmilenio se denominarán las </w:t>
      </w:r>
      <w:r w:rsidR="00FD2A1A">
        <w:rPr>
          <w:rFonts w:ascii="Calibri" w:hAnsi="Calibri" w:cs="Calibri"/>
          <w:b/>
          <w:color w:val="000000" w:themeColor="text1"/>
        </w:rPr>
        <w:t>“</w:t>
      </w:r>
      <w:r w:rsidR="00602BCC" w:rsidRPr="001847EB">
        <w:rPr>
          <w:rFonts w:ascii="Calibri" w:hAnsi="Calibri" w:cs="Calibri"/>
          <w:b/>
          <w:color w:val="000000" w:themeColor="text1"/>
        </w:rPr>
        <w:t>Partes</w:t>
      </w:r>
      <w:r w:rsidR="00FD2A1A">
        <w:rPr>
          <w:rFonts w:ascii="Calibri" w:hAnsi="Calibri" w:cs="Calibri"/>
          <w:b/>
          <w:color w:val="000000" w:themeColor="text1"/>
        </w:rPr>
        <w:t>”</w:t>
      </w:r>
      <w:r w:rsidR="00602BCC" w:rsidRPr="001847EB">
        <w:rPr>
          <w:rFonts w:ascii="Calibri" w:hAnsi="Calibri" w:cs="Calibri"/>
          <w:color w:val="000000" w:themeColor="text1"/>
        </w:rPr>
        <w:t>.</w:t>
      </w:r>
    </w:p>
    <w:p w14:paraId="38298FB6" w14:textId="77777777" w:rsidR="00BE47B9" w:rsidRPr="001847EB" w:rsidRDefault="00BE47B9" w:rsidP="00D13799">
      <w:pPr>
        <w:pStyle w:val="PPUlist1"/>
        <w:spacing w:after="0" w:line="276" w:lineRule="auto"/>
        <w:jc w:val="both"/>
        <w:rPr>
          <w:rFonts w:ascii="Calibri" w:hAnsi="Calibri" w:cs="Calibri"/>
          <w:color w:val="000000" w:themeColor="text1"/>
        </w:rPr>
      </w:pPr>
    </w:p>
    <w:p w14:paraId="2CABFADE" w14:textId="794F70C7" w:rsidR="00602BCC" w:rsidRPr="001847EB" w:rsidRDefault="00602BCC" w:rsidP="00D13799">
      <w:pPr>
        <w:pStyle w:val="PPUlist1"/>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Para los efectos del presente </w:t>
      </w:r>
      <w:r w:rsidR="00537973">
        <w:rPr>
          <w:rFonts w:ascii="Calibri" w:hAnsi="Calibri" w:cs="Calibri"/>
          <w:color w:val="000000" w:themeColor="text1"/>
        </w:rPr>
        <w:t>otrosí</w:t>
      </w:r>
      <w:r w:rsidRPr="001847EB">
        <w:rPr>
          <w:rFonts w:ascii="Calibri" w:hAnsi="Calibri" w:cs="Calibri"/>
          <w:color w:val="000000" w:themeColor="text1"/>
        </w:rPr>
        <w:t xml:space="preserve">, los términos en mayúscula inicial que aquí se usen, estén utilizados en forma singular o plural, tendrán el significado asignado a ellos en el presente </w:t>
      </w:r>
      <w:r w:rsidR="00537973">
        <w:rPr>
          <w:rFonts w:ascii="Calibri" w:hAnsi="Calibri" w:cs="Calibri"/>
          <w:color w:val="000000" w:themeColor="text1"/>
        </w:rPr>
        <w:t>otrosí</w:t>
      </w:r>
      <w:r w:rsidRPr="001847EB">
        <w:rPr>
          <w:rFonts w:ascii="Calibri" w:hAnsi="Calibri" w:cs="Calibri"/>
          <w:color w:val="000000" w:themeColor="text1"/>
        </w:rPr>
        <w:t>.</w:t>
      </w:r>
    </w:p>
    <w:p w14:paraId="4EE2FA32" w14:textId="77777777" w:rsidR="00BE47B9" w:rsidRPr="001847EB" w:rsidRDefault="00BE47B9" w:rsidP="00D13799">
      <w:pPr>
        <w:pStyle w:val="PPUlist1"/>
        <w:spacing w:after="0" w:line="276" w:lineRule="auto"/>
        <w:jc w:val="both"/>
        <w:rPr>
          <w:rFonts w:ascii="Calibri" w:hAnsi="Calibri" w:cs="Calibri"/>
          <w:color w:val="000000" w:themeColor="text1"/>
        </w:rPr>
      </w:pPr>
    </w:p>
    <w:p w14:paraId="41687ECE" w14:textId="48B581A5" w:rsidR="008E2A92" w:rsidRPr="001847EB" w:rsidRDefault="00602BCC" w:rsidP="00D13799">
      <w:pPr>
        <w:pStyle w:val="PPUlist1"/>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El presente </w:t>
      </w:r>
      <w:r w:rsidR="00537973">
        <w:rPr>
          <w:rFonts w:ascii="Calibri" w:hAnsi="Calibri" w:cs="Calibri"/>
          <w:color w:val="000000" w:themeColor="text1"/>
        </w:rPr>
        <w:t>otrosí</w:t>
      </w:r>
      <w:r w:rsidRPr="001847EB">
        <w:rPr>
          <w:rFonts w:ascii="Calibri" w:hAnsi="Calibri" w:cs="Calibri"/>
          <w:color w:val="000000" w:themeColor="text1"/>
        </w:rPr>
        <w:t xml:space="preserve"> se suscribe en atención a las siguientes:</w:t>
      </w:r>
    </w:p>
    <w:p w14:paraId="7F68D89C" w14:textId="77777777" w:rsidR="00BE47B9" w:rsidRPr="001847EB" w:rsidRDefault="00BE47B9" w:rsidP="00D13799">
      <w:pPr>
        <w:pStyle w:val="PPUlist1"/>
        <w:spacing w:after="0" w:line="276" w:lineRule="auto"/>
        <w:jc w:val="both"/>
        <w:rPr>
          <w:rFonts w:ascii="Calibri" w:hAnsi="Calibri" w:cs="Calibri"/>
          <w:color w:val="000000" w:themeColor="text1"/>
        </w:rPr>
      </w:pPr>
    </w:p>
    <w:p w14:paraId="175E6C4B" w14:textId="77777777" w:rsidR="00F3498B" w:rsidRPr="001847EB" w:rsidRDefault="00F3498B" w:rsidP="00F3498B">
      <w:pPr>
        <w:pStyle w:val="PPUlist1"/>
        <w:spacing w:after="0" w:line="276" w:lineRule="auto"/>
        <w:ind w:left="720" w:hanging="720"/>
        <w:jc w:val="center"/>
        <w:rPr>
          <w:rFonts w:ascii="Calibri" w:hAnsi="Calibri" w:cs="Calibri"/>
          <w:b/>
          <w:bCs/>
          <w:color w:val="000000" w:themeColor="text1"/>
        </w:rPr>
      </w:pPr>
      <w:r w:rsidRPr="001847EB">
        <w:rPr>
          <w:rFonts w:ascii="Calibri" w:hAnsi="Calibri" w:cs="Calibri"/>
          <w:b/>
          <w:bCs/>
          <w:color w:val="000000" w:themeColor="text1"/>
        </w:rPr>
        <w:t>CONSIDERACIONES</w:t>
      </w:r>
    </w:p>
    <w:p w14:paraId="1C6D248F" w14:textId="77777777" w:rsidR="00F3498B" w:rsidRPr="001847EB" w:rsidRDefault="00F3498B" w:rsidP="00F3498B">
      <w:pPr>
        <w:pStyle w:val="PPUlist1"/>
        <w:spacing w:after="0" w:line="276" w:lineRule="auto"/>
        <w:ind w:left="720" w:hanging="720"/>
        <w:rPr>
          <w:rFonts w:ascii="Calibri" w:hAnsi="Calibri" w:cs="Calibri"/>
          <w:b/>
          <w:bCs/>
          <w:color w:val="000000" w:themeColor="text1"/>
        </w:rPr>
      </w:pPr>
    </w:p>
    <w:p w14:paraId="222034FA" w14:textId="77777777" w:rsidR="00F3498B" w:rsidRPr="001847EB" w:rsidRDefault="00F3498B" w:rsidP="00F3498B">
      <w:pPr>
        <w:pStyle w:val="PPUlist1"/>
        <w:numPr>
          <w:ilvl w:val="0"/>
          <w:numId w:val="2"/>
        </w:numPr>
        <w:tabs>
          <w:tab w:val="left" w:pos="709"/>
        </w:tabs>
        <w:spacing w:after="0" w:line="276" w:lineRule="auto"/>
        <w:ind w:left="0" w:firstLine="0"/>
        <w:jc w:val="both"/>
        <w:rPr>
          <w:rFonts w:ascii="Calibri" w:hAnsi="Calibri" w:cs="Calibri"/>
          <w:b/>
          <w:bCs/>
          <w:color w:val="000000" w:themeColor="text1"/>
        </w:rPr>
      </w:pPr>
      <w:r w:rsidRPr="001847EB">
        <w:rPr>
          <w:rFonts w:ascii="Calibri" w:hAnsi="Calibri" w:cs="Calibri"/>
          <w:b/>
          <w:bCs/>
          <w:color w:val="000000" w:themeColor="text1"/>
        </w:rPr>
        <w:t>Consideraciones relacionadas con la extensión del plazo contractual</w:t>
      </w:r>
    </w:p>
    <w:p w14:paraId="489D290C" w14:textId="77777777" w:rsidR="00F3498B" w:rsidRPr="001847EB" w:rsidRDefault="00F3498B" w:rsidP="00F3498B">
      <w:pPr>
        <w:pStyle w:val="PPUlist1"/>
        <w:tabs>
          <w:tab w:val="left" w:pos="709"/>
        </w:tabs>
        <w:spacing w:after="0" w:line="276" w:lineRule="auto"/>
        <w:jc w:val="both"/>
        <w:rPr>
          <w:rFonts w:ascii="Calibri" w:hAnsi="Calibri" w:cs="Calibri"/>
          <w:b/>
          <w:bCs/>
          <w:color w:val="000000" w:themeColor="text1"/>
        </w:rPr>
      </w:pPr>
    </w:p>
    <w:p w14:paraId="503C7D1C"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 xml:space="preserve"> Que de conformidad con lo dispuesto</w:t>
      </w:r>
      <w:r>
        <w:rPr>
          <w:rFonts w:ascii="Calibri" w:hAnsi="Calibri" w:cs="Calibri"/>
          <w:color w:val="000000" w:themeColor="text1"/>
        </w:rPr>
        <w:t xml:space="preserve"> en los artículos</w:t>
      </w:r>
      <w:r w:rsidRPr="001847EB">
        <w:rPr>
          <w:rFonts w:ascii="Calibri" w:hAnsi="Calibri" w:cs="Calibri"/>
          <w:color w:val="000000" w:themeColor="text1"/>
        </w:rPr>
        <w:t xml:space="preserve"> 343, 344, 345, 346 y 365 del Decreto Único del Sector Movilidad No. 6</w:t>
      </w:r>
      <w:r>
        <w:rPr>
          <w:rFonts w:ascii="Calibri" w:hAnsi="Calibri" w:cs="Calibri"/>
          <w:color w:val="000000" w:themeColor="text1"/>
        </w:rPr>
        <w:t>5</w:t>
      </w:r>
      <w:r w:rsidRPr="001847EB">
        <w:rPr>
          <w:rFonts w:ascii="Calibri" w:hAnsi="Calibri" w:cs="Calibri"/>
          <w:color w:val="000000" w:themeColor="text1"/>
        </w:rPr>
        <w:t>2 de 2025, Transmilenio es el ente gestor del Sistema Integrado de Transporte Público de Bogotá D.C. (en adelante “</w:t>
      </w:r>
      <w:r w:rsidRPr="001847EB">
        <w:rPr>
          <w:rFonts w:ascii="Calibri" w:hAnsi="Calibri" w:cs="Calibri"/>
          <w:b/>
          <w:bCs/>
          <w:color w:val="000000" w:themeColor="text1"/>
        </w:rPr>
        <w:t>SITP</w:t>
      </w:r>
      <w:r w:rsidRPr="001847EB">
        <w:rPr>
          <w:rFonts w:ascii="Calibri" w:hAnsi="Calibri" w:cs="Calibri"/>
          <w:color w:val="000000" w:themeColor="text1"/>
        </w:rPr>
        <w:t>”) y titular del Sistema Transmilenio. En tal calidad, la entidad tiene a su cargo la planeación, gestión y control contractual del SITP, así como el proceso de integración, evaluación y seguimiento de la operación.</w:t>
      </w:r>
    </w:p>
    <w:p w14:paraId="3B988D83"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p w14:paraId="6679BB78"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 xml:space="preserve">Que, en virtud de lo anterior, adelantó </w:t>
      </w:r>
      <w:r>
        <w:rPr>
          <w:rFonts w:ascii="Calibri" w:hAnsi="Calibri" w:cs="Calibri"/>
          <w:color w:val="000000" w:themeColor="text1"/>
        </w:rPr>
        <w:t>el</w:t>
      </w:r>
      <w:r w:rsidRPr="001847EB">
        <w:rPr>
          <w:rFonts w:ascii="Calibri" w:hAnsi="Calibri" w:cs="Calibri"/>
          <w:color w:val="000000" w:themeColor="text1"/>
        </w:rPr>
        <w:t xml:space="preserve"> proceso de selección TMSA-LP-10-2024 para la adquisición de los servicios correspondientes a la fuerza operativa del SITP (en </w:t>
      </w:r>
      <w:r w:rsidRPr="001847EB">
        <w:rPr>
          <w:rFonts w:ascii="Calibri" w:hAnsi="Calibri" w:cs="Calibri"/>
          <w:color w:val="000000" w:themeColor="text1"/>
        </w:rPr>
        <w:lastRenderedPageBreak/>
        <w:t>adelante la “</w:t>
      </w:r>
      <w:r w:rsidRPr="001847EB">
        <w:rPr>
          <w:rFonts w:ascii="Calibri" w:hAnsi="Calibri" w:cs="Calibri"/>
          <w:b/>
          <w:bCs/>
          <w:color w:val="000000" w:themeColor="text1"/>
        </w:rPr>
        <w:t>Licitaci</w:t>
      </w:r>
      <w:r>
        <w:rPr>
          <w:rFonts w:ascii="Calibri" w:hAnsi="Calibri" w:cs="Calibri"/>
          <w:b/>
          <w:bCs/>
          <w:color w:val="000000" w:themeColor="text1"/>
        </w:rPr>
        <w:t>ón</w:t>
      </w:r>
      <w:r w:rsidRPr="001847EB">
        <w:rPr>
          <w:rFonts w:ascii="Calibri" w:hAnsi="Calibri" w:cs="Calibri"/>
          <w:b/>
          <w:bCs/>
          <w:color w:val="000000" w:themeColor="text1"/>
        </w:rPr>
        <w:t xml:space="preserve"> Pública</w:t>
      </w:r>
      <w:r w:rsidRPr="001847EB">
        <w:rPr>
          <w:rFonts w:ascii="Calibri" w:hAnsi="Calibri" w:cs="Calibri"/>
          <w:color w:val="000000" w:themeColor="text1"/>
        </w:rPr>
        <w:t>”). Las obligaciones cuya ejecución se contrató a través de dichos procesos de selección incluyen las siguientes:</w:t>
      </w:r>
    </w:p>
    <w:p w14:paraId="6719E579"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p w14:paraId="67854EF6" w14:textId="77777777" w:rsidR="00F3498B" w:rsidRPr="001847EB" w:rsidRDefault="00F3498B" w:rsidP="00F3498B">
      <w:pPr>
        <w:pStyle w:val="Prrafodelista"/>
        <w:numPr>
          <w:ilvl w:val="0"/>
          <w:numId w:val="3"/>
        </w:numPr>
        <w:spacing w:after="0" w:line="276" w:lineRule="auto"/>
        <w:ind w:left="0" w:firstLine="0"/>
        <w:contextualSpacing w:val="0"/>
        <w:jc w:val="both"/>
        <w:rPr>
          <w:rFonts w:ascii="Calibri" w:hAnsi="Calibri" w:cs="Calibri"/>
        </w:rPr>
      </w:pPr>
      <w:r w:rsidRPr="001847EB">
        <w:rPr>
          <w:rFonts w:ascii="Calibri" w:hAnsi="Calibri" w:cs="Calibri"/>
        </w:rPr>
        <w:t>La regulación y control de la operación de los concesionarios del SITP en todos sus componentes.</w:t>
      </w:r>
    </w:p>
    <w:p w14:paraId="003324D0" w14:textId="77777777" w:rsidR="00F3498B" w:rsidRPr="001847EB" w:rsidRDefault="00F3498B" w:rsidP="00F3498B">
      <w:pPr>
        <w:pStyle w:val="Prrafodelista"/>
        <w:numPr>
          <w:ilvl w:val="0"/>
          <w:numId w:val="3"/>
        </w:numPr>
        <w:spacing w:after="0" w:line="276" w:lineRule="auto"/>
        <w:ind w:left="714" w:hanging="714"/>
        <w:contextualSpacing w:val="0"/>
        <w:jc w:val="both"/>
        <w:rPr>
          <w:rFonts w:ascii="Calibri" w:hAnsi="Calibri" w:cs="Calibri"/>
        </w:rPr>
      </w:pPr>
      <w:r w:rsidRPr="001847EB">
        <w:rPr>
          <w:rFonts w:ascii="Calibri" w:hAnsi="Calibri" w:cs="Calibri"/>
        </w:rPr>
        <w:t>La gestión del tráfico en las intersecciones del SITP.</w:t>
      </w:r>
    </w:p>
    <w:p w14:paraId="4517F330" w14:textId="77777777" w:rsidR="00F3498B" w:rsidRPr="001847EB" w:rsidRDefault="00F3498B" w:rsidP="00F3498B">
      <w:pPr>
        <w:pStyle w:val="Prrafodelista"/>
        <w:numPr>
          <w:ilvl w:val="0"/>
          <w:numId w:val="3"/>
        </w:numPr>
        <w:spacing w:after="0" w:line="276" w:lineRule="auto"/>
        <w:ind w:left="0" w:firstLine="0"/>
        <w:contextualSpacing w:val="0"/>
        <w:jc w:val="both"/>
        <w:rPr>
          <w:rFonts w:ascii="Calibri" w:hAnsi="Calibri" w:cs="Calibri"/>
        </w:rPr>
      </w:pPr>
      <w:r w:rsidRPr="001847EB">
        <w:rPr>
          <w:rFonts w:ascii="Calibri" w:hAnsi="Calibri" w:cs="Calibri"/>
        </w:rPr>
        <w:t xml:space="preserve">Supervisión a del mantenimiento de los vehículos del SITP y de los componentes del Sistema </w:t>
      </w:r>
      <w:proofErr w:type="spellStart"/>
      <w:r w:rsidRPr="001847EB">
        <w:rPr>
          <w:rFonts w:ascii="Calibri" w:hAnsi="Calibri" w:cs="Calibri"/>
        </w:rPr>
        <w:t>TransMiCable</w:t>
      </w:r>
      <w:proofErr w:type="spellEnd"/>
      <w:r w:rsidRPr="001847EB">
        <w:rPr>
          <w:rFonts w:ascii="Calibri" w:hAnsi="Calibri" w:cs="Calibri"/>
        </w:rPr>
        <w:t>.</w:t>
      </w:r>
    </w:p>
    <w:p w14:paraId="42D9580C" w14:textId="77777777" w:rsidR="00F3498B" w:rsidRPr="001847EB" w:rsidRDefault="00F3498B" w:rsidP="00F3498B">
      <w:pPr>
        <w:pStyle w:val="Prrafodelista"/>
        <w:numPr>
          <w:ilvl w:val="0"/>
          <w:numId w:val="3"/>
        </w:numPr>
        <w:spacing w:after="0" w:line="276" w:lineRule="auto"/>
        <w:ind w:left="0" w:firstLine="0"/>
        <w:contextualSpacing w:val="0"/>
        <w:jc w:val="both"/>
        <w:rPr>
          <w:rFonts w:ascii="Calibri" w:hAnsi="Calibri" w:cs="Calibri"/>
        </w:rPr>
      </w:pPr>
      <w:r w:rsidRPr="001847EB">
        <w:rPr>
          <w:rFonts w:ascii="Calibri" w:hAnsi="Calibri" w:cs="Calibri"/>
        </w:rPr>
        <w:t>Supervisión del adecuado funcionamiento del equipamiento del Sistema Integrado de Recaudo, Control e Información y Servicios al Usuario</w:t>
      </w:r>
      <w:r w:rsidRPr="001847EB">
        <w:rPr>
          <w:rFonts w:ascii="Calibri" w:hAnsi="Calibri" w:cs="Calibri"/>
          <w:spacing w:val="1"/>
        </w:rPr>
        <w:t xml:space="preserve"> </w:t>
      </w:r>
      <w:r w:rsidRPr="001847EB">
        <w:rPr>
          <w:rFonts w:ascii="Calibri" w:hAnsi="Calibri" w:cs="Calibri"/>
        </w:rPr>
        <w:t>-SIRCI.</w:t>
      </w:r>
    </w:p>
    <w:p w14:paraId="2713A3E5" w14:textId="77777777" w:rsidR="00F3498B" w:rsidRPr="001847EB" w:rsidRDefault="00F3498B" w:rsidP="00F3498B">
      <w:pPr>
        <w:pStyle w:val="Prrafodelista"/>
        <w:numPr>
          <w:ilvl w:val="0"/>
          <w:numId w:val="3"/>
        </w:numPr>
        <w:spacing w:after="0" w:line="276" w:lineRule="auto"/>
        <w:ind w:hanging="714"/>
        <w:contextualSpacing w:val="0"/>
        <w:rPr>
          <w:rFonts w:ascii="Calibri" w:hAnsi="Calibri" w:cs="Calibri"/>
        </w:rPr>
      </w:pPr>
      <w:r w:rsidRPr="001847EB">
        <w:rPr>
          <w:rFonts w:ascii="Calibri" w:hAnsi="Calibri" w:cs="Calibri"/>
        </w:rPr>
        <w:t>Análisis de los datos e indicadores de desempeño de los concesionarios del SITP.</w:t>
      </w:r>
    </w:p>
    <w:p w14:paraId="3783525F" w14:textId="77777777" w:rsidR="00F3498B" w:rsidRPr="001847EB" w:rsidRDefault="00F3498B" w:rsidP="00F3498B">
      <w:pPr>
        <w:spacing w:after="0" w:line="276" w:lineRule="auto"/>
        <w:ind w:left="6"/>
        <w:rPr>
          <w:rFonts w:ascii="Calibri" w:hAnsi="Calibri" w:cs="Calibri"/>
        </w:rPr>
      </w:pPr>
    </w:p>
    <w:p w14:paraId="43FBD99B"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Que la Licitaci</w:t>
      </w:r>
      <w:r>
        <w:rPr>
          <w:rFonts w:ascii="Calibri" w:hAnsi="Calibri" w:cs="Calibri"/>
          <w:color w:val="000000" w:themeColor="text1"/>
        </w:rPr>
        <w:t>ón</w:t>
      </w:r>
      <w:r w:rsidRPr="001847EB">
        <w:rPr>
          <w:rFonts w:ascii="Calibri" w:hAnsi="Calibri" w:cs="Calibri"/>
          <w:color w:val="000000" w:themeColor="text1"/>
        </w:rPr>
        <w:t xml:space="preserve"> Pública fue adjudicada a los siguientes proponentes:</w:t>
      </w:r>
    </w:p>
    <w:p w14:paraId="2FD7FA02"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tbl>
      <w:tblPr>
        <w:tblStyle w:val="Tablaconcuadrcula"/>
        <w:tblW w:w="3384" w:type="pct"/>
        <w:jc w:val="center"/>
        <w:tblLook w:val="04A0" w:firstRow="1" w:lastRow="0" w:firstColumn="1" w:lastColumn="0" w:noHBand="0" w:noVBand="1"/>
      </w:tblPr>
      <w:tblGrid>
        <w:gridCol w:w="2114"/>
        <w:gridCol w:w="3861"/>
      </w:tblGrid>
      <w:tr w:rsidR="00F3498B" w:rsidRPr="001847EB" w14:paraId="4BEEF6F7" w14:textId="77777777" w:rsidTr="00DB2E36">
        <w:trPr>
          <w:trHeight w:val="153"/>
          <w:jc w:val="center"/>
        </w:trPr>
        <w:tc>
          <w:tcPr>
            <w:tcW w:w="1769" w:type="pct"/>
          </w:tcPr>
          <w:p w14:paraId="0B9EEB62" w14:textId="77777777" w:rsidR="00F3498B" w:rsidRPr="001847EB" w:rsidRDefault="00F3498B" w:rsidP="00DB2E36">
            <w:pPr>
              <w:pStyle w:val="PPUlist1"/>
              <w:tabs>
                <w:tab w:val="left" w:pos="1418"/>
              </w:tabs>
              <w:spacing w:after="0" w:line="276" w:lineRule="auto"/>
              <w:jc w:val="center"/>
              <w:rPr>
                <w:rFonts w:ascii="Calibri" w:hAnsi="Calibri" w:cs="Calibri"/>
                <w:b/>
                <w:bCs/>
                <w:color w:val="000000" w:themeColor="text1"/>
                <w:sz w:val="20"/>
                <w:szCs w:val="20"/>
              </w:rPr>
            </w:pPr>
            <w:r w:rsidRPr="001847EB">
              <w:rPr>
                <w:rFonts w:ascii="Calibri" w:hAnsi="Calibri" w:cs="Calibri"/>
                <w:b/>
                <w:bCs/>
                <w:color w:val="000000" w:themeColor="text1"/>
                <w:sz w:val="20"/>
                <w:szCs w:val="20"/>
              </w:rPr>
              <w:t>GRUPO O ZONA</w:t>
            </w:r>
          </w:p>
        </w:tc>
        <w:tc>
          <w:tcPr>
            <w:tcW w:w="3231" w:type="pct"/>
          </w:tcPr>
          <w:p w14:paraId="6AB8BB1B" w14:textId="77777777" w:rsidR="00F3498B" w:rsidRPr="001847EB" w:rsidRDefault="00F3498B" w:rsidP="00DB2E36">
            <w:pPr>
              <w:pStyle w:val="PPUlist1"/>
              <w:tabs>
                <w:tab w:val="left" w:pos="1418"/>
              </w:tabs>
              <w:spacing w:after="0" w:line="276" w:lineRule="auto"/>
              <w:jc w:val="center"/>
              <w:rPr>
                <w:rFonts w:ascii="Calibri" w:hAnsi="Calibri" w:cs="Calibri"/>
                <w:b/>
                <w:bCs/>
                <w:color w:val="000000" w:themeColor="text1"/>
                <w:sz w:val="20"/>
                <w:szCs w:val="20"/>
              </w:rPr>
            </w:pPr>
            <w:r w:rsidRPr="001847EB">
              <w:rPr>
                <w:rFonts w:ascii="Calibri" w:hAnsi="Calibri" w:cs="Calibri"/>
                <w:b/>
                <w:bCs/>
                <w:color w:val="000000" w:themeColor="text1"/>
                <w:sz w:val="20"/>
                <w:szCs w:val="20"/>
              </w:rPr>
              <w:t>TMSA-LP-10-2024</w:t>
            </w:r>
          </w:p>
        </w:tc>
      </w:tr>
      <w:tr w:rsidR="00F3498B" w:rsidRPr="001847EB" w14:paraId="5B528FB5" w14:textId="77777777" w:rsidTr="00DB2E36">
        <w:trPr>
          <w:trHeight w:val="317"/>
          <w:jc w:val="center"/>
        </w:trPr>
        <w:tc>
          <w:tcPr>
            <w:tcW w:w="1769" w:type="pct"/>
          </w:tcPr>
          <w:p w14:paraId="29853ABF" w14:textId="77777777" w:rsidR="00F3498B" w:rsidRPr="001847EB" w:rsidRDefault="00F3498B"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1</w:t>
            </w:r>
          </w:p>
        </w:tc>
        <w:tc>
          <w:tcPr>
            <w:tcW w:w="3231" w:type="pct"/>
          </w:tcPr>
          <w:p w14:paraId="772B8321" w14:textId="77777777" w:rsidR="00F3498B" w:rsidRPr="001847EB" w:rsidRDefault="00F3498B"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lang w:val="es-CO"/>
              </w:rPr>
              <w:t>CONSORCIO TRANSPORTALES 10-25,</w:t>
            </w:r>
          </w:p>
        </w:tc>
      </w:tr>
      <w:tr w:rsidR="00F3498B" w:rsidRPr="001847EB" w14:paraId="74D746FA" w14:textId="77777777" w:rsidTr="00DB2E36">
        <w:trPr>
          <w:trHeight w:val="325"/>
          <w:jc w:val="center"/>
        </w:trPr>
        <w:tc>
          <w:tcPr>
            <w:tcW w:w="1769" w:type="pct"/>
          </w:tcPr>
          <w:p w14:paraId="09600360" w14:textId="77777777" w:rsidR="00F3498B" w:rsidRPr="001847EB" w:rsidRDefault="00F3498B"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2</w:t>
            </w:r>
          </w:p>
        </w:tc>
        <w:tc>
          <w:tcPr>
            <w:tcW w:w="3231" w:type="pct"/>
          </w:tcPr>
          <w:p w14:paraId="436E2D93" w14:textId="77777777" w:rsidR="00F3498B" w:rsidRPr="001847EB" w:rsidRDefault="00F3498B"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CONSORCIO FUERZA OPERATIVA BRT 2025</w:t>
            </w:r>
          </w:p>
        </w:tc>
      </w:tr>
      <w:tr w:rsidR="00F3498B" w:rsidRPr="001847EB" w14:paraId="5DA91148" w14:textId="77777777" w:rsidTr="00DB2E36">
        <w:trPr>
          <w:trHeight w:val="153"/>
          <w:jc w:val="center"/>
        </w:trPr>
        <w:tc>
          <w:tcPr>
            <w:tcW w:w="1769" w:type="pct"/>
          </w:tcPr>
          <w:p w14:paraId="01CAD837" w14:textId="77777777" w:rsidR="00F3498B" w:rsidRPr="001847EB" w:rsidRDefault="00F3498B"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3</w:t>
            </w:r>
          </w:p>
        </w:tc>
        <w:tc>
          <w:tcPr>
            <w:tcW w:w="3231" w:type="pct"/>
          </w:tcPr>
          <w:p w14:paraId="5DD55EF7" w14:textId="77777777" w:rsidR="00F3498B" w:rsidRPr="001847EB" w:rsidRDefault="00F3498B"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CONSORCIO OPERACIÓN TMSA</w:t>
            </w:r>
          </w:p>
        </w:tc>
      </w:tr>
      <w:tr w:rsidR="00F3498B" w:rsidRPr="001847EB" w14:paraId="1898AEFF" w14:textId="77777777" w:rsidTr="00DB2E36">
        <w:trPr>
          <w:trHeight w:val="153"/>
          <w:jc w:val="center"/>
        </w:trPr>
        <w:tc>
          <w:tcPr>
            <w:tcW w:w="1769" w:type="pct"/>
          </w:tcPr>
          <w:p w14:paraId="3A08E90C" w14:textId="77777777" w:rsidR="00F3498B" w:rsidRPr="001847EB" w:rsidRDefault="00F3498B"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4</w:t>
            </w:r>
          </w:p>
        </w:tc>
        <w:tc>
          <w:tcPr>
            <w:tcW w:w="3231" w:type="pct"/>
          </w:tcPr>
          <w:p w14:paraId="02E14ECD" w14:textId="77777777" w:rsidR="00F3498B" w:rsidRPr="001847EB" w:rsidRDefault="00F3498B" w:rsidP="00DB2E36">
            <w:pPr>
              <w:pStyle w:val="PPUlist1"/>
              <w:tabs>
                <w:tab w:val="left" w:pos="1418"/>
              </w:tabs>
              <w:spacing w:after="0" w:line="276" w:lineRule="auto"/>
              <w:jc w:val="center"/>
              <w:rPr>
                <w:rFonts w:ascii="Calibri" w:hAnsi="Calibri" w:cs="Calibri"/>
                <w:color w:val="000000" w:themeColor="text1"/>
                <w:sz w:val="20"/>
                <w:szCs w:val="20"/>
              </w:rPr>
            </w:pPr>
            <w:r w:rsidRPr="001847EB">
              <w:rPr>
                <w:rFonts w:ascii="Calibri" w:hAnsi="Calibri" w:cs="Calibri"/>
                <w:color w:val="000000" w:themeColor="text1"/>
                <w:sz w:val="20"/>
                <w:szCs w:val="20"/>
              </w:rPr>
              <w:t>CONSORCIO VIAL JJ - ACI</w:t>
            </w:r>
          </w:p>
        </w:tc>
      </w:tr>
    </w:tbl>
    <w:p w14:paraId="347E19AC" w14:textId="77777777" w:rsidR="00F3498B" w:rsidRPr="001847EB" w:rsidRDefault="00F3498B" w:rsidP="00F3498B">
      <w:pPr>
        <w:spacing w:after="0" w:line="276" w:lineRule="auto"/>
        <w:jc w:val="both"/>
        <w:rPr>
          <w:rFonts w:ascii="Calibri" w:hAnsi="Calibri" w:cs="Calibri"/>
          <w:color w:val="000000" w:themeColor="text1"/>
        </w:rPr>
      </w:pPr>
    </w:p>
    <w:p w14:paraId="64ABAC55" w14:textId="77777777" w:rsidR="00F3498B" w:rsidRPr="001847EB" w:rsidRDefault="00F3498B" w:rsidP="00F3498B">
      <w:pPr>
        <w:pStyle w:val="Prrafodelista"/>
        <w:numPr>
          <w:ilvl w:val="1"/>
          <w:numId w:val="2"/>
        </w:numPr>
        <w:spacing w:after="0" w:line="276" w:lineRule="auto"/>
        <w:ind w:left="0" w:firstLine="709"/>
        <w:contextualSpacing w:val="0"/>
        <w:jc w:val="both"/>
        <w:rPr>
          <w:rFonts w:ascii="Calibri" w:hAnsi="Calibri" w:cs="Calibri"/>
          <w:color w:val="000000" w:themeColor="text1"/>
        </w:rPr>
      </w:pPr>
      <w:r w:rsidRPr="001847EB">
        <w:rPr>
          <w:rFonts w:ascii="Calibri" w:hAnsi="Calibri" w:cs="Calibri"/>
          <w:color w:val="000000" w:themeColor="text1"/>
        </w:rPr>
        <w:t xml:space="preserve">Que por medio de los Decretos 1469 y 1470 de 2025, el Gobierno Nacional fijó el salario mínimo legal mensual vigente para el año 2026 en </w:t>
      </w:r>
      <w:r w:rsidRPr="00FB16A7">
        <w:rPr>
          <w:rFonts w:ascii="Calibri" w:hAnsi="Calibri" w:cs="Calibri"/>
          <w:b/>
          <w:bCs/>
          <w:color w:val="000000" w:themeColor="text1"/>
        </w:rPr>
        <w:t>UN MILLÓN SETECIENTOS CINCUENTA MIL NOVECIENTOS CINCO PESOS ($1.750.905)</w:t>
      </w:r>
      <w:r w:rsidRPr="001847EB">
        <w:rPr>
          <w:rFonts w:ascii="Calibri" w:hAnsi="Calibri" w:cs="Calibri"/>
          <w:color w:val="000000" w:themeColor="text1"/>
        </w:rPr>
        <w:t xml:space="preserve"> y el auxilio de transporte para aquellos trabajadores que devengan hasta dos veces dicho monto en </w:t>
      </w:r>
      <w:r w:rsidRPr="00FB16A7">
        <w:rPr>
          <w:rFonts w:ascii="Calibri" w:hAnsi="Calibri" w:cs="Calibri"/>
          <w:b/>
          <w:bCs/>
          <w:color w:val="000000" w:themeColor="text1"/>
        </w:rPr>
        <w:t>DOSCIENTOS CUARENTA Y NUEVE MIL NOVENTA Y CINCO PESOS ($249.095)</w:t>
      </w:r>
      <w:r w:rsidRPr="001847EB">
        <w:rPr>
          <w:rFonts w:ascii="Calibri" w:hAnsi="Calibri" w:cs="Calibri"/>
          <w:color w:val="000000" w:themeColor="text1"/>
        </w:rPr>
        <w:t>.</w:t>
      </w:r>
    </w:p>
    <w:p w14:paraId="28FF1258" w14:textId="77777777" w:rsidR="00F3498B" w:rsidRPr="001847EB" w:rsidRDefault="00F3498B" w:rsidP="00F3498B">
      <w:pPr>
        <w:spacing w:after="0" w:line="276" w:lineRule="auto"/>
        <w:jc w:val="both"/>
        <w:rPr>
          <w:rFonts w:ascii="Calibri" w:hAnsi="Calibri" w:cs="Calibri"/>
          <w:color w:val="000000" w:themeColor="text1"/>
        </w:rPr>
      </w:pPr>
    </w:p>
    <w:p w14:paraId="5C6F8F29"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 xml:space="preserve">Que dicho </w:t>
      </w:r>
      <w:r>
        <w:rPr>
          <w:rFonts w:ascii="Calibri" w:hAnsi="Calibri" w:cs="Calibri"/>
          <w:color w:val="000000" w:themeColor="text1"/>
        </w:rPr>
        <w:t>incremento</w:t>
      </w:r>
      <w:r w:rsidRPr="001847EB">
        <w:rPr>
          <w:rFonts w:ascii="Calibri" w:hAnsi="Calibri" w:cs="Calibri"/>
          <w:color w:val="000000" w:themeColor="text1"/>
        </w:rPr>
        <w:t xml:space="preserve"> del salario mínimo tuvo un valor atípicamente superior a la inflación, en contravía de la tendencia histórica frente al particular, como se ilustra a continuación:</w:t>
      </w:r>
    </w:p>
    <w:tbl>
      <w:tblPr>
        <w:tblStyle w:val="Tablaconcuadrcula"/>
        <w:tblW w:w="5000" w:type="pct"/>
        <w:tblLook w:val="04A0" w:firstRow="1" w:lastRow="0" w:firstColumn="1" w:lastColumn="0" w:noHBand="0" w:noVBand="1"/>
      </w:tblPr>
      <w:tblGrid>
        <w:gridCol w:w="1690"/>
        <w:gridCol w:w="2881"/>
        <w:gridCol w:w="2693"/>
        <w:gridCol w:w="1564"/>
      </w:tblGrid>
      <w:tr w:rsidR="00F3498B" w:rsidRPr="001847EB" w14:paraId="5E219B71" w14:textId="77777777" w:rsidTr="00DB2E36">
        <w:trPr>
          <w:trHeight w:val="20"/>
        </w:trPr>
        <w:tc>
          <w:tcPr>
            <w:tcW w:w="957" w:type="pct"/>
            <w:hideMark/>
          </w:tcPr>
          <w:p w14:paraId="3ED405E4"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AÑO DE VIGENCIA</w:t>
            </w:r>
          </w:p>
        </w:tc>
        <w:tc>
          <w:tcPr>
            <w:tcW w:w="1632" w:type="pct"/>
            <w:hideMark/>
          </w:tcPr>
          <w:p w14:paraId="66F2C82E"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AUMENTO DECRETADO (NOMINAL)</w:t>
            </w:r>
          </w:p>
        </w:tc>
        <w:tc>
          <w:tcPr>
            <w:tcW w:w="1525" w:type="pct"/>
            <w:hideMark/>
          </w:tcPr>
          <w:p w14:paraId="0AF66A13"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INFLACIÓN AÑO ANTERIOR (BASE)</w:t>
            </w:r>
          </w:p>
        </w:tc>
        <w:tc>
          <w:tcPr>
            <w:tcW w:w="886" w:type="pct"/>
            <w:hideMark/>
          </w:tcPr>
          <w:p w14:paraId="2A501AD1"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AUMENTO REAL</w:t>
            </w:r>
          </w:p>
        </w:tc>
      </w:tr>
      <w:tr w:rsidR="00F3498B" w:rsidRPr="001847EB" w14:paraId="6D2CD95B" w14:textId="77777777" w:rsidTr="00DB2E36">
        <w:trPr>
          <w:trHeight w:val="20"/>
        </w:trPr>
        <w:tc>
          <w:tcPr>
            <w:tcW w:w="957" w:type="pct"/>
            <w:hideMark/>
          </w:tcPr>
          <w:p w14:paraId="4A551DE2"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2021</w:t>
            </w:r>
          </w:p>
        </w:tc>
        <w:tc>
          <w:tcPr>
            <w:tcW w:w="1632" w:type="pct"/>
            <w:hideMark/>
          </w:tcPr>
          <w:p w14:paraId="3E684D28"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3.50%</w:t>
            </w:r>
          </w:p>
        </w:tc>
        <w:tc>
          <w:tcPr>
            <w:tcW w:w="1525" w:type="pct"/>
            <w:hideMark/>
          </w:tcPr>
          <w:p w14:paraId="4264BA25"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1.61% (2020)</w:t>
            </w:r>
          </w:p>
        </w:tc>
        <w:tc>
          <w:tcPr>
            <w:tcW w:w="886" w:type="pct"/>
            <w:hideMark/>
          </w:tcPr>
          <w:p w14:paraId="2D45E347"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1.89%</w:t>
            </w:r>
          </w:p>
        </w:tc>
      </w:tr>
      <w:tr w:rsidR="00F3498B" w:rsidRPr="001847EB" w14:paraId="5F354F55" w14:textId="77777777" w:rsidTr="00DB2E36">
        <w:trPr>
          <w:trHeight w:val="20"/>
        </w:trPr>
        <w:tc>
          <w:tcPr>
            <w:tcW w:w="957" w:type="pct"/>
            <w:hideMark/>
          </w:tcPr>
          <w:p w14:paraId="6C9B6B98"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2022</w:t>
            </w:r>
          </w:p>
        </w:tc>
        <w:tc>
          <w:tcPr>
            <w:tcW w:w="1632" w:type="pct"/>
            <w:hideMark/>
          </w:tcPr>
          <w:p w14:paraId="217BAA05"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10.07%</w:t>
            </w:r>
          </w:p>
        </w:tc>
        <w:tc>
          <w:tcPr>
            <w:tcW w:w="1525" w:type="pct"/>
            <w:hideMark/>
          </w:tcPr>
          <w:p w14:paraId="203648C7"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5.62% (2021)</w:t>
            </w:r>
          </w:p>
        </w:tc>
        <w:tc>
          <w:tcPr>
            <w:tcW w:w="886" w:type="pct"/>
            <w:hideMark/>
          </w:tcPr>
          <w:p w14:paraId="5D92AE4B"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4.45%</w:t>
            </w:r>
          </w:p>
        </w:tc>
      </w:tr>
      <w:tr w:rsidR="00F3498B" w:rsidRPr="001847EB" w14:paraId="1D405191" w14:textId="77777777" w:rsidTr="00DB2E36">
        <w:trPr>
          <w:trHeight w:val="20"/>
        </w:trPr>
        <w:tc>
          <w:tcPr>
            <w:tcW w:w="957" w:type="pct"/>
            <w:hideMark/>
          </w:tcPr>
          <w:p w14:paraId="1B3152C9"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2023</w:t>
            </w:r>
          </w:p>
        </w:tc>
        <w:tc>
          <w:tcPr>
            <w:tcW w:w="1632" w:type="pct"/>
            <w:hideMark/>
          </w:tcPr>
          <w:p w14:paraId="4E41B9DE"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16.00%</w:t>
            </w:r>
          </w:p>
        </w:tc>
        <w:tc>
          <w:tcPr>
            <w:tcW w:w="1525" w:type="pct"/>
            <w:hideMark/>
          </w:tcPr>
          <w:p w14:paraId="4A84531D"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13.12% (2022)</w:t>
            </w:r>
          </w:p>
        </w:tc>
        <w:tc>
          <w:tcPr>
            <w:tcW w:w="886" w:type="pct"/>
            <w:hideMark/>
          </w:tcPr>
          <w:p w14:paraId="517554BA"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2.88%</w:t>
            </w:r>
          </w:p>
        </w:tc>
      </w:tr>
      <w:tr w:rsidR="00F3498B" w:rsidRPr="001847EB" w14:paraId="18C318EB" w14:textId="77777777" w:rsidTr="00DB2E36">
        <w:trPr>
          <w:trHeight w:val="20"/>
        </w:trPr>
        <w:tc>
          <w:tcPr>
            <w:tcW w:w="957" w:type="pct"/>
            <w:hideMark/>
          </w:tcPr>
          <w:p w14:paraId="4785F407"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2024</w:t>
            </w:r>
          </w:p>
        </w:tc>
        <w:tc>
          <w:tcPr>
            <w:tcW w:w="1632" w:type="pct"/>
            <w:hideMark/>
          </w:tcPr>
          <w:p w14:paraId="78EF8DE7"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12.07%</w:t>
            </w:r>
          </w:p>
        </w:tc>
        <w:tc>
          <w:tcPr>
            <w:tcW w:w="1525" w:type="pct"/>
            <w:hideMark/>
          </w:tcPr>
          <w:p w14:paraId="1923BD33"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9.28% (2023)</w:t>
            </w:r>
          </w:p>
        </w:tc>
        <w:tc>
          <w:tcPr>
            <w:tcW w:w="886" w:type="pct"/>
            <w:hideMark/>
          </w:tcPr>
          <w:p w14:paraId="0B1DFEC2"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2.79%</w:t>
            </w:r>
          </w:p>
        </w:tc>
      </w:tr>
      <w:tr w:rsidR="00F3498B" w:rsidRPr="001847EB" w14:paraId="07AB4C95" w14:textId="77777777" w:rsidTr="00DB2E36">
        <w:trPr>
          <w:trHeight w:val="20"/>
        </w:trPr>
        <w:tc>
          <w:tcPr>
            <w:tcW w:w="957" w:type="pct"/>
            <w:hideMark/>
          </w:tcPr>
          <w:p w14:paraId="0F9FAAF1"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2025</w:t>
            </w:r>
          </w:p>
        </w:tc>
        <w:tc>
          <w:tcPr>
            <w:tcW w:w="1632" w:type="pct"/>
            <w:hideMark/>
          </w:tcPr>
          <w:p w14:paraId="7B6DA289"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9.54%</w:t>
            </w:r>
          </w:p>
        </w:tc>
        <w:tc>
          <w:tcPr>
            <w:tcW w:w="1525" w:type="pct"/>
            <w:hideMark/>
          </w:tcPr>
          <w:p w14:paraId="38014A72"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5.20% (2024)</w:t>
            </w:r>
          </w:p>
        </w:tc>
        <w:tc>
          <w:tcPr>
            <w:tcW w:w="886" w:type="pct"/>
            <w:hideMark/>
          </w:tcPr>
          <w:p w14:paraId="2491C7D0"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4.34%</w:t>
            </w:r>
          </w:p>
        </w:tc>
      </w:tr>
      <w:tr w:rsidR="00F3498B" w:rsidRPr="001847EB" w14:paraId="26A3B422" w14:textId="77777777" w:rsidTr="00DB2E36">
        <w:trPr>
          <w:trHeight w:val="20"/>
        </w:trPr>
        <w:tc>
          <w:tcPr>
            <w:tcW w:w="957" w:type="pct"/>
            <w:hideMark/>
          </w:tcPr>
          <w:p w14:paraId="51A5B7AF"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2026</w:t>
            </w:r>
          </w:p>
        </w:tc>
        <w:tc>
          <w:tcPr>
            <w:tcW w:w="1632" w:type="pct"/>
            <w:hideMark/>
          </w:tcPr>
          <w:p w14:paraId="5D84A052"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23%</w:t>
            </w:r>
          </w:p>
        </w:tc>
        <w:tc>
          <w:tcPr>
            <w:tcW w:w="1525" w:type="pct"/>
            <w:hideMark/>
          </w:tcPr>
          <w:p w14:paraId="44074B45"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color w:val="000000"/>
                <w:sz w:val="20"/>
                <w:szCs w:val="20"/>
                <w:lang w:val="es-CO" w:eastAsia="es-CO"/>
              </w:rPr>
              <w:t>5,3 (2025)</w:t>
            </w:r>
          </w:p>
        </w:tc>
        <w:tc>
          <w:tcPr>
            <w:tcW w:w="886" w:type="pct"/>
            <w:hideMark/>
          </w:tcPr>
          <w:p w14:paraId="66DF7BF8" w14:textId="77777777" w:rsidR="00F3498B" w:rsidRPr="001847EB" w:rsidRDefault="00F3498B" w:rsidP="00DB2E36">
            <w:pPr>
              <w:spacing w:after="0" w:line="276" w:lineRule="auto"/>
              <w:jc w:val="center"/>
              <w:textAlignment w:val="baseline"/>
              <w:rPr>
                <w:rFonts w:ascii="Calibri" w:eastAsia="Times New Roman" w:hAnsi="Calibri" w:cs="Calibri"/>
                <w:color w:val="000000"/>
                <w:sz w:val="20"/>
                <w:szCs w:val="20"/>
                <w:lang w:val="es-CO" w:eastAsia="es-CO"/>
              </w:rPr>
            </w:pPr>
            <w:r w:rsidRPr="001847EB">
              <w:rPr>
                <w:rFonts w:ascii="Calibri" w:eastAsia="Times New Roman" w:hAnsi="Calibri" w:cs="Calibri"/>
                <w:b/>
                <w:bCs/>
                <w:color w:val="000000"/>
                <w:sz w:val="20"/>
                <w:szCs w:val="20"/>
                <w:lang w:val="es-CO" w:eastAsia="es-CO"/>
              </w:rPr>
              <w:t>17,7%</w:t>
            </w:r>
            <w:r>
              <w:rPr>
                <w:rStyle w:val="Refdenotaalpie"/>
                <w:rFonts w:ascii="Calibri" w:eastAsia="Times New Roman" w:hAnsi="Calibri" w:cs="Calibri"/>
                <w:color w:val="000000"/>
                <w:sz w:val="20"/>
                <w:szCs w:val="20"/>
                <w:lang w:val="es-CO" w:eastAsia="es-CO"/>
              </w:rPr>
              <w:footnoteReference w:id="1"/>
            </w:r>
          </w:p>
        </w:tc>
      </w:tr>
    </w:tbl>
    <w:p w14:paraId="71424A6D"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p w14:paraId="172E1BC8" w14:textId="25FE7D79"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lastRenderedPageBreak/>
        <w:t>Que, debido a los efectos económicos de esta variación, los adjudicatarios de las Licitaci</w:t>
      </w:r>
      <w:r w:rsidR="00F17E10">
        <w:rPr>
          <w:rFonts w:ascii="Calibri" w:hAnsi="Calibri" w:cs="Calibri"/>
          <w:color w:val="000000" w:themeColor="text1"/>
        </w:rPr>
        <w:t>ón</w:t>
      </w:r>
      <w:r w:rsidRPr="001847EB">
        <w:rPr>
          <w:rFonts w:ascii="Calibri" w:hAnsi="Calibri" w:cs="Calibri"/>
          <w:color w:val="000000" w:themeColor="text1"/>
        </w:rPr>
        <w:t xml:space="preserve"> Pública presentaron reclamaciones de igual índole a Transmilenio.</w:t>
      </w:r>
    </w:p>
    <w:p w14:paraId="5EEC7596"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p w14:paraId="3067E298"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E046F5">
        <w:rPr>
          <w:rFonts w:ascii="Calibri" w:hAnsi="Calibri" w:cs="Calibri"/>
          <w:color w:val="000000" w:themeColor="text1"/>
        </w:rPr>
        <w:t>Que, el Consejo de Estado decretó la suspensión provisional del</w:t>
      </w:r>
      <w:r w:rsidRPr="001847EB">
        <w:rPr>
          <w:rFonts w:ascii="Calibri" w:hAnsi="Calibri" w:cs="Calibri"/>
          <w:color w:val="000000" w:themeColor="text1"/>
        </w:rPr>
        <w:t xml:space="preserve"> precitado Decreto 1469 de 2025, ordenando expedir en su lugar un nuevo Decreto transitorio que cumpliera con los lineamientos establecidos en la respectiva providencia judicial</w:t>
      </w:r>
      <w:r w:rsidRPr="001847EB">
        <w:rPr>
          <w:rStyle w:val="Refdenotaalpie"/>
          <w:rFonts w:ascii="Calibri" w:hAnsi="Calibri" w:cs="Calibri"/>
          <w:color w:val="000000" w:themeColor="text1"/>
        </w:rPr>
        <w:footnoteReference w:id="2"/>
      </w:r>
      <w:r w:rsidRPr="001847EB">
        <w:rPr>
          <w:rFonts w:ascii="Calibri" w:hAnsi="Calibri" w:cs="Calibri"/>
          <w:color w:val="000000" w:themeColor="text1"/>
        </w:rPr>
        <w:t>.</w:t>
      </w:r>
    </w:p>
    <w:p w14:paraId="1C6CB8AA"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p w14:paraId="11F50443"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Que, en cumplimiento de lo anterior, el Gobierno Nacional expidió el Decreto 0159 del 19 de febrero de 2026, por medio del cual estableció como salario mínimo transitorio el mismo valor señalado en el suspendido Decreto 1469 de 2025.</w:t>
      </w:r>
    </w:p>
    <w:p w14:paraId="7FB14225"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p w14:paraId="4E439467" w14:textId="77777777" w:rsidR="00F3498B" w:rsidRDefault="00F3498B" w:rsidP="00F3498B">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1847EB">
        <w:rPr>
          <w:rFonts w:ascii="Calibri" w:hAnsi="Calibri" w:cs="Calibri"/>
          <w:color w:val="000000" w:themeColor="text1"/>
        </w:rPr>
        <w:t>Que la cantidad de reclamaciones recibidas por Transmilenio y la incertidumbre generada por el proceso judicial que se adelanta en contra del Decreto 1469 de 2025 conllevaron que su análisis se extendiera por un término superior a dos (2) meses.</w:t>
      </w:r>
    </w:p>
    <w:p w14:paraId="11A12324" w14:textId="77777777" w:rsidR="00F3498B" w:rsidRDefault="00F3498B" w:rsidP="00F3498B">
      <w:pPr>
        <w:pStyle w:val="Prrafodelista"/>
        <w:rPr>
          <w:rFonts w:ascii="Calibri" w:hAnsi="Calibri" w:cs="Calibri"/>
          <w:color w:val="000000" w:themeColor="text1"/>
        </w:rPr>
      </w:pPr>
    </w:p>
    <w:p w14:paraId="6DCDC8E2" w14:textId="77777777" w:rsidR="00F3498B" w:rsidRPr="00CA6B6D" w:rsidRDefault="00F3498B" w:rsidP="00F3498B">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Pr>
          <w:rFonts w:ascii="Calibri" w:hAnsi="Calibri" w:cs="Calibri"/>
          <w:color w:val="000000" w:themeColor="text1"/>
        </w:rPr>
        <w:t xml:space="preserve">Que, una vez analizadas las reclamaciones radicadas por los contratistas TRANSMILENIO S.A., determinó la viabilidad de reconocer el ajuste solicitado por concepto de salarios y auxilio de transporte a los puestos de trabajo correspondientes. </w:t>
      </w:r>
    </w:p>
    <w:p w14:paraId="0AA077C5"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p w14:paraId="491F892C" w14:textId="77777777" w:rsidR="00F3498B" w:rsidRPr="000C01FF" w:rsidRDefault="00F3498B" w:rsidP="00F3498B">
      <w:pPr>
        <w:pStyle w:val="PPUlist1"/>
        <w:numPr>
          <w:ilvl w:val="1"/>
          <w:numId w:val="2"/>
        </w:numPr>
        <w:tabs>
          <w:tab w:val="left" w:pos="1418"/>
        </w:tabs>
        <w:spacing w:after="0" w:line="276" w:lineRule="auto"/>
        <w:ind w:left="0" w:firstLine="709"/>
        <w:jc w:val="both"/>
        <w:rPr>
          <w:rFonts w:ascii="Calibri" w:hAnsi="Calibri" w:cs="Calibri"/>
          <w:color w:val="000000" w:themeColor="text1"/>
        </w:rPr>
      </w:pPr>
      <w:r w:rsidRPr="000C01FF">
        <w:rPr>
          <w:rFonts w:ascii="Calibri" w:hAnsi="Calibri" w:cs="Calibri"/>
          <w:color w:val="000000" w:themeColor="text1"/>
        </w:rPr>
        <w:t>Que la continuidad del servicio contratado en virtud de la Licitación Pública resulta indispensable para el ejercicio de las funciones a cargo de T</w:t>
      </w:r>
      <w:r>
        <w:rPr>
          <w:rFonts w:ascii="Calibri" w:hAnsi="Calibri" w:cs="Calibri"/>
          <w:color w:val="000000" w:themeColor="text1"/>
        </w:rPr>
        <w:t>RANSMILENIO S.A.,</w:t>
      </w:r>
      <w:r w:rsidRPr="000C01FF">
        <w:rPr>
          <w:rFonts w:ascii="Calibri" w:hAnsi="Calibri" w:cs="Calibri"/>
          <w:color w:val="000000" w:themeColor="text1"/>
        </w:rPr>
        <w:t xml:space="preserve"> como ente gestor del SITP, lo que hace necesario prorrogar el plazo de ejecución contractual orientado a garantizar la continuidad y calidad del servicio público de transporte en tanto se surte la estructuración y proceso licitatorio del nuevo contrato de fuerza operativa, en virtud de la reestructuración organizacional de TRANSMILENIO S.A., y la distribución de las funciones de conformidad con el Acuerdo 5 de 2025.</w:t>
      </w:r>
    </w:p>
    <w:p w14:paraId="59DE3732"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p w14:paraId="3CF86DAE" w14:textId="77777777" w:rsidR="00F3498B" w:rsidRPr="001847EB" w:rsidRDefault="00F3498B" w:rsidP="00F3498B">
      <w:pPr>
        <w:pStyle w:val="PPUlist1"/>
        <w:numPr>
          <w:ilvl w:val="0"/>
          <w:numId w:val="2"/>
        </w:numPr>
        <w:tabs>
          <w:tab w:val="left" w:pos="709"/>
        </w:tabs>
        <w:spacing w:after="0" w:line="276" w:lineRule="auto"/>
        <w:ind w:left="0" w:firstLine="0"/>
        <w:jc w:val="both"/>
        <w:rPr>
          <w:rFonts w:ascii="Calibri" w:hAnsi="Calibri" w:cs="Calibri"/>
          <w:b/>
          <w:bCs/>
          <w:color w:val="000000" w:themeColor="text1"/>
        </w:rPr>
      </w:pPr>
      <w:r w:rsidRPr="001847EB">
        <w:rPr>
          <w:rFonts w:ascii="Calibri" w:hAnsi="Calibri" w:cs="Calibri"/>
          <w:b/>
          <w:bCs/>
          <w:color w:val="000000" w:themeColor="text1"/>
        </w:rPr>
        <w:t>Consideraciones relacionadas con la asignación del riesgo de variaciones en la mano de obra de la Licitación Pública</w:t>
      </w:r>
    </w:p>
    <w:p w14:paraId="219470FF" w14:textId="77777777" w:rsidR="00F3498B" w:rsidRPr="001847EB" w:rsidRDefault="00F3498B" w:rsidP="00F3498B">
      <w:pPr>
        <w:pStyle w:val="PPUlist1"/>
        <w:tabs>
          <w:tab w:val="left" w:pos="709"/>
        </w:tabs>
        <w:spacing w:after="0" w:line="276" w:lineRule="auto"/>
        <w:jc w:val="both"/>
        <w:rPr>
          <w:rFonts w:ascii="Calibri" w:hAnsi="Calibri" w:cs="Calibri"/>
          <w:b/>
          <w:bCs/>
          <w:color w:val="000000" w:themeColor="text1"/>
        </w:rPr>
      </w:pPr>
    </w:p>
    <w:p w14:paraId="56BFB6BC"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color w:val="000000" w:themeColor="text1"/>
        </w:rPr>
        <w:t>Que, de conformidad con lo dispuesto en el artículo 4 de la Ley 1150 de 2007, las matrices de riesgos de los procesos de selección identificados en el numeral 1 asignaron conjuntamente a Transmilenio y a sus adjudicatarios el riesgo de variaciones del precio de la mano de obra. Dicha asignación tuvo en consideración los siguientes aspectos:</w:t>
      </w:r>
    </w:p>
    <w:p w14:paraId="13D22ACF" w14:textId="77777777" w:rsidR="00F3498B" w:rsidRPr="001847EB" w:rsidRDefault="00F3498B" w:rsidP="00F3498B">
      <w:pPr>
        <w:pStyle w:val="PPUlist1"/>
        <w:tabs>
          <w:tab w:val="left" w:pos="1418"/>
        </w:tabs>
        <w:spacing w:after="0" w:line="276" w:lineRule="auto"/>
        <w:jc w:val="both"/>
        <w:rPr>
          <w:rFonts w:ascii="Calibri" w:hAnsi="Calibri" w:cs="Calibri"/>
          <w:b/>
          <w:bCs/>
          <w:color w:val="000000" w:themeColor="text1"/>
        </w:rPr>
      </w:pPr>
    </w:p>
    <w:p w14:paraId="00C0F8E2" w14:textId="77777777" w:rsidR="00F3498B" w:rsidRPr="00CA6B6D" w:rsidRDefault="00F3498B" w:rsidP="00F3498B">
      <w:pPr>
        <w:pStyle w:val="PPUlist1"/>
        <w:numPr>
          <w:ilvl w:val="0"/>
          <w:numId w:val="4"/>
        </w:numPr>
        <w:tabs>
          <w:tab w:val="left" w:pos="1418"/>
        </w:tabs>
        <w:spacing w:after="0" w:line="276" w:lineRule="auto"/>
        <w:ind w:left="0" w:firstLine="0"/>
        <w:jc w:val="both"/>
        <w:rPr>
          <w:rFonts w:ascii="Calibri" w:hAnsi="Calibri" w:cs="Calibri"/>
          <w:color w:val="000000" w:themeColor="text1"/>
        </w:rPr>
      </w:pPr>
      <w:r w:rsidRPr="001847EB">
        <w:rPr>
          <w:rFonts w:ascii="Calibri" w:hAnsi="Calibri" w:cs="Calibri"/>
          <w:color w:val="000000" w:themeColor="text1"/>
        </w:rPr>
        <w:lastRenderedPageBreak/>
        <w:t>Los documentos de la Licitaci</w:t>
      </w:r>
      <w:r>
        <w:rPr>
          <w:rFonts w:ascii="Calibri" w:hAnsi="Calibri" w:cs="Calibri"/>
          <w:color w:val="000000" w:themeColor="text1"/>
        </w:rPr>
        <w:t>ón</w:t>
      </w:r>
      <w:r w:rsidRPr="001847EB">
        <w:rPr>
          <w:rFonts w:ascii="Calibri" w:hAnsi="Calibri" w:cs="Calibri"/>
          <w:color w:val="000000" w:themeColor="text1"/>
        </w:rPr>
        <w:t xml:space="preserve"> Pública estableci</w:t>
      </w:r>
      <w:r>
        <w:rPr>
          <w:rFonts w:ascii="Calibri" w:hAnsi="Calibri" w:cs="Calibri"/>
          <w:color w:val="000000" w:themeColor="text1"/>
        </w:rPr>
        <w:t>eron</w:t>
      </w:r>
      <w:r w:rsidRPr="001847EB">
        <w:rPr>
          <w:rFonts w:ascii="Calibri" w:hAnsi="Calibri" w:cs="Calibri"/>
          <w:color w:val="000000" w:themeColor="text1"/>
        </w:rPr>
        <w:t xml:space="preserve"> valores mínimos aceptables para los salarios de cada perfil requerido por Transmilenio para la ejecución de los respectivos contratos (en adelante los “</w:t>
      </w:r>
      <w:r w:rsidRPr="001847EB">
        <w:rPr>
          <w:rFonts w:ascii="Calibri" w:hAnsi="Calibri" w:cs="Calibri"/>
          <w:b/>
          <w:bCs/>
          <w:color w:val="000000" w:themeColor="text1"/>
        </w:rPr>
        <w:t>Perfiles Requeridos</w:t>
      </w:r>
      <w:r w:rsidRPr="001847EB">
        <w:rPr>
          <w:rFonts w:ascii="Calibri" w:hAnsi="Calibri" w:cs="Calibri"/>
          <w:color w:val="000000" w:themeColor="text1"/>
        </w:rPr>
        <w:t xml:space="preserve">”). Dichos valores se </w:t>
      </w:r>
      <w:r w:rsidRPr="00CA6B6D">
        <w:rPr>
          <w:rFonts w:ascii="Calibri" w:hAnsi="Calibri" w:cs="Calibri"/>
          <w:color w:val="000000" w:themeColor="text1"/>
        </w:rPr>
        <w:t>encontraban por encima del salario mínimo legal mensual vigente del año de adjudicación.</w:t>
      </w:r>
    </w:p>
    <w:p w14:paraId="061893A1"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p w14:paraId="77E42A54" w14:textId="77777777" w:rsidR="00F3498B" w:rsidRPr="001847EB" w:rsidRDefault="00F3498B" w:rsidP="00F3498B">
      <w:pPr>
        <w:pStyle w:val="PPUlist1"/>
        <w:numPr>
          <w:ilvl w:val="0"/>
          <w:numId w:val="4"/>
        </w:numPr>
        <w:tabs>
          <w:tab w:val="left" w:pos="1418"/>
        </w:tabs>
        <w:spacing w:after="0" w:line="276" w:lineRule="auto"/>
        <w:ind w:left="0" w:firstLine="0"/>
        <w:jc w:val="both"/>
        <w:rPr>
          <w:rFonts w:ascii="Calibri" w:hAnsi="Calibri" w:cs="Calibri"/>
          <w:color w:val="000000" w:themeColor="text1"/>
        </w:rPr>
      </w:pPr>
      <w:r w:rsidRPr="001847EB">
        <w:rPr>
          <w:rFonts w:ascii="Calibri" w:hAnsi="Calibri" w:cs="Calibri"/>
          <w:color w:val="000000" w:themeColor="text1"/>
        </w:rPr>
        <w:t xml:space="preserve">En particular, las ofertas económicas que podían realizar los proponentes estaban limitadas, además del valor máximo dispuesto para el proceso de selección, por el valor máximo estimado para el componente de nómina o equipo de trabajo por parte de Transmilenio. Este ítem, contenido en los respectivos análisis de sector, corresponde al costo de los salarios y prestaciones sociales de los Perfiles Requeridos. Es decir, no incluía los costos correspondientes al personal administrativo y gerencial dispuesto para la ejecución del contrato, pues dicho personal se costea con cargo al ítem de </w:t>
      </w:r>
      <w:r w:rsidRPr="00383CC5">
        <w:rPr>
          <w:rFonts w:ascii="Calibri" w:hAnsi="Calibri" w:cs="Calibri"/>
        </w:rPr>
        <w:t>administración,</w:t>
      </w:r>
      <w:r w:rsidRPr="001847EB">
        <w:rPr>
          <w:rFonts w:ascii="Calibri" w:hAnsi="Calibri" w:cs="Calibri"/>
          <w:color w:val="000000" w:themeColor="text1"/>
        </w:rPr>
        <w:t xml:space="preserve"> </w:t>
      </w:r>
      <w:r>
        <w:rPr>
          <w:rFonts w:ascii="Calibri" w:hAnsi="Calibri" w:cs="Calibri"/>
          <w:color w:val="000000" w:themeColor="text1"/>
        </w:rPr>
        <w:t>imprevistos</w:t>
      </w:r>
      <w:r w:rsidRPr="001847EB">
        <w:rPr>
          <w:rFonts w:ascii="Calibri" w:hAnsi="Calibri" w:cs="Calibri"/>
          <w:color w:val="000000" w:themeColor="text1"/>
        </w:rPr>
        <w:t xml:space="preserve"> y utilidad (en adelante “</w:t>
      </w:r>
      <w:r w:rsidRPr="001847EB">
        <w:rPr>
          <w:rFonts w:ascii="Calibri" w:hAnsi="Calibri" w:cs="Calibri"/>
          <w:b/>
          <w:bCs/>
          <w:color w:val="000000" w:themeColor="text1"/>
        </w:rPr>
        <w:t>AIU</w:t>
      </w:r>
      <w:r w:rsidRPr="001847EB">
        <w:rPr>
          <w:rFonts w:ascii="Calibri" w:hAnsi="Calibri" w:cs="Calibri"/>
          <w:color w:val="000000" w:themeColor="text1"/>
        </w:rPr>
        <w:t>”).</w:t>
      </w:r>
    </w:p>
    <w:p w14:paraId="0738CF9D" w14:textId="77777777" w:rsidR="00F3498B" w:rsidRPr="001847EB" w:rsidRDefault="00F3498B" w:rsidP="00F3498B">
      <w:pPr>
        <w:pStyle w:val="PPUlist1"/>
        <w:tabs>
          <w:tab w:val="left" w:pos="1418"/>
        </w:tabs>
        <w:spacing w:after="0" w:line="276" w:lineRule="auto"/>
        <w:jc w:val="both"/>
        <w:rPr>
          <w:rFonts w:ascii="Calibri" w:hAnsi="Calibri" w:cs="Calibri"/>
          <w:color w:val="000000" w:themeColor="text1"/>
        </w:rPr>
      </w:pPr>
    </w:p>
    <w:p w14:paraId="29816E43"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color w:val="000000" w:themeColor="text1"/>
        </w:rPr>
        <w:t>Que, de conformidad con la jurisprudencia del Consejo de Estado, la incorporación de un riesgo en el valor de la oferta económica busca que el oferente soporte los efectos de su materialización</w:t>
      </w:r>
      <w:r w:rsidRPr="001847EB">
        <w:rPr>
          <w:rStyle w:val="Refdenotaalpie"/>
          <w:rFonts w:ascii="Calibri" w:hAnsi="Calibri" w:cs="Calibri"/>
          <w:color w:val="000000" w:themeColor="text1"/>
        </w:rPr>
        <w:footnoteReference w:id="3"/>
      </w:r>
      <w:r w:rsidRPr="001847EB">
        <w:rPr>
          <w:rFonts w:ascii="Calibri" w:hAnsi="Calibri" w:cs="Calibri"/>
          <w:color w:val="000000" w:themeColor="text1"/>
        </w:rPr>
        <w:t>.</w:t>
      </w:r>
    </w:p>
    <w:p w14:paraId="656FCAF7" w14:textId="77777777" w:rsidR="00F3498B" w:rsidRPr="001847EB" w:rsidRDefault="00F3498B" w:rsidP="00F3498B">
      <w:pPr>
        <w:pStyle w:val="PPUlist1"/>
        <w:tabs>
          <w:tab w:val="left" w:pos="1418"/>
        </w:tabs>
        <w:spacing w:after="0" w:line="276" w:lineRule="auto"/>
        <w:jc w:val="both"/>
        <w:rPr>
          <w:rFonts w:ascii="Calibri" w:hAnsi="Calibri" w:cs="Calibri"/>
          <w:b/>
          <w:bCs/>
          <w:color w:val="000000" w:themeColor="text1"/>
        </w:rPr>
      </w:pPr>
    </w:p>
    <w:p w14:paraId="0CCA62A4" w14:textId="4075A97C"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color w:val="000000" w:themeColor="text1"/>
        </w:rPr>
        <w:t xml:space="preserve">Que, a la luz de dicho criterio jurisprudencial, la asignación conjunta del riesgo de las variaciones del costo de la mano de obra debe interpretarse de tal forma que los efectos de la materialización de dicho riesgo sean distribuidos de acuerdo con el margen que tenían los proponentes de las </w:t>
      </w:r>
      <w:r w:rsidR="00F17E10" w:rsidRPr="001847EB">
        <w:rPr>
          <w:rFonts w:ascii="Calibri" w:hAnsi="Calibri" w:cs="Calibri"/>
          <w:color w:val="000000" w:themeColor="text1"/>
        </w:rPr>
        <w:t>Licitaci</w:t>
      </w:r>
      <w:r w:rsidR="00F17E10">
        <w:rPr>
          <w:rFonts w:ascii="Calibri" w:hAnsi="Calibri" w:cs="Calibri"/>
          <w:color w:val="000000" w:themeColor="text1"/>
        </w:rPr>
        <w:t>ón</w:t>
      </w:r>
      <w:r w:rsidR="00F17E10" w:rsidRPr="001847EB">
        <w:rPr>
          <w:rFonts w:ascii="Calibri" w:hAnsi="Calibri" w:cs="Calibri"/>
          <w:color w:val="000000" w:themeColor="text1"/>
        </w:rPr>
        <w:t xml:space="preserve"> Pública</w:t>
      </w:r>
      <w:r w:rsidRPr="001847EB">
        <w:rPr>
          <w:rFonts w:ascii="Calibri" w:hAnsi="Calibri" w:cs="Calibri"/>
          <w:color w:val="000000" w:themeColor="text1"/>
        </w:rPr>
        <w:t xml:space="preserve"> para incorporarlo en sus respectivas ofertas económicas.</w:t>
      </w:r>
    </w:p>
    <w:p w14:paraId="4B36D930" w14:textId="77777777" w:rsidR="00F3498B" w:rsidRPr="001847EB" w:rsidRDefault="00F3498B" w:rsidP="00F3498B">
      <w:pPr>
        <w:pStyle w:val="PPUlist1"/>
        <w:tabs>
          <w:tab w:val="left" w:pos="1418"/>
        </w:tabs>
        <w:spacing w:after="0" w:line="276" w:lineRule="auto"/>
        <w:jc w:val="both"/>
        <w:rPr>
          <w:rFonts w:ascii="Calibri" w:hAnsi="Calibri" w:cs="Calibri"/>
          <w:b/>
          <w:bCs/>
          <w:color w:val="000000" w:themeColor="text1"/>
        </w:rPr>
      </w:pPr>
    </w:p>
    <w:p w14:paraId="1236D557" w14:textId="696A22AA" w:rsidR="00F3498B" w:rsidRPr="00383CC5"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383CC5">
        <w:rPr>
          <w:rFonts w:ascii="Calibri" w:hAnsi="Calibri" w:cs="Calibri"/>
          <w:color w:val="000000" w:themeColor="text1"/>
        </w:rPr>
        <w:t xml:space="preserve">Que, en atención al valor superior de la remuneración mínima aceptable de los Perfiles Requeridos respecto del salario mínimo de 2025, el valor máximo estimado por Transmilenio para el componente de nómina o equipo de trabajo de las </w:t>
      </w:r>
      <w:r w:rsidR="00F17E10" w:rsidRPr="001847EB">
        <w:rPr>
          <w:rFonts w:ascii="Calibri" w:hAnsi="Calibri" w:cs="Calibri"/>
          <w:color w:val="000000" w:themeColor="text1"/>
        </w:rPr>
        <w:t>Licitaci</w:t>
      </w:r>
      <w:r w:rsidR="00F17E10">
        <w:rPr>
          <w:rFonts w:ascii="Calibri" w:hAnsi="Calibri" w:cs="Calibri"/>
          <w:color w:val="000000" w:themeColor="text1"/>
        </w:rPr>
        <w:t>ón</w:t>
      </w:r>
      <w:r w:rsidR="00F17E10" w:rsidRPr="001847EB">
        <w:rPr>
          <w:rFonts w:ascii="Calibri" w:hAnsi="Calibri" w:cs="Calibri"/>
          <w:color w:val="000000" w:themeColor="text1"/>
        </w:rPr>
        <w:t xml:space="preserve"> Pública</w:t>
      </w:r>
      <w:r w:rsidR="00F17E10">
        <w:rPr>
          <w:rFonts w:ascii="Calibri" w:hAnsi="Calibri" w:cs="Calibri"/>
          <w:color w:val="000000" w:themeColor="text1"/>
        </w:rPr>
        <w:t xml:space="preserve"> </w:t>
      </w:r>
      <w:r w:rsidRPr="00383CC5">
        <w:rPr>
          <w:rFonts w:ascii="Calibri" w:hAnsi="Calibri" w:cs="Calibri"/>
          <w:color w:val="000000" w:themeColor="text1"/>
        </w:rPr>
        <w:t>no incorporó el valor de posibles aumentos de los costos laborales derivados del incremento de dicho estándar para el año 2026. De haberse producido un incremento congruente con el comportamiento de la inflación, los valores mínimos fijados por Transmilenio para la remuneración de los Perfiles Requeridos habrían sido suficientes para internalizar la materialización del referido riesgo. No obstante, como ello no fue así, al momento de presentar su oferta, los adjudicatarios no pudieron incorporar en el precio propuesto la asunción del riesgo de variaciones en la magnitud en que ocurrió.</w:t>
      </w:r>
    </w:p>
    <w:p w14:paraId="5CA32858" w14:textId="77777777" w:rsidR="00F3498B" w:rsidRPr="001847EB" w:rsidRDefault="00F3498B" w:rsidP="00F3498B">
      <w:pPr>
        <w:pStyle w:val="PPUlist1"/>
        <w:tabs>
          <w:tab w:val="left" w:pos="1418"/>
        </w:tabs>
        <w:spacing w:after="0" w:line="276" w:lineRule="auto"/>
        <w:jc w:val="both"/>
        <w:rPr>
          <w:rFonts w:ascii="Calibri" w:hAnsi="Calibri" w:cs="Calibri"/>
          <w:b/>
          <w:bCs/>
          <w:color w:val="000000" w:themeColor="text1"/>
        </w:rPr>
      </w:pPr>
    </w:p>
    <w:p w14:paraId="7A4FAB94" w14:textId="6BF03D09"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color w:val="000000" w:themeColor="text1"/>
        </w:rPr>
        <w:lastRenderedPageBreak/>
        <w:t xml:space="preserve">Que, por el contrario, la mayor discrecionalidad en la determinación del AIU permitió a los adjudicatarios de las </w:t>
      </w:r>
      <w:r w:rsidR="00F17E10" w:rsidRPr="001847EB">
        <w:rPr>
          <w:rFonts w:ascii="Calibri" w:hAnsi="Calibri" w:cs="Calibri"/>
          <w:color w:val="000000" w:themeColor="text1"/>
        </w:rPr>
        <w:t>Licitaci</w:t>
      </w:r>
      <w:r w:rsidR="00F17E10">
        <w:rPr>
          <w:rFonts w:ascii="Calibri" w:hAnsi="Calibri" w:cs="Calibri"/>
          <w:color w:val="000000" w:themeColor="text1"/>
        </w:rPr>
        <w:t>ón</w:t>
      </w:r>
      <w:r w:rsidR="00F17E10" w:rsidRPr="001847EB">
        <w:rPr>
          <w:rFonts w:ascii="Calibri" w:hAnsi="Calibri" w:cs="Calibri"/>
          <w:color w:val="000000" w:themeColor="text1"/>
        </w:rPr>
        <w:t xml:space="preserve"> Pública</w:t>
      </w:r>
      <w:r w:rsidR="00F17E10">
        <w:rPr>
          <w:rFonts w:ascii="Calibri" w:hAnsi="Calibri" w:cs="Calibri"/>
          <w:color w:val="000000" w:themeColor="text1"/>
        </w:rPr>
        <w:t xml:space="preserve"> </w:t>
      </w:r>
      <w:r w:rsidRPr="001847EB">
        <w:rPr>
          <w:rFonts w:ascii="Calibri" w:hAnsi="Calibri" w:cs="Calibri"/>
          <w:color w:val="000000" w:themeColor="text1"/>
        </w:rPr>
        <w:t>incorporar el riesgo de la variación de la mano de obra costeada con cargo a este ítem en sus ofertas económicas.</w:t>
      </w:r>
    </w:p>
    <w:p w14:paraId="5D765762" w14:textId="77777777" w:rsidR="00F3498B" w:rsidRPr="001847EB" w:rsidRDefault="00F3498B" w:rsidP="00F3498B">
      <w:pPr>
        <w:pStyle w:val="PPUlist1"/>
        <w:tabs>
          <w:tab w:val="left" w:pos="1418"/>
        </w:tabs>
        <w:spacing w:after="0" w:line="276" w:lineRule="auto"/>
        <w:jc w:val="both"/>
        <w:rPr>
          <w:rFonts w:ascii="Calibri" w:hAnsi="Calibri" w:cs="Calibri"/>
          <w:b/>
          <w:bCs/>
          <w:color w:val="000000" w:themeColor="text1"/>
        </w:rPr>
      </w:pPr>
    </w:p>
    <w:p w14:paraId="200325F1" w14:textId="2BD32024"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color w:val="000000" w:themeColor="text1"/>
        </w:rPr>
        <w:t xml:space="preserve">Que, de conformidad con lo establecido en el análisis de sector de las </w:t>
      </w:r>
      <w:r w:rsidR="00F17E10" w:rsidRPr="001847EB">
        <w:rPr>
          <w:rFonts w:ascii="Calibri" w:hAnsi="Calibri" w:cs="Calibri"/>
          <w:color w:val="000000" w:themeColor="text1"/>
        </w:rPr>
        <w:t>Licitaci</w:t>
      </w:r>
      <w:r w:rsidR="00F17E10">
        <w:rPr>
          <w:rFonts w:ascii="Calibri" w:hAnsi="Calibri" w:cs="Calibri"/>
          <w:color w:val="000000" w:themeColor="text1"/>
        </w:rPr>
        <w:t>ón</w:t>
      </w:r>
      <w:r w:rsidR="00F17E10" w:rsidRPr="001847EB">
        <w:rPr>
          <w:rFonts w:ascii="Calibri" w:hAnsi="Calibri" w:cs="Calibri"/>
          <w:color w:val="000000" w:themeColor="text1"/>
        </w:rPr>
        <w:t xml:space="preserve"> Pública</w:t>
      </w:r>
      <w:r w:rsidRPr="001847EB">
        <w:rPr>
          <w:rFonts w:ascii="Calibri" w:hAnsi="Calibri" w:cs="Calibri"/>
          <w:color w:val="000000" w:themeColor="text1"/>
        </w:rPr>
        <w:t>, el componente de imprevistos del AIU remunera la asunción de los riesgos previsibles del contrato, entre los que se encuentra el riesgo de la mano de obra identificado y asignado en la matriz de riesgos del contrato.</w:t>
      </w:r>
    </w:p>
    <w:p w14:paraId="33D35223" w14:textId="77777777" w:rsidR="00F3498B" w:rsidRPr="00383CC5" w:rsidRDefault="00F3498B" w:rsidP="00F3498B">
      <w:pPr>
        <w:pStyle w:val="PPUlist1"/>
        <w:tabs>
          <w:tab w:val="left" w:pos="1418"/>
        </w:tabs>
        <w:spacing w:after="0" w:line="276" w:lineRule="auto"/>
        <w:jc w:val="both"/>
        <w:rPr>
          <w:rFonts w:ascii="Calibri" w:hAnsi="Calibri" w:cs="Calibri"/>
          <w:b/>
          <w:bCs/>
        </w:rPr>
      </w:pPr>
    </w:p>
    <w:p w14:paraId="4D02DC69" w14:textId="77777777" w:rsidR="00F3498B" w:rsidRPr="00383CC5" w:rsidRDefault="00F3498B" w:rsidP="00F3498B">
      <w:pPr>
        <w:pStyle w:val="PPUlist1"/>
        <w:numPr>
          <w:ilvl w:val="1"/>
          <w:numId w:val="2"/>
        </w:numPr>
        <w:tabs>
          <w:tab w:val="left" w:pos="1418"/>
        </w:tabs>
        <w:spacing w:after="0" w:line="276" w:lineRule="auto"/>
        <w:ind w:left="0" w:firstLine="709"/>
        <w:jc w:val="both"/>
        <w:rPr>
          <w:rFonts w:ascii="Calibri" w:hAnsi="Calibri" w:cs="Calibri"/>
          <w:b/>
          <w:bCs/>
        </w:rPr>
      </w:pPr>
      <w:r w:rsidRPr="00383CC5">
        <w:rPr>
          <w:rFonts w:ascii="Calibri" w:hAnsi="Calibri" w:cs="Calibri"/>
        </w:rPr>
        <w:t>Que, en virtud del carácter imperativo de las normas laborales y de las obligaciones contractuales a cargo de los adjudicatarios de la Licitación Pública, a la fecha de suscripción del presente otrosí, y de acuerdo con lo informado por los contratistas en diferentes comunicaciones y mesas de trabajo sostenidas con ellos, estos han asumido en su integridad los efectos de las variaciones del precio de la mano de obra con recursos adicionales a los contemplados para el componente de imprevistos. Lo anterior por cuanto estos han resultado insuficientes para sufragar dichas variaciones en virtud de su destinación ordinaria para el pago, entre otros, de los mayores costos derivados de la reforma laboral - Ley 2466 de 2025 y de reemplazos de personal.</w:t>
      </w:r>
    </w:p>
    <w:p w14:paraId="01CE7DDE" w14:textId="77777777" w:rsidR="00F3498B" w:rsidRPr="00383CC5" w:rsidRDefault="00F3498B" w:rsidP="00F3498B">
      <w:pPr>
        <w:pStyle w:val="PPUlist1"/>
        <w:tabs>
          <w:tab w:val="left" w:pos="1418"/>
        </w:tabs>
        <w:spacing w:after="0" w:line="276" w:lineRule="auto"/>
        <w:jc w:val="both"/>
        <w:rPr>
          <w:rFonts w:ascii="Calibri" w:hAnsi="Calibri" w:cs="Calibri"/>
          <w:b/>
          <w:bCs/>
        </w:rPr>
      </w:pPr>
    </w:p>
    <w:p w14:paraId="69BF5954" w14:textId="77777777" w:rsidR="00F3498B" w:rsidRPr="00383CC5" w:rsidRDefault="00F3498B" w:rsidP="00F3498B">
      <w:pPr>
        <w:pStyle w:val="PPUlist1"/>
        <w:numPr>
          <w:ilvl w:val="1"/>
          <w:numId w:val="2"/>
        </w:numPr>
        <w:tabs>
          <w:tab w:val="left" w:pos="1418"/>
        </w:tabs>
        <w:spacing w:after="0" w:line="276" w:lineRule="auto"/>
        <w:ind w:left="0" w:firstLine="709"/>
        <w:jc w:val="both"/>
        <w:rPr>
          <w:rFonts w:ascii="Calibri" w:hAnsi="Calibri" w:cs="Calibri"/>
          <w:b/>
          <w:bCs/>
        </w:rPr>
      </w:pPr>
      <w:r w:rsidRPr="00383CC5">
        <w:rPr>
          <w:rFonts w:ascii="Calibri" w:hAnsi="Calibri" w:cs="Calibri"/>
        </w:rPr>
        <w:t xml:space="preserve">Que, de conformidad con lo expuesto, Transmilenio asumirá los efectos económicos de dichas variaciones que no hayan podido ser incorporados por los adjudicatarios en sus ofertas económicas, lo que impone la necesidad de reconocer el valor que han pagado y que deben pagar los adjudicatarios de la Licitación Pública durante todo el plazo de ejecución contractual por este concepto y que de acuerdo con lo informado por los contratistas en comunicaciones y mesas de trabajo sostenidas con ellos, no han podido ser sufragados con cargo al componente de imprevistos. </w:t>
      </w:r>
    </w:p>
    <w:p w14:paraId="6CD2E7BF" w14:textId="77777777" w:rsidR="00F3498B" w:rsidRPr="00383CC5" w:rsidRDefault="00F3498B" w:rsidP="00F3498B">
      <w:pPr>
        <w:pStyle w:val="PPUlist1"/>
        <w:tabs>
          <w:tab w:val="left" w:pos="1418"/>
        </w:tabs>
        <w:spacing w:after="0" w:line="276" w:lineRule="auto"/>
        <w:jc w:val="both"/>
        <w:rPr>
          <w:rFonts w:ascii="Calibri" w:hAnsi="Calibri" w:cs="Calibri"/>
          <w:b/>
          <w:bCs/>
          <w:color w:val="000000" w:themeColor="text1"/>
        </w:rPr>
      </w:pPr>
    </w:p>
    <w:p w14:paraId="7211815F" w14:textId="77777777" w:rsidR="00F3498B" w:rsidRPr="00383CC5"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383CC5">
        <w:rPr>
          <w:rFonts w:ascii="Calibri" w:hAnsi="Calibri" w:cs="Calibri"/>
          <w:color w:val="000000" w:themeColor="text1"/>
        </w:rPr>
        <w:t>Que, por las razones expuestas en los numerales 2,3, 2.4 y 2.5 anteriores, lo anterior se traduce en que Transmilenio compense al Contratista por la variación de los costos de la mano de obra derivada del aumento del salario mínimo respecto de los Perfiles Requeridos, pero no respecto de aquellos trabajadores contratados con cargo al componente de AIU del Contrato.</w:t>
      </w:r>
    </w:p>
    <w:p w14:paraId="249D0470" w14:textId="77777777" w:rsidR="00F3498B" w:rsidRPr="00383CC5" w:rsidRDefault="00F3498B" w:rsidP="00F3498B">
      <w:pPr>
        <w:pStyle w:val="Prrafodelista"/>
        <w:spacing w:after="0"/>
        <w:rPr>
          <w:rFonts w:ascii="Calibri" w:hAnsi="Calibri" w:cs="Calibri"/>
          <w:b/>
          <w:bCs/>
          <w:color w:val="000000" w:themeColor="text1"/>
        </w:rPr>
      </w:pPr>
    </w:p>
    <w:p w14:paraId="36BFF7F5" w14:textId="77777777" w:rsidR="00F3498B" w:rsidRPr="00383CC5"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383CC5">
        <w:rPr>
          <w:rFonts w:ascii="Calibri" w:hAnsi="Calibri" w:cs="Calibri"/>
          <w:color w:val="000000" w:themeColor="text1"/>
        </w:rPr>
        <w:t xml:space="preserve">Que lo anterior es consecuencia de que las reglas establecidas en el Pliego de Condiciones de la Licitación Pública derivaron en que los valores mínimos y máximos de las ofertas económicas que los proponentes de la Licitación Pública podían presentar (so pena de rechazo) fueran muy cercanos, lo cual obedece a una lógica de estructuración </w:t>
      </w:r>
      <w:r w:rsidRPr="00383CC5">
        <w:rPr>
          <w:rFonts w:ascii="Calibri" w:hAnsi="Calibri" w:cs="Calibri"/>
          <w:color w:val="000000" w:themeColor="text1"/>
        </w:rPr>
        <w:lastRenderedPageBreak/>
        <w:t>particularísima de dichas Licitación Pública que no es extrapolable automáticamente a otros contratos suscritos por Transmilenio.</w:t>
      </w:r>
    </w:p>
    <w:p w14:paraId="7D983F7A" w14:textId="77777777" w:rsidR="00F3498B" w:rsidRPr="00383CC5" w:rsidRDefault="00F3498B" w:rsidP="00F3498B">
      <w:pPr>
        <w:pStyle w:val="PPUlist1"/>
        <w:tabs>
          <w:tab w:val="left" w:pos="1418"/>
        </w:tabs>
        <w:spacing w:after="0" w:line="276" w:lineRule="auto"/>
        <w:jc w:val="both"/>
        <w:rPr>
          <w:rFonts w:ascii="Calibri" w:hAnsi="Calibri" w:cs="Calibri"/>
          <w:b/>
          <w:bCs/>
          <w:color w:val="000000" w:themeColor="text1"/>
        </w:rPr>
      </w:pPr>
    </w:p>
    <w:p w14:paraId="54C8247A" w14:textId="77777777" w:rsidR="00F3498B" w:rsidRPr="00AE7F41"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383CC5">
        <w:rPr>
          <w:rFonts w:ascii="Calibri" w:hAnsi="Calibri" w:cs="Calibri"/>
          <w:color w:val="000000" w:themeColor="text1"/>
        </w:rPr>
        <w:t>Que, durante el periodo adicional de ejecución del contrato que iniciará el 8 de abril y terminará el 7 de julio de 2026, sí resulta procedente reconocer un aumento del AIU proporcional al mayor valor total del Contrato</w:t>
      </w:r>
      <w:r w:rsidRPr="001847EB">
        <w:rPr>
          <w:rFonts w:ascii="Calibri" w:hAnsi="Calibri" w:cs="Calibri"/>
          <w:color w:val="000000" w:themeColor="text1"/>
        </w:rPr>
        <w:t xml:space="preserve"> como consecuencia de la adición propuesta. Lo anterior en virtud de que las condiciones financieras de ejecución contractual durante dicho periodo adicional serán distintas de aquellas bajo las cuales se adjudicó el Contrato, de conformidad con lo expuesto en las consideraciones precedentes.</w:t>
      </w:r>
    </w:p>
    <w:p w14:paraId="1D2C5196" w14:textId="77777777" w:rsidR="00F3498B" w:rsidRPr="00AE7F41" w:rsidRDefault="00F3498B" w:rsidP="00F3498B">
      <w:pPr>
        <w:pStyle w:val="PPUlist1"/>
        <w:tabs>
          <w:tab w:val="left" w:pos="1418"/>
        </w:tabs>
        <w:spacing w:after="0" w:line="276" w:lineRule="auto"/>
        <w:ind w:left="709"/>
        <w:jc w:val="both"/>
        <w:rPr>
          <w:rFonts w:ascii="Calibri" w:hAnsi="Calibri" w:cs="Calibri"/>
          <w:b/>
          <w:bCs/>
          <w:color w:val="000000" w:themeColor="text1"/>
        </w:rPr>
      </w:pPr>
    </w:p>
    <w:p w14:paraId="4842A53C" w14:textId="77777777" w:rsidR="00F3498B" w:rsidRPr="00383CC5"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383CC5">
        <w:rPr>
          <w:rFonts w:ascii="Calibri" w:hAnsi="Calibri" w:cs="Calibri"/>
          <w:color w:val="000000" w:themeColor="text1"/>
        </w:rPr>
        <w:t>Que, igualmente, durante dicho periodo adicional resulta procedente reconocer los demás costos asociados al personal que se causen por expresa disposición legal, como lo es el pago de la dotación de la que tratan los artículos 230 y 232 del Código Sustantivo del Trabajo.</w:t>
      </w:r>
    </w:p>
    <w:p w14:paraId="3FC9BC0C" w14:textId="77777777" w:rsidR="00F3498B" w:rsidRPr="001847EB" w:rsidRDefault="00F3498B" w:rsidP="00F3498B">
      <w:pPr>
        <w:pStyle w:val="PPUlist1"/>
        <w:tabs>
          <w:tab w:val="left" w:pos="1418"/>
        </w:tabs>
        <w:spacing w:after="0" w:line="276" w:lineRule="auto"/>
        <w:jc w:val="both"/>
        <w:rPr>
          <w:rFonts w:ascii="Calibri" w:hAnsi="Calibri" w:cs="Calibri"/>
          <w:b/>
          <w:bCs/>
          <w:color w:val="000000" w:themeColor="text1"/>
        </w:rPr>
      </w:pPr>
    </w:p>
    <w:p w14:paraId="393FFC9D" w14:textId="77777777" w:rsidR="00F3498B" w:rsidRPr="001847EB" w:rsidRDefault="00F3498B" w:rsidP="00F3498B">
      <w:pPr>
        <w:pStyle w:val="PPUlist1"/>
        <w:numPr>
          <w:ilvl w:val="0"/>
          <w:numId w:val="2"/>
        </w:numPr>
        <w:tabs>
          <w:tab w:val="left" w:pos="709"/>
        </w:tabs>
        <w:spacing w:after="0" w:line="276" w:lineRule="auto"/>
        <w:ind w:left="0" w:firstLine="0"/>
        <w:jc w:val="both"/>
        <w:rPr>
          <w:rFonts w:ascii="Calibri" w:hAnsi="Calibri" w:cs="Calibri"/>
          <w:b/>
          <w:bCs/>
          <w:color w:val="000000" w:themeColor="text1"/>
        </w:rPr>
      </w:pPr>
      <w:r w:rsidRPr="001847EB">
        <w:rPr>
          <w:rFonts w:ascii="Calibri" w:hAnsi="Calibri" w:cs="Calibri"/>
          <w:b/>
          <w:bCs/>
          <w:color w:val="000000" w:themeColor="text1"/>
        </w:rPr>
        <w:t>Consideraciones relacionadas con los requisitos legales de la modificación del Contrato</w:t>
      </w:r>
    </w:p>
    <w:p w14:paraId="66CAEE39" w14:textId="77777777" w:rsidR="00F3498B" w:rsidRPr="001847EB" w:rsidRDefault="00F3498B" w:rsidP="00F3498B">
      <w:pPr>
        <w:pStyle w:val="PPUlist1"/>
        <w:tabs>
          <w:tab w:val="left" w:pos="709"/>
        </w:tabs>
        <w:spacing w:after="0" w:line="276" w:lineRule="auto"/>
        <w:jc w:val="both"/>
        <w:rPr>
          <w:rFonts w:ascii="Calibri" w:hAnsi="Calibri" w:cs="Calibri"/>
          <w:b/>
          <w:bCs/>
          <w:color w:val="000000" w:themeColor="text1"/>
        </w:rPr>
      </w:pPr>
    </w:p>
    <w:p w14:paraId="1221DCB9"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bCs/>
        </w:rPr>
        <w:t>Que, de conformidad con la jurisprudencia de la Corte Constitucional, la modificación de los contratos estatales puede ser fruto un acuerdo de voluntad o de una decisión unilateral de la entidad contratante en ejercicio de su función de dirección del contrato, debiendo en ambos casos</w:t>
      </w:r>
      <w:r w:rsidRPr="001847EB">
        <w:rPr>
          <w:rFonts w:ascii="Calibri" w:hAnsi="Calibri" w:cs="Calibri"/>
          <w:b/>
          <w:bCs/>
        </w:rPr>
        <w:t xml:space="preserve"> </w:t>
      </w:r>
      <w:r w:rsidRPr="001847EB">
        <w:rPr>
          <w:rFonts w:ascii="Calibri" w:hAnsi="Calibri" w:cs="Calibri"/>
        </w:rPr>
        <w:t>obedecer a una causa real y cierta autorizada en la ley, y acorde con los fines a los que sirve la contratación estatal</w:t>
      </w:r>
      <w:r w:rsidRPr="001847EB">
        <w:rPr>
          <w:rStyle w:val="Refdenotaalpie"/>
          <w:rFonts w:ascii="Calibri" w:hAnsi="Calibri" w:cs="Calibri"/>
        </w:rPr>
        <w:footnoteReference w:id="4"/>
      </w:r>
      <w:r w:rsidRPr="001847EB">
        <w:rPr>
          <w:rFonts w:ascii="Calibri" w:hAnsi="Calibri" w:cs="Calibri"/>
        </w:rPr>
        <w:t>. Adicionalmente, señala que lo anterior no tiene el alcance de autorizar la modificación de su objeto, variando su naturaleza, pues ello requeriría de la suscripción de un contrato adicional</w:t>
      </w:r>
      <w:r w:rsidRPr="001847EB">
        <w:rPr>
          <w:rStyle w:val="Refdenotaalpie"/>
          <w:rFonts w:ascii="Calibri" w:hAnsi="Calibri" w:cs="Calibri"/>
        </w:rPr>
        <w:footnoteReference w:id="5"/>
      </w:r>
      <w:r w:rsidRPr="001847EB">
        <w:rPr>
          <w:rFonts w:ascii="Calibri" w:hAnsi="Calibri" w:cs="Calibri"/>
        </w:rPr>
        <w:t>.</w:t>
      </w:r>
    </w:p>
    <w:p w14:paraId="381D5AC8" w14:textId="77777777" w:rsidR="00F3498B" w:rsidRPr="001847EB" w:rsidRDefault="00F3498B" w:rsidP="00F3498B">
      <w:pPr>
        <w:pStyle w:val="PPUlist1"/>
        <w:tabs>
          <w:tab w:val="left" w:pos="1418"/>
        </w:tabs>
        <w:spacing w:after="0" w:line="276" w:lineRule="auto"/>
        <w:jc w:val="both"/>
        <w:rPr>
          <w:rFonts w:ascii="Calibri" w:hAnsi="Calibri" w:cs="Calibri"/>
          <w:b/>
          <w:bCs/>
          <w:color w:val="000000" w:themeColor="text1"/>
        </w:rPr>
      </w:pPr>
    </w:p>
    <w:p w14:paraId="59307FA0"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rPr>
        <w:t>Que dichas condiciones se cumplen en el presente caso, pues las obligaciones contractuales del Contratista permanecerán incólumes, variando únicamente su plazo de ejecución y el valor que pagará Transmilenio por las antedichas razones.</w:t>
      </w:r>
    </w:p>
    <w:p w14:paraId="349CF637" w14:textId="77777777" w:rsidR="00F3498B" w:rsidRPr="001847EB" w:rsidRDefault="00F3498B" w:rsidP="00F3498B">
      <w:pPr>
        <w:pStyle w:val="PPUlist1"/>
        <w:tabs>
          <w:tab w:val="left" w:pos="1418"/>
        </w:tabs>
        <w:spacing w:after="0" w:line="276" w:lineRule="auto"/>
        <w:jc w:val="both"/>
        <w:rPr>
          <w:rFonts w:ascii="Calibri" w:hAnsi="Calibri" w:cs="Calibri"/>
          <w:b/>
          <w:bCs/>
          <w:color w:val="000000" w:themeColor="text1"/>
        </w:rPr>
      </w:pPr>
    </w:p>
    <w:p w14:paraId="049E74B3" w14:textId="77777777" w:rsidR="00F3498B" w:rsidRPr="001847EB" w:rsidRDefault="00F3498B" w:rsidP="00F3498B">
      <w:pPr>
        <w:pStyle w:val="PPUlist1"/>
        <w:numPr>
          <w:ilvl w:val="1"/>
          <w:numId w:val="2"/>
        </w:numPr>
        <w:tabs>
          <w:tab w:val="left" w:pos="1418"/>
        </w:tabs>
        <w:spacing w:after="0" w:line="276" w:lineRule="auto"/>
        <w:ind w:left="0" w:firstLine="709"/>
        <w:jc w:val="both"/>
        <w:rPr>
          <w:rFonts w:ascii="Calibri" w:hAnsi="Calibri" w:cs="Calibri"/>
          <w:b/>
          <w:bCs/>
          <w:color w:val="000000" w:themeColor="text1"/>
        </w:rPr>
      </w:pPr>
      <w:r w:rsidRPr="001847EB">
        <w:rPr>
          <w:rFonts w:ascii="Calibri" w:hAnsi="Calibri" w:cs="Calibri"/>
          <w:bCs/>
        </w:rPr>
        <w:t>Que la presente modificación se ajusta a los requerimientos legales y jurisprudenciales en materia de modificación de contratos estatales, por cuanto: (i) es consensuada entre las Partes; (</w:t>
      </w:r>
      <w:proofErr w:type="spellStart"/>
      <w:r w:rsidRPr="001847EB">
        <w:rPr>
          <w:rFonts w:ascii="Calibri" w:hAnsi="Calibri" w:cs="Calibri"/>
          <w:bCs/>
        </w:rPr>
        <w:t>ii</w:t>
      </w:r>
      <w:proofErr w:type="spellEnd"/>
      <w:r w:rsidRPr="001847EB">
        <w:rPr>
          <w:rFonts w:ascii="Calibri" w:hAnsi="Calibri" w:cs="Calibri"/>
          <w:bCs/>
        </w:rPr>
        <w:t>) responde a una necesidad clara y cierta alineada con los fines del Contrato y los de Transmilenio; (</w:t>
      </w:r>
      <w:proofErr w:type="spellStart"/>
      <w:r w:rsidRPr="001847EB">
        <w:rPr>
          <w:rFonts w:ascii="Calibri" w:hAnsi="Calibri" w:cs="Calibri"/>
          <w:bCs/>
        </w:rPr>
        <w:t>iii</w:t>
      </w:r>
      <w:proofErr w:type="spellEnd"/>
      <w:r w:rsidRPr="001847EB">
        <w:rPr>
          <w:rFonts w:ascii="Calibri" w:hAnsi="Calibri" w:cs="Calibri"/>
          <w:bCs/>
        </w:rPr>
        <w:t>) no modifica ni fracciona el objeto contractual;</w:t>
      </w:r>
      <w:r>
        <w:rPr>
          <w:rFonts w:ascii="Calibri" w:hAnsi="Calibri" w:cs="Calibri"/>
          <w:bCs/>
        </w:rPr>
        <w:t xml:space="preserve"> </w:t>
      </w:r>
      <w:r w:rsidRPr="001847EB">
        <w:rPr>
          <w:rFonts w:ascii="Calibri" w:hAnsi="Calibri" w:cs="Calibri"/>
          <w:bCs/>
        </w:rPr>
        <w:lastRenderedPageBreak/>
        <w:t>respeta el límite de adición del 50% contemplado en la Ley 80 de 1993; (</w:t>
      </w:r>
      <w:proofErr w:type="spellStart"/>
      <w:r w:rsidRPr="001847EB">
        <w:rPr>
          <w:rFonts w:ascii="Calibri" w:hAnsi="Calibri" w:cs="Calibri"/>
          <w:bCs/>
        </w:rPr>
        <w:t>iv</w:t>
      </w:r>
      <w:proofErr w:type="spellEnd"/>
      <w:r w:rsidRPr="001847EB">
        <w:rPr>
          <w:rFonts w:ascii="Calibri" w:hAnsi="Calibri" w:cs="Calibri"/>
          <w:bCs/>
        </w:rPr>
        <w:t>) se realiza durante la vigencia del contrato; y (v) no está prohibida expresamente.</w:t>
      </w:r>
    </w:p>
    <w:p w14:paraId="4DEFACE6" w14:textId="77777777" w:rsidR="00F3498B" w:rsidRPr="001847EB" w:rsidRDefault="00F3498B" w:rsidP="00F3498B">
      <w:pPr>
        <w:pStyle w:val="PPUlist1"/>
        <w:tabs>
          <w:tab w:val="left" w:pos="1418"/>
        </w:tabs>
        <w:spacing w:after="0" w:line="276" w:lineRule="auto"/>
        <w:jc w:val="both"/>
        <w:rPr>
          <w:rFonts w:ascii="Calibri" w:hAnsi="Calibri" w:cs="Calibri"/>
          <w:b/>
          <w:bCs/>
          <w:color w:val="000000" w:themeColor="text1"/>
        </w:rPr>
      </w:pPr>
    </w:p>
    <w:p w14:paraId="59BEFCDC" w14:textId="631E3AFC" w:rsidR="00275D80" w:rsidRPr="001847EB" w:rsidRDefault="00F3498B" w:rsidP="00D13799">
      <w:pPr>
        <w:spacing w:after="0" w:line="276" w:lineRule="auto"/>
        <w:jc w:val="both"/>
        <w:outlineLvl w:val="1"/>
        <w:rPr>
          <w:rFonts w:ascii="Calibri" w:hAnsi="Calibri" w:cs="Calibri"/>
          <w:color w:val="000000"/>
          <w:lang w:bidi="he-IL"/>
        </w:rPr>
      </w:pPr>
      <w:r w:rsidRPr="001847EB">
        <w:rPr>
          <w:rFonts w:ascii="Calibri" w:hAnsi="Calibri" w:cs="Calibri"/>
          <w:color w:val="000000"/>
          <w:lang w:bidi="he-IL"/>
        </w:rPr>
        <w:t xml:space="preserve">En virtud de las anteriores consideraciones, las Partes suscriben el presente </w:t>
      </w:r>
      <w:r>
        <w:rPr>
          <w:rFonts w:ascii="Calibri" w:hAnsi="Calibri" w:cs="Calibri"/>
          <w:color w:val="000000"/>
          <w:lang w:bidi="he-IL"/>
        </w:rPr>
        <w:t>otrosí</w:t>
      </w:r>
      <w:r w:rsidRPr="001847EB">
        <w:rPr>
          <w:rFonts w:ascii="Calibri" w:hAnsi="Calibri" w:cs="Calibri"/>
          <w:color w:val="000000"/>
          <w:lang w:bidi="he-IL"/>
        </w:rPr>
        <w:t xml:space="preserve"> No. </w:t>
      </w:r>
      <w:r w:rsidR="00A405ED">
        <w:rPr>
          <w:rFonts w:ascii="Calibri" w:hAnsi="Calibri" w:cs="Calibri"/>
          <w:lang w:bidi="he-IL"/>
        </w:rPr>
        <w:t>2</w:t>
      </w:r>
      <w:r w:rsidRPr="001847EB">
        <w:rPr>
          <w:rFonts w:ascii="Calibri" w:hAnsi="Calibri" w:cs="Calibri"/>
          <w:lang w:bidi="he-IL"/>
        </w:rPr>
        <w:t xml:space="preserve"> </w:t>
      </w:r>
      <w:r w:rsidRPr="001847EB">
        <w:rPr>
          <w:rFonts w:ascii="Calibri" w:hAnsi="Calibri" w:cs="Calibri"/>
          <w:color w:val="000000"/>
          <w:lang w:bidi="he-IL"/>
        </w:rPr>
        <w:t>en señal de manifestación expresa, libre y razonada de su consentimiento a sus consideraciones, objeto, causa y, por lo tanto, acuerdan las siguientes:</w:t>
      </w:r>
    </w:p>
    <w:p w14:paraId="337444CE" w14:textId="77777777" w:rsidR="00BE47B9" w:rsidRPr="001847EB" w:rsidRDefault="00BE47B9" w:rsidP="00D13799">
      <w:pPr>
        <w:spacing w:after="0" w:line="276" w:lineRule="auto"/>
        <w:jc w:val="both"/>
        <w:outlineLvl w:val="1"/>
        <w:rPr>
          <w:rFonts w:ascii="Calibri" w:hAnsi="Calibri" w:cs="Calibri"/>
          <w:color w:val="000000"/>
          <w:lang w:bidi="he-IL"/>
        </w:rPr>
      </w:pPr>
    </w:p>
    <w:p w14:paraId="0EF76389" w14:textId="77777777" w:rsidR="00275D80" w:rsidRDefault="00275D80" w:rsidP="00D13799">
      <w:pPr>
        <w:spacing w:after="0" w:line="276" w:lineRule="auto"/>
        <w:jc w:val="center"/>
        <w:rPr>
          <w:rFonts w:ascii="Calibri" w:hAnsi="Calibri" w:cs="Calibri"/>
          <w:b/>
          <w:bCs/>
          <w:color w:val="000000"/>
          <w:lang w:val="es-CO" w:bidi="he-IL"/>
        </w:rPr>
      </w:pPr>
      <w:r w:rsidRPr="001847EB">
        <w:rPr>
          <w:rFonts w:ascii="Calibri" w:hAnsi="Calibri" w:cs="Calibri"/>
          <w:b/>
          <w:bCs/>
          <w:color w:val="000000"/>
          <w:lang w:val="es-CO" w:bidi="he-IL"/>
        </w:rPr>
        <w:t>CLÁUSULAS</w:t>
      </w:r>
    </w:p>
    <w:p w14:paraId="6EAE6B1E" w14:textId="77777777" w:rsidR="00A60D0F" w:rsidRPr="001847EB" w:rsidRDefault="00A60D0F" w:rsidP="00D13799">
      <w:pPr>
        <w:spacing w:after="0" w:line="276" w:lineRule="auto"/>
        <w:jc w:val="center"/>
        <w:rPr>
          <w:rFonts w:ascii="Calibri" w:hAnsi="Calibri" w:cs="Calibri"/>
          <w:b/>
          <w:bCs/>
          <w:color w:val="000000"/>
          <w:lang w:val="es-CO" w:bidi="he-IL"/>
        </w:rPr>
      </w:pPr>
    </w:p>
    <w:p w14:paraId="46FEC966" w14:textId="1B3789F6" w:rsidR="00D81199" w:rsidRPr="00CF254A" w:rsidRDefault="00D81199" w:rsidP="00D81199">
      <w:pPr>
        <w:pStyle w:val="PPUlist1"/>
        <w:spacing w:after="0" w:line="276" w:lineRule="auto"/>
        <w:jc w:val="both"/>
        <w:rPr>
          <w:rFonts w:ascii="Calibri" w:hAnsi="Calibri" w:cs="Calibri"/>
          <w:color w:val="000000"/>
          <w:lang w:val="es-CO"/>
        </w:rPr>
      </w:pPr>
      <w:r w:rsidRPr="001847EB">
        <w:rPr>
          <w:rFonts w:ascii="Calibri" w:hAnsi="Calibri" w:cs="Calibri"/>
          <w:b/>
          <w:bCs/>
          <w:color w:val="000000"/>
          <w:lang w:val="es-CO"/>
        </w:rPr>
        <w:t xml:space="preserve">CLÁUSULA PRIMERA. </w:t>
      </w:r>
      <w:r>
        <w:rPr>
          <w:rFonts w:ascii="Calibri" w:hAnsi="Calibri" w:cs="Calibri"/>
          <w:b/>
          <w:bCs/>
          <w:color w:val="000000"/>
          <w:lang w:val="es-CO"/>
        </w:rPr>
        <w:t xml:space="preserve">COMPENSACIÓN POR </w:t>
      </w:r>
      <w:r w:rsidRPr="00CF254A">
        <w:rPr>
          <w:rFonts w:ascii="Calibri" w:hAnsi="Calibri" w:cs="Calibri"/>
          <w:b/>
          <w:bCs/>
          <w:color w:val="000000"/>
          <w:lang w:val="es-CO"/>
        </w:rPr>
        <w:t>MATERIALIZACIÓN DEL RIESGO DE VARIACIÓN DE LOS COSTOS DE MANO DE OBRA</w:t>
      </w:r>
      <w:r>
        <w:rPr>
          <w:rFonts w:ascii="Calibri" w:hAnsi="Calibri" w:cs="Calibri"/>
          <w:b/>
          <w:bCs/>
          <w:color w:val="000000"/>
          <w:lang w:val="es-CO"/>
        </w:rPr>
        <w:t xml:space="preserve">. </w:t>
      </w:r>
      <w:r w:rsidRPr="00CF254A">
        <w:rPr>
          <w:rFonts w:ascii="Calibri" w:hAnsi="Calibri" w:cs="Calibri"/>
          <w:color w:val="000000"/>
          <w:lang w:val="es-CO"/>
        </w:rPr>
        <w:t>Reconocer al contratista la suma de hasta</w:t>
      </w:r>
      <w:r>
        <w:rPr>
          <w:rFonts w:ascii="Calibri" w:hAnsi="Calibri" w:cs="Calibri"/>
          <w:b/>
          <w:bCs/>
          <w:color w:val="000000"/>
          <w:lang w:val="es-CO"/>
        </w:rPr>
        <w:t xml:space="preserve"> CIENTO CUARENTA Y SEIS MILLONES CUARENTA Y SIETE MIL DOSCIENTOS DIECINUEVE PESOS</w:t>
      </w:r>
      <w:r w:rsidRPr="00CF254A">
        <w:rPr>
          <w:rFonts w:ascii="Calibri" w:hAnsi="Calibri" w:cs="Calibri"/>
          <w:b/>
          <w:bCs/>
          <w:lang w:val="es-CO"/>
        </w:rPr>
        <w:t xml:space="preserve"> </w:t>
      </w:r>
      <w:r w:rsidRPr="00CF254A">
        <w:rPr>
          <w:rFonts w:ascii="Calibri" w:hAnsi="Calibri" w:cs="Calibri"/>
          <w:b/>
          <w:bCs/>
        </w:rPr>
        <w:t>M/CTE</w:t>
      </w:r>
      <w:r>
        <w:rPr>
          <w:rFonts w:ascii="Calibri" w:hAnsi="Calibri" w:cs="Calibri"/>
          <w:b/>
          <w:bCs/>
          <w:color w:val="000000"/>
          <w:lang w:val="es-CO"/>
        </w:rPr>
        <w:t xml:space="preserve"> (</w:t>
      </w:r>
      <w:r w:rsidRPr="00CF254A">
        <w:rPr>
          <w:rFonts w:ascii="Calibri" w:hAnsi="Calibri" w:cs="Calibri"/>
          <w:b/>
          <w:bCs/>
          <w:color w:val="000000"/>
        </w:rPr>
        <w:t>$14</w:t>
      </w:r>
      <w:r>
        <w:rPr>
          <w:rFonts w:ascii="Calibri" w:hAnsi="Calibri" w:cs="Calibri"/>
          <w:b/>
          <w:bCs/>
          <w:color w:val="000000"/>
        </w:rPr>
        <w:t>6</w:t>
      </w:r>
      <w:r w:rsidRPr="00CF254A">
        <w:rPr>
          <w:rFonts w:ascii="Calibri" w:hAnsi="Calibri" w:cs="Calibri"/>
          <w:b/>
          <w:bCs/>
          <w:color w:val="000000"/>
        </w:rPr>
        <w:t>.</w:t>
      </w:r>
      <w:r>
        <w:rPr>
          <w:rFonts w:ascii="Calibri" w:hAnsi="Calibri" w:cs="Calibri"/>
          <w:b/>
          <w:bCs/>
          <w:color w:val="000000"/>
        </w:rPr>
        <w:t>04</w:t>
      </w:r>
      <w:r w:rsidRPr="00CF254A">
        <w:rPr>
          <w:rFonts w:ascii="Calibri" w:hAnsi="Calibri" w:cs="Calibri"/>
          <w:b/>
          <w:bCs/>
          <w:color w:val="000000"/>
        </w:rPr>
        <w:t>7.</w:t>
      </w:r>
      <w:r>
        <w:rPr>
          <w:rFonts w:ascii="Calibri" w:hAnsi="Calibri" w:cs="Calibri"/>
          <w:b/>
          <w:bCs/>
          <w:color w:val="000000"/>
        </w:rPr>
        <w:t xml:space="preserve">219), </w:t>
      </w:r>
      <w:r>
        <w:rPr>
          <w:rFonts w:ascii="Calibri" w:hAnsi="Calibri" w:cs="Calibri"/>
          <w:color w:val="000000"/>
        </w:rPr>
        <w:t xml:space="preserve">valor correspondiente al periodo del 1 </w:t>
      </w:r>
      <w:r w:rsidRPr="00E53DAF">
        <w:rPr>
          <w:rFonts w:ascii="Calibri" w:hAnsi="Calibri" w:cs="Calibri"/>
          <w:color w:val="000000"/>
        </w:rPr>
        <w:t xml:space="preserve">de enero al </w:t>
      </w:r>
      <w:r w:rsidR="00E53DAF" w:rsidRPr="00F3498B">
        <w:rPr>
          <w:rFonts w:ascii="Calibri" w:hAnsi="Calibri" w:cs="Calibri"/>
          <w:color w:val="000000"/>
        </w:rPr>
        <w:t>13</w:t>
      </w:r>
      <w:r w:rsidRPr="00E53DAF">
        <w:rPr>
          <w:rFonts w:ascii="Calibri" w:hAnsi="Calibri" w:cs="Calibri"/>
          <w:color w:val="000000"/>
        </w:rPr>
        <w:t xml:space="preserve"> de abril de 2026, con cargo a los recursos no ejecutados del contrato.</w:t>
      </w:r>
      <w:r>
        <w:rPr>
          <w:rFonts w:ascii="Calibri" w:hAnsi="Calibri" w:cs="Calibri"/>
          <w:color w:val="000000"/>
        </w:rPr>
        <w:t xml:space="preserve"> </w:t>
      </w:r>
    </w:p>
    <w:p w14:paraId="75AC45AE" w14:textId="77777777" w:rsidR="00D81199" w:rsidRDefault="00D81199" w:rsidP="00D81199">
      <w:pPr>
        <w:pStyle w:val="PPUlist1"/>
        <w:spacing w:after="0" w:line="276" w:lineRule="auto"/>
        <w:jc w:val="both"/>
        <w:rPr>
          <w:rFonts w:ascii="Calibri" w:hAnsi="Calibri" w:cs="Calibri"/>
          <w:b/>
          <w:bCs/>
          <w:color w:val="000000"/>
        </w:rPr>
      </w:pPr>
    </w:p>
    <w:p w14:paraId="15430B9F" w14:textId="25BA4315" w:rsidR="00D81199" w:rsidRPr="00CF254A" w:rsidRDefault="00D81199" w:rsidP="00D81199">
      <w:pPr>
        <w:pStyle w:val="PPUlist1"/>
        <w:spacing w:after="0" w:line="276" w:lineRule="auto"/>
        <w:jc w:val="both"/>
        <w:rPr>
          <w:rFonts w:ascii="Calibri" w:hAnsi="Calibri" w:cs="Calibri"/>
          <w:lang w:val="es-CO"/>
        </w:rPr>
      </w:pPr>
      <w:r w:rsidRPr="001847EB">
        <w:rPr>
          <w:rFonts w:ascii="Calibri" w:hAnsi="Calibri" w:cs="Calibri"/>
          <w:b/>
          <w:bCs/>
          <w:color w:val="000000"/>
        </w:rPr>
        <w:t xml:space="preserve">PARÁGRAFO </w:t>
      </w:r>
      <w:r>
        <w:rPr>
          <w:rFonts w:ascii="Calibri" w:hAnsi="Calibri" w:cs="Calibri"/>
          <w:b/>
          <w:bCs/>
          <w:color w:val="000000"/>
        </w:rPr>
        <w:t>ÚNICO</w:t>
      </w:r>
      <w:r w:rsidRPr="001847EB">
        <w:rPr>
          <w:rFonts w:ascii="Calibri" w:hAnsi="Calibri" w:cs="Calibri"/>
          <w:b/>
          <w:bCs/>
          <w:color w:val="000000"/>
        </w:rPr>
        <w:t xml:space="preserve">. </w:t>
      </w:r>
      <w:r w:rsidRPr="001847EB">
        <w:rPr>
          <w:rFonts w:ascii="Calibri" w:hAnsi="Calibri" w:cs="Calibri"/>
          <w:color w:val="000000"/>
        </w:rPr>
        <w:t xml:space="preserve">El pago correspondiente a la </w:t>
      </w:r>
      <w:r w:rsidRPr="001847EB">
        <w:rPr>
          <w:rFonts w:ascii="Calibri" w:hAnsi="Calibri" w:cs="Calibri"/>
          <w:color w:val="000000"/>
          <w:lang w:val="es-CO"/>
        </w:rPr>
        <w:t xml:space="preserve">compensación al Contratista por la materialización del riesgo de variación de los costos de la mano de </w:t>
      </w:r>
      <w:proofErr w:type="gramStart"/>
      <w:r w:rsidRPr="001847EB">
        <w:rPr>
          <w:rFonts w:ascii="Calibri" w:hAnsi="Calibri" w:cs="Calibri"/>
          <w:color w:val="000000"/>
          <w:lang w:val="es-CO"/>
        </w:rPr>
        <w:t>obra</w:t>
      </w:r>
      <w:r>
        <w:rPr>
          <w:rFonts w:ascii="Calibri" w:hAnsi="Calibri" w:cs="Calibri"/>
          <w:color w:val="000000"/>
          <w:lang w:val="es-CO"/>
        </w:rPr>
        <w:t>,</w:t>
      </w:r>
      <w:proofErr w:type="gramEnd"/>
      <w:r w:rsidRPr="001847EB">
        <w:rPr>
          <w:rFonts w:ascii="Calibri" w:hAnsi="Calibri" w:cs="Calibri"/>
          <w:color w:val="000000"/>
          <w:lang w:val="es-CO"/>
        </w:rPr>
        <w:t xml:space="preserve"> </w:t>
      </w:r>
      <w:r w:rsidRPr="00CF254A">
        <w:rPr>
          <w:rFonts w:ascii="Calibri" w:hAnsi="Calibri" w:cs="Calibri"/>
          <w:lang w:val="es-CO"/>
        </w:rPr>
        <w:t>se realizará en un solo pago, el cual deberá ser cobrado por el Contratista en la factura siguiente a la suscripción del otrosí. Dicho pago se efectuará dentro de los plazos establecidos en el Contrato.</w:t>
      </w:r>
    </w:p>
    <w:p w14:paraId="6EDEC5A4" w14:textId="77777777" w:rsidR="00BE47B9" w:rsidRPr="001847EB" w:rsidRDefault="00BE47B9" w:rsidP="00D13799">
      <w:pPr>
        <w:spacing w:after="0" w:line="276" w:lineRule="auto"/>
        <w:rPr>
          <w:rFonts w:ascii="Calibri" w:hAnsi="Calibri" w:cs="Calibri"/>
          <w:b/>
          <w:bCs/>
          <w:color w:val="000000"/>
          <w:lang w:val="es-CO" w:bidi="he-IL"/>
        </w:rPr>
      </w:pPr>
    </w:p>
    <w:p w14:paraId="559E9340" w14:textId="278DA830" w:rsidR="00A030F9" w:rsidRDefault="00275D80" w:rsidP="00D13799">
      <w:pPr>
        <w:pStyle w:val="PPUlist1"/>
        <w:spacing w:after="0" w:line="276" w:lineRule="auto"/>
        <w:jc w:val="both"/>
        <w:rPr>
          <w:rFonts w:ascii="Calibri" w:hAnsi="Calibri" w:cs="Calibri"/>
          <w:color w:val="000000"/>
        </w:rPr>
      </w:pPr>
      <w:r w:rsidRPr="001847EB">
        <w:rPr>
          <w:rFonts w:ascii="Calibri" w:hAnsi="Calibri" w:cs="Calibri"/>
          <w:b/>
          <w:bCs/>
          <w:color w:val="000000"/>
          <w:lang w:val="es-CO"/>
        </w:rPr>
        <w:t xml:space="preserve">CLÁUSULA </w:t>
      </w:r>
      <w:r w:rsidR="00D81199" w:rsidRPr="001847EB">
        <w:rPr>
          <w:rFonts w:ascii="Calibri" w:hAnsi="Calibri" w:cs="Calibri"/>
          <w:b/>
          <w:bCs/>
          <w:color w:val="000000"/>
          <w:lang w:val="es-CO"/>
        </w:rPr>
        <w:t>SEGUNDA</w:t>
      </w:r>
      <w:r w:rsidRPr="001847EB">
        <w:rPr>
          <w:rFonts w:ascii="Calibri" w:hAnsi="Calibri" w:cs="Calibri"/>
          <w:b/>
          <w:bCs/>
          <w:color w:val="000000"/>
          <w:lang w:val="es-CO"/>
        </w:rPr>
        <w:t>.</w:t>
      </w:r>
      <w:r w:rsidR="00A030F9" w:rsidRPr="001847EB">
        <w:rPr>
          <w:rFonts w:ascii="Calibri" w:hAnsi="Calibri" w:cs="Calibri"/>
          <w:b/>
          <w:bCs/>
          <w:color w:val="000000"/>
          <w:lang w:val="es-CO"/>
        </w:rPr>
        <w:t xml:space="preserve"> </w:t>
      </w:r>
      <w:r w:rsidR="00EF4C8D">
        <w:rPr>
          <w:rFonts w:ascii="Calibri" w:hAnsi="Calibri" w:cs="Calibri"/>
          <w:b/>
          <w:bCs/>
          <w:color w:val="000000"/>
          <w:lang w:val="es-CO"/>
        </w:rPr>
        <w:t>PRÓRROGA DEL CONTRATO</w:t>
      </w:r>
      <w:r w:rsidR="00A030F9" w:rsidRPr="001847EB">
        <w:rPr>
          <w:rFonts w:ascii="Calibri" w:hAnsi="Calibri" w:cs="Calibri"/>
          <w:b/>
          <w:bCs/>
          <w:color w:val="000000"/>
          <w:lang w:val="es-CO"/>
        </w:rPr>
        <w:t xml:space="preserve">. </w:t>
      </w:r>
      <w:r w:rsidR="00EC2C0F" w:rsidRPr="00EC2C0F">
        <w:rPr>
          <w:rFonts w:ascii="Calibri" w:hAnsi="Calibri" w:cs="Calibri"/>
          <w:color w:val="000000"/>
        </w:rPr>
        <w:t>Ampliar en</w:t>
      </w:r>
      <w:r w:rsidR="00EC2C0F">
        <w:rPr>
          <w:rFonts w:ascii="Calibri" w:hAnsi="Calibri" w:cs="Calibri"/>
          <w:color w:val="000000"/>
        </w:rPr>
        <w:t xml:space="preserve"> dos</w:t>
      </w:r>
      <w:r w:rsidR="00EC2C0F" w:rsidRPr="00EC2C0F">
        <w:rPr>
          <w:rFonts w:ascii="Calibri" w:hAnsi="Calibri" w:cs="Calibri"/>
          <w:color w:val="000000"/>
        </w:rPr>
        <w:t xml:space="preserve"> </w:t>
      </w:r>
      <w:r w:rsidR="00EC2C0F">
        <w:rPr>
          <w:rFonts w:ascii="Calibri" w:hAnsi="Calibri" w:cs="Calibri"/>
          <w:color w:val="000000"/>
        </w:rPr>
        <w:t>(</w:t>
      </w:r>
      <w:r w:rsidR="00EC2C0F" w:rsidRPr="00EC2C0F">
        <w:rPr>
          <w:rFonts w:ascii="Calibri" w:hAnsi="Calibri" w:cs="Calibri"/>
          <w:color w:val="000000"/>
        </w:rPr>
        <w:t>2</w:t>
      </w:r>
      <w:r w:rsidR="00EC2C0F">
        <w:rPr>
          <w:rFonts w:ascii="Calibri" w:hAnsi="Calibri" w:cs="Calibri"/>
          <w:color w:val="000000"/>
        </w:rPr>
        <w:t>)</w:t>
      </w:r>
      <w:r w:rsidR="00EC2C0F" w:rsidRPr="00EC2C0F">
        <w:rPr>
          <w:rFonts w:ascii="Calibri" w:hAnsi="Calibri" w:cs="Calibri"/>
          <w:color w:val="000000"/>
        </w:rPr>
        <w:t xml:space="preserve"> meses y </w:t>
      </w:r>
      <w:r w:rsidR="00EC2C0F">
        <w:rPr>
          <w:rFonts w:ascii="Calibri" w:hAnsi="Calibri" w:cs="Calibri"/>
          <w:color w:val="000000"/>
        </w:rPr>
        <w:t>veinticuatro (</w:t>
      </w:r>
      <w:r w:rsidR="00EC2C0F" w:rsidRPr="00EC2C0F">
        <w:rPr>
          <w:rFonts w:ascii="Calibri" w:hAnsi="Calibri" w:cs="Calibri"/>
          <w:color w:val="000000"/>
        </w:rPr>
        <w:t>24</w:t>
      </w:r>
      <w:r w:rsidR="00EC2C0F">
        <w:rPr>
          <w:rFonts w:ascii="Calibri" w:hAnsi="Calibri" w:cs="Calibri"/>
          <w:color w:val="000000"/>
        </w:rPr>
        <w:t>)</w:t>
      </w:r>
      <w:r w:rsidR="00EC2C0F" w:rsidRPr="00EC2C0F">
        <w:rPr>
          <w:rFonts w:ascii="Calibri" w:hAnsi="Calibri" w:cs="Calibri"/>
          <w:color w:val="000000"/>
        </w:rPr>
        <w:t xml:space="preserve"> días el plazo de ejecución contractual, esto es, hasta el 7 de julio de 2026</w:t>
      </w:r>
      <w:r w:rsidR="00E53DAF">
        <w:rPr>
          <w:rFonts w:ascii="Calibri" w:hAnsi="Calibri" w:cs="Calibri"/>
          <w:color w:val="000000"/>
        </w:rPr>
        <w:t xml:space="preserve"> o hasta el agotamiento de recursos</w:t>
      </w:r>
      <w:r w:rsidR="00EC2C0F" w:rsidRPr="00EC2C0F">
        <w:rPr>
          <w:rFonts w:ascii="Calibri" w:hAnsi="Calibri" w:cs="Calibri"/>
          <w:color w:val="000000"/>
        </w:rPr>
        <w:t>.</w:t>
      </w:r>
    </w:p>
    <w:p w14:paraId="6A441195" w14:textId="77777777" w:rsidR="00E53DAF" w:rsidRDefault="00E53DAF" w:rsidP="00D13799">
      <w:pPr>
        <w:pStyle w:val="PPUlist1"/>
        <w:spacing w:after="0" w:line="276" w:lineRule="auto"/>
        <w:jc w:val="both"/>
        <w:rPr>
          <w:rFonts w:ascii="Calibri" w:hAnsi="Calibri" w:cs="Calibri"/>
          <w:color w:val="000000"/>
        </w:rPr>
      </w:pPr>
    </w:p>
    <w:p w14:paraId="4716E6C9" w14:textId="0659693C" w:rsidR="00E53DAF" w:rsidRDefault="00E53DAF" w:rsidP="00E53DAF">
      <w:pPr>
        <w:pStyle w:val="PPUlist1"/>
        <w:spacing w:after="0" w:line="276" w:lineRule="auto"/>
        <w:jc w:val="both"/>
        <w:rPr>
          <w:rFonts w:ascii="Calibri" w:hAnsi="Calibri" w:cs="Calibri"/>
          <w:color w:val="000000"/>
        </w:rPr>
      </w:pPr>
      <w:r w:rsidRPr="001847EB">
        <w:rPr>
          <w:rFonts w:ascii="Calibri" w:hAnsi="Calibri" w:cs="Calibri"/>
          <w:b/>
          <w:bCs/>
          <w:color w:val="000000"/>
          <w:lang w:val="es-CO"/>
        </w:rPr>
        <w:t xml:space="preserve">CLÁUSULA </w:t>
      </w:r>
      <w:r>
        <w:rPr>
          <w:rFonts w:ascii="Calibri" w:hAnsi="Calibri" w:cs="Calibri"/>
          <w:b/>
          <w:bCs/>
          <w:color w:val="000000"/>
          <w:lang w:val="es-CO"/>
        </w:rPr>
        <w:t>TERCERA</w:t>
      </w:r>
      <w:r w:rsidRPr="001847EB">
        <w:rPr>
          <w:rFonts w:ascii="Calibri" w:hAnsi="Calibri" w:cs="Calibri"/>
          <w:b/>
          <w:bCs/>
          <w:color w:val="000000"/>
          <w:lang w:val="es-CO"/>
        </w:rPr>
        <w:t>.</w:t>
      </w:r>
      <w:r>
        <w:rPr>
          <w:rFonts w:ascii="Calibri" w:hAnsi="Calibri" w:cs="Calibri"/>
          <w:b/>
          <w:bCs/>
          <w:color w:val="000000"/>
          <w:lang w:val="es-CO"/>
        </w:rPr>
        <w:t xml:space="preserve"> </w:t>
      </w:r>
      <w:r w:rsidRPr="00CF254A">
        <w:rPr>
          <w:rFonts w:ascii="Calibri" w:hAnsi="Calibri" w:cs="Calibri"/>
          <w:b/>
          <w:bCs/>
          <w:color w:val="000000"/>
        </w:rPr>
        <w:t>VALOR DE LA PRÓRROGA DEL CONTRATO</w:t>
      </w:r>
      <w:r>
        <w:rPr>
          <w:rFonts w:ascii="Calibri" w:hAnsi="Calibri" w:cs="Calibri"/>
          <w:color w:val="000000"/>
        </w:rPr>
        <w:t xml:space="preserve">. El valor requerido para la extensión del plazo de ejecución contractual es hasta por la suma de </w:t>
      </w:r>
      <w:r w:rsidRPr="00CF254A">
        <w:rPr>
          <w:rFonts w:ascii="Calibri" w:hAnsi="Calibri" w:cs="Calibri"/>
          <w:b/>
          <w:bCs/>
          <w:color w:val="000000"/>
        </w:rPr>
        <w:t xml:space="preserve">DOS MIL </w:t>
      </w:r>
      <w:r>
        <w:rPr>
          <w:rFonts w:ascii="Calibri" w:hAnsi="Calibri" w:cs="Calibri"/>
          <w:b/>
          <w:bCs/>
          <w:color w:val="000000"/>
        </w:rPr>
        <w:t xml:space="preserve">CUATROCIENTOS SESENTA Y </w:t>
      </w:r>
      <w:r w:rsidRPr="00CF254A">
        <w:rPr>
          <w:rFonts w:ascii="Calibri" w:hAnsi="Calibri" w:cs="Calibri"/>
          <w:b/>
          <w:bCs/>
          <w:color w:val="000000"/>
        </w:rPr>
        <w:t xml:space="preserve">OCHO MILLONES </w:t>
      </w:r>
      <w:r>
        <w:rPr>
          <w:rFonts w:ascii="Calibri" w:hAnsi="Calibri" w:cs="Calibri"/>
          <w:b/>
          <w:bCs/>
          <w:color w:val="000000"/>
        </w:rPr>
        <w:t>SEISCIENTOS</w:t>
      </w:r>
      <w:r w:rsidRPr="00CF254A">
        <w:rPr>
          <w:rFonts w:ascii="Calibri" w:hAnsi="Calibri" w:cs="Calibri"/>
          <w:b/>
          <w:bCs/>
          <w:color w:val="000000"/>
        </w:rPr>
        <w:t xml:space="preserve"> </w:t>
      </w:r>
      <w:r>
        <w:rPr>
          <w:rFonts w:ascii="Calibri" w:hAnsi="Calibri" w:cs="Calibri"/>
          <w:b/>
          <w:bCs/>
          <w:color w:val="000000"/>
        </w:rPr>
        <w:t>CUARENTA</w:t>
      </w:r>
      <w:r w:rsidRPr="00CF254A">
        <w:rPr>
          <w:rFonts w:ascii="Calibri" w:hAnsi="Calibri" w:cs="Calibri"/>
          <w:b/>
          <w:bCs/>
          <w:color w:val="000000"/>
        </w:rPr>
        <w:t xml:space="preserve"> Y SIETE MIL CUARENTA Y </w:t>
      </w:r>
      <w:r>
        <w:rPr>
          <w:rFonts w:ascii="Calibri" w:hAnsi="Calibri" w:cs="Calibri"/>
          <w:b/>
          <w:bCs/>
          <w:color w:val="000000"/>
        </w:rPr>
        <w:t>OCHO</w:t>
      </w:r>
      <w:r w:rsidRPr="00CF254A">
        <w:rPr>
          <w:rFonts w:ascii="Calibri" w:hAnsi="Calibri" w:cs="Calibri"/>
          <w:b/>
          <w:bCs/>
          <w:color w:val="000000"/>
        </w:rPr>
        <w:t xml:space="preserve"> PESOS M/CTE ($2.</w:t>
      </w:r>
      <w:r>
        <w:rPr>
          <w:rFonts w:ascii="Calibri" w:hAnsi="Calibri" w:cs="Calibri"/>
          <w:b/>
          <w:bCs/>
          <w:color w:val="000000"/>
        </w:rPr>
        <w:t>46</w:t>
      </w:r>
      <w:r w:rsidRPr="00CF254A">
        <w:rPr>
          <w:rFonts w:ascii="Calibri" w:hAnsi="Calibri" w:cs="Calibri"/>
          <w:b/>
          <w:bCs/>
          <w:color w:val="000000"/>
        </w:rPr>
        <w:t>8.</w:t>
      </w:r>
      <w:r>
        <w:rPr>
          <w:rFonts w:ascii="Calibri" w:hAnsi="Calibri" w:cs="Calibri"/>
          <w:b/>
          <w:bCs/>
          <w:color w:val="000000"/>
        </w:rPr>
        <w:t>647</w:t>
      </w:r>
      <w:r w:rsidRPr="00CF254A">
        <w:rPr>
          <w:rFonts w:ascii="Calibri" w:hAnsi="Calibri" w:cs="Calibri"/>
          <w:b/>
          <w:bCs/>
          <w:color w:val="000000"/>
        </w:rPr>
        <w:t>.</w:t>
      </w:r>
      <w:r>
        <w:rPr>
          <w:rFonts w:ascii="Calibri" w:hAnsi="Calibri" w:cs="Calibri"/>
          <w:b/>
          <w:bCs/>
          <w:color w:val="000000"/>
        </w:rPr>
        <w:t>048</w:t>
      </w:r>
      <w:r w:rsidRPr="00CF254A">
        <w:rPr>
          <w:rFonts w:ascii="Calibri" w:hAnsi="Calibri" w:cs="Calibri"/>
          <w:b/>
          <w:bCs/>
          <w:color w:val="000000"/>
        </w:rPr>
        <w:t>)</w:t>
      </w:r>
      <w:r>
        <w:rPr>
          <w:rFonts w:ascii="Calibri" w:hAnsi="Calibri" w:cs="Calibri"/>
          <w:color w:val="000000"/>
        </w:rPr>
        <w:t>, discriminados de la siguiente manera:</w:t>
      </w:r>
    </w:p>
    <w:p w14:paraId="54A08BBA" w14:textId="77777777" w:rsidR="00E53DAF" w:rsidRDefault="00E53DAF" w:rsidP="00E53DAF">
      <w:pPr>
        <w:pStyle w:val="PPUlist1"/>
        <w:spacing w:after="0" w:line="276" w:lineRule="auto"/>
        <w:jc w:val="both"/>
        <w:rPr>
          <w:rFonts w:ascii="Calibri" w:hAnsi="Calibri" w:cs="Calibri"/>
          <w:color w:val="000000"/>
        </w:rPr>
      </w:pPr>
    </w:p>
    <w:tbl>
      <w:tblPr>
        <w:tblStyle w:val="Tablaconcuadrcula"/>
        <w:tblW w:w="0" w:type="auto"/>
        <w:jc w:val="center"/>
        <w:tblLook w:val="04A0" w:firstRow="1" w:lastRow="0" w:firstColumn="1" w:lastColumn="0" w:noHBand="0" w:noVBand="1"/>
      </w:tblPr>
      <w:tblGrid>
        <w:gridCol w:w="5240"/>
        <w:gridCol w:w="3588"/>
      </w:tblGrid>
      <w:tr w:rsidR="00E53DAF" w:rsidRPr="001847EB" w14:paraId="34601B14" w14:textId="77777777" w:rsidTr="00CF254A">
        <w:trPr>
          <w:jc w:val="center"/>
        </w:trPr>
        <w:tc>
          <w:tcPr>
            <w:tcW w:w="5240" w:type="dxa"/>
          </w:tcPr>
          <w:p w14:paraId="2E1D4F30" w14:textId="77777777" w:rsidR="00E53DAF" w:rsidRPr="001847EB" w:rsidRDefault="00E53DAF" w:rsidP="00CF254A">
            <w:pPr>
              <w:pStyle w:val="PPUlist1"/>
              <w:spacing w:after="0" w:line="276" w:lineRule="auto"/>
              <w:jc w:val="center"/>
              <w:rPr>
                <w:rFonts w:ascii="Calibri" w:hAnsi="Calibri" w:cs="Calibri"/>
                <w:b/>
                <w:bCs/>
                <w:color w:val="000000"/>
                <w:lang w:val="es-CO"/>
              </w:rPr>
            </w:pPr>
            <w:r w:rsidRPr="001847EB">
              <w:rPr>
                <w:rFonts w:ascii="Calibri" w:hAnsi="Calibri" w:cs="Calibri"/>
                <w:b/>
                <w:bCs/>
                <w:color w:val="000000"/>
                <w:lang w:val="es-CO"/>
              </w:rPr>
              <w:t>CONCEPTO</w:t>
            </w:r>
          </w:p>
        </w:tc>
        <w:tc>
          <w:tcPr>
            <w:tcW w:w="3588" w:type="dxa"/>
          </w:tcPr>
          <w:p w14:paraId="3573BE81" w14:textId="77777777" w:rsidR="00E53DAF" w:rsidRPr="001847EB" w:rsidRDefault="00E53DAF" w:rsidP="00CF254A">
            <w:pPr>
              <w:pStyle w:val="PPUlist1"/>
              <w:spacing w:after="0" w:line="276" w:lineRule="auto"/>
              <w:jc w:val="center"/>
              <w:rPr>
                <w:rFonts w:ascii="Calibri" w:hAnsi="Calibri" w:cs="Calibri"/>
                <w:b/>
                <w:bCs/>
                <w:color w:val="000000"/>
                <w:lang w:val="es-CO"/>
              </w:rPr>
            </w:pPr>
            <w:r w:rsidRPr="001847EB">
              <w:rPr>
                <w:rFonts w:ascii="Calibri" w:hAnsi="Calibri" w:cs="Calibri"/>
                <w:b/>
                <w:bCs/>
                <w:color w:val="000000"/>
                <w:lang w:val="es-CO"/>
              </w:rPr>
              <w:t>VALOR</w:t>
            </w:r>
          </w:p>
        </w:tc>
      </w:tr>
      <w:tr w:rsidR="00E53DAF" w:rsidRPr="001847EB" w14:paraId="7DA3BDC4" w14:textId="77777777" w:rsidTr="00CF254A">
        <w:trPr>
          <w:jc w:val="center"/>
        </w:trPr>
        <w:tc>
          <w:tcPr>
            <w:tcW w:w="5240" w:type="dxa"/>
          </w:tcPr>
          <w:p w14:paraId="65FB9B4A" w14:textId="77777777" w:rsidR="00E53DAF" w:rsidRPr="001847EB" w:rsidRDefault="00E53DAF" w:rsidP="00CF254A">
            <w:pPr>
              <w:pStyle w:val="PPUlist1"/>
              <w:spacing w:after="0" w:line="276" w:lineRule="auto"/>
              <w:jc w:val="both"/>
              <w:rPr>
                <w:rFonts w:ascii="Calibri" w:hAnsi="Calibri" w:cs="Calibri"/>
                <w:color w:val="000000"/>
                <w:lang w:val="es-CO"/>
              </w:rPr>
            </w:pPr>
            <w:r>
              <w:rPr>
                <w:rFonts w:ascii="Calibri" w:hAnsi="Calibri" w:cs="Calibri"/>
                <w:color w:val="000000"/>
                <w:lang w:val="es-CO"/>
              </w:rPr>
              <w:t>Recursos no ejecutados del contrato</w:t>
            </w:r>
          </w:p>
        </w:tc>
        <w:tc>
          <w:tcPr>
            <w:tcW w:w="3588" w:type="dxa"/>
          </w:tcPr>
          <w:p w14:paraId="00815B99" w14:textId="45C60F07" w:rsidR="00E53DAF" w:rsidRPr="001847EB" w:rsidRDefault="00E53DAF" w:rsidP="00CF254A">
            <w:pPr>
              <w:pStyle w:val="PPUlist1"/>
              <w:spacing w:after="0" w:line="276" w:lineRule="auto"/>
              <w:jc w:val="center"/>
              <w:rPr>
                <w:rFonts w:ascii="Calibri" w:hAnsi="Calibri" w:cs="Calibri"/>
                <w:color w:val="000000"/>
                <w:lang w:val="es-CO"/>
              </w:rPr>
            </w:pPr>
            <w:r>
              <w:rPr>
                <w:rFonts w:ascii="Calibri" w:hAnsi="Calibri" w:cs="Calibri"/>
                <w:color w:val="000000"/>
              </w:rPr>
              <w:t>123.825.592 COP</w:t>
            </w:r>
          </w:p>
        </w:tc>
      </w:tr>
      <w:tr w:rsidR="00E53DAF" w:rsidRPr="001847EB" w14:paraId="598D8536" w14:textId="77777777" w:rsidTr="00CF254A">
        <w:trPr>
          <w:jc w:val="center"/>
        </w:trPr>
        <w:tc>
          <w:tcPr>
            <w:tcW w:w="5240" w:type="dxa"/>
          </w:tcPr>
          <w:p w14:paraId="0DB40976" w14:textId="77777777" w:rsidR="00E53DAF" w:rsidRPr="001847EB" w:rsidRDefault="00E53DAF" w:rsidP="00CF254A">
            <w:pPr>
              <w:pStyle w:val="PPUlist1"/>
              <w:spacing w:after="0" w:line="276" w:lineRule="auto"/>
              <w:jc w:val="both"/>
              <w:rPr>
                <w:rFonts w:ascii="Calibri" w:hAnsi="Calibri" w:cs="Calibri"/>
                <w:color w:val="000000"/>
                <w:lang w:val="es-CO"/>
              </w:rPr>
            </w:pPr>
            <w:r>
              <w:rPr>
                <w:rFonts w:ascii="Calibri" w:hAnsi="Calibri" w:cs="Calibri"/>
                <w:color w:val="000000"/>
                <w:lang w:val="es-CO"/>
              </w:rPr>
              <w:t>Adición de recursos por TRANSMILENIO S.A.</w:t>
            </w:r>
          </w:p>
        </w:tc>
        <w:tc>
          <w:tcPr>
            <w:tcW w:w="3588" w:type="dxa"/>
          </w:tcPr>
          <w:p w14:paraId="4EDB991B" w14:textId="1B80ADED" w:rsidR="00E53DAF" w:rsidRPr="001847EB" w:rsidRDefault="00E53DAF" w:rsidP="00CF254A">
            <w:pPr>
              <w:pStyle w:val="PPUlist1"/>
              <w:spacing w:after="0" w:line="276" w:lineRule="auto"/>
              <w:jc w:val="center"/>
              <w:rPr>
                <w:rFonts w:ascii="Calibri" w:hAnsi="Calibri" w:cs="Calibri"/>
                <w:color w:val="000000"/>
                <w:lang w:val="es-CO"/>
              </w:rPr>
            </w:pPr>
            <w:r>
              <w:rPr>
                <w:rFonts w:ascii="Calibri" w:hAnsi="Calibri" w:cs="Calibri"/>
                <w:color w:val="000000"/>
              </w:rPr>
              <w:t xml:space="preserve"> </w:t>
            </w:r>
            <w:r w:rsidRPr="00CF254A">
              <w:rPr>
                <w:rFonts w:ascii="Calibri" w:hAnsi="Calibri" w:cs="Calibri"/>
                <w:color w:val="000000"/>
              </w:rPr>
              <w:t>2.</w:t>
            </w:r>
            <w:r>
              <w:rPr>
                <w:rFonts w:ascii="Calibri" w:hAnsi="Calibri" w:cs="Calibri"/>
                <w:color w:val="000000"/>
              </w:rPr>
              <w:t>344.821.456 COP</w:t>
            </w:r>
          </w:p>
        </w:tc>
      </w:tr>
      <w:tr w:rsidR="00E53DAF" w:rsidRPr="001847EB" w14:paraId="4D9C7D6F" w14:textId="77777777" w:rsidTr="00CF254A">
        <w:trPr>
          <w:trHeight w:val="39"/>
          <w:jc w:val="center"/>
        </w:trPr>
        <w:tc>
          <w:tcPr>
            <w:tcW w:w="5240" w:type="dxa"/>
          </w:tcPr>
          <w:p w14:paraId="253C51BE" w14:textId="77777777" w:rsidR="00E53DAF" w:rsidRPr="001847EB" w:rsidRDefault="00E53DAF" w:rsidP="00CF254A">
            <w:pPr>
              <w:pStyle w:val="PPUlist1"/>
              <w:spacing w:after="0" w:line="276" w:lineRule="auto"/>
              <w:jc w:val="both"/>
              <w:rPr>
                <w:rFonts w:ascii="Calibri" w:hAnsi="Calibri" w:cs="Calibri"/>
                <w:b/>
                <w:bCs/>
                <w:color w:val="000000"/>
                <w:lang w:val="es-CO"/>
              </w:rPr>
            </w:pPr>
            <w:r w:rsidRPr="001847EB">
              <w:rPr>
                <w:rFonts w:ascii="Calibri" w:hAnsi="Calibri" w:cs="Calibri"/>
                <w:b/>
                <w:bCs/>
                <w:color w:val="000000"/>
                <w:lang w:val="es-CO"/>
              </w:rPr>
              <w:t>TOTAL</w:t>
            </w:r>
          </w:p>
        </w:tc>
        <w:tc>
          <w:tcPr>
            <w:tcW w:w="3588" w:type="dxa"/>
          </w:tcPr>
          <w:p w14:paraId="1618B9CC" w14:textId="5D4CA7FA" w:rsidR="00E53DAF" w:rsidRPr="00FF4C47" w:rsidRDefault="00E53DAF" w:rsidP="00CF254A">
            <w:pPr>
              <w:pStyle w:val="PPUlist1"/>
              <w:spacing w:after="0" w:line="276" w:lineRule="auto"/>
              <w:jc w:val="center"/>
              <w:rPr>
                <w:rFonts w:ascii="Calibri" w:hAnsi="Calibri" w:cs="Calibri"/>
                <w:b/>
                <w:bCs/>
                <w:color w:val="000000"/>
                <w:lang w:val="es-CO"/>
              </w:rPr>
            </w:pPr>
            <w:r w:rsidRPr="00CF254A">
              <w:rPr>
                <w:rFonts w:ascii="Calibri" w:hAnsi="Calibri" w:cs="Calibri"/>
                <w:b/>
                <w:bCs/>
                <w:color w:val="000000"/>
              </w:rPr>
              <w:t>2.</w:t>
            </w:r>
            <w:r>
              <w:rPr>
                <w:rFonts w:ascii="Calibri" w:hAnsi="Calibri" w:cs="Calibri"/>
                <w:b/>
                <w:bCs/>
                <w:color w:val="000000"/>
              </w:rPr>
              <w:t>468.647.048</w:t>
            </w:r>
            <w:r w:rsidRPr="00FF4C47">
              <w:rPr>
                <w:rFonts w:ascii="Calibri" w:hAnsi="Calibri" w:cs="Calibri"/>
                <w:b/>
                <w:bCs/>
                <w:color w:val="000000"/>
              </w:rPr>
              <w:t xml:space="preserve"> COP</w:t>
            </w:r>
          </w:p>
        </w:tc>
      </w:tr>
    </w:tbl>
    <w:p w14:paraId="068A919F" w14:textId="77777777" w:rsidR="00BE47B9" w:rsidRPr="001847EB" w:rsidRDefault="00BE47B9" w:rsidP="00D13799">
      <w:pPr>
        <w:pStyle w:val="PPUlist1"/>
        <w:spacing w:after="0" w:line="276" w:lineRule="auto"/>
        <w:jc w:val="both"/>
        <w:rPr>
          <w:rFonts w:ascii="Calibri" w:hAnsi="Calibri" w:cs="Calibri"/>
          <w:color w:val="000000"/>
          <w:lang w:val="es-CO"/>
        </w:rPr>
      </w:pPr>
    </w:p>
    <w:p w14:paraId="1B88028C" w14:textId="2C69074C" w:rsidR="00C86DBA" w:rsidRPr="001847EB" w:rsidRDefault="00A030F9" w:rsidP="00D13799">
      <w:pPr>
        <w:pStyle w:val="PPUlist1"/>
        <w:spacing w:after="0" w:line="276" w:lineRule="auto"/>
        <w:jc w:val="both"/>
        <w:rPr>
          <w:rFonts w:ascii="Calibri" w:hAnsi="Calibri" w:cs="Calibri"/>
          <w:color w:val="000000"/>
          <w:lang w:val="es-CO"/>
        </w:rPr>
      </w:pPr>
      <w:r w:rsidRPr="001847EB">
        <w:rPr>
          <w:rFonts w:ascii="Calibri" w:hAnsi="Calibri" w:cs="Calibri"/>
          <w:b/>
          <w:bCs/>
          <w:color w:val="000000"/>
          <w:lang w:val="es-CO"/>
        </w:rPr>
        <w:t xml:space="preserve">CLÁUSULA </w:t>
      </w:r>
      <w:r w:rsidR="00E53DAF">
        <w:rPr>
          <w:rFonts w:ascii="Calibri" w:hAnsi="Calibri" w:cs="Calibri"/>
          <w:b/>
          <w:bCs/>
          <w:color w:val="000000"/>
          <w:lang w:val="es-CO"/>
        </w:rPr>
        <w:t>CUARTA</w:t>
      </w:r>
      <w:r w:rsidRPr="001847EB">
        <w:rPr>
          <w:rFonts w:ascii="Calibri" w:hAnsi="Calibri" w:cs="Calibri"/>
          <w:b/>
          <w:bCs/>
          <w:color w:val="000000"/>
          <w:lang w:val="es-CO"/>
        </w:rPr>
        <w:t xml:space="preserve">. </w:t>
      </w:r>
      <w:r w:rsidR="001A5FA3">
        <w:rPr>
          <w:rFonts w:ascii="Calibri" w:hAnsi="Calibri" w:cs="Calibri"/>
          <w:b/>
          <w:bCs/>
          <w:color w:val="000000"/>
          <w:lang w:val="es-CO"/>
        </w:rPr>
        <w:t>ADICIÓN.</w:t>
      </w:r>
      <w:r w:rsidR="001A5FA3">
        <w:rPr>
          <w:rFonts w:ascii="Calibri" w:hAnsi="Calibri" w:cs="Calibri"/>
          <w:color w:val="000000"/>
          <w:lang w:val="es-CO"/>
        </w:rPr>
        <w:t xml:space="preserve"> Adicionar </w:t>
      </w:r>
      <w:r w:rsidRPr="001847EB">
        <w:rPr>
          <w:rFonts w:ascii="Calibri" w:hAnsi="Calibri" w:cs="Calibri"/>
          <w:color w:val="000000"/>
          <w:lang w:val="es-CO"/>
        </w:rPr>
        <w:t xml:space="preserve">el Contrato No. </w:t>
      </w:r>
      <w:r w:rsidR="00CE1FD7">
        <w:rPr>
          <w:rFonts w:ascii="Calibri" w:hAnsi="Calibri" w:cs="Calibri"/>
          <w:color w:val="000000"/>
          <w:lang w:val="es-CO"/>
        </w:rPr>
        <w:t>1182</w:t>
      </w:r>
      <w:r w:rsidRPr="001847EB">
        <w:rPr>
          <w:rFonts w:ascii="Calibri" w:hAnsi="Calibri" w:cs="Calibri"/>
          <w:color w:val="000000"/>
          <w:lang w:val="es-CO"/>
        </w:rPr>
        <w:t xml:space="preserve"> de 2025 en la suma de </w:t>
      </w:r>
      <w:r w:rsidR="00A4387A" w:rsidRPr="00A4387A">
        <w:rPr>
          <w:rFonts w:ascii="Calibri" w:hAnsi="Calibri" w:cs="Calibri"/>
          <w:b/>
          <w:bCs/>
          <w:color w:val="000000"/>
        </w:rPr>
        <w:t xml:space="preserve">DOS MIL </w:t>
      </w:r>
      <w:r w:rsidR="00D81199">
        <w:rPr>
          <w:rFonts w:ascii="Calibri" w:hAnsi="Calibri" w:cs="Calibri"/>
          <w:b/>
          <w:bCs/>
          <w:color w:val="000000"/>
        </w:rPr>
        <w:t>TRE</w:t>
      </w:r>
      <w:r w:rsidR="00D81199" w:rsidRPr="00A4387A">
        <w:rPr>
          <w:rFonts w:ascii="Calibri" w:hAnsi="Calibri" w:cs="Calibri"/>
          <w:b/>
          <w:bCs/>
          <w:color w:val="000000"/>
        </w:rPr>
        <w:t>SCIENTOS C</w:t>
      </w:r>
      <w:r w:rsidR="00D81199">
        <w:rPr>
          <w:rFonts w:ascii="Calibri" w:hAnsi="Calibri" w:cs="Calibri"/>
          <w:b/>
          <w:bCs/>
          <w:color w:val="000000"/>
        </w:rPr>
        <w:t>U</w:t>
      </w:r>
      <w:r w:rsidR="00D81199" w:rsidRPr="00A4387A">
        <w:rPr>
          <w:rFonts w:ascii="Calibri" w:hAnsi="Calibri" w:cs="Calibri"/>
          <w:b/>
          <w:bCs/>
          <w:color w:val="000000"/>
        </w:rPr>
        <w:t>A</w:t>
      </w:r>
      <w:r w:rsidR="00D81199">
        <w:rPr>
          <w:rFonts w:ascii="Calibri" w:hAnsi="Calibri" w:cs="Calibri"/>
          <w:b/>
          <w:bCs/>
          <w:color w:val="000000"/>
        </w:rPr>
        <w:t>RENTA Y CUATRO</w:t>
      </w:r>
      <w:r w:rsidR="00D81199" w:rsidRPr="00A4387A">
        <w:rPr>
          <w:rFonts w:ascii="Calibri" w:hAnsi="Calibri" w:cs="Calibri"/>
          <w:b/>
          <w:bCs/>
          <w:color w:val="000000"/>
        </w:rPr>
        <w:t xml:space="preserve"> </w:t>
      </w:r>
      <w:r w:rsidR="00A4387A" w:rsidRPr="00A4387A">
        <w:rPr>
          <w:rFonts w:ascii="Calibri" w:hAnsi="Calibri" w:cs="Calibri"/>
          <w:b/>
          <w:bCs/>
          <w:color w:val="000000"/>
        </w:rPr>
        <w:t xml:space="preserve">MILLONES </w:t>
      </w:r>
      <w:r w:rsidR="00D81199">
        <w:rPr>
          <w:rFonts w:ascii="Calibri" w:hAnsi="Calibri" w:cs="Calibri"/>
          <w:b/>
          <w:bCs/>
          <w:color w:val="000000"/>
        </w:rPr>
        <w:t>OCHO</w:t>
      </w:r>
      <w:r w:rsidR="00D81199" w:rsidRPr="00A4387A">
        <w:rPr>
          <w:rFonts w:ascii="Calibri" w:hAnsi="Calibri" w:cs="Calibri"/>
          <w:b/>
          <w:bCs/>
          <w:color w:val="000000"/>
        </w:rPr>
        <w:t xml:space="preserve">CIENTOS </w:t>
      </w:r>
      <w:r w:rsidR="00D81199">
        <w:rPr>
          <w:rFonts w:ascii="Calibri" w:hAnsi="Calibri" w:cs="Calibri"/>
          <w:b/>
          <w:bCs/>
          <w:color w:val="000000"/>
        </w:rPr>
        <w:t>VEINTIUN</w:t>
      </w:r>
      <w:r w:rsidR="00D81199" w:rsidRPr="00A4387A">
        <w:rPr>
          <w:rFonts w:ascii="Calibri" w:hAnsi="Calibri" w:cs="Calibri"/>
          <w:b/>
          <w:bCs/>
          <w:color w:val="000000"/>
        </w:rPr>
        <w:t xml:space="preserve"> </w:t>
      </w:r>
      <w:r w:rsidR="00A4387A" w:rsidRPr="00A4387A">
        <w:rPr>
          <w:rFonts w:ascii="Calibri" w:hAnsi="Calibri" w:cs="Calibri"/>
          <w:b/>
          <w:bCs/>
          <w:color w:val="000000"/>
        </w:rPr>
        <w:t xml:space="preserve">MIL </w:t>
      </w:r>
      <w:r w:rsidR="00D81199">
        <w:rPr>
          <w:rFonts w:ascii="Calibri" w:hAnsi="Calibri" w:cs="Calibri"/>
          <w:b/>
          <w:bCs/>
          <w:color w:val="000000"/>
        </w:rPr>
        <w:lastRenderedPageBreak/>
        <w:t>CUATRO</w:t>
      </w:r>
      <w:r w:rsidR="00D81199" w:rsidRPr="00A4387A">
        <w:rPr>
          <w:rFonts w:ascii="Calibri" w:hAnsi="Calibri" w:cs="Calibri"/>
          <w:b/>
          <w:bCs/>
          <w:color w:val="000000"/>
        </w:rPr>
        <w:t xml:space="preserve">CIENTOS </w:t>
      </w:r>
      <w:r w:rsidR="00D81199">
        <w:rPr>
          <w:rFonts w:ascii="Calibri" w:hAnsi="Calibri" w:cs="Calibri"/>
          <w:b/>
          <w:bCs/>
          <w:color w:val="000000"/>
        </w:rPr>
        <w:t>CINCU</w:t>
      </w:r>
      <w:r w:rsidR="00D81199" w:rsidRPr="00A4387A">
        <w:rPr>
          <w:rFonts w:ascii="Calibri" w:hAnsi="Calibri" w:cs="Calibri"/>
          <w:b/>
          <w:bCs/>
          <w:color w:val="000000"/>
        </w:rPr>
        <w:t xml:space="preserve">ENTA </w:t>
      </w:r>
      <w:r w:rsidR="00A4387A" w:rsidRPr="00A4387A">
        <w:rPr>
          <w:rFonts w:ascii="Calibri" w:hAnsi="Calibri" w:cs="Calibri"/>
          <w:b/>
          <w:bCs/>
          <w:color w:val="000000"/>
        </w:rPr>
        <w:t xml:space="preserve">Y </w:t>
      </w:r>
      <w:r w:rsidR="00D81199" w:rsidRPr="00A4387A">
        <w:rPr>
          <w:rFonts w:ascii="Calibri" w:hAnsi="Calibri" w:cs="Calibri"/>
          <w:b/>
          <w:bCs/>
          <w:color w:val="000000"/>
        </w:rPr>
        <w:t>S</w:t>
      </w:r>
      <w:r w:rsidR="00D81199">
        <w:rPr>
          <w:rFonts w:ascii="Calibri" w:hAnsi="Calibri" w:cs="Calibri"/>
          <w:b/>
          <w:bCs/>
          <w:color w:val="000000"/>
        </w:rPr>
        <w:t>E</w:t>
      </w:r>
      <w:r w:rsidR="00D81199" w:rsidRPr="00A4387A">
        <w:rPr>
          <w:rFonts w:ascii="Calibri" w:hAnsi="Calibri" w:cs="Calibri"/>
          <w:b/>
          <w:bCs/>
          <w:color w:val="000000"/>
        </w:rPr>
        <w:t>I</w:t>
      </w:r>
      <w:r w:rsidR="00D81199">
        <w:rPr>
          <w:rFonts w:ascii="Calibri" w:hAnsi="Calibri" w:cs="Calibri"/>
          <w:b/>
          <w:bCs/>
          <w:color w:val="000000"/>
        </w:rPr>
        <w:t>S</w:t>
      </w:r>
      <w:r w:rsidR="00D81199" w:rsidRPr="00A4387A">
        <w:rPr>
          <w:rFonts w:ascii="Calibri" w:hAnsi="Calibri" w:cs="Calibri"/>
          <w:b/>
          <w:bCs/>
          <w:color w:val="000000"/>
        </w:rPr>
        <w:t xml:space="preserve"> </w:t>
      </w:r>
      <w:r w:rsidR="00A4387A" w:rsidRPr="00A4387A">
        <w:rPr>
          <w:rFonts w:ascii="Calibri" w:hAnsi="Calibri" w:cs="Calibri"/>
          <w:b/>
          <w:bCs/>
          <w:color w:val="000000"/>
        </w:rPr>
        <w:t>PESOS M/CTE</w:t>
      </w:r>
      <w:r w:rsidR="00D81199">
        <w:rPr>
          <w:rFonts w:ascii="Calibri" w:hAnsi="Calibri" w:cs="Calibri"/>
          <w:b/>
          <w:bCs/>
          <w:color w:val="000000"/>
        </w:rPr>
        <w:t xml:space="preserve"> ($2.344.821.456)</w:t>
      </w:r>
      <w:r w:rsidRPr="00A4387A">
        <w:rPr>
          <w:rFonts w:ascii="Calibri" w:hAnsi="Calibri" w:cs="Calibri"/>
          <w:b/>
          <w:bCs/>
          <w:color w:val="000000"/>
          <w:lang w:val="es-CO"/>
        </w:rPr>
        <w:t xml:space="preserve">. </w:t>
      </w:r>
      <w:r w:rsidRPr="001847EB">
        <w:rPr>
          <w:rFonts w:ascii="Calibri" w:hAnsi="Calibri" w:cs="Calibri"/>
          <w:color w:val="000000"/>
          <w:lang w:val="es-CO"/>
        </w:rPr>
        <w:t>Dicho valor incluye todos los costos, impuestos y gravámenes a los que haya lugar</w:t>
      </w:r>
      <w:r w:rsidR="00D81199">
        <w:rPr>
          <w:rFonts w:ascii="Calibri" w:hAnsi="Calibri" w:cs="Calibri"/>
          <w:color w:val="000000"/>
          <w:lang w:val="es-CO"/>
        </w:rPr>
        <w:t>.</w:t>
      </w:r>
    </w:p>
    <w:p w14:paraId="57A528A9" w14:textId="77777777" w:rsidR="004629A1" w:rsidRPr="001847EB" w:rsidRDefault="004629A1" w:rsidP="00D13799">
      <w:pPr>
        <w:pStyle w:val="PPUlist1"/>
        <w:spacing w:after="0" w:line="276" w:lineRule="auto"/>
        <w:jc w:val="both"/>
        <w:rPr>
          <w:rFonts w:ascii="Calibri" w:hAnsi="Calibri" w:cs="Calibri"/>
          <w:b/>
          <w:bCs/>
          <w:color w:val="000000"/>
        </w:rPr>
      </w:pPr>
    </w:p>
    <w:p w14:paraId="2EDD421D" w14:textId="77777777" w:rsidR="00F3498B" w:rsidRPr="00383CC5" w:rsidRDefault="00F3498B" w:rsidP="00F3498B">
      <w:pPr>
        <w:pStyle w:val="PPUlist1"/>
        <w:spacing w:after="0" w:line="276" w:lineRule="auto"/>
        <w:jc w:val="both"/>
        <w:rPr>
          <w:rFonts w:ascii="Calibri" w:hAnsi="Calibri" w:cs="Calibri"/>
          <w:color w:val="EE0000"/>
          <w:lang w:val="es-CO"/>
        </w:rPr>
      </w:pPr>
      <w:r w:rsidRPr="001847EB">
        <w:rPr>
          <w:rFonts w:ascii="Calibri" w:hAnsi="Calibri" w:cs="Calibri"/>
          <w:b/>
          <w:bCs/>
          <w:color w:val="000000"/>
        </w:rPr>
        <w:t>PARÁGRAFO PRIMERO.</w:t>
      </w:r>
      <w:r>
        <w:rPr>
          <w:rFonts w:ascii="Calibri" w:hAnsi="Calibri" w:cs="Calibri"/>
          <w:b/>
          <w:bCs/>
          <w:color w:val="000000"/>
        </w:rPr>
        <w:t xml:space="preserve"> </w:t>
      </w:r>
      <w:r>
        <w:rPr>
          <w:rFonts w:ascii="Calibri" w:hAnsi="Calibri" w:cs="Calibri"/>
          <w:color w:val="000000"/>
        </w:rPr>
        <w:t>E</w:t>
      </w:r>
      <w:r w:rsidRPr="00E544B8">
        <w:rPr>
          <w:rFonts w:ascii="Calibri" w:hAnsi="Calibri" w:cs="Calibri"/>
          <w:color w:val="000000"/>
        </w:rPr>
        <w:t>l valor de la</w:t>
      </w:r>
      <w:r>
        <w:rPr>
          <w:rFonts w:ascii="Calibri" w:hAnsi="Calibri" w:cs="Calibri"/>
          <w:color w:val="000000"/>
        </w:rPr>
        <w:t xml:space="preserve"> adición se realiza con cargo al Certificado de Disponibilidad Presupuestal expedido por TRANSMILENIO S.A</w:t>
      </w:r>
      <w:r w:rsidRPr="001847EB">
        <w:rPr>
          <w:rFonts w:ascii="Calibri" w:hAnsi="Calibri" w:cs="Calibri"/>
          <w:color w:val="000000"/>
        </w:rPr>
        <w:t>.</w:t>
      </w:r>
    </w:p>
    <w:p w14:paraId="793E14EB" w14:textId="77777777" w:rsidR="00F3498B" w:rsidRPr="001847EB" w:rsidRDefault="00F3498B" w:rsidP="00F3498B">
      <w:pPr>
        <w:pStyle w:val="PPUlist1"/>
        <w:spacing w:after="0" w:line="276" w:lineRule="auto"/>
        <w:jc w:val="both"/>
        <w:rPr>
          <w:rFonts w:ascii="Calibri" w:hAnsi="Calibri" w:cs="Calibri"/>
          <w:color w:val="000000"/>
          <w:lang w:val="es-CO"/>
        </w:rPr>
      </w:pPr>
    </w:p>
    <w:p w14:paraId="5DB57906" w14:textId="77777777" w:rsidR="00F3498B" w:rsidRPr="001847EB" w:rsidRDefault="00F3498B" w:rsidP="00F3498B">
      <w:pPr>
        <w:pStyle w:val="PPUlist1"/>
        <w:spacing w:after="0" w:line="276" w:lineRule="auto"/>
        <w:jc w:val="both"/>
        <w:rPr>
          <w:rFonts w:ascii="Calibri" w:hAnsi="Calibri" w:cs="Calibri"/>
          <w:color w:val="000000"/>
        </w:rPr>
      </w:pPr>
      <w:r w:rsidRPr="001847EB">
        <w:rPr>
          <w:rFonts w:ascii="Calibri" w:hAnsi="Calibri" w:cs="Calibri"/>
          <w:b/>
          <w:bCs/>
          <w:color w:val="000000"/>
        </w:rPr>
        <w:t xml:space="preserve">PARÁGRAFO SEGUNDO. </w:t>
      </w:r>
      <w:r w:rsidRPr="001847EB">
        <w:rPr>
          <w:rFonts w:ascii="Calibri" w:hAnsi="Calibri" w:cs="Calibri"/>
          <w:color w:val="000000"/>
        </w:rPr>
        <w:t>El pago correspondiente a la extensión del plazo contractual se pagará mensualmente bajo las mismas reglas y condiciones contempladas en el Contrato con la actualización de valores correspondiente</w:t>
      </w:r>
      <w:r>
        <w:rPr>
          <w:rFonts w:ascii="Calibri" w:hAnsi="Calibri" w:cs="Calibri"/>
          <w:color w:val="000000"/>
        </w:rPr>
        <w:t>.</w:t>
      </w:r>
    </w:p>
    <w:p w14:paraId="15F0CC8D" w14:textId="77777777" w:rsidR="00F3498B" w:rsidRPr="001847EB" w:rsidRDefault="00F3498B" w:rsidP="00F3498B">
      <w:pPr>
        <w:pStyle w:val="PPUlist1"/>
        <w:spacing w:after="0" w:line="276" w:lineRule="auto"/>
        <w:jc w:val="both"/>
        <w:rPr>
          <w:rFonts w:ascii="Calibri" w:hAnsi="Calibri" w:cs="Calibri"/>
          <w:color w:val="000000"/>
        </w:rPr>
      </w:pPr>
    </w:p>
    <w:p w14:paraId="51E3E9E1" w14:textId="77777777" w:rsidR="00F3498B" w:rsidRPr="001847EB" w:rsidRDefault="00F3498B" w:rsidP="00F3498B">
      <w:pPr>
        <w:pStyle w:val="PPUlist1"/>
        <w:spacing w:after="0" w:line="276" w:lineRule="auto"/>
        <w:jc w:val="both"/>
        <w:rPr>
          <w:rFonts w:ascii="Calibri" w:hAnsi="Calibri" w:cs="Calibri"/>
          <w:color w:val="000000"/>
        </w:rPr>
      </w:pPr>
      <w:r w:rsidRPr="001847EB">
        <w:rPr>
          <w:rFonts w:ascii="Calibri" w:hAnsi="Calibri" w:cs="Calibri"/>
          <w:b/>
          <w:bCs/>
          <w:color w:val="000000"/>
        </w:rPr>
        <w:t xml:space="preserve">PARÁGRAFO TERCERO. </w:t>
      </w:r>
      <w:r w:rsidRPr="001847EB">
        <w:rPr>
          <w:rFonts w:ascii="Calibri" w:hAnsi="Calibri" w:cs="Calibri"/>
          <w:color w:val="000000"/>
        </w:rPr>
        <w:t>Si en virtud de una providencia del Consejo de Estado o de cualquier otra autoridad judicial el Contratista queda legalmente habilitado para reducir la remuneración a sus trabajadores y este procede en tal sentido, las Partes acuerdan que dicha reducción será descontada en su totalidad de la remuneración que el Contratista recibe de Transmilenio. En todo caso, el límite a dicha reducción será el valor mínimo de los salarios de los Perfiles Requeridos señalado en su oferta económica.</w:t>
      </w:r>
    </w:p>
    <w:p w14:paraId="2F904078" w14:textId="77777777" w:rsidR="00F3498B" w:rsidRPr="001847EB" w:rsidRDefault="00F3498B" w:rsidP="00F3498B">
      <w:pPr>
        <w:pStyle w:val="PPUlist1"/>
        <w:spacing w:after="0" w:line="276" w:lineRule="auto"/>
        <w:jc w:val="both"/>
        <w:rPr>
          <w:rFonts w:ascii="Calibri" w:hAnsi="Calibri" w:cs="Calibri"/>
          <w:b/>
          <w:bCs/>
          <w:color w:val="000000"/>
        </w:rPr>
      </w:pPr>
    </w:p>
    <w:p w14:paraId="46705CE3" w14:textId="77777777" w:rsidR="00A60D0F" w:rsidRPr="00E60937" w:rsidRDefault="00A60D0F" w:rsidP="00A60D0F">
      <w:pPr>
        <w:pStyle w:val="PPUlist1"/>
        <w:spacing w:after="0" w:line="276" w:lineRule="auto"/>
        <w:jc w:val="both"/>
        <w:rPr>
          <w:rFonts w:ascii="Calibri" w:hAnsi="Calibri" w:cs="Calibri"/>
          <w:color w:val="000000"/>
        </w:rPr>
      </w:pPr>
      <w:r w:rsidRPr="001847EB">
        <w:rPr>
          <w:rFonts w:ascii="Calibri" w:hAnsi="Calibri" w:cs="Calibri"/>
          <w:b/>
          <w:bCs/>
          <w:color w:val="000000"/>
        </w:rPr>
        <w:t xml:space="preserve">CLÁUSULA </w:t>
      </w:r>
      <w:r>
        <w:rPr>
          <w:rFonts w:ascii="Calibri" w:hAnsi="Calibri" w:cs="Calibri"/>
          <w:b/>
          <w:bCs/>
          <w:color w:val="000000"/>
        </w:rPr>
        <w:t xml:space="preserve">QUINTA. MODIFICACIÓN ANEXO TÉCNICO. </w:t>
      </w:r>
      <w:r>
        <w:rPr>
          <w:rFonts w:ascii="Calibri" w:hAnsi="Calibri" w:cs="Calibri"/>
          <w:color w:val="000000"/>
        </w:rPr>
        <w:t>Se modifica el Anexo Técnico del contrato en lo relacionado con la asignación salarial y auxilio de transporte, de los puestos de trabajo relacionados en el documento R-DA-109 Solicitud Modificación de Contrato, que hace parte integral del presente otrosí.</w:t>
      </w:r>
    </w:p>
    <w:p w14:paraId="5FA84428" w14:textId="77777777" w:rsidR="00A60D0F" w:rsidRDefault="00A60D0F" w:rsidP="00A60D0F">
      <w:pPr>
        <w:pStyle w:val="PPUlist1"/>
        <w:spacing w:after="0" w:line="276" w:lineRule="auto"/>
        <w:jc w:val="both"/>
        <w:rPr>
          <w:rFonts w:ascii="Calibri" w:hAnsi="Calibri" w:cs="Calibri"/>
          <w:b/>
          <w:bCs/>
          <w:color w:val="000000"/>
        </w:rPr>
      </w:pPr>
    </w:p>
    <w:p w14:paraId="554BAE9D" w14:textId="77777777" w:rsidR="00A60D0F" w:rsidRPr="001847EB" w:rsidRDefault="00A60D0F" w:rsidP="00A60D0F">
      <w:pPr>
        <w:pStyle w:val="PPUlist1"/>
        <w:spacing w:after="0" w:line="276" w:lineRule="auto"/>
        <w:jc w:val="both"/>
        <w:rPr>
          <w:rFonts w:ascii="Calibri" w:hAnsi="Calibri" w:cs="Calibri"/>
          <w:color w:val="000000"/>
        </w:rPr>
      </w:pPr>
      <w:r w:rsidRPr="001847EB">
        <w:rPr>
          <w:rFonts w:ascii="Calibri" w:hAnsi="Calibri" w:cs="Calibri"/>
          <w:b/>
          <w:bCs/>
          <w:color w:val="000000"/>
        </w:rPr>
        <w:t xml:space="preserve">CLÁUSULA </w:t>
      </w:r>
      <w:r>
        <w:rPr>
          <w:rFonts w:ascii="Calibri" w:hAnsi="Calibri" w:cs="Calibri"/>
          <w:b/>
          <w:bCs/>
          <w:color w:val="000000"/>
        </w:rPr>
        <w:t>SEXTA</w:t>
      </w:r>
      <w:r w:rsidRPr="001847EB">
        <w:rPr>
          <w:rFonts w:ascii="Calibri" w:hAnsi="Calibri" w:cs="Calibri"/>
          <w:b/>
          <w:bCs/>
          <w:color w:val="000000"/>
        </w:rPr>
        <w:t>. DECLARACIONES Y RENUNCIAS</w:t>
      </w:r>
      <w:r w:rsidRPr="001847EB">
        <w:rPr>
          <w:rFonts w:ascii="Calibri" w:hAnsi="Calibri" w:cs="Calibri"/>
          <w:color w:val="000000"/>
        </w:rPr>
        <w:t>. El Contratista declara que l</w:t>
      </w:r>
      <w:r>
        <w:rPr>
          <w:rFonts w:ascii="Calibri" w:hAnsi="Calibri" w:cs="Calibri"/>
          <w:color w:val="000000"/>
        </w:rPr>
        <w:t>os</w:t>
      </w:r>
      <w:r w:rsidRPr="001847EB">
        <w:rPr>
          <w:rFonts w:ascii="Calibri" w:hAnsi="Calibri" w:cs="Calibri"/>
          <w:color w:val="000000"/>
        </w:rPr>
        <w:t xml:space="preserve"> valor</w:t>
      </w:r>
      <w:r>
        <w:rPr>
          <w:rFonts w:ascii="Calibri" w:hAnsi="Calibri" w:cs="Calibri"/>
          <w:color w:val="000000"/>
        </w:rPr>
        <w:t>es</w:t>
      </w:r>
      <w:r w:rsidRPr="001847EB">
        <w:rPr>
          <w:rFonts w:ascii="Calibri" w:hAnsi="Calibri" w:cs="Calibri"/>
          <w:color w:val="000000"/>
        </w:rPr>
        <w:t xml:space="preserve"> </w:t>
      </w:r>
      <w:r>
        <w:rPr>
          <w:rFonts w:ascii="Calibri" w:hAnsi="Calibri" w:cs="Calibri"/>
          <w:color w:val="000000"/>
        </w:rPr>
        <w:t>asociados a</w:t>
      </w:r>
      <w:r w:rsidRPr="001847EB">
        <w:rPr>
          <w:rFonts w:ascii="Calibri" w:hAnsi="Calibri" w:cs="Calibri"/>
          <w:color w:val="000000"/>
        </w:rPr>
        <w:t xml:space="preserve"> la </w:t>
      </w:r>
      <w:r>
        <w:rPr>
          <w:rFonts w:ascii="Calibri" w:hAnsi="Calibri" w:cs="Calibri"/>
          <w:color w:val="000000"/>
        </w:rPr>
        <w:t xml:space="preserve">compensación y a la </w:t>
      </w:r>
      <w:r w:rsidRPr="001847EB">
        <w:rPr>
          <w:rFonts w:ascii="Calibri" w:hAnsi="Calibri" w:cs="Calibri"/>
          <w:color w:val="000000"/>
        </w:rPr>
        <w:t>adición convenida</w:t>
      </w:r>
      <w:r>
        <w:rPr>
          <w:rFonts w:ascii="Calibri" w:hAnsi="Calibri" w:cs="Calibri"/>
          <w:color w:val="000000"/>
        </w:rPr>
        <w:t>s</w:t>
      </w:r>
      <w:r w:rsidRPr="001847EB">
        <w:rPr>
          <w:rFonts w:ascii="Calibri" w:hAnsi="Calibri" w:cs="Calibri"/>
          <w:color w:val="000000"/>
        </w:rPr>
        <w:t xml:space="preserve"> en la</w:t>
      </w:r>
      <w:r>
        <w:rPr>
          <w:rFonts w:ascii="Calibri" w:hAnsi="Calibri" w:cs="Calibri"/>
          <w:color w:val="000000"/>
        </w:rPr>
        <w:t>s</w:t>
      </w:r>
      <w:r w:rsidRPr="001847EB">
        <w:rPr>
          <w:rFonts w:ascii="Calibri" w:hAnsi="Calibri" w:cs="Calibri"/>
          <w:color w:val="000000"/>
        </w:rPr>
        <w:t xml:space="preserve"> cláusula</w:t>
      </w:r>
      <w:r>
        <w:rPr>
          <w:rFonts w:ascii="Calibri" w:hAnsi="Calibri" w:cs="Calibri"/>
          <w:color w:val="000000"/>
        </w:rPr>
        <w:t>s</w:t>
      </w:r>
      <w:r w:rsidRPr="001847EB">
        <w:rPr>
          <w:rFonts w:ascii="Calibri" w:hAnsi="Calibri" w:cs="Calibri"/>
          <w:color w:val="000000"/>
        </w:rPr>
        <w:t xml:space="preserve"> </w:t>
      </w:r>
      <w:r>
        <w:rPr>
          <w:rFonts w:ascii="Calibri" w:hAnsi="Calibri" w:cs="Calibri"/>
          <w:color w:val="000000"/>
        </w:rPr>
        <w:t>segunda y tercera</w:t>
      </w:r>
      <w:r w:rsidRPr="001847EB">
        <w:rPr>
          <w:rFonts w:ascii="Calibri" w:hAnsi="Calibri" w:cs="Calibri"/>
          <w:color w:val="000000"/>
        </w:rPr>
        <w:t xml:space="preserve"> </w:t>
      </w:r>
      <w:r w:rsidRPr="00383CC5">
        <w:rPr>
          <w:rFonts w:ascii="Calibri" w:hAnsi="Calibri" w:cs="Calibri"/>
          <w:color w:val="000000"/>
        </w:rPr>
        <w:t>remuneran de manera adecuada y suficiente las variaciones del costo de la mano de obra que fueron retenidas contractualmente por Transmilenio y cuyo pago ha realizado y realizará el Contratista durante todo el plazo</w:t>
      </w:r>
      <w:r w:rsidRPr="001847EB">
        <w:rPr>
          <w:rFonts w:ascii="Calibri" w:hAnsi="Calibri" w:cs="Calibri"/>
          <w:color w:val="000000"/>
        </w:rPr>
        <w:t xml:space="preserve"> de ejecución contractual. En consecuencia, renuncia a cualquier reclamación o proceso judicial por este concepto.</w:t>
      </w:r>
    </w:p>
    <w:p w14:paraId="53768F15" w14:textId="77777777" w:rsidR="00A60D0F" w:rsidRPr="001847EB" w:rsidRDefault="00A60D0F" w:rsidP="00A60D0F">
      <w:pPr>
        <w:pStyle w:val="PPUlist1"/>
        <w:spacing w:after="0" w:line="276" w:lineRule="auto"/>
        <w:jc w:val="both"/>
        <w:rPr>
          <w:rFonts w:ascii="Calibri" w:hAnsi="Calibri" w:cs="Calibri"/>
          <w:color w:val="000000"/>
        </w:rPr>
      </w:pPr>
    </w:p>
    <w:p w14:paraId="065BEE80" w14:textId="77777777" w:rsidR="00A60D0F" w:rsidRPr="001847EB" w:rsidRDefault="00A60D0F" w:rsidP="00A60D0F">
      <w:pPr>
        <w:pStyle w:val="PPUlist1"/>
        <w:spacing w:after="0" w:line="276" w:lineRule="auto"/>
        <w:jc w:val="both"/>
        <w:rPr>
          <w:rFonts w:ascii="Calibri" w:hAnsi="Calibri" w:cs="Calibri"/>
          <w:color w:val="000000"/>
        </w:rPr>
      </w:pPr>
      <w:r w:rsidRPr="001847EB">
        <w:rPr>
          <w:rFonts w:ascii="Calibri" w:hAnsi="Calibri" w:cs="Calibri"/>
          <w:b/>
          <w:bCs/>
          <w:color w:val="000000"/>
        </w:rPr>
        <w:t xml:space="preserve">CLÁUSULA </w:t>
      </w:r>
      <w:r>
        <w:rPr>
          <w:rFonts w:ascii="Calibri" w:hAnsi="Calibri" w:cs="Calibri"/>
          <w:b/>
          <w:bCs/>
          <w:color w:val="000000"/>
        </w:rPr>
        <w:t>SÉPTIMA</w:t>
      </w:r>
      <w:r w:rsidRPr="001847EB">
        <w:rPr>
          <w:rFonts w:ascii="Calibri" w:hAnsi="Calibri" w:cs="Calibri"/>
          <w:b/>
          <w:bCs/>
          <w:color w:val="000000"/>
        </w:rPr>
        <w:t>. GARANTÍAS</w:t>
      </w:r>
      <w:r w:rsidRPr="001847EB">
        <w:rPr>
          <w:rFonts w:ascii="Calibri" w:hAnsi="Calibri" w:cs="Calibri"/>
          <w:color w:val="000000"/>
        </w:rPr>
        <w:t xml:space="preserve">. Dentro de los </w:t>
      </w:r>
      <w:r>
        <w:rPr>
          <w:rFonts w:ascii="Calibri" w:hAnsi="Calibri" w:cs="Calibri"/>
          <w:color w:val="000000"/>
        </w:rPr>
        <w:t>tres</w:t>
      </w:r>
      <w:r w:rsidRPr="001847EB">
        <w:rPr>
          <w:rFonts w:ascii="Calibri" w:hAnsi="Calibri" w:cs="Calibri"/>
          <w:color w:val="000000"/>
        </w:rPr>
        <w:t xml:space="preserve"> (</w:t>
      </w:r>
      <w:r>
        <w:rPr>
          <w:rFonts w:ascii="Calibri" w:hAnsi="Calibri" w:cs="Calibri"/>
          <w:color w:val="000000"/>
        </w:rPr>
        <w:t>3</w:t>
      </w:r>
      <w:r w:rsidRPr="001847EB">
        <w:rPr>
          <w:rFonts w:ascii="Calibri" w:hAnsi="Calibri" w:cs="Calibri"/>
          <w:color w:val="000000"/>
        </w:rPr>
        <w:t xml:space="preserve">) días hábiles siguientes a la firma del presente </w:t>
      </w:r>
      <w:r>
        <w:rPr>
          <w:rFonts w:ascii="Calibri" w:hAnsi="Calibri" w:cs="Calibri"/>
          <w:color w:val="000000"/>
        </w:rPr>
        <w:t>otrosí</w:t>
      </w:r>
      <w:r w:rsidRPr="001847EB">
        <w:rPr>
          <w:rFonts w:ascii="Calibri" w:hAnsi="Calibri" w:cs="Calibri"/>
          <w:color w:val="000000"/>
        </w:rPr>
        <w:t xml:space="preserve">, el Contratista deberá informar al garante sobre las modificaciones contractuales acordadas y modificar y/o ajustar las garantías de conformidad con lo previsto en el presente </w:t>
      </w:r>
      <w:r>
        <w:rPr>
          <w:rFonts w:ascii="Calibri" w:hAnsi="Calibri" w:cs="Calibri"/>
          <w:color w:val="000000"/>
        </w:rPr>
        <w:t>otrosí</w:t>
      </w:r>
      <w:r w:rsidRPr="001847EB">
        <w:rPr>
          <w:rFonts w:ascii="Calibri" w:hAnsi="Calibri" w:cs="Calibri"/>
          <w:color w:val="000000"/>
        </w:rPr>
        <w:t>.</w:t>
      </w:r>
    </w:p>
    <w:p w14:paraId="0FD95E20" w14:textId="77777777" w:rsidR="00A60D0F" w:rsidRPr="001847EB" w:rsidRDefault="00A60D0F" w:rsidP="00A60D0F">
      <w:pPr>
        <w:pStyle w:val="PPUlist1"/>
        <w:spacing w:after="0" w:line="276" w:lineRule="auto"/>
        <w:jc w:val="both"/>
        <w:rPr>
          <w:rFonts w:ascii="Calibri" w:hAnsi="Calibri" w:cs="Calibri"/>
          <w:color w:val="000000"/>
        </w:rPr>
      </w:pPr>
    </w:p>
    <w:p w14:paraId="4F45ABAB" w14:textId="20FC98E4" w:rsidR="00F3498B" w:rsidRPr="001847EB" w:rsidRDefault="00A60D0F" w:rsidP="00A60D0F">
      <w:pPr>
        <w:pStyle w:val="PPUlist1"/>
        <w:spacing w:after="0" w:line="276" w:lineRule="auto"/>
        <w:jc w:val="both"/>
        <w:rPr>
          <w:rFonts w:ascii="Calibri" w:hAnsi="Calibri" w:cs="Calibri"/>
          <w:color w:val="000000"/>
          <w:lang w:val="es-CO"/>
        </w:rPr>
      </w:pPr>
      <w:r w:rsidRPr="001847EB">
        <w:rPr>
          <w:rFonts w:ascii="Calibri" w:hAnsi="Calibri" w:cs="Calibri"/>
          <w:b/>
          <w:bCs/>
          <w:color w:val="000000"/>
          <w:lang w:val="es-CO"/>
        </w:rPr>
        <w:t xml:space="preserve">CLÁUSULA </w:t>
      </w:r>
      <w:r>
        <w:rPr>
          <w:rFonts w:ascii="Calibri" w:hAnsi="Calibri" w:cs="Calibri"/>
          <w:b/>
          <w:bCs/>
          <w:color w:val="000000"/>
          <w:lang w:val="es-CO"/>
        </w:rPr>
        <w:t>OCTAVA</w:t>
      </w:r>
      <w:r w:rsidRPr="001847EB">
        <w:rPr>
          <w:rFonts w:ascii="Calibri" w:hAnsi="Calibri" w:cs="Calibri"/>
          <w:b/>
          <w:bCs/>
          <w:color w:val="000000"/>
          <w:lang w:val="es-CO"/>
        </w:rPr>
        <w:t>. VIGENCIA Y VALIDEZ DE LO NO MODIFICADO.</w:t>
      </w:r>
      <w:r w:rsidRPr="001847EB">
        <w:rPr>
          <w:rFonts w:ascii="Calibri" w:hAnsi="Calibri" w:cs="Calibri"/>
          <w:color w:val="000000"/>
          <w:lang w:val="es-CO"/>
        </w:rPr>
        <w:t xml:space="preserve"> Las modificaciones del presente </w:t>
      </w:r>
      <w:r>
        <w:rPr>
          <w:rFonts w:ascii="Calibri" w:hAnsi="Calibri" w:cs="Calibri"/>
          <w:color w:val="000000"/>
          <w:lang w:val="es-CO"/>
        </w:rPr>
        <w:t>otrosí</w:t>
      </w:r>
      <w:r w:rsidRPr="001847EB">
        <w:rPr>
          <w:rFonts w:ascii="Calibri" w:hAnsi="Calibri" w:cs="Calibri"/>
          <w:color w:val="000000"/>
          <w:lang w:val="es-CO"/>
        </w:rPr>
        <w:t xml:space="preserve"> rigen a partir de su suscripción. Todas las demás cláusulas y estipulaciones contractuales del Contrato que no son modificadas por el presente acuerdo conservan plena vigencia y validez.</w:t>
      </w:r>
    </w:p>
    <w:p w14:paraId="3ED7B116" w14:textId="77777777" w:rsidR="00F3498B" w:rsidRPr="001847EB" w:rsidRDefault="00F3498B" w:rsidP="00F3498B">
      <w:pPr>
        <w:spacing w:after="0" w:line="276" w:lineRule="auto"/>
        <w:rPr>
          <w:rFonts w:ascii="Calibri" w:hAnsi="Calibri" w:cs="Calibri"/>
          <w:lang w:val="es-CO"/>
        </w:rPr>
      </w:pPr>
    </w:p>
    <w:p w14:paraId="73B17D65" w14:textId="77777777" w:rsidR="00F3498B" w:rsidRDefault="00F3498B" w:rsidP="00F3498B">
      <w:pPr>
        <w:spacing w:after="0" w:line="276" w:lineRule="auto"/>
        <w:jc w:val="both"/>
        <w:rPr>
          <w:rFonts w:ascii="Calibri" w:hAnsi="Calibri" w:cs="Calibri"/>
          <w:color w:val="000000" w:themeColor="text1"/>
        </w:rPr>
      </w:pPr>
      <w:r w:rsidRPr="001847EB">
        <w:rPr>
          <w:rFonts w:ascii="Calibri" w:hAnsi="Calibri" w:cs="Calibri"/>
          <w:color w:val="000000" w:themeColor="text1"/>
        </w:rPr>
        <w:t xml:space="preserve">Para constancia de lo acordado, se firma </w:t>
      </w:r>
      <w:r>
        <w:rPr>
          <w:rFonts w:ascii="Calibri" w:hAnsi="Calibri" w:cs="Calibri"/>
          <w:color w:val="000000" w:themeColor="text1"/>
        </w:rPr>
        <w:t>a través de la plataforma transaccional SECOP II.</w:t>
      </w:r>
    </w:p>
    <w:p w14:paraId="7B2474D0" w14:textId="77777777" w:rsidR="00F3498B" w:rsidRPr="001847EB" w:rsidRDefault="00F3498B" w:rsidP="00F3498B">
      <w:pPr>
        <w:spacing w:after="0" w:line="276" w:lineRule="auto"/>
        <w:jc w:val="both"/>
        <w:rPr>
          <w:rFonts w:ascii="Calibri" w:hAnsi="Calibri" w:cs="Calibri"/>
          <w:color w:val="000000" w:themeColor="text1"/>
        </w:rPr>
      </w:pPr>
    </w:p>
    <w:p w14:paraId="40A249C5" w14:textId="77777777" w:rsidR="00F3498B" w:rsidRDefault="00F3498B" w:rsidP="00F3498B">
      <w:pPr>
        <w:spacing w:after="0" w:line="276" w:lineRule="auto"/>
        <w:ind w:left="1418" w:hanging="1418"/>
        <w:rPr>
          <w:rFonts w:ascii="Calibri" w:hAnsi="Calibri" w:cs="Calibri"/>
          <w:sz w:val="20"/>
          <w:szCs w:val="20"/>
        </w:rPr>
      </w:pPr>
      <w:r w:rsidRPr="001847EB">
        <w:rPr>
          <w:rFonts w:ascii="Calibri" w:hAnsi="Calibri" w:cs="Calibri"/>
          <w:sz w:val="20"/>
          <w:szCs w:val="20"/>
        </w:rPr>
        <w:t>Revisó:</w:t>
      </w:r>
      <w:r>
        <w:rPr>
          <w:rFonts w:ascii="Calibri" w:hAnsi="Calibri" w:cs="Calibri"/>
          <w:sz w:val="20"/>
          <w:szCs w:val="20"/>
        </w:rPr>
        <w:tab/>
      </w:r>
      <w:r w:rsidRPr="001847EB">
        <w:rPr>
          <w:rFonts w:ascii="Calibri" w:hAnsi="Calibri" w:cs="Calibri"/>
          <w:sz w:val="20"/>
          <w:szCs w:val="20"/>
        </w:rPr>
        <w:t>Jaime Enrique Monroy Garavito – Subgerente de Operaciones</w:t>
      </w:r>
    </w:p>
    <w:p w14:paraId="2CF4EE4C" w14:textId="77777777" w:rsidR="00F3498B" w:rsidRDefault="00F3498B" w:rsidP="00F3498B">
      <w:pPr>
        <w:spacing w:after="0" w:line="276" w:lineRule="auto"/>
        <w:ind w:left="1418" w:hanging="2"/>
        <w:rPr>
          <w:rFonts w:ascii="Calibri" w:hAnsi="Calibri" w:cs="Calibri"/>
          <w:sz w:val="20"/>
          <w:szCs w:val="20"/>
        </w:rPr>
      </w:pPr>
      <w:r w:rsidRPr="001847EB">
        <w:rPr>
          <w:rFonts w:ascii="Calibri" w:hAnsi="Calibri" w:cs="Calibri"/>
          <w:sz w:val="20"/>
          <w:szCs w:val="20"/>
        </w:rPr>
        <w:t xml:space="preserve">Santiago Botero Giraldo – </w:t>
      </w:r>
      <w:proofErr w:type="gramStart"/>
      <w:r w:rsidRPr="001847EB">
        <w:rPr>
          <w:rFonts w:ascii="Calibri" w:hAnsi="Calibri" w:cs="Calibri"/>
          <w:sz w:val="20"/>
          <w:szCs w:val="20"/>
        </w:rPr>
        <w:t>Director</w:t>
      </w:r>
      <w:proofErr w:type="gramEnd"/>
      <w:r w:rsidRPr="001847EB">
        <w:rPr>
          <w:rFonts w:ascii="Calibri" w:hAnsi="Calibri" w:cs="Calibri"/>
          <w:sz w:val="20"/>
          <w:szCs w:val="20"/>
        </w:rPr>
        <w:t xml:space="preserve"> de Contratación</w:t>
      </w:r>
    </w:p>
    <w:p w14:paraId="4B66AA62" w14:textId="77777777" w:rsidR="00F3498B" w:rsidRPr="00383CC5" w:rsidRDefault="00F3498B" w:rsidP="00F3498B">
      <w:pPr>
        <w:spacing w:after="0" w:line="276" w:lineRule="auto"/>
        <w:ind w:left="1418" w:hanging="2"/>
        <w:rPr>
          <w:rFonts w:ascii="Calibri" w:hAnsi="Calibri" w:cs="Calibri"/>
          <w:sz w:val="20"/>
          <w:szCs w:val="20"/>
        </w:rPr>
      </w:pPr>
      <w:r w:rsidRPr="001847EB">
        <w:rPr>
          <w:rFonts w:ascii="Calibri" w:hAnsi="Calibri" w:cs="Calibri"/>
          <w:sz w:val="20"/>
          <w:szCs w:val="20"/>
        </w:rPr>
        <w:t xml:space="preserve">Lucy Cucaita – </w:t>
      </w:r>
      <w:proofErr w:type="gramStart"/>
      <w:r w:rsidRPr="001847EB">
        <w:rPr>
          <w:rFonts w:ascii="Calibri" w:hAnsi="Calibri" w:cs="Calibri"/>
          <w:sz w:val="20"/>
          <w:szCs w:val="20"/>
        </w:rPr>
        <w:t>Directora Técnica</w:t>
      </w:r>
      <w:proofErr w:type="gramEnd"/>
      <w:r w:rsidRPr="001847EB">
        <w:rPr>
          <w:rFonts w:ascii="Calibri" w:hAnsi="Calibri" w:cs="Calibri"/>
          <w:sz w:val="20"/>
          <w:szCs w:val="20"/>
        </w:rPr>
        <w:t xml:space="preserve"> Troncal</w:t>
      </w:r>
    </w:p>
    <w:p w14:paraId="3D649827" w14:textId="32923A8F" w:rsidR="00E74C0C" w:rsidRPr="00F3498B" w:rsidRDefault="00E74C0C" w:rsidP="00F3498B">
      <w:pPr>
        <w:pStyle w:val="PPUlist1"/>
        <w:spacing w:after="0" w:line="276" w:lineRule="auto"/>
        <w:jc w:val="both"/>
        <w:rPr>
          <w:rFonts w:ascii="Calibri" w:hAnsi="Calibri" w:cs="Calibri"/>
          <w:strike/>
          <w:sz w:val="20"/>
          <w:szCs w:val="20"/>
          <w:lang w:val="pt-PT"/>
        </w:rPr>
      </w:pPr>
    </w:p>
    <w:sectPr w:rsidR="00E74C0C" w:rsidRPr="00F3498B">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EDF13" w14:textId="77777777" w:rsidR="00A96B6D" w:rsidRDefault="00A96B6D" w:rsidP="00602BCC">
      <w:pPr>
        <w:spacing w:after="0"/>
      </w:pPr>
      <w:r>
        <w:separator/>
      </w:r>
    </w:p>
  </w:endnote>
  <w:endnote w:type="continuationSeparator" w:id="0">
    <w:p w14:paraId="33840293" w14:textId="77777777" w:rsidR="00A96B6D" w:rsidRDefault="00A96B6D" w:rsidP="00602B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11AB2" w14:textId="14963266" w:rsidR="00602BCC" w:rsidRPr="00602BCC" w:rsidRDefault="00602BCC">
    <w:pPr>
      <w:pStyle w:val="Piedepgina"/>
      <w:jc w:val="center"/>
      <w:rPr>
        <w:rFonts w:cs="Times New Roman"/>
        <w:sz w:val="18"/>
        <w:szCs w:val="18"/>
      </w:rPr>
    </w:pPr>
    <w:r>
      <w:rPr>
        <w:rFonts w:cs="Times New Roman"/>
        <w:sz w:val="18"/>
        <w:szCs w:val="18"/>
      </w:rPr>
      <w:t xml:space="preserve">- </w:t>
    </w:r>
    <w:sdt>
      <w:sdtPr>
        <w:rPr>
          <w:rFonts w:cs="Times New Roman"/>
          <w:sz w:val="18"/>
          <w:szCs w:val="18"/>
        </w:rPr>
        <w:id w:val="671068678"/>
        <w:docPartObj>
          <w:docPartGallery w:val="Page Numbers (Bottom of Page)"/>
          <w:docPartUnique/>
        </w:docPartObj>
      </w:sdtPr>
      <w:sdtContent>
        <w:r w:rsidRPr="00602BCC">
          <w:rPr>
            <w:rFonts w:cs="Times New Roman"/>
            <w:sz w:val="18"/>
            <w:szCs w:val="18"/>
          </w:rPr>
          <w:fldChar w:fldCharType="begin"/>
        </w:r>
        <w:r w:rsidRPr="00602BCC">
          <w:rPr>
            <w:rFonts w:cs="Times New Roman"/>
            <w:sz w:val="18"/>
            <w:szCs w:val="18"/>
          </w:rPr>
          <w:instrText>PAGE   \* MERGEFORMAT</w:instrText>
        </w:r>
        <w:r w:rsidRPr="00602BCC">
          <w:rPr>
            <w:rFonts w:cs="Times New Roman"/>
            <w:sz w:val="18"/>
            <w:szCs w:val="18"/>
          </w:rPr>
          <w:fldChar w:fldCharType="separate"/>
        </w:r>
        <w:r w:rsidRPr="00602BCC">
          <w:rPr>
            <w:rFonts w:cs="Times New Roman"/>
            <w:sz w:val="18"/>
            <w:szCs w:val="18"/>
            <w:lang w:val="es-MX"/>
          </w:rPr>
          <w:t>2</w:t>
        </w:r>
        <w:r w:rsidRPr="00602BCC">
          <w:rPr>
            <w:rFonts w:cs="Times New Roman"/>
            <w:sz w:val="18"/>
            <w:szCs w:val="18"/>
          </w:rPr>
          <w:fldChar w:fldCharType="end"/>
        </w:r>
      </w:sdtContent>
    </w:sdt>
    <w:r>
      <w:rPr>
        <w:rFonts w:cs="Times New Roman"/>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2E191" w14:textId="77777777" w:rsidR="00A96B6D" w:rsidRDefault="00A96B6D" w:rsidP="00602BCC">
      <w:pPr>
        <w:spacing w:after="0"/>
      </w:pPr>
      <w:r>
        <w:separator/>
      </w:r>
    </w:p>
  </w:footnote>
  <w:footnote w:type="continuationSeparator" w:id="0">
    <w:p w14:paraId="4477481B" w14:textId="77777777" w:rsidR="00A96B6D" w:rsidRDefault="00A96B6D" w:rsidP="00602BCC">
      <w:pPr>
        <w:spacing w:after="0"/>
      </w:pPr>
      <w:r>
        <w:continuationSeparator/>
      </w:r>
    </w:p>
  </w:footnote>
  <w:footnote w:id="1">
    <w:p w14:paraId="7BEEE5A8" w14:textId="77777777" w:rsidR="00F3498B" w:rsidRPr="00B6088F" w:rsidRDefault="00F3498B" w:rsidP="00F3498B">
      <w:pPr>
        <w:pStyle w:val="Textonotapie"/>
        <w:rPr>
          <w:lang w:val="es-MX"/>
        </w:rPr>
      </w:pPr>
      <w:r>
        <w:rPr>
          <w:rStyle w:val="Refdenotaalpie"/>
        </w:rPr>
        <w:footnoteRef/>
      </w:r>
      <w:r>
        <w:t xml:space="preserve"> </w:t>
      </w:r>
      <w:hyperlink r:id="rId1" w:tgtFrame="_blank" w:tooltip="https://www.banrep.gov.co/es/estadisticas-economicas/series-estadisticas-historicas-colombia" w:history="1">
        <w:r w:rsidRPr="00B6088F">
          <w:rPr>
            <w:rFonts w:ascii="Calibri" w:hAnsi="Calibri" w:cs="Calibri"/>
            <w:color w:val="000000" w:themeColor="text1"/>
            <w:sz w:val="24"/>
            <w:szCs w:val="24"/>
          </w:rPr>
          <w:t>Series estadísticas históricas de Colombia | Banco de la República</w:t>
        </w:r>
      </w:hyperlink>
      <w:r>
        <w:rPr>
          <w:rFonts w:ascii="Calibri" w:hAnsi="Calibri" w:cs="Calibri"/>
          <w:color w:val="000000" w:themeColor="text1"/>
          <w:sz w:val="24"/>
          <w:szCs w:val="24"/>
        </w:rPr>
        <w:t xml:space="preserve"> </w:t>
      </w:r>
    </w:p>
  </w:footnote>
  <w:footnote w:id="2">
    <w:p w14:paraId="16ED5EB0" w14:textId="77777777" w:rsidR="00F3498B" w:rsidRPr="00E60957" w:rsidRDefault="00F3498B" w:rsidP="00F3498B">
      <w:pPr>
        <w:pStyle w:val="Textonotapie"/>
        <w:jc w:val="both"/>
        <w:rPr>
          <w:rFonts w:ascii="Calibri" w:hAnsi="Calibri" w:cs="Calibri"/>
        </w:rPr>
      </w:pPr>
      <w:r w:rsidRPr="00E60957">
        <w:rPr>
          <w:rStyle w:val="Refdenotaalpie"/>
          <w:rFonts w:ascii="Calibri" w:hAnsi="Calibri" w:cs="Calibri"/>
        </w:rPr>
        <w:footnoteRef/>
      </w:r>
      <w:r w:rsidRPr="00E60957">
        <w:rPr>
          <w:rFonts w:ascii="Calibri" w:hAnsi="Calibri" w:cs="Calibri"/>
        </w:rPr>
        <w:t xml:space="preserve"> </w:t>
      </w:r>
      <w:r w:rsidRPr="00E60957">
        <w:rPr>
          <w:rFonts w:ascii="Calibri" w:hAnsi="Calibri" w:cs="Calibri"/>
          <w:lang w:val="es-MX"/>
        </w:rPr>
        <w:t xml:space="preserve">CONSEJO DE ESTADO, Sala de lo Contencioso Administrativo, Sección Segunda, Subsección A. Rad. No. </w:t>
      </w:r>
      <w:r w:rsidRPr="00E60957">
        <w:rPr>
          <w:rFonts w:ascii="Calibri" w:hAnsi="Calibri" w:cs="Calibri"/>
          <w:lang w:val="es-ES"/>
        </w:rPr>
        <w:t>11001-03-25-000-2026-00004-00.  </w:t>
      </w:r>
      <w:r w:rsidRPr="00E60957">
        <w:rPr>
          <w:rFonts w:ascii="Calibri" w:hAnsi="Calibri" w:cs="Calibri"/>
        </w:rPr>
        <w:t>Auto del 13 de febrero de 2026. C.P.: Juan Camilo Morales Trujillo.</w:t>
      </w:r>
    </w:p>
  </w:footnote>
  <w:footnote w:id="3">
    <w:p w14:paraId="2B5634C5" w14:textId="77777777" w:rsidR="00F3498B" w:rsidRPr="00E60957" w:rsidRDefault="00F3498B" w:rsidP="00F3498B">
      <w:pPr>
        <w:pStyle w:val="Textonotapie"/>
        <w:jc w:val="both"/>
        <w:rPr>
          <w:rFonts w:ascii="Calibri" w:hAnsi="Calibri" w:cs="Calibri"/>
          <w:lang w:val="es-MX"/>
        </w:rPr>
      </w:pPr>
      <w:r w:rsidRPr="00E60957">
        <w:rPr>
          <w:rStyle w:val="Refdenotaalpie"/>
          <w:rFonts w:ascii="Calibri" w:hAnsi="Calibri" w:cs="Calibri"/>
        </w:rPr>
        <w:footnoteRef/>
      </w:r>
      <w:r w:rsidRPr="00E60957">
        <w:rPr>
          <w:rFonts w:ascii="Calibri" w:hAnsi="Calibri" w:cs="Calibri"/>
        </w:rPr>
        <w:t xml:space="preserve"> </w:t>
      </w:r>
      <w:r w:rsidRPr="00E60957">
        <w:rPr>
          <w:rFonts w:ascii="Calibri" w:hAnsi="Calibri" w:cs="Calibri"/>
          <w:lang w:val="es-MX"/>
        </w:rPr>
        <w:t xml:space="preserve">CONSEJO DE ESTADO, Sala de lo Contencioso Administrativo, Sección Tercera, Subsección A. Rad. No. </w:t>
      </w:r>
      <w:r w:rsidRPr="00E60957">
        <w:rPr>
          <w:rFonts w:ascii="Calibri" w:hAnsi="Calibri" w:cs="Calibri"/>
        </w:rPr>
        <w:t>25000233600020200039601 (70.250). Sentencia del 7 de febrero de 2025. C.P.: José Roberto Sáchica Méndez.</w:t>
      </w:r>
    </w:p>
  </w:footnote>
  <w:footnote w:id="4">
    <w:p w14:paraId="25333133" w14:textId="77777777" w:rsidR="00F3498B" w:rsidRPr="00E60957" w:rsidRDefault="00F3498B" w:rsidP="00F3498B">
      <w:pPr>
        <w:pStyle w:val="Textonotapie"/>
        <w:jc w:val="both"/>
        <w:rPr>
          <w:rFonts w:ascii="Calibri" w:hAnsi="Calibri" w:cs="Calibri"/>
          <w:lang w:val="pt-BR"/>
        </w:rPr>
      </w:pPr>
      <w:r w:rsidRPr="00E60957">
        <w:rPr>
          <w:rStyle w:val="Refdenotaalpie"/>
          <w:rFonts w:ascii="Calibri" w:hAnsi="Calibri" w:cs="Calibri"/>
        </w:rPr>
        <w:footnoteRef/>
      </w:r>
      <w:r w:rsidRPr="00E60957">
        <w:rPr>
          <w:rFonts w:ascii="Calibri" w:hAnsi="Calibri" w:cs="Calibri"/>
          <w:lang w:val="pt-BR"/>
        </w:rPr>
        <w:t xml:space="preserve"> CORTE CONSTITUCIONAL. Sala Plena. E</w:t>
      </w:r>
      <w:r w:rsidRPr="00E60957">
        <w:rPr>
          <w:rFonts w:ascii="Calibri" w:hAnsi="Calibri" w:cs="Calibri"/>
          <w:color w:val="2D2D2D"/>
          <w:shd w:val="clear" w:color="auto" w:fill="FFFFFF"/>
          <w:lang w:val="pt-BR"/>
        </w:rPr>
        <w:t xml:space="preserve">xpediente D-8699. </w:t>
      </w:r>
      <w:r w:rsidRPr="00E60957">
        <w:rPr>
          <w:rFonts w:ascii="Calibri" w:hAnsi="Calibri" w:cs="Calibri"/>
          <w:lang w:val="es-CO"/>
        </w:rPr>
        <w:t xml:space="preserve">Sentencia C-300 del 25 de abril de 2012. </w:t>
      </w:r>
      <w:r w:rsidRPr="00E60957">
        <w:rPr>
          <w:rFonts w:ascii="Calibri" w:hAnsi="Calibri" w:cs="Calibri"/>
          <w:lang w:val="pt-BR"/>
        </w:rPr>
        <w:t xml:space="preserve">M.P.: Jorge Ignacio </w:t>
      </w:r>
      <w:proofErr w:type="spellStart"/>
      <w:r w:rsidRPr="00E60957">
        <w:rPr>
          <w:rFonts w:ascii="Calibri" w:hAnsi="Calibri" w:cs="Calibri"/>
          <w:lang w:val="pt-BR"/>
        </w:rPr>
        <w:t>Pretelt</w:t>
      </w:r>
      <w:proofErr w:type="spellEnd"/>
      <w:r w:rsidRPr="00E60957">
        <w:rPr>
          <w:rFonts w:ascii="Calibri" w:hAnsi="Calibri" w:cs="Calibri"/>
          <w:lang w:val="pt-BR"/>
        </w:rPr>
        <w:t xml:space="preserve"> </w:t>
      </w:r>
      <w:proofErr w:type="spellStart"/>
      <w:r w:rsidRPr="00E60957">
        <w:rPr>
          <w:rFonts w:ascii="Calibri" w:hAnsi="Calibri" w:cs="Calibri"/>
          <w:lang w:val="pt-BR"/>
        </w:rPr>
        <w:t>Chaljub</w:t>
      </w:r>
      <w:proofErr w:type="spellEnd"/>
      <w:r w:rsidRPr="00E60957">
        <w:rPr>
          <w:rFonts w:ascii="Calibri" w:hAnsi="Calibri" w:cs="Calibri"/>
          <w:lang w:val="pt-BR"/>
        </w:rPr>
        <w:t>.</w:t>
      </w:r>
    </w:p>
  </w:footnote>
  <w:footnote w:id="5">
    <w:p w14:paraId="37F33DE1" w14:textId="77777777" w:rsidR="00F3498B" w:rsidRPr="00E60957" w:rsidRDefault="00F3498B" w:rsidP="00F3498B">
      <w:pPr>
        <w:pStyle w:val="Textonotapie"/>
        <w:jc w:val="both"/>
        <w:rPr>
          <w:rFonts w:ascii="Calibri" w:hAnsi="Calibri" w:cs="Calibri"/>
          <w:lang w:val="es-CO"/>
        </w:rPr>
      </w:pPr>
      <w:r w:rsidRPr="00E60957">
        <w:rPr>
          <w:rStyle w:val="Refdenotaalpie"/>
          <w:rFonts w:ascii="Calibri" w:hAnsi="Calibri" w:cs="Calibri"/>
        </w:rPr>
        <w:footnoteRef/>
      </w:r>
      <w:r w:rsidRPr="00E60957">
        <w:rPr>
          <w:rFonts w:ascii="Calibri" w:hAnsi="Calibri" w:cs="Calibri"/>
          <w:lang w:val="pt-BR"/>
        </w:rPr>
        <w:t xml:space="preserve"> CORTE CONSTITUCIONAL. Sala Plena. </w:t>
      </w:r>
      <w:r w:rsidRPr="00E60957">
        <w:rPr>
          <w:rFonts w:ascii="Calibri" w:hAnsi="Calibri" w:cs="Calibri"/>
          <w:lang w:val="es-CO"/>
        </w:rPr>
        <w:t>Expediente: </w:t>
      </w:r>
      <w:bookmarkStart w:id="0" w:name="_Hlk54189211"/>
      <w:r w:rsidRPr="00E60957">
        <w:rPr>
          <w:rFonts w:ascii="Calibri" w:hAnsi="Calibri" w:cs="Calibri"/>
          <w:lang w:val="es-CO"/>
        </w:rPr>
        <w:t>T-8.165.203</w:t>
      </w:r>
      <w:bookmarkEnd w:id="0"/>
      <w:r w:rsidRPr="00E60957">
        <w:rPr>
          <w:rFonts w:ascii="Calibri" w:hAnsi="Calibri" w:cs="Calibri"/>
          <w:lang w:val="es-CO"/>
        </w:rPr>
        <w:t>. Sentencia SU-214 del 16 de junio de 2022. M.P.: Jorge Enrique Ibáñez Najar.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1466C" w14:textId="241FD189" w:rsidR="00602BCC" w:rsidRDefault="00602BCC">
    <w:pPr>
      <w:pStyle w:val="Encabezado"/>
    </w:pPr>
    <w:r>
      <w:rPr>
        <w:noProof/>
      </w:rPr>
      <w:drawing>
        <wp:anchor distT="0" distB="0" distL="114300" distR="114300" simplePos="0" relativeHeight="251659264" behindDoc="0" locked="0" layoutInCell="1" allowOverlap="1" wp14:anchorId="73B62B3D" wp14:editId="05E9E08A">
          <wp:simplePos x="0" y="0"/>
          <wp:positionH relativeFrom="page">
            <wp:posOffset>-10911</wp:posOffset>
          </wp:positionH>
          <wp:positionV relativeFrom="paragraph">
            <wp:posOffset>-395490</wp:posOffset>
          </wp:positionV>
          <wp:extent cx="7844155" cy="840740"/>
          <wp:effectExtent l="0" t="0" r="4445" b="0"/>
          <wp:wrapNone/>
          <wp:docPr id="327791252"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t="33696"/>
                  <a:stretch/>
                </pic:blipFill>
                <pic:spPr bwMode="auto">
                  <a:xfrm>
                    <a:off x="0" y="0"/>
                    <a:ext cx="7844155" cy="840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2001"/>
    <w:multiLevelType w:val="multilevel"/>
    <w:tmpl w:val="D32E10D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B594AA6"/>
    <w:multiLevelType w:val="hybridMultilevel"/>
    <w:tmpl w:val="AB989A76"/>
    <w:lvl w:ilvl="0" w:tplc="4312729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267CE6"/>
    <w:multiLevelType w:val="hybridMultilevel"/>
    <w:tmpl w:val="B0DEA212"/>
    <w:lvl w:ilvl="0" w:tplc="4A3EC33E">
      <w:start w:val="1"/>
      <w:numFmt w:val="lowerLetter"/>
      <w:lvlText w:val="(%1)"/>
      <w:lvlJc w:val="left"/>
      <w:pPr>
        <w:ind w:left="740"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75FE9"/>
    <w:multiLevelType w:val="multilevel"/>
    <w:tmpl w:val="30405458"/>
    <w:lvl w:ilvl="0">
      <w:start w:val="1"/>
      <w:numFmt w:val="lowerLetter"/>
      <w:lvlText w:val="(%1)"/>
      <w:lvlJc w:val="left"/>
      <w:pPr>
        <w:ind w:left="720" w:hanging="720"/>
      </w:pPr>
      <w:rPr>
        <w:rFonts w:hint="default"/>
        <w:b w:val="0"/>
        <w:bCs w:val="0"/>
        <w:i w:val="0"/>
        <w:iCs w:val="0"/>
      </w:rPr>
    </w:lvl>
    <w:lvl w:ilvl="1">
      <w:start w:val="1"/>
      <w:numFmt w:val="lowerRoman"/>
      <w:lvlRestart w:val="0"/>
      <w:pStyle w:val="PPUlist2"/>
      <w:lvlText w:val="(%2)"/>
      <w:lvlJc w:val="left"/>
      <w:pPr>
        <w:ind w:left="1440" w:hanging="720"/>
      </w:pPr>
      <w:rPr>
        <w:rFonts w:hint="default"/>
      </w:rPr>
    </w:lvl>
    <w:lvl w:ilvl="2">
      <w:start w:val="1"/>
      <w:numFmt w:val="upperLetter"/>
      <w:lvlRestart w:val="0"/>
      <w:pStyle w:val="PPUlist3"/>
      <w:lvlText w:val="(%3)"/>
      <w:lvlJc w:val="left"/>
      <w:pPr>
        <w:ind w:left="2160" w:hanging="720"/>
      </w:pPr>
      <w:rPr>
        <w:rFonts w:hint="default"/>
      </w:rPr>
    </w:lvl>
    <w:lvl w:ilvl="3">
      <w:start w:val="1"/>
      <w:numFmt w:val="none"/>
      <w:lvlRestart w:val="0"/>
      <w:lvlText w:val=""/>
      <w:lvlJc w:val="left"/>
      <w:pPr>
        <w:ind w:left="720" w:hanging="720"/>
      </w:pPr>
      <w:rPr>
        <w:rFonts w:hint="default"/>
      </w:rPr>
    </w:lvl>
    <w:lvl w:ilvl="4">
      <w:start w:val="1"/>
      <w:numFmt w:val="none"/>
      <w:lvlRestart w:val="0"/>
      <w:lvlText w:val=""/>
      <w:lvlJc w:val="left"/>
      <w:pPr>
        <w:ind w:left="720" w:hanging="720"/>
      </w:pPr>
      <w:rPr>
        <w:rFonts w:hint="default"/>
      </w:rPr>
    </w:lvl>
    <w:lvl w:ilvl="5">
      <w:start w:val="1"/>
      <w:numFmt w:val="none"/>
      <w:lvlRestart w:val="0"/>
      <w:lvlText w:val=""/>
      <w:lvlJc w:val="left"/>
      <w:pPr>
        <w:ind w:left="720" w:hanging="720"/>
      </w:pPr>
      <w:rPr>
        <w:rFonts w:hint="default"/>
      </w:rPr>
    </w:lvl>
    <w:lvl w:ilvl="6">
      <w:start w:val="1"/>
      <w:numFmt w:val="none"/>
      <w:lvlRestart w:val="0"/>
      <w:lvlText w:val=""/>
      <w:lvlJc w:val="left"/>
      <w:pPr>
        <w:ind w:left="720" w:hanging="720"/>
      </w:pPr>
      <w:rPr>
        <w:rFonts w:hint="default"/>
      </w:rPr>
    </w:lvl>
    <w:lvl w:ilvl="7">
      <w:start w:val="1"/>
      <w:numFmt w:val="none"/>
      <w:lvlRestart w:val="0"/>
      <w:lvlText w:val=""/>
      <w:lvlJc w:val="left"/>
      <w:pPr>
        <w:ind w:left="720" w:hanging="720"/>
      </w:pPr>
      <w:rPr>
        <w:rFonts w:hint="default"/>
      </w:rPr>
    </w:lvl>
    <w:lvl w:ilvl="8">
      <w:start w:val="1"/>
      <w:numFmt w:val="none"/>
      <w:lvlRestart w:val="0"/>
      <w:lvlText w:val=""/>
      <w:lvlJc w:val="left"/>
      <w:pPr>
        <w:ind w:left="720" w:hanging="720"/>
      </w:pPr>
      <w:rPr>
        <w:rFonts w:hint="default"/>
      </w:rPr>
    </w:lvl>
  </w:abstractNum>
  <w:abstractNum w:abstractNumId="4" w15:restartNumberingAfterBreak="0">
    <w:nsid w:val="47E61166"/>
    <w:multiLevelType w:val="multilevel"/>
    <w:tmpl w:val="D32E10D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6DD13188"/>
    <w:multiLevelType w:val="hybridMultilevel"/>
    <w:tmpl w:val="25049372"/>
    <w:lvl w:ilvl="0" w:tplc="4CD02942">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5E94590"/>
    <w:multiLevelType w:val="multilevel"/>
    <w:tmpl w:val="D32E10D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16cid:durableId="2084065640">
    <w:abstractNumId w:val="3"/>
  </w:num>
  <w:num w:numId="2" w16cid:durableId="1705475841">
    <w:abstractNumId w:val="0"/>
  </w:num>
  <w:num w:numId="3" w16cid:durableId="303242062">
    <w:abstractNumId w:val="5"/>
  </w:num>
  <w:num w:numId="4" w16cid:durableId="115687822">
    <w:abstractNumId w:val="2"/>
  </w:num>
  <w:num w:numId="5" w16cid:durableId="1581720732">
    <w:abstractNumId w:val="1"/>
  </w:num>
  <w:num w:numId="6" w16cid:durableId="407269343">
    <w:abstractNumId w:val="4"/>
  </w:num>
  <w:num w:numId="7" w16cid:durableId="15866484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BCC"/>
    <w:rsid w:val="000241F9"/>
    <w:rsid w:val="00030E89"/>
    <w:rsid w:val="00041980"/>
    <w:rsid w:val="00046744"/>
    <w:rsid w:val="0006633E"/>
    <w:rsid w:val="000836FD"/>
    <w:rsid w:val="000B507E"/>
    <w:rsid w:val="000C18A1"/>
    <w:rsid w:val="000C246C"/>
    <w:rsid w:val="00100E72"/>
    <w:rsid w:val="001260FC"/>
    <w:rsid w:val="0012708D"/>
    <w:rsid w:val="00164D73"/>
    <w:rsid w:val="001847EB"/>
    <w:rsid w:val="00187792"/>
    <w:rsid w:val="001A5FA3"/>
    <w:rsid w:val="001C52EB"/>
    <w:rsid w:val="001F0DDB"/>
    <w:rsid w:val="001F1E77"/>
    <w:rsid w:val="001F2C36"/>
    <w:rsid w:val="002110A6"/>
    <w:rsid w:val="002144AB"/>
    <w:rsid w:val="0021472D"/>
    <w:rsid w:val="00231594"/>
    <w:rsid w:val="00251E5D"/>
    <w:rsid w:val="002670B7"/>
    <w:rsid w:val="00275D80"/>
    <w:rsid w:val="002875CB"/>
    <w:rsid w:val="00287892"/>
    <w:rsid w:val="002E04C6"/>
    <w:rsid w:val="0031158E"/>
    <w:rsid w:val="00326DB0"/>
    <w:rsid w:val="00346785"/>
    <w:rsid w:val="00350534"/>
    <w:rsid w:val="003637A5"/>
    <w:rsid w:val="00380A56"/>
    <w:rsid w:val="0039159C"/>
    <w:rsid w:val="003A0D0F"/>
    <w:rsid w:val="003B4AEA"/>
    <w:rsid w:val="003C4AA3"/>
    <w:rsid w:val="003C74E5"/>
    <w:rsid w:val="003F2F59"/>
    <w:rsid w:val="004109C0"/>
    <w:rsid w:val="00411E16"/>
    <w:rsid w:val="0041693F"/>
    <w:rsid w:val="00424E5F"/>
    <w:rsid w:val="0044660F"/>
    <w:rsid w:val="00455785"/>
    <w:rsid w:val="004629A1"/>
    <w:rsid w:val="00466086"/>
    <w:rsid w:val="004764E8"/>
    <w:rsid w:val="004A5BE6"/>
    <w:rsid w:val="004B64A4"/>
    <w:rsid w:val="004C3F10"/>
    <w:rsid w:val="00511880"/>
    <w:rsid w:val="00517D62"/>
    <w:rsid w:val="005257D7"/>
    <w:rsid w:val="00537973"/>
    <w:rsid w:val="005710C7"/>
    <w:rsid w:val="00574F8F"/>
    <w:rsid w:val="005A0763"/>
    <w:rsid w:val="005B4582"/>
    <w:rsid w:val="005B5BE6"/>
    <w:rsid w:val="005B76C2"/>
    <w:rsid w:val="005D34A7"/>
    <w:rsid w:val="00602BCC"/>
    <w:rsid w:val="00622D31"/>
    <w:rsid w:val="0063613E"/>
    <w:rsid w:val="006455CC"/>
    <w:rsid w:val="00650881"/>
    <w:rsid w:val="006549DF"/>
    <w:rsid w:val="006610B6"/>
    <w:rsid w:val="006A1BF8"/>
    <w:rsid w:val="006A36CB"/>
    <w:rsid w:val="006D3733"/>
    <w:rsid w:val="006E68C5"/>
    <w:rsid w:val="007229A1"/>
    <w:rsid w:val="007245C3"/>
    <w:rsid w:val="007C7242"/>
    <w:rsid w:val="007D50CF"/>
    <w:rsid w:val="007E0B7F"/>
    <w:rsid w:val="007E3340"/>
    <w:rsid w:val="007E673E"/>
    <w:rsid w:val="007F152D"/>
    <w:rsid w:val="007F356E"/>
    <w:rsid w:val="007F7019"/>
    <w:rsid w:val="0080209F"/>
    <w:rsid w:val="00814D4B"/>
    <w:rsid w:val="00825835"/>
    <w:rsid w:val="00846706"/>
    <w:rsid w:val="00851EC9"/>
    <w:rsid w:val="008B4302"/>
    <w:rsid w:val="008C6B8A"/>
    <w:rsid w:val="008E2A92"/>
    <w:rsid w:val="008E7848"/>
    <w:rsid w:val="008F327C"/>
    <w:rsid w:val="008F614B"/>
    <w:rsid w:val="009054BC"/>
    <w:rsid w:val="00920913"/>
    <w:rsid w:val="00923DBF"/>
    <w:rsid w:val="00934349"/>
    <w:rsid w:val="009465A0"/>
    <w:rsid w:val="0095641C"/>
    <w:rsid w:val="009626A8"/>
    <w:rsid w:val="00981134"/>
    <w:rsid w:val="00984919"/>
    <w:rsid w:val="00986067"/>
    <w:rsid w:val="00993634"/>
    <w:rsid w:val="009A6DF3"/>
    <w:rsid w:val="009B0474"/>
    <w:rsid w:val="009B0952"/>
    <w:rsid w:val="009C063C"/>
    <w:rsid w:val="009C0E09"/>
    <w:rsid w:val="009C6D5F"/>
    <w:rsid w:val="00A030F9"/>
    <w:rsid w:val="00A07EF6"/>
    <w:rsid w:val="00A14C4A"/>
    <w:rsid w:val="00A405ED"/>
    <w:rsid w:val="00A4387A"/>
    <w:rsid w:val="00A47803"/>
    <w:rsid w:val="00A52A46"/>
    <w:rsid w:val="00A55067"/>
    <w:rsid w:val="00A60D0F"/>
    <w:rsid w:val="00A77153"/>
    <w:rsid w:val="00A96B6D"/>
    <w:rsid w:val="00AC33F7"/>
    <w:rsid w:val="00AE7F41"/>
    <w:rsid w:val="00AF2AA7"/>
    <w:rsid w:val="00AF661F"/>
    <w:rsid w:val="00B115E8"/>
    <w:rsid w:val="00B51AF3"/>
    <w:rsid w:val="00B63F70"/>
    <w:rsid w:val="00B762CD"/>
    <w:rsid w:val="00BE2B61"/>
    <w:rsid w:val="00BE34C9"/>
    <w:rsid w:val="00BE47B9"/>
    <w:rsid w:val="00C24ABD"/>
    <w:rsid w:val="00C354B4"/>
    <w:rsid w:val="00C4084A"/>
    <w:rsid w:val="00C5121E"/>
    <w:rsid w:val="00C54BDB"/>
    <w:rsid w:val="00C63B0F"/>
    <w:rsid w:val="00C86DBA"/>
    <w:rsid w:val="00CC6BCC"/>
    <w:rsid w:val="00CE1FD7"/>
    <w:rsid w:val="00CE4532"/>
    <w:rsid w:val="00CF4DB7"/>
    <w:rsid w:val="00D13799"/>
    <w:rsid w:val="00D20DCF"/>
    <w:rsid w:val="00D32676"/>
    <w:rsid w:val="00D4066B"/>
    <w:rsid w:val="00D7169D"/>
    <w:rsid w:val="00D81199"/>
    <w:rsid w:val="00D97825"/>
    <w:rsid w:val="00DB08D9"/>
    <w:rsid w:val="00DD132D"/>
    <w:rsid w:val="00E055F5"/>
    <w:rsid w:val="00E16657"/>
    <w:rsid w:val="00E415D2"/>
    <w:rsid w:val="00E46DFB"/>
    <w:rsid w:val="00E507CC"/>
    <w:rsid w:val="00E53DAF"/>
    <w:rsid w:val="00E60957"/>
    <w:rsid w:val="00E652B8"/>
    <w:rsid w:val="00E74C0C"/>
    <w:rsid w:val="00E85BF2"/>
    <w:rsid w:val="00EB31D8"/>
    <w:rsid w:val="00EB3248"/>
    <w:rsid w:val="00EB7EDE"/>
    <w:rsid w:val="00EC02B9"/>
    <w:rsid w:val="00EC0CBF"/>
    <w:rsid w:val="00EC2C0F"/>
    <w:rsid w:val="00EC46B2"/>
    <w:rsid w:val="00EC4C04"/>
    <w:rsid w:val="00EF424D"/>
    <w:rsid w:val="00EF4C8D"/>
    <w:rsid w:val="00F04572"/>
    <w:rsid w:val="00F17E10"/>
    <w:rsid w:val="00F3498B"/>
    <w:rsid w:val="00F47B3B"/>
    <w:rsid w:val="00F52B5A"/>
    <w:rsid w:val="00F91DA9"/>
    <w:rsid w:val="00F957A3"/>
    <w:rsid w:val="00FA3F2C"/>
    <w:rsid w:val="00FB16A7"/>
    <w:rsid w:val="00FD2A1A"/>
    <w:rsid w:val="00FE0A60"/>
    <w:rsid w:val="00FE41E3"/>
    <w:rsid w:val="00FE6CCC"/>
    <w:rsid w:val="00FE72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3701B"/>
  <w15:chartTrackingRefBased/>
  <w15:docId w15:val="{E4BE2E74-EA27-4E64-BCE0-DDDB0B8F6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5"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BCC"/>
    <w:pPr>
      <w:spacing w:after="220" w:line="240" w:lineRule="auto"/>
    </w:pPr>
    <w:rPr>
      <w:rFonts w:ascii="Times New Roman" w:eastAsia="SimSun" w:hAnsi="Times New Roman" w:cs="Simplified Arabic"/>
      <w:kern w:val="0"/>
      <w:lang w:val="es-CL" w:eastAsia="zh-CN"/>
      <w14:ligatures w14:val="none"/>
    </w:rPr>
  </w:style>
  <w:style w:type="paragraph" w:styleId="Ttulo1">
    <w:name w:val="heading 1"/>
    <w:basedOn w:val="Normal"/>
    <w:next w:val="Normal"/>
    <w:link w:val="Ttulo1Car"/>
    <w:uiPriority w:val="9"/>
    <w:qFormat/>
    <w:rsid w:val="00602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02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02B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2B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02B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02B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2B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2B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2BC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02B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2B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2B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2B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2B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2B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2B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2B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2BCC"/>
    <w:rPr>
      <w:rFonts w:eastAsiaTheme="majorEastAsia" w:cstheme="majorBidi"/>
      <w:color w:val="272727" w:themeColor="text1" w:themeTint="D8"/>
    </w:rPr>
  </w:style>
  <w:style w:type="paragraph" w:styleId="Ttulo">
    <w:name w:val="Title"/>
    <w:basedOn w:val="Normal"/>
    <w:next w:val="Normal"/>
    <w:link w:val="TtuloCar"/>
    <w:uiPriority w:val="10"/>
    <w:qFormat/>
    <w:rsid w:val="00602BC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2B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2B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2B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2BCC"/>
    <w:pPr>
      <w:spacing w:before="160"/>
      <w:jc w:val="center"/>
    </w:pPr>
    <w:rPr>
      <w:i/>
      <w:iCs/>
      <w:color w:val="404040" w:themeColor="text1" w:themeTint="BF"/>
    </w:rPr>
  </w:style>
  <w:style w:type="character" w:customStyle="1" w:styleId="CitaCar">
    <w:name w:val="Cita Car"/>
    <w:basedOn w:val="Fuentedeprrafopredeter"/>
    <w:link w:val="Cita"/>
    <w:uiPriority w:val="29"/>
    <w:rsid w:val="00602BCC"/>
    <w:rPr>
      <w:i/>
      <w:iCs/>
      <w:color w:val="404040" w:themeColor="text1" w:themeTint="BF"/>
    </w:rPr>
  </w:style>
  <w:style w:type="paragraph" w:styleId="Prrafodelista">
    <w:name w:val="List Paragraph"/>
    <w:basedOn w:val="Normal"/>
    <w:uiPriority w:val="34"/>
    <w:qFormat/>
    <w:rsid w:val="00602BCC"/>
    <w:pPr>
      <w:ind w:left="720"/>
      <w:contextualSpacing/>
    </w:pPr>
  </w:style>
  <w:style w:type="character" w:styleId="nfasisintenso">
    <w:name w:val="Intense Emphasis"/>
    <w:basedOn w:val="Fuentedeprrafopredeter"/>
    <w:uiPriority w:val="21"/>
    <w:qFormat/>
    <w:rsid w:val="00602BCC"/>
    <w:rPr>
      <w:i/>
      <w:iCs/>
      <w:color w:val="0F4761" w:themeColor="accent1" w:themeShade="BF"/>
    </w:rPr>
  </w:style>
  <w:style w:type="paragraph" w:styleId="Citadestacada">
    <w:name w:val="Intense Quote"/>
    <w:basedOn w:val="Normal"/>
    <w:next w:val="Normal"/>
    <w:link w:val="CitadestacadaCar"/>
    <w:uiPriority w:val="30"/>
    <w:qFormat/>
    <w:rsid w:val="00602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2BCC"/>
    <w:rPr>
      <w:i/>
      <w:iCs/>
      <w:color w:val="0F4761" w:themeColor="accent1" w:themeShade="BF"/>
    </w:rPr>
  </w:style>
  <w:style w:type="character" w:styleId="Referenciaintensa">
    <w:name w:val="Intense Reference"/>
    <w:basedOn w:val="Fuentedeprrafopredeter"/>
    <w:uiPriority w:val="32"/>
    <w:qFormat/>
    <w:rsid w:val="00602BCC"/>
    <w:rPr>
      <w:b/>
      <w:bCs/>
      <w:smallCaps/>
      <w:color w:val="0F4761" w:themeColor="accent1" w:themeShade="BF"/>
      <w:spacing w:val="5"/>
    </w:rPr>
  </w:style>
  <w:style w:type="paragraph" w:styleId="Encabezado">
    <w:name w:val="header"/>
    <w:basedOn w:val="Normal"/>
    <w:link w:val="EncabezadoCar"/>
    <w:uiPriority w:val="99"/>
    <w:unhideWhenUsed/>
    <w:rsid w:val="00602BCC"/>
    <w:pPr>
      <w:tabs>
        <w:tab w:val="center" w:pos="4419"/>
        <w:tab w:val="right" w:pos="8838"/>
      </w:tabs>
      <w:spacing w:after="0"/>
    </w:pPr>
  </w:style>
  <w:style w:type="character" w:customStyle="1" w:styleId="EncabezadoCar">
    <w:name w:val="Encabezado Car"/>
    <w:basedOn w:val="Fuentedeprrafopredeter"/>
    <w:link w:val="Encabezado"/>
    <w:uiPriority w:val="99"/>
    <w:rsid w:val="00602BCC"/>
  </w:style>
  <w:style w:type="paragraph" w:styleId="Piedepgina">
    <w:name w:val="footer"/>
    <w:basedOn w:val="Normal"/>
    <w:link w:val="PiedepginaCar"/>
    <w:uiPriority w:val="99"/>
    <w:unhideWhenUsed/>
    <w:rsid w:val="00602BCC"/>
    <w:pPr>
      <w:tabs>
        <w:tab w:val="center" w:pos="4419"/>
        <w:tab w:val="right" w:pos="8838"/>
      </w:tabs>
      <w:spacing w:after="0"/>
    </w:pPr>
  </w:style>
  <w:style w:type="character" w:customStyle="1" w:styleId="PiedepginaCar">
    <w:name w:val="Pie de página Car"/>
    <w:basedOn w:val="Fuentedeprrafopredeter"/>
    <w:link w:val="Piedepgina"/>
    <w:uiPriority w:val="99"/>
    <w:rsid w:val="00602BCC"/>
  </w:style>
  <w:style w:type="paragraph" w:customStyle="1" w:styleId="PPUlist1">
    <w:name w:val="PPUlist 1"/>
    <w:basedOn w:val="Normal"/>
    <w:qFormat/>
    <w:rsid w:val="00602BCC"/>
  </w:style>
  <w:style w:type="paragraph" w:customStyle="1" w:styleId="PPUlist2">
    <w:name w:val="PPUlist 2"/>
    <w:basedOn w:val="PPUlist1"/>
    <w:qFormat/>
    <w:rsid w:val="00602BCC"/>
    <w:pPr>
      <w:numPr>
        <w:ilvl w:val="1"/>
        <w:numId w:val="1"/>
      </w:numPr>
    </w:pPr>
  </w:style>
  <w:style w:type="paragraph" w:customStyle="1" w:styleId="PPUlist3">
    <w:name w:val="PPUlist 3"/>
    <w:basedOn w:val="PPUlist2"/>
    <w:qFormat/>
    <w:rsid w:val="00602BCC"/>
    <w:pPr>
      <w:numPr>
        <w:ilvl w:val="2"/>
      </w:numPr>
    </w:pPr>
  </w:style>
  <w:style w:type="character" w:styleId="nfasis">
    <w:name w:val="Emphasis"/>
    <w:uiPriority w:val="5"/>
    <w:qFormat/>
    <w:rsid w:val="00275D80"/>
    <w:rPr>
      <w:i/>
      <w:iCs/>
      <w:lang w:val="en-GB" w:bidi="ar-AE"/>
    </w:rPr>
  </w:style>
  <w:style w:type="table" w:styleId="Tablaconcuadrcula">
    <w:name w:val="Table Grid"/>
    <w:basedOn w:val="Tablanormal"/>
    <w:uiPriority w:val="39"/>
    <w:rsid w:val="00E1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31158E"/>
    <w:pPr>
      <w:spacing w:after="0"/>
    </w:pPr>
    <w:rPr>
      <w:sz w:val="20"/>
      <w:szCs w:val="20"/>
    </w:rPr>
  </w:style>
  <w:style w:type="character" w:customStyle="1" w:styleId="TextonotapieCar">
    <w:name w:val="Texto nota pie Car"/>
    <w:basedOn w:val="Fuentedeprrafopredeter"/>
    <w:link w:val="Textonotapie"/>
    <w:uiPriority w:val="99"/>
    <w:semiHidden/>
    <w:rsid w:val="0031158E"/>
    <w:rPr>
      <w:rFonts w:ascii="Times New Roman" w:eastAsia="SimSun" w:hAnsi="Times New Roman" w:cs="Simplified Arabic"/>
      <w:kern w:val="0"/>
      <w:sz w:val="20"/>
      <w:szCs w:val="20"/>
      <w:lang w:val="es-CL" w:eastAsia="zh-CN"/>
      <w14:ligatures w14:val="none"/>
    </w:rPr>
  </w:style>
  <w:style w:type="character" w:styleId="Refdenotaalpie">
    <w:name w:val="footnote reference"/>
    <w:basedOn w:val="Fuentedeprrafopredeter"/>
    <w:uiPriority w:val="99"/>
    <w:semiHidden/>
    <w:unhideWhenUsed/>
    <w:rsid w:val="0031158E"/>
    <w:rPr>
      <w:vertAlign w:val="superscript"/>
    </w:rPr>
  </w:style>
  <w:style w:type="character" w:styleId="Hipervnculo">
    <w:name w:val="Hyperlink"/>
    <w:basedOn w:val="Fuentedeprrafopredeter"/>
    <w:uiPriority w:val="99"/>
    <w:unhideWhenUsed/>
    <w:rsid w:val="0031158E"/>
    <w:rPr>
      <w:color w:val="467886" w:themeColor="hyperlink"/>
      <w:u w:val="single"/>
    </w:rPr>
  </w:style>
  <w:style w:type="character" w:styleId="Mencinsinresolver">
    <w:name w:val="Unresolved Mention"/>
    <w:basedOn w:val="Fuentedeprrafopredeter"/>
    <w:uiPriority w:val="99"/>
    <w:semiHidden/>
    <w:unhideWhenUsed/>
    <w:rsid w:val="0031158E"/>
    <w:rPr>
      <w:color w:val="605E5C"/>
      <w:shd w:val="clear" w:color="auto" w:fill="E1DFDD"/>
    </w:rPr>
  </w:style>
  <w:style w:type="character" w:styleId="Refdecomentario">
    <w:name w:val="annotation reference"/>
    <w:basedOn w:val="Fuentedeprrafopredeter"/>
    <w:uiPriority w:val="99"/>
    <w:semiHidden/>
    <w:unhideWhenUsed/>
    <w:rsid w:val="00C54BDB"/>
    <w:rPr>
      <w:sz w:val="16"/>
      <w:szCs w:val="16"/>
    </w:rPr>
  </w:style>
  <w:style w:type="paragraph" w:styleId="Textocomentario">
    <w:name w:val="annotation text"/>
    <w:basedOn w:val="Normal"/>
    <w:link w:val="TextocomentarioCar"/>
    <w:uiPriority w:val="99"/>
    <w:unhideWhenUsed/>
    <w:rsid w:val="00C54BDB"/>
    <w:rPr>
      <w:sz w:val="20"/>
      <w:szCs w:val="20"/>
    </w:rPr>
  </w:style>
  <w:style w:type="character" w:customStyle="1" w:styleId="TextocomentarioCar">
    <w:name w:val="Texto comentario Car"/>
    <w:basedOn w:val="Fuentedeprrafopredeter"/>
    <w:link w:val="Textocomentario"/>
    <w:uiPriority w:val="99"/>
    <w:rsid w:val="00C54BDB"/>
    <w:rPr>
      <w:rFonts w:ascii="Times New Roman" w:eastAsia="SimSun" w:hAnsi="Times New Roman" w:cs="Simplified Arabic"/>
      <w:kern w:val="0"/>
      <w:sz w:val="20"/>
      <w:szCs w:val="20"/>
      <w:lang w:val="es-CL" w:eastAsia="zh-CN"/>
      <w14:ligatures w14:val="none"/>
    </w:rPr>
  </w:style>
  <w:style w:type="paragraph" w:styleId="Asuntodelcomentario">
    <w:name w:val="annotation subject"/>
    <w:basedOn w:val="Textocomentario"/>
    <w:next w:val="Textocomentario"/>
    <w:link w:val="AsuntodelcomentarioCar"/>
    <w:uiPriority w:val="99"/>
    <w:semiHidden/>
    <w:unhideWhenUsed/>
    <w:rsid w:val="00C54BDB"/>
    <w:rPr>
      <w:b/>
      <w:bCs/>
    </w:rPr>
  </w:style>
  <w:style w:type="character" w:customStyle="1" w:styleId="AsuntodelcomentarioCar">
    <w:name w:val="Asunto del comentario Car"/>
    <w:basedOn w:val="TextocomentarioCar"/>
    <w:link w:val="Asuntodelcomentario"/>
    <w:uiPriority w:val="99"/>
    <w:semiHidden/>
    <w:rsid w:val="00C54BDB"/>
    <w:rPr>
      <w:rFonts w:ascii="Times New Roman" w:eastAsia="SimSun" w:hAnsi="Times New Roman" w:cs="Simplified Arabic"/>
      <w:b/>
      <w:bCs/>
      <w:kern w:val="0"/>
      <w:sz w:val="20"/>
      <w:szCs w:val="20"/>
      <w:lang w:val="es-CL" w:eastAsia="zh-CN"/>
      <w14:ligatures w14:val="none"/>
    </w:rPr>
  </w:style>
  <w:style w:type="paragraph" w:styleId="Revisin">
    <w:name w:val="Revision"/>
    <w:hidden/>
    <w:uiPriority w:val="99"/>
    <w:semiHidden/>
    <w:rsid w:val="00814D4B"/>
    <w:pPr>
      <w:spacing w:after="0" w:line="240" w:lineRule="auto"/>
    </w:pPr>
    <w:rPr>
      <w:rFonts w:ascii="Times New Roman" w:eastAsia="SimSun" w:hAnsi="Times New Roman" w:cs="Simplified Arabic"/>
      <w:kern w:val="0"/>
      <w:lang w:val="es-CL"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economicas/series-estadisticas-historicas-colomb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9851B-1082-43C8-8873-40D25B02FFB1}">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14</TotalTime>
  <Pages>9</Pages>
  <Words>2777</Words>
  <Characters>15025</Characters>
  <Application>Microsoft Office Word</Application>
  <DocSecurity>0</DocSecurity>
  <Lines>333</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Felipe Useche Daza</dc:creator>
  <cp:keywords/>
  <dc:description/>
  <cp:lastModifiedBy>Johan Sebastian Romero Castillo</cp:lastModifiedBy>
  <cp:revision>11</cp:revision>
  <dcterms:created xsi:type="dcterms:W3CDTF">2026-03-30T20:22:00Z</dcterms:created>
  <dcterms:modified xsi:type="dcterms:W3CDTF">2026-03-31T21:19:00Z</dcterms:modified>
</cp:coreProperties>
</file>