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60C0C" w14:textId="77777777" w:rsidR="00D901F4" w:rsidRPr="00FA119E" w:rsidRDefault="00D901F4" w:rsidP="00D901F4">
      <w:pPr>
        <w:rPr>
          <w:rFonts w:ascii="Arial" w:hAnsi="Arial" w:cs="Arial"/>
          <w:sz w:val="20"/>
          <w:szCs w:val="20"/>
          <w:lang w:val="es-ES"/>
        </w:rPr>
      </w:pPr>
    </w:p>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29CDEC49" w:rsidR="104DFDE1" w:rsidRDefault="00D901F4" w:rsidP="00236AF5">
      <w:pPr>
        <w:jc w:val="both"/>
        <w:rPr>
          <w:rFonts w:ascii="Arial" w:eastAsia="Arial" w:hAnsi="Arial" w:cs="Arial"/>
          <w:color w:val="000000"/>
          <w:sz w:val="20"/>
          <w:szCs w:val="20"/>
          <w:lang w:val="es-ES"/>
        </w:rPr>
      </w:pPr>
      <w:r w:rsidRPr="599E7185">
        <w:rPr>
          <w:rFonts w:ascii="Arial" w:hAnsi="Arial" w:cs="Arial"/>
          <w:sz w:val="20"/>
          <w:szCs w:val="20"/>
          <w:lang w:val="es-ES"/>
        </w:rPr>
        <w:t xml:space="preserve">Para efectos de interpretación del pliego de condiciones: </w:t>
      </w:r>
    </w:p>
    <w:p w14:paraId="2A190B19" w14:textId="687B1F24" w:rsidR="599E7185" w:rsidRDefault="599E7185" w:rsidP="599E7185">
      <w:pPr>
        <w:jc w:val="both"/>
        <w:rPr>
          <w:rFonts w:ascii="Arial" w:hAnsi="Arial" w:cs="Arial"/>
          <w:sz w:val="20"/>
          <w:szCs w:val="20"/>
          <w:lang w:val="es-ES"/>
        </w:rPr>
      </w:pP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lastRenderedPageBreak/>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 xml:space="preserve">Condiciones financieras mínimas que debe tener un Proponente </w:t>
      </w:r>
      <w:proofErr w:type="gramStart"/>
      <w:r w:rsidRPr="00FA119E">
        <w:rPr>
          <w:rFonts w:ascii="Arial" w:hAnsi="Arial" w:cs="Arial"/>
          <w:sz w:val="20"/>
          <w:szCs w:val="20"/>
          <w:lang w:val="es-ES"/>
        </w:rPr>
        <w:t>en razón de</w:t>
      </w:r>
      <w:proofErr w:type="gramEnd"/>
      <w:r w:rsidRPr="00FA119E">
        <w:rPr>
          <w:rFonts w:ascii="Arial" w:hAnsi="Arial" w:cs="Arial"/>
          <w:sz w:val="20"/>
          <w:szCs w:val="20"/>
          <w:lang w:val="es-ES"/>
        </w:rPr>
        <w:t xml:space="preserv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Documentos adoptados por la Agencia Nacional de Contratación Pública – Colombia Compra Eficiente que establecen los requisitos habilitantes, factores técnicos, </w:t>
      </w:r>
      <w:r w:rsidRPr="00FA119E">
        <w:rPr>
          <w:rFonts w:ascii="Arial" w:hAnsi="Arial" w:cs="Arial"/>
          <w:sz w:val="20"/>
          <w:szCs w:val="20"/>
          <w:lang w:val="es-ES"/>
        </w:rPr>
        <w:lastRenderedPageBreak/>
        <w:t>económicos y otros requisitos que representen buenas prácticas contractuales de carácter 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FA119E">
        <w:rPr>
          <w:rFonts w:ascii="Arial" w:hAnsi="Arial" w:cs="Arial"/>
          <w:sz w:val="20"/>
          <w:szCs w:val="20"/>
          <w:lang w:val="es-ES"/>
        </w:rPr>
        <w:lastRenderedPageBreak/>
        <w:t>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 xml:space="preserve">Forma asociativa en la cual dos o más personas presentan conjuntamente una misma propuesta para la adjudicación, celebración y ejecución de un contrato, respondiendo solidariamente por el cumplimiento total de la propuesta y del objeto </w:t>
      </w:r>
      <w:r w:rsidRPr="00FA119E">
        <w:rPr>
          <w:rFonts w:ascii="Arial" w:hAnsi="Arial" w:cs="Arial"/>
          <w:sz w:val="20"/>
          <w:szCs w:val="20"/>
          <w:lang w:val="es-ES"/>
        </w:rPr>
        <w:lastRenderedPageBreak/>
        <w:t>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F924C39" w14:textId="77777777" w:rsidR="00D901F4" w:rsidRPr="00FA119E" w:rsidRDefault="00D901F4" w:rsidP="00D901F4">
      <w:pPr>
        <w:rPr>
          <w:lang w:val="es-ES" w:eastAsia="es-ES"/>
        </w:rPr>
      </w:pPr>
    </w:p>
    <w:p w14:paraId="7A82EE7C" w14:textId="77777777" w:rsidR="00D901F4" w:rsidRPr="00FA119E" w:rsidRDefault="00D901F4" w:rsidP="00D901F4">
      <w:pPr>
        <w:rPr>
          <w:lang w:val="es-ES" w:eastAsia="es-ES"/>
        </w:rPr>
      </w:pPr>
    </w:p>
    <w:p w14:paraId="0C040BB4" w14:textId="77777777" w:rsidR="00D901F4" w:rsidRPr="00FA119E" w:rsidRDefault="00D901F4" w:rsidP="00D901F4">
      <w:pPr>
        <w:rPr>
          <w:lang w:val="es-ES" w:eastAsia="es-ES"/>
        </w:rPr>
      </w:pPr>
    </w:p>
    <w:p w14:paraId="1241A739" w14:textId="77777777" w:rsidR="00D901F4" w:rsidRPr="00FA119E" w:rsidRDefault="00D901F4" w:rsidP="00D901F4">
      <w:pPr>
        <w:rPr>
          <w:lang w:val="es-ES" w:eastAsia="es-ES"/>
        </w:rPr>
      </w:pPr>
    </w:p>
    <w:p w14:paraId="7BB8FD56" w14:textId="77777777" w:rsidR="00D901F4" w:rsidRPr="00FA119E" w:rsidRDefault="00D901F4" w:rsidP="00D901F4">
      <w:pPr>
        <w:rPr>
          <w:lang w:val="es-ES" w:eastAsia="es-ES"/>
        </w:rPr>
      </w:pPr>
    </w:p>
    <w:p w14:paraId="02DBBEF6" w14:textId="77777777" w:rsidR="00D901F4" w:rsidRPr="00FA119E" w:rsidRDefault="00D901F4" w:rsidP="00D901F4">
      <w:pPr>
        <w:rPr>
          <w:lang w:val="es-ES" w:eastAsia="es-ES"/>
        </w:rPr>
      </w:pPr>
    </w:p>
    <w:p w14:paraId="43399A71" w14:textId="77777777" w:rsidR="00D901F4" w:rsidRPr="00FA119E" w:rsidRDefault="00D901F4" w:rsidP="00D901F4">
      <w:pPr>
        <w:rPr>
          <w:lang w:val="es-ES" w:eastAsia="es-ES"/>
        </w:rPr>
      </w:pPr>
    </w:p>
    <w:p w14:paraId="13E6A7F0" w14:textId="77777777" w:rsidR="00D901F4" w:rsidRPr="00FA119E" w:rsidRDefault="00D901F4" w:rsidP="00D901F4">
      <w:pPr>
        <w:rPr>
          <w:lang w:val="es-ES" w:eastAsia="es-ES"/>
        </w:rPr>
      </w:pPr>
    </w:p>
    <w:p w14:paraId="12C5663A" w14:textId="77777777" w:rsidR="00D901F4" w:rsidRPr="00FA119E" w:rsidRDefault="00D901F4" w:rsidP="00D901F4">
      <w:pPr>
        <w:rPr>
          <w:lang w:val="es-ES" w:eastAsia="es-ES"/>
        </w:rPr>
      </w:pPr>
    </w:p>
    <w:p w14:paraId="39EF6FD9" w14:textId="77777777" w:rsidR="00D901F4" w:rsidRPr="00FA119E" w:rsidRDefault="00D901F4" w:rsidP="00D901F4">
      <w:pPr>
        <w:rPr>
          <w:lang w:val="es-ES" w:eastAsia="es-ES"/>
        </w:rPr>
      </w:pPr>
    </w:p>
    <w:p w14:paraId="31A2BB30" w14:textId="77777777" w:rsidR="00D901F4" w:rsidRPr="00FA119E" w:rsidRDefault="00D901F4" w:rsidP="00D901F4">
      <w:pPr>
        <w:rPr>
          <w:lang w:val="es-ES" w:eastAsia="es-ES"/>
        </w:rPr>
      </w:pPr>
    </w:p>
    <w:p w14:paraId="4AF3F4BB" w14:textId="77777777" w:rsidR="00D901F4" w:rsidRDefault="00D901F4" w:rsidP="00D901F4">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0CC8DDB7" w14:textId="77777777" w:rsidR="00D901F4" w:rsidRPr="00FA119E" w:rsidRDefault="00D901F4" w:rsidP="00D901F4">
      <w:pPr>
        <w:rPr>
          <w:rFonts w:ascii="Arial" w:hAnsi="Arial" w:cs="Arial"/>
          <w:b/>
          <w:sz w:val="20"/>
          <w:szCs w:val="20"/>
          <w:lang w:val="es-ES"/>
        </w:rPr>
      </w:pPr>
    </w:p>
    <w:p w14:paraId="10EE67FC" w14:textId="45106983" w:rsidR="00D901F4" w:rsidRPr="00FA119E" w:rsidRDefault="00D901F4" w:rsidP="00D901F4">
      <w:pPr>
        <w:jc w:val="both"/>
        <w:rPr>
          <w:rFonts w:ascii="Arial" w:hAnsi="Arial" w:cs="Arial"/>
          <w:sz w:val="20"/>
          <w:szCs w:val="20"/>
          <w:lang w:val="es-ES"/>
        </w:rPr>
      </w:pPr>
      <w:r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22B975A9" w14:textId="18760EDA" w:rsidR="00D901F4" w:rsidRPr="00FA119E" w:rsidRDefault="00D901F4" w:rsidP="00D901F4">
      <w:pPr>
        <w:jc w:val="both"/>
        <w:rPr>
          <w:rFonts w:ascii="Arial" w:hAnsi="Arial" w:cs="Arial"/>
          <w:b/>
          <w:sz w:val="20"/>
          <w:szCs w:val="20"/>
          <w:lang w:val="es-ES"/>
        </w:rPr>
      </w:pPr>
    </w:p>
    <w:p w14:paraId="3FE39DC0" w14:textId="77777777" w:rsidR="00D901F4" w:rsidRPr="00FA119E" w:rsidRDefault="00D901F4" w:rsidP="00D901F4">
      <w:pPr>
        <w:jc w:val="both"/>
        <w:rPr>
          <w:rFonts w:ascii="Arial" w:hAnsi="Arial" w:cs="Arial"/>
          <w:sz w:val="20"/>
          <w:szCs w:val="20"/>
          <w:highlight w:val="lightGray"/>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FA119E">
        <w:rPr>
          <w:rFonts w:ascii="Arial" w:hAnsi="Arial" w:cs="Arial"/>
          <w:sz w:val="20"/>
          <w:szCs w:val="20"/>
          <w:lang w:val="es-ES"/>
        </w:rPr>
        <w:lastRenderedPageBreak/>
        <w:t>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lastRenderedPageBreak/>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lastRenderedPageBreak/>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lastRenderedPageBreak/>
        <w:t xml:space="preserve">Calle de salida </w:t>
      </w:r>
      <w:proofErr w:type="spellStart"/>
      <w:r w:rsidRPr="00FA119E">
        <w:rPr>
          <w:rFonts w:ascii="Arial" w:hAnsi="Arial" w:cs="Arial"/>
          <w:sz w:val="20"/>
          <w:szCs w:val="20"/>
        </w:rPr>
        <w:t>rápida.Calle</w:t>
      </w:r>
      <w:proofErr w:type="spell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lastRenderedPageBreak/>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 xml:space="preserve">Aparato de vía que permite el desdoblamiento de los rieles de una vía mediante el desplazamiento de unas piezas </w:t>
      </w:r>
      <w:r w:rsidRPr="00FA119E">
        <w:rPr>
          <w:rFonts w:ascii="Arial" w:hAnsi="Arial" w:cs="Arial"/>
          <w:sz w:val="20"/>
          <w:szCs w:val="20"/>
          <w:lang w:val="es-CO"/>
        </w:rPr>
        <w:lastRenderedPageBreak/>
        <w:t>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lastRenderedPageBreak/>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Las actividades de 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 xml:space="preserve">Diseño y/o construcción del conjunto de obras de contención, movimiento de tierras, obras de drenaje superficiales y subsuperficiales y obras de protección requeridas para garantizar la estabilidad del terreno natural o modificado </w:t>
      </w:r>
      <w:r w:rsidRPr="00FA119E">
        <w:rPr>
          <w:rFonts w:ascii="Arial" w:hAnsi="Arial" w:cs="Arial"/>
          <w:sz w:val="20"/>
          <w:szCs w:val="20"/>
          <w:lang w:val="es-ES"/>
        </w:rPr>
        <w:lastRenderedPageBreak/>
        <w:t>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lastRenderedPageBreak/>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 xml:space="preserve">El Manual de Mantenimiento de Carreteras, en la Tabla 1010-4, muestra el “Listado y clasificación de las actividades de mantenimiento”, en donde se puede identificar </w:t>
      </w:r>
      <w:r w:rsidRPr="00FA119E">
        <w:rPr>
          <w:rFonts w:ascii="Arial" w:hAnsi="Arial" w:cs="Arial"/>
          <w:sz w:val="20"/>
          <w:szCs w:val="20"/>
          <w:lang w:eastAsia="es-ES"/>
        </w:rPr>
        <w:lastRenderedPageBreak/>
        <w:t>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igualmente son un conjunto de actividades que hacen parte del movimiento de tierras que tienen como objetivo nivelar y preparar un terreno para la construcción de infraestructuras o edificaciones. Este proceso implica la modificación de la </w:t>
      </w:r>
      <w:r w:rsidRPr="00FA119E">
        <w:rPr>
          <w:rFonts w:ascii="Arial" w:hAnsi="Arial" w:cs="Arial"/>
          <w:sz w:val="20"/>
          <w:szCs w:val="20"/>
          <w:lang w:val="es-ES"/>
        </w:rPr>
        <w:lastRenderedPageBreak/>
        <w:t>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lastRenderedPageBreak/>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w:t>
      </w:r>
      <w:r w:rsidRPr="00FA119E">
        <w:rPr>
          <w:rFonts w:ascii="Arial" w:hAnsi="Arial" w:cs="Arial"/>
          <w:sz w:val="20"/>
          <w:szCs w:val="20"/>
          <w:lang w:val="es-ES"/>
        </w:rPr>
        <w:lastRenderedPageBreak/>
        <w:t>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lastRenderedPageBreak/>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5039ED2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594C4524" w14:textId="77777777" w:rsidR="00D901F4" w:rsidRPr="00FA119E" w:rsidRDefault="00D901F4" w:rsidP="00D901F4">
      <w:pPr>
        <w:rPr>
          <w:lang w:val="es-ES" w:eastAsia="es-ES"/>
        </w:rPr>
      </w:pPr>
    </w:p>
    <w:p w14:paraId="5E054A99" w14:textId="77777777" w:rsidR="00D901F4" w:rsidRPr="00FA119E" w:rsidRDefault="00D901F4" w:rsidP="00D901F4">
      <w:pPr>
        <w:rPr>
          <w:lang w:val="es-ES" w:eastAsia="es-ES"/>
        </w:rPr>
      </w:pPr>
    </w:p>
    <w:p w14:paraId="0C0BA53B" w14:textId="77777777" w:rsidR="00D901F4" w:rsidRPr="00FA119E" w:rsidRDefault="00D901F4" w:rsidP="00D901F4">
      <w:pPr>
        <w:rPr>
          <w:lang w:val="es-ES" w:eastAsia="es-ES"/>
        </w:rPr>
      </w:pPr>
    </w:p>
    <w:p w14:paraId="35CE6D26" w14:textId="77777777" w:rsidR="00D901F4" w:rsidRPr="00FA119E" w:rsidRDefault="00D901F4" w:rsidP="00D901F4">
      <w:pPr>
        <w:rPr>
          <w:lang w:val="es-ES" w:eastAsia="es-ES"/>
        </w:rPr>
      </w:pPr>
    </w:p>
    <w:p w14:paraId="31C052D7" w14:textId="77777777" w:rsidR="006C6042" w:rsidRPr="00D901F4" w:rsidRDefault="006C6042" w:rsidP="00D901F4"/>
    <w:sectPr w:rsidR="006C6042" w:rsidRPr="00D901F4"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3EAAB" w14:textId="77777777" w:rsidR="00D8258F" w:rsidRDefault="00D8258F" w:rsidP="004F2C35">
      <w:r>
        <w:separator/>
      </w:r>
    </w:p>
  </w:endnote>
  <w:endnote w:type="continuationSeparator" w:id="0">
    <w:p w14:paraId="088E8147" w14:textId="77777777" w:rsidR="00D8258F" w:rsidRDefault="00D8258F" w:rsidP="004F2C35">
      <w:r>
        <w:continuationSeparator/>
      </w:r>
    </w:p>
  </w:endnote>
  <w:endnote w:type="continuationNotice" w:id="1">
    <w:p w14:paraId="13BC0257" w14:textId="77777777" w:rsidR="00D8258F" w:rsidRDefault="00D825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95BE4" w14:textId="77777777" w:rsidR="00D8258F" w:rsidRDefault="00D8258F" w:rsidP="004F2C35">
      <w:r>
        <w:separator/>
      </w:r>
    </w:p>
  </w:footnote>
  <w:footnote w:type="continuationSeparator" w:id="0">
    <w:p w14:paraId="060F5BD8" w14:textId="77777777" w:rsidR="00D8258F" w:rsidRDefault="00D8258F" w:rsidP="004F2C35">
      <w:r>
        <w:continuationSeparator/>
      </w:r>
    </w:p>
  </w:footnote>
  <w:footnote w:type="continuationNotice" w:id="1">
    <w:p w14:paraId="28E64EFE" w14:textId="77777777" w:rsidR="00D8258F" w:rsidRDefault="00D8258F"/>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rPr>
        <w:t>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rPr>
        <w:t>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rPr>
        <w:t xml:space="preserve">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rPr>
        <w:t>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rPr>
        <w:t>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rPr>
        <w:t>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Default="000B19F2" w:rsidP="00A5335A">
    <w:pPr>
      <w:pStyle w:val="Encabezado"/>
      <w:rPr>
        <w:rFonts w:cs="Arial"/>
        <w:b/>
        <w:color w:val="131313" w:themeColor="background2" w:themeShade="40"/>
        <w:szCs w:val="20"/>
      </w:rPr>
    </w:pPr>
  </w:p>
  <w:p w14:paraId="11F10D55" w14:textId="200E2BEB" w:rsidR="000B19F2" w:rsidRPr="00C74D9F" w:rsidRDefault="000B19F2"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AF5"/>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5F88"/>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258F"/>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12469</Words>
  <Characters>68582</Characters>
  <Application>Microsoft Office Word</Application>
  <DocSecurity>0</DocSecurity>
  <Lines>571</Lines>
  <Paragraphs>161</Paragraphs>
  <ScaleCrop>false</ScaleCrop>
  <Company/>
  <LinksUpToDate>false</LinksUpToDate>
  <CharactersWithSpaces>80890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BEATRIZ PACHECO AREVALO</cp:lastModifiedBy>
  <cp:revision>44</cp:revision>
  <cp:lastPrinted>2022-06-28T19:25:00Z</cp:lastPrinted>
  <dcterms:created xsi:type="dcterms:W3CDTF">2024-06-06T15:04:00Z</dcterms:created>
  <dcterms:modified xsi:type="dcterms:W3CDTF">2026-04-06T20:31:00Z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