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4118F5" w14:textId="77777777" w:rsidR="001036FA" w:rsidRPr="00D23BA9" w:rsidRDefault="001036FA" w:rsidP="5640BF97">
      <w:pPr>
        <w:rPr>
          <w:rFonts w:ascii="Verdana" w:hAnsi="Verdana" w:cs="Arial"/>
          <w:b/>
          <w:bCs/>
          <w:sz w:val="22"/>
          <w:szCs w:val="22"/>
          <w:lang w:val="es-ES"/>
        </w:rPr>
      </w:pPr>
    </w:p>
    <w:p w14:paraId="49154715" w14:textId="371B1A52"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696F849F" w:rsidRPr="00D23BA9">
        <w:rPr>
          <w:rFonts w:ascii="Verdana" w:hAnsi="Verdana" w:cs="Arial"/>
          <w:b/>
          <w:bCs/>
          <w:lang w:val="es-ES"/>
        </w:rPr>
        <w:t>5</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0B1124EA" w14:textId="0174F9E3" w:rsidR="002F66D1" w:rsidRPr="00D23BA9" w:rsidRDefault="16AAF97D" w:rsidP="540FEC18">
      <w:pPr>
        <w:jc w:val="both"/>
        <w:rPr>
          <w:rFonts w:ascii="Verdana" w:hAnsi="Verdana" w:cs="Arial"/>
          <w:sz w:val="22"/>
          <w:szCs w:val="22"/>
          <w:highlight w:val="lightGray"/>
          <w:lang w:val="es-ES"/>
        </w:rPr>
      </w:pPr>
      <w:r w:rsidRPr="00D23BA9">
        <w:rPr>
          <w:rFonts w:ascii="Verdana" w:hAnsi="Verdana" w:cs="Arial"/>
          <w:sz w:val="22"/>
          <w:szCs w:val="22"/>
          <w:lang w:val="es-ES"/>
        </w:rPr>
        <w:t xml:space="preserve">Para efectos de interpretación del pliego de condiciones: </w:t>
      </w:r>
    </w:p>
    <w:p w14:paraId="27CD1360" w14:textId="0DE86AE0" w:rsidR="002F66D1" w:rsidRPr="00D23BA9" w:rsidRDefault="002F66D1" w:rsidP="540FEC18">
      <w:pPr>
        <w:jc w:val="both"/>
        <w:rPr>
          <w:rFonts w:ascii="Verdana" w:hAnsi="Verdana" w:cs="Arial"/>
          <w:sz w:val="22"/>
          <w:szCs w:val="22"/>
          <w:highlight w:val="lightGray"/>
          <w:lang w:val="es-ES"/>
        </w:rPr>
      </w:pPr>
    </w:p>
    <w:p w14:paraId="442F29EB" w14:textId="77777777" w:rsidR="00541F7D" w:rsidRPr="00D23BA9" w:rsidRDefault="00541F7D" w:rsidP="2BFC450E">
      <w:pPr>
        <w:jc w:val="both"/>
        <w:rPr>
          <w:rFonts w:ascii="Verdana" w:hAnsi="Verdana" w:cs="Arial"/>
          <w:sz w:val="22"/>
          <w:szCs w:val="22"/>
          <w:lang w:val="es-ES"/>
        </w:rPr>
      </w:pPr>
      <w:bookmarkStart w:id="0" w:name="_GoBack"/>
      <w:bookmarkEnd w:id="0"/>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t xml:space="preserve">Administración Delegada: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w:t>
      </w:r>
      <w:r w:rsidRPr="00D23BA9">
        <w:rPr>
          <w:rFonts w:ascii="Verdana" w:hAnsi="Verdana" w:cs="Arial"/>
          <w:sz w:val="22"/>
          <w:szCs w:val="22"/>
          <w:lang w:val="es-ES"/>
        </w:rPr>
        <w:lastRenderedPageBreak/>
        <w:t xml:space="preserve">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rPr>
      </w:pPr>
      <w:r w:rsidRPr="00D23BA9">
        <w:rPr>
          <w:rFonts w:ascii="Verdana" w:hAnsi="Verdana" w:cs="Arial"/>
          <w:b/>
          <w:bCs/>
          <w:sz w:val="22"/>
          <w:szCs w:val="22"/>
        </w:rPr>
        <w:t xml:space="preserve">Aportes Legales: </w:t>
      </w:r>
      <w:r w:rsidR="00187A52" w:rsidRPr="00D23BA9">
        <w:rPr>
          <w:rFonts w:ascii="Verdana" w:hAnsi="Verdana" w:cs="Arial"/>
          <w:sz w:val="22"/>
          <w:szCs w:val="22"/>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D23BA9">
        <w:rPr>
          <w:rFonts w:ascii="Verdana" w:hAnsi="Verdana" w:cs="Arial"/>
          <w:sz w:val="22"/>
          <w:szCs w:val="22"/>
        </w:rPr>
        <w:t>.</w:t>
      </w:r>
      <w:r w:rsidRPr="00D23BA9">
        <w:rPr>
          <w:rFonts w:ascii="Verdana" w:hAnsi="Verdana" w:cs="Arial"/>
          <w:b/>
          <w:bCs/>
          <w:sz w:val="22"/>
          <w:szCs w:val="22"/>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w:t>
      </w:r>
      <w:r w:rsidRPr="00D23BA9">
        <w:rPr>
          <w:rFonts w:ascii="Verdana" w:hAnsi="Verdana" w:cs="Arial"/>
          <w:sz w:val="22"/>
          <w:szCs w:val="22"/>
          <w:lang w:val="es-ES"/>
        </w:rPr>
        <w:lastRenderedPageBreak/>
        <w:t xml:space="preserve">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Condiciones financieras mínimas que debe tener un Proponente en razón de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w:t>
      </w:r>
      <w:r w:rsidRPr="00D23BA9">
        <w:rPr>
          <w:rFonts w:ascii="Verdana" w:hAnsi="Verdana" w:cs="Arial"/>
          <w:sz w:val="22"/>
          <w:szCs w:val="22"/>
          <w:lang w:val="es-ES"/>
        </w:rPr>
        <w:lastRenderedPageBreak/>
        <w:t>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lastRenderedPageBreak/>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1"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1"/>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Engineering, Procurement and Construction</w:t>
      </w:r>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lastRenderedPageBreak/>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(ii) fiducia mercantil de garantía o (iii)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w:t>
      </w:r>
      <w:r w:rsidR="003937E6" w:rsidRPr="00D23BA9">
        <w:rPr>
          <w:rFonts w:ascii="Verdana" w:hAnsi="Verdana" w:cs="Arial"/>
          <w:sz w:val="22"/>
          <w:szCs w:val="22"/>
          <w:lang w:val="es-ES"/>
        </w:rPr>
        <w:lastRenderedPageBreak/>
        <w:t xml:space="preserve">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lastRenderedPageBreak/>
        <w:t xml:space="preserve">Interventoría Ambiental: </w:t>
      </w:r>
      <w:r w:rsidRPr="00D23BA9">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lastRenderedPageBreak/>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D23BA9"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rPr>
      </w:pPr>
      <w:r w:rsidRPr="00D23BA9">
        <w:rPr>
          <w:rFonts w:ascii="Verdana" w:hAnsi="Verdana" w:cs="Arial"/>
          <w:b/>
          <w:bCs/>
          <w:sz w:val="22"/>
          <w:szCs w:val="22"/>
        </w:rPr>
        <w:t>Pliego de Condiciones Tipo</w:t>
      </w:r>
      <w:r w:rsidRPr="00D23BA9">
        <w:rPr>
          <w:rFonts w:ascii="Verdana" w:hAnsi="Verdana" w:cs="Arial"/>
          <w:sz w:val="22"/>
          <w:szCs w:val="22"/>
        </w:rPr>
        <w:t xml:space="preserve">: </w:t>
      </w:r>
      <w:r w:rsidR="4A5593C6" w:rsidRPr="00D23BA9">
        <w:rPr>
          <w:rFonts w:ascii="Verdana" w:hAnsi="Verdana" w:cs="Arial"/>
          <w:sz w:val="22"/>
          <w:szCs w:val="22"/>
        </w:rPr>
        <w:t xml:space="preserve">Documento estructurado, actualizado y publicado por </w:t>
      </w:r>
      <w:r w:rsidR="1AA8A239" w:rsidRPr="00D23BA9">
        <w:rPr>
          <w:rFonts w:ascii="Verdana" w:hAnsi="Verdana" w:cs="Arial"/>
          <w:sz w:val="22"/>
          <w:szCs w:val="22"/>
        </w:rPr>
        <w:t xml:space="preserve">la Agencia Nacional de Contratación </w:t>
      </w:r>
      <w:r w:rsidR="180DE065" w:rsidRPr="00D23BA9">
        <w:rPr>
          <w:rFonts w:ascii="Verdana" w:hAnsi="Verdana" w:cs="Arial"/>
          <w:sz w:val="22"/>
          <w:szCs w:val="22"/>
        </w:rPr>
        <w:t xml:space="preserve">Pública - </w:t>
      </w:r>
      <w:r w:rsidR="4A5593C6" w:rsidRPr="00D23BA9">
        <w:rPr>
          <w:rFonts w:ascii="Verdana" w:hAnsi="Verdana" w:cs="Arial"/>
          <w:sz w:val="22"/>
          <w:szCs w:val="22"/>
        </w:rPr>
        <w:t>Colombia Compra Eficiente que incorpora las condiciones habilitantes, requisitos de puntaje y demás aspectos señalados en el artículo 1 de la Ley 2022 de 2020</w:t>
      </w:r>
      <w:r w:rsidRPr="00D23BA9">
        <w:rPr>
          <w:rFonts w:ascii="Verdana" w:hAnsi="Verdana" w:cs="Arial"/>
          <w:sz w:val="22"/>
          <w:szCs w:val="22"/>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lastRenderedPageBreak/>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w:t>
      </w:r>
      <w:r w:rsidRPr="00D23BA9">
        <w:rPr>
          <w:rFonts w:ascii="Verdana" w:hAnsi="Verdana" w:cs="Arial"/>
          <w:sz w:val="22"/>
          <w:szCs w:val="22"/>
          <w:lang w:val="es-ES"/>
        </w:rPr>
        <w:lastRenderedPageBreak/>
        <w:t xml:space="preserve">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2"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2"/>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Amenaza de Ruina: </w:t>
      </w:r>
      <w:r w:rsidRPr="00D23BA9">
        <w:rPr>
          <w:rFonts w:ascii="Verdana" w:eastAsia="Arial" w:hAnsi="Verdana"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(DPre.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 xml:space="preserve">corresponde al conjunto de actividades destinadas a reparar, reconstruir o restaurar elementos obstruidos o dañados del sistema vial, corrigiendo defectos de surgimiento repentino </w:t>
      </w:r>
      <w:r w:rsidR="00B485AD" w:rsidRPr="00D23BA9">
        <w:rPr>
          <w:rFonts w:ascii="Verdana" w:eastAsia="Arial" w:hAnsi="Verdana" w:cs="Arial"/>
          <w:sz w:val="22"/>
          <w:szCs w:val="22"/>
          <w:lang w:val="es-ES"/>
        </w:rPr>
        <w:lastRenderedPageBreak/>
        <w:t>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w:t>
      </w:r>
      <w:r w:rsidRPr="00D23BA9">
        <w:rPr>
          <w:rFonts w:ascii="Verdana" w:eastAsia="Arial" w:hAnsi="Verdana" w:cs="Arial"/>
          <w:sz w:val="22"/>
          <w:szCs w:val="22"/>
          <w:lang w:val="es-ES" w:eastAsia="es-ES"/>
        </w:rPr>
        <w:lastRenderedPageBreak/>
        <w:t>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Corresponden a senderos peatonales, caminos reales y caminos de herradura cuya traza sea anterior al siglo XX, que sean declarados como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 xml:space="preserve">Muro localizado en el paramento del lote de terreno y que se encuentra separado de la edificación en la dirección perpendicular al </w:t>
      </w:r>
      <w:r w:rsidR="5BF218FA" w:rsidRPr="00D23BA9">
        <w:rPr>
          <w:rFonts w:ascii="Verdana" w:eastAsia="Arial" w:hAnsi="Verdana" w:cs="Arial"/>
          <w:sz w:val="22"/>
          <w:szCs w:val="22"/>
          <w:lang w:val="es-ES"/>
        </w:rPr>
        <w:lastRenderedPageBreak/>
        <w:t>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Ciclopista: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lastRenderedPageBreak/>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 xml:space="preserve">Ensamblaje de elementos diseñados para soportar las cargas gravitacionales y resistir las fuerzas horizontales. Las estructuras pueden </w:t>
      </w:r>
      <w:r w:rsidR="26529A42" w:rsidRPr="00D23BA9">
        <w:rPr>
          <w:rFonts w:ascii="Verdana" w:eastAsia="Arial" w:hAnsi="Verdana" w:cs="Arial"/>
          <w:sz w:val="22"/>
          <w:szCs w:val="22"/>
          <w:lang w:val="es-ES"/>
        </w:rPr>
        <w:lastRenderedPageBreak/>
        <w:t>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Material granular resultante de la desintegración natural de las rocas cuyo tamaño oscila entre 2 mm y 8 mm.</w:t>
      </w:r>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En el grupo de ocupación de lugares de reunión se clasifican las edificaciones o espacios en donde se reúne o agrupa la gente con fines religiosos, deportivos, políticos, culturales, sociales, recreativos o de transporte y que, en general, disponen de medios comunes de salida o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r w:rsidR="5624FF75" w:rsidRPr="00D23BA9">
        <w:rPr>
          <w:rFonts w:ascii="Verdana" w:eastAsia="Arial" w:hAnsi="Verdana" w:cs="Arial"/>
          <w:sz w:val="22"/>
          <w:szCs w:val="22"/>
          <w:lang w:val="es-ES"/>
        </w:rPr>
        <w:t>recreo deportivos</w:t>
      </w:r>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 xml:space="preserve">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w:t>
      </w:r>
      <w:r w:rsidR="30669580" w:rsidRPr="00D23BA9">
        <w:rPr>
          <w:rFonts w:ascii="Verdana" w:eastAsia="Arial" w:hAnsi="Verdana" w:cs="Arial"/>
          <w:sz w:val="22"/>
          <w:szCs w:val="22"/>
          <w:lang w:val="es-ES"/>
        </w:rPr>
        <w:lastRenderedPageBreak/>
        <w:t>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hemocentros, quirófanos, Centros de ortopedia, consultorio médico, cuidado intermedio, consulta externa, consulta virtual, triage,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 xml:space="preserve">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–CDl,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 xml:space="preserve">Conjunto de vías que permiten la comunicación entre las urbanizaciones y la red vial secundaria, </w:t>
      </w:r>
      <w:r w:rsidRPr="00D23BA9">
        <w:rPr>
          <w:rFonts w:ascii="Verdana" w:eastAsia="Arial" w:hAnsi="Verdana" w:cs="Arial"/>
          <w:sz w:val="22"/>
          <w:szCs w:val="22"/>
          <w:lang w:val="es-ES"/>
        </w:rPr>
        <w:lastRenderedPageBreak/>
        <w:t>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Tratándose de predios ubicados en área de influencia de un sector urbano declarado bien de interés cultural, esta modalidad se deberá otorgar con la modalidad de cerramiento. Las demás modalidades de licencia de </w:t>
      </w:r>
      <w:r w:rsidRPr="00D23BA9">
        <w:rPr>
          <w:rFonts w:ascii="Verdana" w:eastAsia="Arial" w:hAnsi="Verdana" w:cs="Arial"/>
          <w:sz w:val="22"/>
          <w:szCs w:val="22"/>
          <w:lang w:val="es-ES" w:eastAsia="es-ES"/>
        </w:rPr>
        <w:lastRenderedPageBreak/>
        <w:t>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asi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para el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Persona pospenada:</w:t>
      </w:r>
      <w:r w:rsidRPr="00D23BA9">
        <w:rPr>
          <w:rFonts w:ascii="Verdana" w:eastAsia="Arial" w:hAnsi="Verdana" w:cs="Arial"/>
          <w:sz w:val="22"/>
          <w:szCs w:val="22"/>
        </w:rPr>
        <w:t xml:space="preserve"> Aquella persona que ha cumplido la totalidad de su pena (Ley 599 de 20000, art. 64).  Y para el caso de la atención pospenitenciaria,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lastRenderedPageBreak/>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w:t>
      </w:r>
      <w:r w:rsidRPr="00D23BA9">
        <w:rPr>
          <w:rFonts w:ascii="Verdana" w:eastAsia="Arial" w:hAnsi="Verdana" w:cs="Arial"/>
          <w:sz w:val="22"/>
          <w:szCs w:val="22"/>
          <w:lang w:val="es-ES"/>
        </w:rPr>
        <w:lastRenderedPageBreak/>
        <w:t>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lastRenderedPageBreak/>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 xml:space="preserve">Actividades para reemplazar, renovar elementos, componentes o sistemas de una edificación, que por sus condiciones ya no es apta para cumplir a cabalidad con su función, bien porque agotó </w:t>
      </w:r>
      <w:r w:rsidRPr="00D23BA9">
        <w:rPr>
          <w:rFonts w:ascii="Verdana" w:eastAsia="Arial" w:hAnsi="Verdana" w:cs="Arial"/>
          <w:sz w:val="22"/>
          <w:szCs w:val="22"/>
          <w:lang w:val="es-ES"/>
        </w:rPr>
        <w:lastRenderedPageBreak/>
        <w:t>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 xml:space="preserve">Corresponde a la aplicación de marcas viales, conformadas por líneas, flechas, símbolos y letras que se pintan sobre el </w:t>
      </w:r>
      <w:r w:rsidRPr="00D23BA9">
        <w:rPr>
          <w:rFonts w:ascii="Verdana" w:eastAsia="Arial" w:hAnsi="Verdana" w:cs="Arial"/>
          <w:sz w:val="22"/>
          <w:szCs w:val="22"/>
          <w:lang w:val="es-ES"/>
        </w:rPr>
        <w:lastRenderedPageBreak/>
        <w:t>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subterranización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w:t>
      </w:r>
      <w:r w:rsidRPr="00D23BA9">
        <w:rPr>
          <w:rFonts w:ascii="Verdana" w:eastAsia="Arial" w:hAnsi="Verdana" w:cs="Arial"/>
          <w:sz w:val="22"/>
          <w:szCs w:val="22"/>
          <w:lang w:val="es-ES"/>
        </w:rPr>
        <w:lastRenderedPageBreak/>
        <w:t>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 xml:space="preserve">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w:t>
      </w:r>
      <w:r w:rsidRPr="00D23BA9">
        <w:rPr>
          <w:rFonts w:ascii="Verdana" w:eastAsia="Arial" w:hAnsi="Verdana" w:cs="Arial"/>
          <w:sz w:val="22"/>
          <w:szCs w:val="22"/>
          <w:lang w:val="es-ES"/>
        </w:rPr>
        <w:lastRenderedPageBreak/>
        <w:t>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 xml:space="preserve">Espacio que contiene un conjunto completo de aparatos sanitarios destinados para el uso personal de una persona o </w:t>
      </w:r>
      <w:r w:rsidRPr="00D23BA9">
        <w:rPr>
          <w:rFonts w:ascii="Verdana" w:eastAsia="Arial" w:hAnsi="Verdana" w:cs="Arial"/>
          <w:sz w:val="22"/>
          <w:szCs w:val="22"/>
          <w:lang w:val="es-ES"/>
        </w:rPr>
        <w:lastRenderedPageBreak/>
        <w:t>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 xml:space="preserve">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w:t>
      </w:r>
      <w:r w:rsidRPr="00D23BA9">
        <w:rPr>
          <w:rFonts w:ascii="Verdana" w:eastAsia="Arial" w:hAnsi="Verdana" w:cs="Arial"/>
          <w:sz w:val="22"/>
          <w:szCs w:val="22"/>
          <w:lang w:val="es-ES"/>
        </w:rPr>
        <w:lastRenderedPageBreak/>
        <w:t>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02470AC2"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w:t>
      </w:r>
      <w:r w:rsidRPr="00D23BA9">
        <w:rPr>
          <w:rFonts w:ascii="Verdana" w:eastAsia="Arial" w:hAnsi="Verdana" w:cs="Arial"/>
          <w:sz w:val="22"/>
          <w:szCs w:val="22"/>
          <w:highlight w:val="lightGray"/>
          <w:lang w:val="es-ES"/>
        </w:rPr>
        <w:t>la Entidad podrá adaptar o modificar esta definición de acuerdo con las nociones de la norma urbana o de urbanismo vigentes aplicables a la región o zona en la cual se desarrolle el proyecto.</w:t>
      </w:r>
      <w:r w:rsidRPr="00D23BA9">
        <w:rPr>
          <w:rFonts w:ascii="Verdana" w:eastAsia="Arial" w:hAnsi="Verdana" w:cs="Arial"/>
          <w:sz w:val="22"/>
          <w:szCs w:val="22"/>
          <w:lang w:val="es-ES"/>
        </w:rPr>
        <w:t>]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5516A9CA"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0B1BDC17" w14:textId="1496FB45" w:rsidR="48235CCC" w:rsidRPr="00D23BA9" w:rsidRDefault="48235CCC" w:rsidP="48235CCC">
      <w:pPr>
        <w:jc w:val="center"/>
        <w:rPr>
          <w:rFonts w:ascii="Verdana" w:hAnsi="Verdana" w:cs="Arial"/>
          <w:b/>
          <w:bCs/>
          <w:sz w:val="22"/>
          <w:szCs w:val="22"/>
          <w:lang w:val="es-ES"/>
        </w:rPr>
      </w:pPr>
    </w:p>
    <w:p w14:paraId="37885870" w14:textId="4E5A4A8B" w:rsidR="0B35164B" w:rsidRPr="00D23BA9" w:rsidRDefault="0B35164B" w:rsidP="48235CCC">
      <w:pPr>
        <w:jc w:val="both"/>
        <w:rPr>
          <w:rFonts w:ascii="Verdana" w:hAnsi="Verdana" w:cs="Arial"/>
          <w:sz w:val="22"/>
          <w:szCs w:val="22"/>
          <w:lang w:val="es-ES"/>
        </w:rPr>
      </w:pPr>
      <w:r w:rsidRPr="00D23BA9">
        <w:rPr>
          <w:rFonts w:ascii="Verdana" w:eastAsiaTheme="minorEastAsia" w:hAnsi="Verdana" w:cstheme="minorBidi"/>
          <w:b/>
          <w:bCs/>
          <w:sz w:val="22"/>
          <w:szCs w:val="22"/>
          <w:lang w:eastAsia="es-ES"/>
        </w:rPr>
        <w:t>SECTOR DE CULTURA, RECREACIÓN Y DEPORTE:</w:t>
      </w:r>
      <w:r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 y que se encuentren relacionados en la NTC 4595, así como los términos y conceptos definidos en el Decreto 1077 de 2015, Ley 1804 de 2016, Decreto 1075 de 2015 , el Decreto 1411 de 2022, la ley 115 de 1994, los Decretos Únicos Reglamentarios del Sector Administrativo del Deporte y  del Sector Cultura 1085 y 1080 de 2015, la Ley 2180 de 2021, ley 388 de 1997, ley 2044 de 2020  y demás normatividad y legislación que la modifique, regule o derogue, y demás normativa vigente en la materia, así como la NSR 10, entre otras o aquellas que los modifiquen, adicionen o sustituyan. Así como lo establecido en el manual de escenarios deportivos del Departamento Administrativo del Deporte, la Recreación, la Actividad Física y el Aprovechamiento del Tiempo Libre COLDEPORTES - Ministerio de Deporte del 2018, así como la guía general para la planeación, formulación ejecución y operación de proyectos de infraestructura cultural expedida por Mincultura en el 2011</w:t>
      </w:r>
      <w:r w:rsidR="73F8AA44" w:rsidRPr="00D23BA9">
        <w:rPr>
          <w:rFonts w:ascii="Verdana" w:eastAsiaTheme="minorEastAsia" w:hAnsi="Verdana" w:cstheme="minorBidi"/>
          <w:color w:val="000000"/>
          <w:sz w:val="22"/>
          <w:szCs w:val="22"/>
          <w:highlight w:val="lightGray"/>
          <w:lang w:eastAsia="es-ES"/>
        </w:rPr>
        <w:t>]</w:t>
      </w:r>
      <w:r w:rsidRPr="00D23BA9">
        <w:rPr>
          <w:rFonts w:ascii="Verdana" w:eastAsiaTheme="minorEastAsia" w:hAnsi="Verdana" w:cstheme="minorBidi"/>
          <w:color w:val="000000"/>
          <w:sz w:val="22"/>
          <w:szCs w:val="22"/>
          <w:highlight w:val="lightGray"/>
          <w:lang w:val="es-ES" w:eastAsia="es-ES"/>
        </w:rPr>
        <w:t xml:space="preserve"> </w:t>
      </w:r>
    </w:p>
    <w:p w14:paraId="3CC15564" w14:textId="4F7C1104" w:rsidR="48235CCC" w:rsidRPr="00D23BA9" w:rsidRDefault="48235CCC" w:rsidP="48235CCC">
      <w:pPr>
        <w:jc w:val="both"/>
        <w:rPr>
          <w:rFonts w:ascii="Verdana" w:eastAsiaTheme="minorEastAsia" w:hAnsi="Verdana" w:cstheme="minorBidi"/>
          <w:b/>
          <w:bCs/>
          <w:sz w:val="22"/>
          <w:szCs w:val="22"/>
          <w:lang w:val="es-ES" w:eastAsia="es-ES"/>
        </w:rPr>
      </w:pPr>
    </w:p>
    <w:p w14:paraId="36AAD2B9" w14:textId="0B6B3390" w:rsidR="0B35164B" w:rsidRPr="00D23BA9" w:rsidRDefault="3DCF6887" w:rsidP="48235CCC">
      <w:pPr>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 xml:space="preserve">SECTOR EDUCATIVO: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w:t>
      </w:r>
      <w:r w:rsidR="002F79D1" w:rsidRPr="00D23BA9">
        <w:rPr>
          <w:rFonts w:ascii="Verdana" w:eastAsiaTheme="minorEastAsia" w:hAnsi="Verdana" w:cstheme="minorBidi"/>
          <w:color w:val="000000"/>
          <w:sz w:val="22"/>
          <w:szCs w:val="22"/>
          <w:highlight w:val="lightGray"/>
          <w:lang w:eastAsia="es-ES"/>
        </w:rPr>
        <w:t>, a</w:t>
      </w:r>
      <w:r w:rsidRPr="00D23BA9">
        <w:rPr>
          <w:rFonts w:ascii="Verdana" w:eastAsiaTheme="minorEastAsia" w:hAnsi="Verdana" w:cstheme="minorBidi"/>
          <w:color w:val="000000"/>
          <w:sz w:val="22"/>
          <w:szCs w:val="22"/>
          <w:highlight w:val="lightGray"/>
          <w:lang w:eastAsia="es-ES"/>
        </w:rPr>
        <w:t xml:space="preserve">sí como los términos y conceptos definidos en el Decreto 1077 de 2015, Ley 1804 de 2016, Decreto 1075 de 2015, Decreto 1411 de 2022, la ley 115 de 1994, los Decretos Únicos Reglamentarios del Sector Administrativo del Deporte y  del Sector Cultura 1085 y 1080 de 2015,  </w:t>
      </w:r>
      <w:r w:rsidRPr="00D23BA9">
        <w:rPr>
          <w:rFonts w:ascii="Verdana" w:eastAsiaTheme="minorEastAsia" w:hAnsi="Verdana" w:cstheme="minorBidi"/>
          <w:color w:val="000000"/>
          <w:sz w:val="22"/>
          <w:szCs w:val="22"/>
          <w:highlight w:val="lightGray"/>
          <w:lang w:val="es" w:eastAsia="es-ES"/>
        </w:rPr>
        <w:t xml:space="preserve">Ley 2180 de 2021, ley 388 de 1997, ley 2044 de 2020 </w:t>
      </w:r>
      <w:r w:rsidRPr="00D23BA9">
        <w:rPr>
          <w:rFonts w:ascii="Verdana" w:eastAsiaTheme="minorEastAsia" w:hAnsi="Verdana" w:cstheme="minorBidi"/>
          <w:color w:val="000000"/>
          <w:sz w:val="22"/>
          <w:szCs w:val="22"/>
          <w:highlight w:val="lightGray"/>
          <w:lang w:eastAsia="es-ES"/>
        </w:rPr>
        <w:t xml:space="preserve"> y demás normatividad y legislación que la modifique, regule o derogue, y demás normativa vigente en la materia, así como la NSR 10, entre otras o aquellas que los modifiquen, adicionen o sustituyan.] ,  así como lo establecido en el manual de escenarios deportivos del Departamento Administrativo del Deporte, la Recreación, la Actividad Física y el Aprovechamiento del Tiempo Libre COLDEPORTES - Ministerio de Deporte  del 2018, que contiene los lineamientos de política pública en infraestructura deportiva, que fue creado por Mindeporte en el período 2016 – 2019, así como la guía general para la planeación, formulación ejecución y operación de proyectos de infraestructura cultural expedida por Mincultura en el 2011</w:t>
      </w:r>
      <w:r w:rsidR="17D7D049" w:rsidRPr="00D23BA9">
        <w:rPr>
          <w:rFonts w:ascii="Verdana" w:eastAsiaTheme="minorEastAsia" w:hAnsi="Verdana" w:cstheme="minorBidi"/>
          <w:color w:val="000000"/>
          <w:sz w:val="22"/>
          <w:szCs w:val="22"/>
          <w:highlight w:val="lightGray"/>
          <w:lang w:eastAsia="es-ES"/>
        </w:rPr>
        <w:t>]</w:t>
      </w:r>
    </w:p>
    <w:p w14:paraId="415D229C" w14:textId="5D6EAB46" w:rsidR="48235CCC" w:rsidRPr="00D23BA9" w:rsidRDefault="48235CCC" w:rsidP="48235CCC">
      <w:pPr>
        <w:jc w:val="both"/>
        <w:rPr>
          <w:rFonts w:ascii="Verdana" w:eastAsia="Arial" w:hAnsi="Verdana" w:cs="Arial"/>
          <w:i/>
          <w:iCs/>
          <w:color w:val="00B0F0"/>
          <w:sz w:val="22"/>
          <w:szCs w:val="22"/>
        </w:rPr>
      </w:pPr>
    </w:p>
    <w:p w14:paraId="729A7F6C" w14:textId="020A181E" w:rsidR="0B35164B" w:rsidRPr="00D23BA9" w:rsidRDefault="0B35164B" w:rsidP="48235CCC">
      <w:pPr>
        <w:ind w:left="90"/>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SECTOR SALUD:</w:t>
      </w:r>
      <w:r w:rsidRPr="00D23BA9">
        <w:rPr>
          <w:rFonts w:ascii="Verdana" w:eastAsiaTheme="minorEastAsia" w:hAnsi="Verdana" w:cstheme="minorBidi"/>
          <w:sz w:val="22"/>
          <w:szCs w:val="22"/>
          <w:lang w:val="es-ES" w:eastAsia="es-ES"/>
        </w:rPr>
        <w:t xml:space="preserve"> </w:t>
      </w:r>
      <w:r w:rsidR="30E8E45C" w:rsidRPr="00D23BA9">
        <w:rPr>
          <w:rFonts w:ascii="Verdana" w:eastAsiaTheme="minorEastAsia" w:hAnsi="Verdana" w:cstheme="minorBidi"/>
          <w:color w:val="000000"/>
          <w:sz w:val="22"/>
          <w:szCs w:val="22"/>
          <w:highlight w:val="lightGray"/>
          <w:lang w:eastAsia="es-ES"/>
        </w:rPr>
        <w:t>“[La Entidad deberá incorporar en orden alfabético los conceptos adicionales que apliquen al Proceso de Contratación que no estén in</w:t>
      </w:r>
      <w:r w:rsidR="14168DB7" w:rsidRPr="00D23BA9">
        <w:rPr>
          <w:rFonts w:ascii="Verdana" w:eastAsiaTheme="minorEastAsia" w:hAnsi="Verdana" w:cstheme="minorBidi"/>
          <w:color w:val="000000"/>
          <w:sz w:val="22"/>
          <w:szCs w:val="22"/>
          <w:highlight w:val="lightGray"/>
          <w:lang w:eastAsia="es-ES"/>
        </w:rPr>
        <w:t>c</w:t>
      </w:r>
      <w:r w:rsidR="30E8E45C" w:rsidRPr="00D23BA9">
        <w:rPr>
          <w:rFonts w:ascii="Verdana" w:eastAsiaTheme="minorEastAsia" w:hAnsi="Verdana" w:cstheme="minorBidi"/>
          <w:color w:val="000000"/>
          <w:sz w:val="22"/>
          <w:szCs w:val="22"/>
          <w:highlight w:val="lightGray"/>
          <w:lang w:eastAsia="es-ES"/>
        </w:rPr>
        <w:t xml:space="preserve">orporados en este Anexo, con su respectiva fuente o referencia de donde se tomó la definición correspondiente. Así como los términos y conceptos definidos en el Decreto 1077 de 2015, Resolución No. 14861 del 14 de octubre de 1985, Resolución No. 04445 del 2 de diciembre de 1996, Decreto No. 2240 DE 1996 (diciembre 9), Resolución No. 00002003 DE 20147 (28 MAY 2014), Decreto 780/2016, Decreto 1783 de 2021, Resolución No. 0003100 DE 2019, Decreto </w:t>
      </w:r>
      <w:r w:rsidR="30E8E45C" w:rsidRPr="00D23BA9">
        <w:rPr>
          <w:rFonts w:ascii="Verdana" w:eastAsiaTheme="minorEastAsia" w:hAnsi="Verdana" w:cstheme="minorBidi"/>
          <w:color w:val="000000"/>
          <w:sz w:val="22"/>
          <w:szCs w:val="22"/>
          <w:highlight w:val="lightGray"/>
          <w:lang w:eastAsia="es-ES"/>
        </w:rPr>
        <w:lastRenderedPageBreak/>
        <w:t>1069 de 2015, 2553 de 2014 y 1709 de 2014, ley 65 de 1993 y resolución 3757 de 2006 y demás normatividad y legislación que la modifique, adicione o sustituya o sea aplicable en la materia. Así como los conceptos propios que hagan parte del Sector Salud y no se encuentren relacionados en este documento y especialmente con lo establecido dentro de la Norma Sismorresistente del 2010 – NSR-10.]”</w:t>
      </w:r>
    </w:p>
    <w:p w14:paraId="75244939" w14:textId="6F45E16D" w:rsidR="48235CCC" w:rsidRPr="00D23BA9" w:rsidRDefault="48235CCC" w:rsidP="48235CCC">
      <w:pPr>
        <w:jc w:val="both"/>
        <w:rPr>
          <w:rFonts w:ascii="Verdana" w:eastAsiaTheme="minorEastAsia" w:hAnsi="Verdana" w:cstheme="minorBidi"/>
          <w:sz w:val="22"/>
          <w:szCs w:val="22"/>
          <w:lang w:val="es-ES" w:eastAsia="es-ES"/>
        </w:rPr>
      </w:pPr>
    </w:p>
    <w:p w14:paraId="1185CFF2" w14:textId="377283D1" w:rsidR="58C72F9B" w:rsidRPr="00D23BA9" w:rsidRDefault="58C72F9B" w:rsidP="69500256">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INSTITUCIONAL: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 así como en la NSR-10, y demás normatividad y legislación que la modifique, regule o sustituya o sea aplicable en la materia.]</w:t>
      </w:r>
    </w:p>
    <w:p w14:paraId="54CB422E" w14:textId="229A2529"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54CF6463" w14:textId="71548E9A" w:rsidR="13CBD759" w:rsidRPr="00D23BA9" w:rsidRDefault="44682EB7" w:rsidP="73DD3694">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VIVIENDA </w:t>
      </w:r>
      <w:r w:rsidR="530100DF" w:rsidRPr="00D23BA9">
        <w:rPr>
          <w:rFonts w:ascii="Verdana" w:hAnsi="Verdana" w:cs="Arial"/>
          <w:b/>
          <w:bCs/>
          <w:sz w:val="22"/>
          <w:szCs w:val="22"/>
          <w:lang w:val="es-ES"/>
        </w:rPr>
        <w:t xml:space="preserve">URBANA Y </w:t>
      </w:r>
      <w:r w:rsidRPr="00D23BA9">
        <w:rPr>
          <w:rFonts w:ascii="Verdana" w:hAnsi="Verdana" w:cs="Arial"/>
          <w:b/>
          <w:bCs/>
          <w:sz w:val="22"/>
          <w:szCs w:val="22"/>
          <w:lang w:val="es-ES"/>
        </w:rPr>
        <w:t xml:space="preserve">RURAL: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w:t>
      </w:r>
      <w:r w:rsidR="47306C89" w:rsidRPr="00D23BA9">
        <w:rPr>
          <w:rFonts w:ascii="Verdana" w:eastAsiaTheme="minorEastAsia" w:hAnsi="Verdana" w:cstheme="minorBidi"/>
          <w:color w:val="000000"/>
          <w:sz w:val="22"/>
          <w:szCs w:val="22"/>
          <w:highlight w:val="lightGray"/>
          <w:lang w:eastAsia="es-ES"/>
        </w:rPr>
        <w:t>,</w:t>
      </w:r>
      <w:r w:rsidR="4CD48443" w:rsidRPr="00D23BA9">
        <w:rPr>
          <w:rFonts w:ascii="Verdana" w:eastAsiaTheme="minorEastAsia" w:hAnsi="Verdana" w:cstheme="minorBidi"/>
          <w:color w:val="000000"/>
          <w:sz w:val="22"/>
          <w:szCs w:val="22"/>
          <w:highlight w:val="lightGray"/>
          <w:lang w:eastAsia="es-ES"/>
        </w:rPr>
        <w:t xml:space="preserve"> </w:t>
      </w:r>
      <w:r w:rsidR="2097B214" w:rsidRPr="00D23BA9">
        <w:rPr>
          <w:rFonts w:ascii="Verdana" w:eastAsiaTheme="minorEastAsia" w:hAnsi="Verdana" w:cstheme="minorBidi"/>
          <w:color w:val="000000"/>
          <w:sz w:val="22"/>
          <w:szCs w:val="22"/>
          <w:highlight w:val="lightGray"/>
          <w:lang w:eastAsia="es-ES"/>
        </w:rPr>
        <w:t xml:space="preserve">Ley 388 de 1997, </w:t>
      </w:r>
      <w:r w:rsidR="4CD48443" w:rsidRPr="00D23BA9">
        <w:rPr>
          <w:rFonts w:ascii="Verdana" w:eastAsiaTheme="minorEastAsia" w:hAnsi="Verdana" w:cstheme="minorBidi"/>
          <w:color w:val="000000"/>
          <w:sz w:val="22"/>
          <w:szCs w:val="22"/>
          <w:highlight w:val="lightGray"/>
          <w:lang w:eastAsia="es-ES"/>
        </w:rPr>
        <w:t xml:space="preserve">Ley 2056 de 2020, Decreto 1821 de 2020, Orientaciones Transitorias para la Gestión de Proyectos de Inversión- V 3.0, Decreto Ley 890 de 2017, </w:t>
      </w:r>
      <w:r w:rsidR="3B69E094" w:rsidRPr="00D23BA9">
        <w:rPr>
          <w:rFonts w:ascii="Verdana" w:eastAsiaTheme="minorEastAsia" w:hAnsi="Verdana" w:cstheme="minorBidi"/>
          <w:color w:val="000000"/>
          <w:sz w:val="22"/>
          <w:szCs w:val="22"/>
          <w:highlight w:val="lightGray"/>
          <w:lang w:eastAsia="es-ES"/>
        </w:rPr>
        <w:t>Resolución 0725 de 2023, Resolución 0410 de 2021</w:t>
      </w:r>
      <w:r w:rsidRPr="00D23BA9">
        <w:rPr>
          <w:rFonts w:ascii="Verdana" w:eastAsiaTheme="minorEastAsia" w:hAnsi="Verdana" w:cstheme="minorBidi"/>
          <w:color w:val="000000"/>
          <w:sz w:val="22"/>
          <w:szCs w:val="22"/>
          <w:highlight w:val="lightGray"/>
          <w:lang w:eastAsia="es-ES"/>
        </w:rPr>
        <w:t>, así como en la NSR-10, y demás normatividad y legislación que la modifique, regule o sustituya o sea aplicable en la materia.]</w:t>
      </w:r>
    </w:p>
    <w:p w14:paraId="29A6D159" w14:textId="2F079345"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N°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w:t>
      </w:r>
      <w:r w:rsidRPr="00D23BA9">
        <w:rPr>
          <w:rFonts w:ascii="Verdana" w:hAnsi="Verdana" w:cstheme="minorHAnsi"/>
          <w:sz w:val="22"/>
          <w:szCs w:val="22"/>
          <w:lang w:val="es-ES"/>
        </w:rPr>
        <w:lastRenderedPageBreak/>
        <w:t>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w:t>
      </w:r>
      <w:r w:rsidRPr="00D23BA9">
        <w:rPr>
          <w:rFonts w:ascii="Verdana" w:hAnsi="Verdana" w:cstheme="minorHAnsi"/>
          <w:sz w:val="22"/>
          <w:szCs w:val="22"/>
          <w:lang w:val="es-ES"/>
        </w:rPr>
        <w:lastRenderedPageBreak/>
        <w:t>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N°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(Dec 2372-2010, compilado en el Dec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lastRenderedPageBreak/>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socio-afectivo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deque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lastRenderedPageBreak/>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re-educación,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w:t>
      </w:r>
      <w:r w:rsidRPr="00D23BA9">
        <w:rPr>
          <w:rFonts w:ascii="Verdana" w:eastAsiaTheme="minorEastAsia" w:hAnsi="Verdana" w:cstheme="minorBidi"/>
          <w:sz w:val="22"/>
          <w:szCs w:val="22"/>
          <w:lang w:val="es-ES" w:eastAsia="es-ES"/>
        </w:rPr>
        <w:lastRenderedPageBreak/>
        <w:t>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r w:rsidRPr="00D23BA9">
        <w:rPr>
          <w:rFonts w:ascii="Verdana" w:hAnsi="Verdana" w:cstheme="minorHAnsi"/>
          <w:sz w:val="22"/>
          <w:szCs w:val="22"/>
          <w:lang w:val="es-ES"/>
        </w:rPr>
        <w:t>complejo deportivo y escenario deportivo.</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xml:space="preserve">: Lugar para la actividad deportiva proyectado de acuerdo con cánones preestablecidos. Según sus características físicas se clasifican en canchas, campos, pistas longitudinales o piscinas y al interior de esta clasificación se distingue </w:t>
      </w:r>
      <w:r w:rsidRPr="00D23BA9">
        <w:rPr>
          <w:rFonts w:ascii="Verdana" w:hAnsi="Verdana" w:cstheme="minorHAnsi"/>
          <w:sz w:val="22"/>
          <w:szCs w:val="22"/>
          <w:lang w:val="es-ES"/>
        </w:rPr>
        <w:lastRenderedPageBreak/>
        <w:t>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w:t>
      </w:r>
      <w:r w:rsidRPr="00D23BA9">
        <w:rPr>
          <w:rFonts w:ascii="Verdana" w:hAnsi="Verdana" w:cstheme="minorBidi"/>
          <w:sz w:val="22"/>
          <w:szCs w:val="22"/>
        </w:rPr>
        <w:lastRenderedPageBreak/>
        <w:t xml:space="preserve">personas públicas o privadas se reúnen 2 o más Madres Comunitarias para atender los niños, denominado Hogar Múltiple cuando cumple los lineamientos de la Resolución 1638 del 12 de Julio de 2006». </w:t>
      </w:r>
      <w:r w:rsidR="10FEEDF7" w:rsidRPr="00D23BA9">
        <w:rPr>
          <w:rFonts w:ascii="Verdana" w:hAnsi="Verdana" w:cstheme="minorBidi"/>
          <w:sz w:val="22"/>
          <w:szCs w:val="22"/>
        </w:rPr>
        <w:t>.</w:t>
      </w:r>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Servicio en el cual agentes educativos comunitarios, previamente capacitados, se responsabilizan del cuidado y la atención de grupos de niños y niñas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ii) instituciones tecnológicas, iii) instituciones universitarias o escuelas tecnológicas y iv)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cuál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w:t>
      </w:r>
      <w:r w:rsidRPr="00D23BA9">
        <w:rPr>
          <w:rFonts w:ascii="Verdana" w:eastAsia="Arial" w:hAnsi="Verdana" w:cstheme="minorHAnsi"/>
          <w:sz w:val="22"/>
          <w:szCs w:val="22"/>
          <w:lang w:val="es-ES"/>
        </w:rPr>
        <w:lastRenderedPageBreak/>
        <w:t>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w:t>
      </w:r>
      <w:r w:rsidRPr="00D23BA9">
        <w:rPr>
          <w:rFonts w:ascii="Verdana" w:eastAsiaTheme="minorEastAsia" w:hAnsi="Verdana" w:cstheme="minorHAnsi"/>
          <w:sz w:val="22"/>
          <w:szCs w:val="22"/>
          <w:lang w:val="es-ES" w:eastAsia="es-ES"/>
        </w:rPr>
        <w:lastRenderedPageBreak/>
        <w:t>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lastRenderedPageBreak/>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lastRenderedPageBreak/>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subespecializado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lastRenderedPageBreak/>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 xml:space="preserve">numeral 3 del </w:t>
      </w:r>
      <w:r w:rsidRPr="00D23BA9">
        <w:rPr>
          <w:rFonts w:ascii="Verdana" w:eastAsiaTheme="minorEastAsia" w:hAnsi="Verdana" w:cstheme="minorHAnsi"/>
          <w:sz w:val="22"/>
          <w:szCs w:val="22"/>
          <w:lang w:eastAsia="es-ES"/>
        </w:rPr>
        <w:lastRenderedPageBreak/>
        <w:t>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agrupan en un espacio 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dependiendo 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(ii)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w:t>
      </w:r>
      <w:r w:rsidRPr="00D23BA9">
        <w:rPr>
          <w:rFonts w:ascii="Verdana" w:eastAsia="Arial" w:hAnsi="Verdana" w:cstheme="minorHAnsi"/>
          <w:sz w:val="22"/>
          <w:szCs w:val="22"/>
          <w:lang w:val="es-ES"/>
        </w:rPr>
        <w:lastRenderedPageBreak/>
        <w:t xml:space="preserve">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B857C2" w14:textId="77777777" w:rsidR="00C109FF" w:rsidRDefault="00C109FF" w:rsidP="004F2C35">
      <w:r>
        <w:separator/>
      </w:r>
    </w:p>
  </w:endnote>
  <w:endnote w:type="continuationSeparator" w:id="0">
    <w:p w14:paraId="14EB593F" w14:textId="77777777" w:rsidR="00C109FF" w:rsidRDefault="00C109FF" w:rsidP="004F2C35">
      <w:r>
        <w:continuationSeparator/>
      </w:r>
    </w:p>
  </w:endnote>
  <w:endnote w:type="continuationNotice" w:id="1">
    <w:p w14:paraId="51ADC2EE" w14:textId="77777777" w:rsidR="00C109FF" w:rsidRDefault="00C109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38F7C4" w14:textId="77777777" w:rsidR="000B19F2" w:rsidRDefault="000B19F2">
    <w:pPr>
      <w:pStyle w:val="Piedepgina"/>
      <w:jc w:val="right"/>
    </w:pPr>
  </w:p>
  <w:p w14:paraId="506A0942" w14:textId="7E0986DC" w:rsidR="00702111" w:rsidRPr="000B34F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B34F9">
      <w:rPr>
        <w:rFonts w:ascii="Verdana" w:hAnsi="Verdana" w:cs="Arial"/>
        <w:color w:val="1A1818" w:themeColor="accent1"/>
        <w:sz w:val="18"/>
        <w:szCs w:val="18"/>
      </w:rPr>
      <w:t xml:space="preserve">Versión: </w:t>
    </w:r>
    <w:r w:rsidR="003A7AB8" w:rsidRPr="000B34F9">
      <w:rPr>
        <w:rFonts w:ascii="Verdana" w:hAnsi="Verdana" w:cs="Arial"/>
        <w:color w:val="1A1818" w:themeColor="accent1"/>
        <w:sz w:val="18"/>
        <w:szCs w:val="18"/>
      </w:rPr>
      <w:t>1</w:t>
    </w:r>
    <w:r w:rsidRPr="000B34F9">
      <w:rPr>
        <w:rFonts w:ascii="Verdana" w:hAnsi="Verdana" w:cs="Arial"/>
        <w:color w:val="1A1818" w:themeColor="accent1"/>
        <w:sz w:val="18"/>
        <w:szCs w:val="18"/>
      </w:rPr>
      <w:t xml:space="preserve"> del </w:t>
    </w:r>
    <w:r w:rsidR="000B34F9">
      <w:rPr>
        <w:rFonts w:ascii="Verdana" w:hAnsi="Verdana" w:cs="Arial"/>
        <w:color w:val="1A1818" w:themeColor="accent1"/>
        <w:sz w:val="18"/>
        <w:szCs w:val="18"/>
      </w:rPr>
      <w:t>21</w:t>
    </w:r>
    <w:r w:rsidRPr="000B34F9">
      <w:rPr>
        <w:rFonts w:ascii="Verdana" w:hAnsi="Verdana" w:cs="Arial"/>
        <w:color w:val="1A1818" w:themeColor="accent1"/>
        <w:sz w:val="18"/>
        <w:szCs w:val="18"/>
      </w:rPr>
      <w:t xml:space="preserve"> de </w:t>
    </w:r>
    <w:r w:rsidR="000B34F9">
      <w:rPr>
        <w:rFonts w:ascii="Verdana" w:hAnsi="Verdana" w:cs="Arial"/>
        <w:color w:val="1A1818" w:themeColor="accent1"/>
        <w:sz w:val="18"/>
        <w:szCs w:val="18"/>
      </w:rPr>
      <w:t>agosto</w:t>
    </w:r>
    <w:r w:rsidRPr="000B34F9">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7BB9ED" w14:textId="77777777" w:rsidR="00C109FF" w:rsidRDefault="00C109FF" w:rsidP="004F2C35">
      <w:r>
        <w:separator/>
      </w:r>
    </w:p>
  </w:footnote>
  <w:footnote w:type="continuationSeparator" w:id="0">
    <w:p w14:paraId="73A9059C" w14:textId="77777777" w:rsidR="00C109FF" w:rsidRDefault="00C109FF" w:rsidP="004F2C35">
      <w:r>
        <w:continuationSeparator/>
      </w:r>
    </w:p>
  </w:footnote>
  <w:footnote w:type="continuationNotice" w:id="1">
    <w:p w14:paraId="2E8A2CE3" w14:textId="77777777" w:rsidR="00C109FF" w:rsidRDefault="00C109FF"/>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09A066" w14:textId="45529B4F" w:rsidR="007B3A97" w:rsidRPr="007B3A97" w:rsidRDefault="007B3A97" w:rsidP="007B3A97">
    <w:pPr>
      <w:pStyle w:val="Encabezado"/>
      <w:jc w:val="center"/>
      <w:rPr>
        <w:rFonts w:ascii="Verdana" w:hAnsi="Verdana" w:cs="Arial"/>
        <w:b/>
        <w:bCs/>
        <w:sz w:val="22"/>
        <w:szCs w:val="22"/>
      </w:rPr>
    </w:pPr>
    <w:r w:rsidRPr="007B3A97">
      <w:rPr>
        <w:rFonts w:ascii="Verdana" w:hAnsi="Verdana" w:cs="Arial"/>
        <w:b/>
        <w:bCs/>
        <w:sz w:val="22"/>
        <w:szCs w:val="22"/>
      </w:rPr>
      <w:t>ANEXO 5 – GLOSARIO</w:t>
    </w:r>
  </w:p>
  <w:p w14:paraId="67993770" w14:textId="7C5B334E" w:rsidR="000B19F2" w:rsidRDefault="007B3A97" w:rsidP="007B3A97">
    <w:pPr>
      <w:pStyle w:val="Encabezado"/>
      <w:jc w:val="center"/>
      <w:rPr>
        <w:rFonts w:ascii="Verdana" w:hAnsi="Verdana" w:cs="Arial"/>
        <w:b/>
        <w:bCs/>
        <w:sz w:val="22"/>
        <w:szCs w:val="22"/>
      </w:rPr>
    </w:pPr>
    <w:r w:rsidRPr="007B3A97">
      <w:rPr>
        <w:rFonts w:ascii="Verdana" w:hAnsi="Verdana" w:cs="Arial"/>
        <w:b/>
        <w:bCs/>
        <w:sz w:val="22"/>
        <w:szCs w:val="22"/>
      </w:rPr>
      <w:t>LICITACIÓN DE OBRA PÚBLICA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abstractNumId w:val="2"/>
  </w:num>
  <w:num w:numId="2">
    <w:abstractNumId w:val="5"/>
  </w:num>
  <w:num w:numId="3">
    <w:abstractNumId w:val="11"/>
  </w:num>
  <w:num w:numId="4">
    <w:abstractNumId w:val="7"/>
  </w:num>
  <w:num w:numId="5">
    <w:abstractNumId w:val="15"/>
  </w:num>
  <w:num w:numId="6">
    <w:abstractNumId w:val="9"/>
  </w:num>
  <w:num w:numId="7">
    <w:abstractNumId w:val="12"/>
  </w:num>
  <w:num w:numId="8">
    <w:abstractNumId w:val="0"/>
  </w:num>
  <w:num w:numId="9">
    <w:abstractNumId w:val="8"/>
  </w:num>
  <w:num w:numId="10">
    <w:abstractNumId w:val="13"/>
  </w:num>
  <w:num w:numId="11">
    <w:abstractNumId w:val="14"/>
  </w:num>
  <w:num w:numId="12">
    <w:abstractNumId w:val="4"/>
  </w:num>
  <w:num w:numId="13">
    <w:abstractNumId w:val="3"/>
  </w:num>
  <w:num w:numId="14">
    <w:abstractNumId w:val="10"/>
  </w:num>
  <w:num w:numId="15">
    <w:abstractNumId w:val="1"/>
  </w:num>
  <w:num w:numId="16">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4F9"/>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874D1"/>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20D4"/>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67D39"/>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09FF"/>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customStyle="1" w:styleId="Mention">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customStyle="1" w:styleId="UnresolvedMention">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6A1E41CF-47DC-4697-B85D-62A50A2A1B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E14103B-2093-44FF-AB60-9ACC2D579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69</Pages>
  <Words>24497</Words>
  <Characters>134739</Characters>
  <Application>Microsoft Office Word</Application>
  <DocSecurity>0</DocSecurity>
  <Lines>1122</Lines>
  <Paragraphs>317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USUARIO1</cp:lastModifiedBy>
  <cp:revision>2</cp:revision>
  <cp:lastPrinted>2022-06-28T19:25:00Z</cp:lastPrinted>
  <dcterms:created xsi:type="dcterms:W3CDTF">2026-03-17T21:03:00Z</dcterms:created>
  <dcterms:modified xsi:type="dcterms:W3CDTF">2026-03-17T21:03:00Z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