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D7871" w14:textId="77777777" w:rsidR="00D71F74" w:rsidRPr="00920440" w:rsidRDefault="00D71F74" w:rsidP="00D71F74">
      <w:pPr>
        <w:pStyle w:val="Prrafodelista"/>
        <w:numPr>
          <w:ilvl w:val="0"/>
          <w:numId w:val="2"/>
        </w:numPr>
        <w:spacing w:after="0" w:line="240" w:lineRule="auto"/>
        <w:rPr>
          <w:rFonts w:asciiTheme="majorHAnsi" w:hAnsiTheme="majorHAnsi" w:cstheme="majorHAnsi"/>
          <w:b/>
          <w:lang w:val="es-ES_tradnl"/>
        </w:rPr>
      </w:pPr>
      <w:r w:rsidRPr="00920440">
        <w:rPr>
          <w:rFonts w:asciiTheme="majorHAnsi" w:hAnsiTheme="majorHAnsi" w:cstheme="majorHAnsi"/>
          <w:b/>
          <w:lang w:val="es-ES_tradnl"/>
        </w:rPr>
        <w:t>OBJETO:</w:t>
      </w:r>
    </w:p>
    <w:p w14:paraId="3735EDAD" w14:textId="77777777" w:rsidR="00835D99" w:rsidRPr="00920440" w:rsidRDefault="00835D99" w:rsidP="0097565D">
      <w:pPr>
        <w:ind w:right="851"/>
        <w:rPr>
          <w:rFonts w:asciiTheme="majorHAnsi" w:hAnsiTheme="majorHAnsi" w:cstheme="majorHAnsi"/>
          <w:b/>
          <w:lang w:val="es-ES_tradnl"/>
        </w:rPr>
      </w:pPr>
    </w:p>
    <w:p w14:paraId="43F72196" w14:textId="356859D7" w:rsidR="00F70F86" w:rsidRDefault="00BD2B9B" w:rsidP="00D910A2">
      <w:pPr>
        <w:ind w:right="36"/>
        <w:jc w:val="both"/>
        <w:rPr>
          <w:rFonts w:asciiTheme="majorHAnsi" w:eastAsia="Calibri" w:hAnsiTheme="majorHAnsi" w:cstheme="majorHAnsi"/>
          <w:sz w:val="22"/>
          <w:szCs w:val="22"/>
          <w:lang w:eastAsia="en-US"/>
        </w:rPr>
      </w:pPr>
      <w:r w:rsidRPr="00BD2B9B">
        <w:rPr>
          <w:rFonts w:asciiTheme="majorHAnsi" w:eastAsia="Calibri" w:hAnsiTheme="majorHAnsi" w:cstheme="majorHAnsi"/>
          <w:sz w:val="22"/>
          <w:szCs w:val="22"/>
          <w:lang w:eastAsia="en-US"/>
        </w:rPr>
        <w:t>Contratar la prestación de los servicios de salud en el área de odontología integral, sus especialidades y demás servicios ambulatorios de salud oral, requeridos dentro de la atención de los beneficiarios del Servicio Médico Asistencial de la Regional Meta</w:t>
      </w:r>
    </w:p>
    <w:p w14:paraId="2DB6AE87" w14:textId="77777777" w:rsidR="00BD2B9B" w:rsidRPr="00920440" w:rsidRDefault="00BD2B9B" w:rsidP="00D910A2">
      <w:pPr>
        <w:ind w:right="36"/>
        <w:jc w:val="both"/>
        <w:rPr>
          <w:rFonts w:asciiTheme="majorHAnsi" w:eastAsia="Calibri" w:hAnsiTheme="majorHAnsi" w:cstheme="majorHAnsi"/>
          <w:sz w:val="22"/>
          <w:szCs w:val="22"/>
          <w:lang w:val="es-ES_tradnl" w:eastAsia="en-US"/>
        </w:rPr>
      </w:pPr>
    </w:p>
    <w:p w14:paraId="5CFC56DB" w14:textId="5F249C39" w:rsidR="00D71F74" w:rsidRPr="00920440" w:rsidRDefault="00D71F74" w:rsidP="00D71F74">
      <w:pPr>
        <w:pStyle w:val="Prrafodelista"/>
        <w:numPr>
          <w:ilvl w:val="0"/>
          <w:numId w:val="2"/>
        </w:numPr>
        <w:spacing w:after="0" w:line="240" w:lineRule="auto"/>
        <w:rPr>
          <w:rFonts w:asciiTheme="majorHAnsi" w:hAnsiTheme="majorHAnsi" w:cstheme="majorHAnsi"/>
          <w:b/>
          <w:lang w:val="es-ES_tradnl"/>
        </w:rPr>
      </w:pPr>
      <w:r w:rsidRPr="00920440">
        <w:rPr>
          <w:rFonts w:asciiTheme="majorHAnsi" w:hAnsiTheme="majorHAnsi" w:cstheme="majorHAnsi"/>
          <w:b/>
          <w:bCs/>
          <w:lang w:val="es-ES_tradnl"/>
        </w:rPr>
        <w:t>CLASIFICACIÓN UNSPSC:</w:t>
      </w:r>
    </w:p>
    <w:p w14:paraId="579D00ED" w14:textId="77777777" w:rsidR="00D71F74" w:rsidRPr="00920440" w:rsidRDefault="00D71F74" w:rsidP="004E52C7">
      <w:pPr>
        <w:pStyle w:val="Prrafodelista"/>
        <w:spacing w:after="0" w:line="240" w:lineRule="auto"/>
        <w:ind w:left="0"/>
        <w:jc w:val="both"/>
        <w:rPr>
          <w:rFonts w:asciiTheme="majorHAnsi" w:hAnsiTheme="majorHAnsi" w:cstheme="majorHAnsi"/>
          <w:lang w:val="es-ES_tradnl"/>
        </w:rPr>
      </w:pPr>
    </w:p>
    <w:p w14:paraId="3D39571E" w14:textId="77777777" w:rsidR="00D71F74" w:rsidRPr="00920440" w:rsidRDefault="00D71F74" w:rsidP="004E52C7">
      <w:pPr>
        <w:pStyle w:val="Prrafodelista"/>
        <w:spacing w:after="0" w:line="240" w:lineRule="auto"/>
        <w:ind w:left="0"/>
        <w:jc w:val="both"/>
        <w:rPr>
          <w:rFonts w:asciiTheme="majorHAnsi" w:hAnsiTheme="majorHAnsi" w:cstheme="majorHAnsi"/>
          <w:lang w:val="es-ES_tradnl"/>
        </w:rPr>
      </w:pPr>
      <w:r w:rsidRPr="00920440">
        <w:rPr>
          <w:rFonts w:asciiTheme="majorHAnsi" w:hAnsiTheme="majorHAnsi" w:cstheme="majorHAnsi"/>
          <w:lang w:val="es-ES_tradnl"/>
        </w:rPr>
        <w:t>El objeto contractual se clasifica en el siguiente código del Clasificador de Bienes y Servicios, así:</w:t>
      </w:r>
    </w:p>
    <w:p w14:paraId="5BCFFDA0" w14:textId="77777777" w:rsidR="00D71F74" w:rsidRPr="00920440" w:rsidRDefault="00D71F74" w:rsidP="004E52C7">
      <w:pPr>
        <w:pStyle w:val="Prrafodelista"/>
        <w:spacing w:after="0" w:line="240" w:lineRule="auto"/>
        <w:ind w:left="0"/>
        <w:jc w:val="both"/>
        <w:rPr>
          <w:rFonts w:asciiTheme="majorHAnsi" w:hAnsiTheme="majorHAnsi" w:cstheme="majorHAnsi"/>
          <w:lang w:val="es-ES_tradn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2"/>
        <w:gridCol w:w="1093"/>
        <w:gridCol w:w="2759"/>
        <w:gridCol w:w="1350"/>
        <w:gridCol w:w="1079"/>
        <w:gridCol w:w="1837"/>
      </w:tblGrid>
      <w:tr w:rsidR="00A14D7B" w14:paraId="3085CC64" w14:textId="77777777" w:rsidTr="00F70F86">
        <w:trPr>
          <w:trHeight w:val="438"/>
        </w:trPr>
        <w:tc>
          <w:tcPr>
            <w:tcW w:w="608" w:type="pct"/>
            <w:shd w:val="clear" w:color="auto" w:fill="D0CECE"/>
          </w:tcPr>
          <w:p w14:paraId="3BEBB781" w14:textId="77777777" w:rsidR="00A14D7B" w:rsidRDefault="00A14D7B" w:rsidP="00EC5B3C">
            <w:pPr>
              <w:pStyle w:val="TableParagraph"/>
              <w:spacing w:line="220" w:lineRule="atLeast"/>
              <w:ind w:left="208" w:right="177" w:hanging="9"/>
              <w:rPr>
                <w:b/>
                <w:sz w:val="18"/>
              </w:rPr>
            </w:pPr>
            <w:r>
              <w:rPr>
                <w:b/>
                <w:spacing w:val="-4"/>
                <w:sz w:val="18"/>
              </w:rPr>
              <w:t>CODIGO</w:t>
            </w:r>
            <w:r>
              <w:rPr>
                <w:b/>
                <w:sz w:val="18"/>
              </w:rPr>
              <w:t xml:space="preserve"> </w:t>
            </w:r>
            <w:r>
              <w:rPr>
                <w:b/>
                <w:spacing w:val="-2"/>
                <w:sz w:val="18"/>
              </w:rPr>
              <w:t>UNSPSC</w:t>
            </w:r>
          </w:p>
        </w:tc>
        <w:tc>
          <w:tcPr>
            <w:tcW w:w="604" w:type="pct"/>
            <w:shd w:val="clear" w:color="auto" w:fill="D0CECE"/>
          </w:tcPr>
          <w:p w14:paraId="5CEBA6B4" w14:textId="77777777" w:rsidR="00A14D7B" w:rsidRDefault="00A14D7B" w:rsidP="00EC5B3C">
            <w:pPr>
              <w:pStyle w:val="TableParagraph"/>
              <w:spacing w:before="110"/>
              <w:ind w:left="326"/>
              <w:rPr>
                <w:b/>
                <w:sz w:val="18"/>
              </w:rPr>
            </w:pPr>
            <w:r>
              <w:rPr>
                <w:b/>
                <w:spacing w:val="-2"/>
                <w:sz w:val="18"/>
              </w:rPr>
              <w:t>GRUPOS</w:t>
            </w:r>
          </w:p>
        </w:tc>
        <w:tc>
          <w:tcPr>
            <w:tcW w:w="1637" w:type="pct"/>
            <w:shd w:val="clear" w:color="auto" w:fill="D0CECE"/>
          </w:tcPr>
          <w:p w14:paraId="5767353C" w14:textId="77777777" w:rsidR="00A14D7B" w:rsidRDefault="00A14D7B" w:rsidP="00EC5B3C">
            <w:pPr>
              <w:pStyle w:val="TableParagraph"/>
              <w:spacing w:before="110"/>
              <w:ind w:left="134"/>
              <w:jc w:val="center"/>
              <w:rPr>
                <w:b/>
                <w:sz w:val="18"/>
              </w:rPr>
            </w:pPr>
            <w:r>
              <w:rPr>
                <w:b/>
                <w:spacing w:val="-2"/>
                <w:sz w:val="18"/>
              </w:rPr>
              <w:t>SEGMENTOS</w:t>
            </w:r>
          </w:p>
        </w:tc>
        <w:tc>
          <w:tcPr>
            <w:tcW w:w="783" w:type="pct"/>
            <w:shd w:val="clear" w:color="auto" w:fill="D0CECE"/>
          </w:tcPr>
          <w:p w14:paraId="2D722394" w14:textId="77777777" w:rsidR="00A14D7B" w:rsidRDefault="00A14D7B" w:rsidP="00EC5B3C">
            <w:pPr>
              <w:pStyle w:val="TableParagraph"/>
              <w:spacing w:before="110"/>
              <w:ind w:left="432"/>
              <w:rPr>
                <w:b/>
                <w:sz w:val="18"/>
              </w:rPr>
            </w:pPr>
            <w:r>
              <w:rPr>
                <w:b/>
                <w:spacing w:val="-2"/>
                <w:sz w:val="18"/>
              </w:rPr>
              <w:t>FAMILIAS</w:t>
            </w:r>
          </w:p>
        </w:tc>
        <w:tc>
          <w:tcPr>
            <w:tcW w:w="636" w:type="pct"/>
            <w:shd w:val="clear" w:color="auto" w:fill="D0CECE"/>
          </w:tcPr>
          <w:p w14:paraId="0ECBA402" w14:textId="77777777" w:rsidR="00A14D7B" w:rsidRDefault="00A14D7B" w:rsidP="00EC5B3C">
            <w:pPr>
              <w:pStyle w:val="TableParagraph"/>
              <w:spacing w:before="110"/>
              <w:ind w:left="303"/>
              <w:rPr>
                <w:b/>
                <w:sz w:val="18"/>
              </w:rPr>
            </w:pPr>
            <w:r>
              <w:rPr>
                <w:b/>
                <w:spacing w:val="-2"/>
                <w:sz w:val="18"/>
              </w:rPr>
              <w:t>CLASES</w:t>
            </w:r>
          </w:p>
        </w:tc>
        <w:tc>
          <w:tcPr>
            <w:tcW w:w="732" w:type="pct"/>
            <w:shd w:val="clear" w:color="auto" w:fill="D0CECE"/>
          </w:tcPr>
          <w:p w14:paraId="355F9FE4" w14:textId="77777777" w:rsidR="00A14D7B" w:rsidRDefault="00A14D7B" w:rsidP="00EC5B3C">
            <w:pPr>
              <w:pStyle w:val="TableParagraph"/>
              <w:spacing w:before="110"/>
              <w:ind w:left="285"/>
              <w:rPr>
                <w:b/>
                <w:sz w:val="18"/>
              </w:rPr>
            </w:pPr>
            <w:r>
              <w:rPr>
                <w:b/>
                <w:spacing w:val="-2"/>
                <w:sz w:val="18"/>
              </w:rPr>
              <w:t>PRODUCTO</w:t>
            </w:r>
          </w:p>
        </w:tc>
      </w:tr>
      <w:tr w:rsidR="00525E0D" w14:paraId="659752EC" w14:textId="77777777" w:rsidTr="00F70F86">
        <w:trPr>
          <w:trHeight w:val="658"/>
        </w:trPr>
        <w:tc>
          <w:tcPr>
            <w:tcW w:w="608" w:type="pct"/>
          </w:tcPr>
          <w:p w14:paraId="17FED4A6" w14:textId="155BCE79" w:rsidR="00525E0D" w:rsidRDefault="00525E0D" w:rsidP="00525E0D">
            <w:pPr>
              <w:pStyle w:val="TableParagraph"/>
              <w:spacing w:before="103"/>
              <w:ind w:left="63"/>
              <w:rPr>
                <w:sz w:val="18"/>
              </w:rPr>
            </w:pPr>
            <w:r w:rsidRPr="00F70F86">
              <w:rPr>
                <w:spacing w:val="-2"/>
                <w:sz w:val="18"/>
              </w:rPr>
              <w:t>8512</w:t>
            </w:r>
            <w:r>
              <w:rPr>
                <w:spacing w:val="-2"/>
                <w:sz w:val="18"/>
              </w:rPr>
              <w:t>2001</w:t>
            </w:r>
          </w:p>
        </w:tc>
        <w:tc>
          <w:tcPr>
            <w:tcW w:w="604" w:type="pct"/>
          </w:tcPr>
          <w:p w14:paraId="2630A040" w14:textId="44672434" w:rsidR="00525E0D" w:rsidRDefault="00525E0D" w:rsidP="00525E0D">
            <w:pPr>
              <w:pStyle w:val="TableParagraph"/>
              <w:spacing w:before="109"/>
              <w:ind w:left="314" w:right="28" w:hanging="262"/>
              <w:rPr>
                <w:sz w:val="18"/>
              </w:rPr>
            </w:pPr>
            <w:r>
              <w:rPr>
                <w:sz w:val="18"/>
              </w:rPr>
              <w:t>(F) Servicios</w:t>
            </w:r>
          </w:p>
        </w:tc>
        <w:tc>
          <w:tcPr>
            <w:tcW w:w="1637" w:type="pct"/>
          </w:tcPr>
          <w:p w14:paraId="05571E8E" w14:textId="011504E9" w:rsidR="00525E0D" w:rsidRPr="00411589" w:rsidRDefault="00525E0D" w:rsidP="00525E0D">
            <w:pPr>
              <w:pStyle w:val="TableParagraph"/>
              <w:spacing w:line="220" w:lineRule="atLeast"/>
              <w:ind w:left="196" w:right="61" w:firstLine="2"/>
              <w:jc w:val="center"/>
              <w:rPr>
                <w:sz w:val="18"/>
                <w:lang w:val="es-CO"/>
              </w:rPr>
            </w:pPr>
            <w:r>
              <w:rPr>
                <w:sz w:val="18"/>
                <w:lang w:val="es-CO"/>
              </w:rPr>
              <w:t xml:space="preserve">85 </w:t>
            </w:r>
            <w:r w:rsidRPr="006269DC">
              <w:rPr>
                <w:sz w:val="18"/>
                <w:lang w:val="es-CO"/>
              </w:rPr>
              <w:t>servicios de Salud</w:t>
            </w:r>
          </w:p>
        </w:tc>
        <w:tc>
          <w:tcPr>
            <w:tcW w:w="783" w:type="pct"/>
          </w:tcPr>
          <w:p w14:paraId="6510C1AC" w14:textId="37649C9E" w:rsidR="00525E0D" w:rsidRDefault="00525E0D" w:rsidP="00525E0D">
            <w:pPr>
              <w:pStyle w:val="TableParagraph"/>
              <w:spacing w:line="220" w:lineRule="atLeast"/>
              <w:ind w:left="71" w:right="52" w:hanging="1"/>
              <w:jc w:val="center"/>
              <w:rPr>
                <w:sz w:val="18"/>
              </w:rPr>
            </w:pPr>
            <w:r>
              <w:rPr>
                <w:sz w:val="18"/>
              </w:rPr>
              <w:t xml:space="preserve">8512 </w:t>
            </w:r>
            <w:r w:rsidRPr="00625B47">
              <w:rPr>
                <w:sz w:val="18"/>
                <w:lang w:val="es-CO"/>
              </w:rPr>
              <w:t>Práctica médica</w:t>
            </w:r>
          </w:p>
        </w:tc>
        <w:tc>
          <w:tcPr>
            <w:tcW w:w="636" w:type="pct"/>
          </w:tcPr>
          <w:p w14:paraId="70F52C3A" w14:textId="39565D5C" w:rsidR="00525E0D" w:rsidRPr="00BC2CBD" w:rsidRDefault="00525E0D" w:rsidP="00525E0D">
            <w:pPr>
              <w:pStyle w:val="TableParagraph"/>
              <w:spacing w:line="220" w:lineRule="atLeast"/>
              <w:ind w:left="216" w:firstLine="58"/>
              <w:rPr>
                <w:sz w:val="18"/>
                <w:lang w:val="es-CO"/>
              </w:rPr>
            </w:pPr>
            <w:r>
              <w:rPr>
                <w:sz w:val="18"/>
                <w:lang w:val="es-CO"/>
              </w:rPr>
              <w:t xml:space="preserve">851220 </w:t>
            </w:r>
            <w:r w:rsidRPr="00525E0D">
              <w:rPr>
                <w:sz w:val="18"/>
                <w:lang w:val="es-CO"/>
              </w:rPr>
              <w:t>servicios dentales</w:t>
            </w:r>
          </w:p>
        </w:tc>
        <w:tc>
          <w:tcPr>
            <w:tcW w:w="732" w:type="pct"/>
          </w:tcPr>
          <w:p w14:paraId="30346870" w14:textId="266F335F" w:rsidR="00525E0D" w:rsidRPr="00BC2CBD" w:rsidRDefault="00525E0D" w:rsidP="00525E0D">
            <w:pPr>
              <w:pStyle w:val="TableParagraph"/>
              <w:spacing w:line="220" w:lineRule="atLeast"/>
              <w:ind w:left="279" w:right="264"/>
              <w:rPr>
                <w:sz w:val="18"/>
                <w:lang w:val="es-CO"/>
              </w:rPr>
            </w:pPr>
            <w:r w:rsidRPr="00F70F86">
              <w:rPr>
                <w:spacing w:val="-2"/>
                <w:sz w:val="18"/>
              </w:rPr>
              <w:t>8512</w:t>
            </w:r>
            <w:r>
              <w:rPr>
                <w:spacing w:val="-2"/>
                <w:sz w:val="18"/>
              </w:rPr>
              <w:t>2001</w:t>
            </w:r>
            <w:r w:rsidR="002C5563">
              <w:rPr>
                <w:spacing w:val="-2"/>
                <w:sz w:val="18"/>
              </w:rPr>
              <w:t xml:space="preserve"> </w:t>
            </w:r>
            <w:r w:rsidR="002C5563" w:rsidRPr="002C5563">
              <w:rPr>
                <w:spacing w:val="-2"/>
                <w:sz w:val="18"/>
                <w:lang w:val="es-CO"/>
              </w:rPr>
              <w:t>Servicios de odontólogos</w:t>
            </w:r>
          </w:p>
        </w:tc>
      </w:tr>
      <w:tr w:rsidR="00525E0D" w14:paraId="27E2359F" w14:textId="77777777" w:rsidTr="00F70F86">
        <w:trPr>
          <w:trHeight w:val="658"/>
        </w:trPr>
        <w:tc>
          <w:tcPr>
            <w:tcW w:w="608" w:type="pct"/>
          </w:tcPr>
          <w:p w14:paraId="2BE0C5B7" w14:textId="6DED47B0" w:rsidR="00525E0D" w:rsidRPr="00F70F86" w:rsidRDefault="00525E0D" w:rsidP="00525E0D">
            <w:pPr>
              <w:pStyle w:val="TableParagraph"/>
              <w:spacing w:before="103"/>
              <w:ind w:left="63"/>
              <w:rPr>
                <w:spacing w:val="-2"/>
                <w:sz w:val="18"/>
              </w:rPr>
            </w:pPr>
            <w:r w:rsidRPr="00E5654C">
              <w:rPr>
                <w:spacing w:val="-2"/>
                <w:sz w:val="18"/>
                <w:lang w:val="es-CO"/>
              </w:rPr>
              <w:t>851</w:t>
            </w:r>
            <w:r>
              <w:rPr>
                <w:spacing w:val="-2"/>
                <w:sz w:val="18"/>
                <w:lang w:val="es-CO"/>
              </w:rPr>
              <w:t>22004</w:t>
            </w:r>
          </w:p>
        </w:tc>
        <w:tc>
          <w:tcPr>
            <w:tcW w:w="604" w:type="pct"/>
          </w:tcPr>
          <w:p w14:paraId="690DD059" w14:textId="589CAF0D" w:rsidR="00525E0D" w:rsidRDefault="00525E0D" w:rsidP="00525E0D">
            <w:pPr>
              <w:pStyle w:val="TableParagraph"/>
              <w:spacing w:before="109"/>
              <w:ind w:left="314" w:right="28" w:hanging="262"/>
              <w:rPr>
                <w:spacing w:val="-2"/>
                <w:sz w:val="18"/>
              </w:rPr>
            </w:pPr>
            <w:r>
              <w:rPr>
                <w:sz w:val="18"/>
              </w:rPr>
              <w:t>(F) Servicios</w:t>
            </w:r>
          </w:p>
        </w:tc>
        <w:tc>
          <w:tcPr>
            <w:tcW w:w="1637" w:type="pct"/>
          </w:tcPr>
          <w:p w14:paraId="51FEE27D" w14:textId="0F30736B" w:rsidR="00525E0D" w:rsidRDefault="00525E0D" w:rsidP="00525E0D">
            <w:pPr>
              <w:pStyle w:val="TableParagraph"/>
              <w:ind w:left="134" w:right="1"/>
              <w:jc w:val="center"/>
              <w:rPr>
                <w:spacing w:val="-5"/>
                <w:sz w:val="18"/>
              </w:rPr>
            </w:pPr>
            <w:r>
              <w:rPr>
                <w:sz w:val="18"/>
                <w:lang w:val="es-CO"/>
              </w:rPr>
              <w:t xml:space="preserve">85 </w:t>
            </w:r>
            <w:r w:rsidRPr="006269DC">
              <w:rPr>
                <w:sz w:val="18"/>
                <w:lang w:val="es-CO"/>
              </w:rPr>
              <w:t>servicios de Salud</w:t>
            </w:r>
          </w:p>
        </w:tc>
        <w:tc>
          <w:tcPr>
            <w:tcW w:w="783" w:type="pct"/>
          </w:tcPr>
          <w:p w14:paraId="3A43AE6D" w14:textId="5AC0868B" w:rsidR="00525E0D" w:rsidRDefault="00525E0D" w:rsidP="00525E0D">
            <w:pPr>
              <w:pStyle w:val="TableParagraph"/>
              <w:ind w:left="16" w:right="2"/>
              <w:jc w:val="center"/>
              <w:rPr>
                <w:spacing w:val="-4"/>
                <w:sz w:val="18"/>
              </w:rPr>
            </w:pPr>
            <w:r>
              <w:rPr>
                <w:sz w:val="18"/>
              </w:rPr>
              <w:t xml:space="preserve">8512 </w:t>
            </w:r>
            <w:r w:rsidRPr="00625B47">
              <w:rPr>
                <w:sz w:val="18"/>
                <w:lang w:val="es-CO"/>
              </w:rPr>
              <w:t>Práctica médica</w:t>
            </w:r>
          </w:p>
        </w:tc>
        <w:tc>
          <w:tcPr>
            <w:tcW w:w="636" w:type="pct"/>
          </w:tcPr>
          <w:p w14:paraId="51875D58" w14:textId="0E82E526" w:rsidR="00525E0D" w:rsidRPr="00862049" w:rsidRDefault="00525E0D" w:rsidP="00525E0D">
            <w:pPr>
              <w:pStyle w:val="TableParagraph"/>
              <w:ind w:left="299"/>
              <w:rPr>
                <w:spacing w:val="-2"/>
                <w:sz w:val="18"/>
                <w:lang w:val="es-CO"/>
              </w:rPr>
            </w:pPr>
            <w:r>
              <w:rPr>
                <w:sz w:val="18"/>
                <w:lang w:val="es-CO"/>
              </w:rPr>
              <w:t xml:space="preserve">851220 </w:t>
            </w:r>
            <w:r w:rsidRPr="00525E0D">
              <w:rPr>
                <w:sz w:val="18"/>
                <w:lang w:val="es-CO"/>
              </w:rPr>
              <w:t>servicios dentales</w:t>
            </w:r>
          </w:p>
        </w:tc>
        <w:tc>
          <w:tcPr>
            <w:tcW w:w="732" w:type="pct"/>
          </w:tcPr>
          <w:p w14:paraId="5114D953" w14:textId="775B4B24" w:rsidR="00525E0D" w:rsidRPr="00BC2CBD" w:rsidRDefault="00525E0D" w:rsidP="00525E0D">
            <w:pPr>
              <w:pStyle w:val="TableParagraph"/>
              <w:ind w:left="347"/>
              <w:rPr>
                <w:spacing w:val="-2"/>
                <w:sz w:val="18"/>
              </w:rPr>
            </w:pPr>
            <w:r w:rsidRPr="00E5654C">
              <w:rPr>
                <w:spacing w:val="-2"/>
                <w:sz w:val="18"/>
                <w:lang w:val="es-CO"/>
              </w:rPr>
              <w:t>851</w:t>
            </w:r>
            <w:r>
              <w:rPr>
                <w:spacing w:val="-2"/>
                <w:sz w:val="18"/>
                <w:lang w:val="es-CO"/>
              </w:rPr>
              <w:t>22004</w:t>
            </w:r>
            <w:r w:rsidR="002C5563">
              <w:rPr>
                <w:spacing w:val="-2"/>
                <w:sz w:val="18"/>
                <w:lang w:val="es-CO"/>
              </w:rPr>
              <w:t xml:space="preserve"> </w:t>
            </w:r>
            <w:r w:rsidR="002C5563" w:rsidRPr="002C5563">
              <w:rPr>
                <w:spacing w:val="-2"/>
                <w:sz w:val="18"/>
                <w:lang w:val="es-CO"/>
              </w:rPr>
              <w:t>servicios de cirujanos orales</w:t>
            </w:r>
          </w:p>
        </w:tc>
      </w:tr>
      <w:tr w:rsidR="00525E0D" w14:paraId="36377252" w14:textId="77777777" w:rsidTr="00F70F86">
        <w:trPr>
          <w:trHeight w:val="658"/>
        </w:trPr>
        <w:tc>
          <w:tcPr>
            <w:tcW w:w="608" w:type="pct"/>
          </w:tcPr>
          <w:p w14:paraId="430F8618" w14:textId="0CFDDDEA" w:rsidR="00525E0D" w:rsidRPr="00F70F86" w:rsidRDefault="00525E0D" w:rsidP="00525E0D">
            <w:pPr>
              <w:pStyle w:val="TableParagraph"/>
              <w:spacing w:before="103"/>
              <w:ind w:left="63"/>
              <w:rPr>
                <w:spacing w:val="-2"/>
                <w:sz w:val="18"/>
              </w:rPr>
            </w:pPr>
            <w:r>
              <w:rPr>
                <w:spacing w:val="-2"/>
                <w:sz w:val="18"/>
                <w:lang w:val="es-CO"/>
              </w:rPr>
              <w:t>85122005</w:t>
            </w:r>
            <w:r w:rsidRPr="00E5654C">
              <w:rPr>
                <w:spacing w:val="-2"/>
                <w:sz w:val="18"/>
                <w:lang w:val="es-CO"/>
              </w:rPr>
              <w:t> </w:t>
            </w:r>
          </w:p>
        </w:tc>
        <w:tc>
          <w:tcPr>
            <w:tcW w:w="604" w:type="pct"/>
          </w:tcPr>
          <w:p w14:paraId="45981099" w14:textId="0DF4652F" w:rsidR="00525E0D" w:rsidRDefault="00525E0D" w:rsidP="00525E0D">
            <w:pPr>
              <w:pStyle w:val="TableParagraph"/>
              <w:spacing w:before="109"/>
              <w:ind w:left="314" w:right="28" w:hanging="262"/>
              <w:rPr>
                <w:spacing w:val="-2"/>
                <w:sz w:val="18"/>
              </w:rPr>
            </w:pPr>
            <w:r>
              <w:rPr>
                <w:sz w:val="18"/>
              </w:rPr>
              <w:t>(F) Servicios</w:t>
            </w:r>
          </w:p>
        </w:tc>
        <w:tc>
          <w:tcPr>
            <w:tcW w:w="1637" w:type="pct"/>
          </w:tcPr>
          <w:p w14:paraId="75C19B2A" w14:textId="50C8849F" w:rsidR="00525E0D" w:rsidRPr="00673DEE" w:rsidRDefault="00525E0D" w:rsidP="00525E0D">
            <w:pPr>
              <w:pStyle w:val="TableParagraph"/>
              <w:ind w:left="134" w:right="1"/>
              <w:jc w:val="center"/>
              <w:rPr>
                <w:spacing w:val="-5"/>
                <w:sz w:val="18"/>
                <w:lang w:val="es-CO"/>
              </w:rPr>
            </w:pPr>
            <w:r>
              <w:rPr>
                <w:sz w:val="18"/>
                <w:lang w:val="es-CO"/>
              </w:rPr>
              <w:t xml:space="preserve">85 </w:t>
            </w:r>
            <w:r w:rsidRPr="006269DC">
              <w:rPr>
                <w:sz w:val="18"/>
                <w:lang w:val="es-CO"/>
              </w:rPr>
              <w:t>servicios de Salud</w:t>
            </w:r>
          </w:p>
        </w:tc>
        <w:tc>
          <w:tcPr>
            <w:tcW w:w="783" w:type="pct"/>
          </w:tcPr>
          <w:p w14:paraId="1F6A9571" w14:textId="26F67630" w:rsidR="00525E0D" w:rsidRPr="00673DEE" w:rsidRDefault="00525E0D" w:rsidP="00525E0D">
            <w:pPr>
              <w:pStyle w:val="TableParagraph"/>
              <w:ind w:left="16" w:right="2"/>
              <w:jc w:val="center"/>
              <w:rPr>
                <w:spacing w:val="-4"/>
                <w:sz w:val="18"/>
                <w:lang w:val="es-CO"/>
              </w:rPr>
            </w:pPr>
            <w:r>
              <w:rPr>
                <w:sz w:val="18"/>
              </w:rPr>
              <w:t xml:space="preserve">8512 </w:t>
            </w:r>
            <w:r w:rsidRPr="00625B47">
              <w:rPr>
                <w:sz w:val="18"/>
                <w:lang w:val="es-CO"/>
              </w:rPr>
              <w:t>Práctica médica</w:t>
            </w:r>
          </w:p>
        </w:tc>
        <w:tc>
          <w:tcPr>
            <w:tcW w:w="636" w:type="pct"/>
          </w:tcPr>
          <w:p w14:paraId="56F3DB34" w14:textId="115B5A25" w:rsidR="00525E0D" w:rsidRPr="00673DEE" w:rsidRDefault="00525E0D" w:rsidP="00525E0D">
            <w:pPr>
              <w:pStyle w:val="TableParagraph"/>
              <w:ind w:left="299"/>
              <w:rPr>
                <w:spacing w:val="-2"/>
                <w:sz w:val="18"/>
                <w:lang w:val="es-CO"/>
              </w:rPr>
            </w:pPr>
            <w:r>
              <w:rPr>
                <w:sz w:val="18"/>
                <w:lang w:val="es-CO"/>
              </w:rPr>
              <w:t xml:space="preserve">851220 </w:t>
            </w:r>
            <w:r w:rsidRPr="00525E0D">
              <w:rPr>
                <w:sz w:val="18"/>
                <w:lang w:val="es-CO"/>
              </w:rPr>
              <w:t>servicios dentales</w:t>
            </w:r>
          </w:p>
        </w:tc>
        <w:tc>
          <w:tcPr>
            <w:tcW w:w="732" w:type="pct"/>
          </w:tcPr>
          <w:p w14:paraId="642D3AD9" w14:textId="3C4761B2" w:rsidR="00525E0D" w:rsidRPr="00BC2CBD" w:rsidRDefault="00525E0D" w:rsidP="00525E0D">
            <w:pPr>
              <w:pStyle w:val="TableParagraph"/>
              <w:ind w:left="347"/>
              <w:rPr>
                <w:spacing w:val="-2"/>
                <w:sz w:val="18"/>
              </w:rPr>
            </w:pPr>
            <w:r>
              <w:rPr>
                <w:spacing w:val="-2"/>
                <w:sz w:val="18"/>
                <w:lang w:val="es-CO"/>
              </w:rPr>
              <w:t>85122005</w:t>
            </w:r>
            <w:r w:rsidRPr="00E5654C">
              <w:rPr>
                <w:spacing w:val="-2"/>
                <w:sz w:val="18"/>
                <w:lang w:val="es-CO"/>
              </w:rPr>
              <w:t> </w:t>
            </w:r>
            <w:r w:rsidR="002C5563" w:rsidRPr="002C5563">
              <w:rPr>
                <w:spacing w:val="-2"/>
                <w:sz w:val="18"/>
                <w:lang w:val="es-CO"/>
              </w:rPr>
              <w:t>servicios de ortodoncia</w:t>
            </w:r>
          </w:p>
        </w:tc>
      </w:tr>
      <w:tr w:rsidR="00273A69" w14:paraId="34A60022" w14:textId="77777777" w:rsidTr="00F70F86">
        <w:trPr>
          <w:trHeight w:val="658"/>
        </w:trPr>
        <w:tc>
          <w:tcPr>
            <w:tcW w:w="608" w:type="pct"/>
          </w:tcPr>
          <w:p w14:paraId="2F235194" w14:textId="77777777" w:rsidR="00273A69" w:rsidRDefault="00273A69" w:rsidP="00525E0D">
            <w:pPr>
              <w:pStyle w:val="TableParagraph"/>
              <w:spacing w:before="103"/>
              <w:ind w:left="63"/>
              <w:rPr>
                <w:spacing w:val="-2"/>
                <w:sz w:val="18"/>
              </w:rPr>
            </w:pPr>
          </w:p>
        </w:tc>
        <w:tc>
          <w:tcPr>
            <w:tcW w:w="604" w:type="pct"/>
          </w:tcPr>
          <w:p w14:paraId="78FD6B9C" w14:textId="77777777" w:rsidR="00273A69" w:rsidRDefault="00273A69" w:rsidP="00525E0D">
            <w:pPr>
              <w:pStyle w:val="TableParagraph"/>
              <w:spacing w:before="109"/>
              <w:ind w:left="314" w:right="28" w:hanging="262"/>
              <w:rPr>
                <w:sz w:val="18"/>
              </w:rPr>
            </w:pPr>
          </w:p>
        </w:tc>
        <w:tc>
          <w:tcPr>
            <w:tcW w:w="1637" w:type="pct"/>
          </w:tcPr>
          <w:p w14:paraId="2D163F80" w14:textId="77777777" w:rsidR="00273A69" w:rsidRDefault="00273A69" w:rsidP="00525E0D">
            <w:pPr>
              <w:pStyle w:val="TableParagraph"/>
              <w:ind w:left="134" w:right="1"/>
              <w:jc w:val="center"/>
              <w:rPr>
                <w:sz w:val="18"/>
              </w:rPr>
            </w:pPr>
          </w:p>
        </w:tc>
        <w:tc>
          <w:tcPr>
            <w:tcW w:w="783" w:type="pct"/>
          </w:tcPr>
          <w:p w14:paraId="498EE6D8" w14:textId="77777777" w:rsidR="00273A69" w:rsidRDefault="00273A69" w:rsidP="00525E0D">
            <w:pPr>
              <w:pStyle w:val="TableParagraph"/>
              <w:ind w:left="16" w:right="2"/>
              <w:jc w:val="center"/>
              <w:rPr>
                <w:sz w:val="18"/>
              </w:rPr>
            </w:pPr>
          </w:p>
        </w:tc>
        <w:tc>
          <w:tcPr>
            <w:tcW w:w="636" w:type="pct"/>
          </w:tcPr>
          <w:p w14:paraId="0A3AC20A" w14:textId="77777777" w:rsidR="00273A69" w:rsidRDefault="00273A69" w:rsidP="00525E0D">
            <w:pPr>
              <w:pStyle w:val="TableParagraph"/>
              <w:ind w:left="299"/>
              <w:rPr>
                <w:sz w:val="18"/>
              </w:rPr>
            </w:pPr>
          </w:p>
        </w:tc>
        <w:tc>
          <w:tcPr>
            <w:tcW w:w="732" w:type="pct"/>
          </w:tcPr>
          <w:p w14:paraId="0B32BDBF" w14:textId="77777777" w:rsidR="00273A69" w:rsidRDefault="00273A69" w:rsidP="00525E0D">
            <w:pPr>
              <w:pStyle w:val="TableParagraph"/>
              <w:ind w:left="347"/>
              <w:rPr>
                <w:spacing w:val="-2"/>
                <w:sz w:val="18"/>
              </w:rPr>
            </w:pPr>
          </w:p>
        </w:tc>
      </w:tr>
    </w:tbl>
    <w:p w14:paraId="5D1A0AA2" w14:textId="77777777" w:rsidR="00D71F74" w:rsidRPr="00857C91" w:rsidRDefault="00D71F74" w:rsidP="004E52C7">
      <w:pPr>
        <w:pStyle w:val="Prrafodelista"/>
        <w:spacing w:after="0" w:line="240" w:lineRule="auto"/>
        <w:ind w:left="0"/>
        <w:jc w:val="both"/>
        <w:rPr>
          <w:rFonts w:asciiTheme="majorHAnsi" w:hAnsiTheme="majorHAnsi" w:cstheme="majorHAnsi"/>
        </w:rPr>
      </w:pPr>
    </w:p>
    <w:p w14:paraId="28EC472D" w14:textId="77777777" w:rsidR="00992D09" w:rsidRPr="00920440" w:rsidRDefault="00992D09" w:rsidP="00992D09">
      <w:pPr>
        <w:pStyle w:val="Prrafodelista"/>
        <w:numPr>
          <w:ilvl w:val="0"/>
          <w:numId w:val="2"/>
        </w:numPr>
        <w:spacing w:after="0" w:line="240" w:lineRule="auto"/>
        <w:jc w:val="both"/>
        <w:rPr>
          <w:rFonts w:asciiTheme="majorHAnsi" w:eastAsiaTheme="minorEastAsia" w:hAnsiTheme="majorHAnsi" w:cstheme="majorHAnsi"/>
          <w:b/>
          <w:bCs/>
          <w:iCs/>
          <w:color w:val="000000"/>
          <w:sz w:val="24"/>
          <w:szCs w:val="24"/>
          <w:shd w:val="clear" w:color="auto" w:fill="FFFFFF"/>
          <w:lang w:val="es-ES_tradnl" w:eastAsia="es-ES_tradnl"/>
        </w:rPr>
      </w:pPr>
      <w:r w:rsidRPr="00920440">
        <w:rPr>
          <w:rFonts w:asciiTheme="majorHAnsi" w:eastAsiaTheme="minorEastAsia" w:hAnsiTheme="majorHAnsi" w:cstheme="majorHAnsi"/>
          <w:b/>
          <w:bCs/>
          <w:iCs/>
          <w:color w:val="000000"/>
          <w:sz w:val="24"/>
          <w:szCs w:val="24"/>
          <w:shd w:val="clear" w:color="auto" w:fill="FFFFFF"/>
          <w:lang w:val="es-ES_tradnl" w:eastAsia="es-ES_tradnl"/>
        </w:rPr>
        <w:t>ANALISIS DEL SECTOR</w:t>
      </w:r>
    </w:p>
    <w:p w14:paraId="1C48B58F" w14:textId="77777777" w:rsidR="00DB2B75" w:rsidRDefault="00DB2B75" w:rsidP="00992D09">
      <w:pPr>
        <w:ind w:left="360"/>
        <w:jc w:val="both"/>
        <w:rPr>
          <w:rFonts w:asciiTheme="majorHAnsi" w:hAnsiTheme="majorHAnsi" w:cstheme="majorHAnsi"/>
          <w:lang w:val="es-ES_tradnl"/>
        </w:rPr>
      </w:pPr>
    </w:p>
    <w:p w14:paraId="6FF2D31F" w14:textId="77777777" w:rsidR="00DB2B75" w:rsidRPr="00920440" w:rsidRDefault="00DB2B75" w:rsidP="00992D09">
      <w:pPr>
        <w:ind w:left="360"/>
        <w:jc w:val="both"/>
        <w:rPr>
          <w:rFonts w:asciiTheme="majorHAnsi" w:hAnsiTheme="majorHAnsi" w:cstheme="majorHAnsi"/>
          <w:lang w:val="es-ES_tradnl"/>
        </w:rPr>
      </w:pPr>
    </w:p>
    <w:p w14:paraId="59A4622E" w14:textId="31CA3990" w:rsidR="00992D09" w:rsidRPr="00920440" w:rsidRDefault="00992D09" w:rsidP="000F0C2C">
      <w:pPr>
        <w:pStyle w:val="Prrafodelista"/>
        <w:numPr>
          <w:ilvl w:val="1"/>
          <w:numId w:val="2"/>
        </w:numPr>
        <w:jc w:val="both"/>
        <w:rPr>
          <w:rFonts w:asciiTheme="majorHAnsi" w:hAnsiTheme="majorHAnsi" w:cstheme="majorHAnsi"/>
          <w:b/>
          <w:bCs/>
          <w:iCs/>
          <w:color w:val="000000"/>
          <w:shd w:val="clear" w:color="auto" w:fill="FFFFFF"/>
          <w:lang w:val="es-ES_tradnl"/>
        </w:rPr>
      </w:pPr>
      <w:r w:rsidRPr="00920440">
        <w:rPr>
          <w:rFonts w:asciiTheme="majorHAnsi" w:hAnsiTheme="majorHAnsi" w:cstheme="majorHAnsi"/>
          <w:b/>
          <w:bCs/>
          <w:iCs/>
          <w:color w:val="000000"/>
          <w:shd w:val="clear" w:color="auto" w:fill="FFFFFF"/>
          <w:lang w:val="es-ES_tradnl"/>
        </w:rPr>
        <w:t>ASPECTOS GENERALES DEL MERCADO: SECTOR PERTENECIENTE AL OBJETO CONTRACTUAL</w:t>
      </w:r>
    </w:p>
    <w:tbl>
      <w:tblPr>
        <w:tblStyle w:val="Tablaconcuadrcula"/>
        <w:tblW w:w="0" w:type="auto"/>
        <w:jc w:val="center"/>
        <w:tblLook w:val="04A0" w:firstRow="1" w:lastRow="0" w:firstColumn="1" w:lastColumn="0" w:noHBand="0" w:noVBand="1"/>
      </w:tblPr>
      <w:tblGrid>
        <w:gridCol w:w="4022"/>
      </w:tblGrid>
      <w:tr w:rsidR="00992D09" w:rsidRPr="00920440" w14:paraId="3F836D7C" w14:textId="77777777" w:rsidTr="00992D09">
        <w:trPr>
          <w:trHeight w:val="304"/>
          <w:jc w:val="center"/>
        </w:trPr>
        <w:tc>
          <w:tcPr>
            <w:tcW w:w="4022" w:type="dxa"/>
            <w:vAlign w:val="center"/>
          </w:tcPr>
          <w:p w14:paraId="7EA29D8F" w14:textId="174159D6" w:rsidR="00992D09" w:rsidRPr="00920440" w:rsidRDefault="00992D09" w:rsidP="00B978A4">
            <w:pPr>
              <w:jc w:val="center"/>
              <w:rPr>
                <w:rFonts w:asciiTheme="majorHAnsi" w:hAnsiTheme="majorHAnsi" w:cstheme="majorHAnsi"/>
                <w:b/>
                <w:bCs/>
                <w:iCs/>
                <w:color w:val="000000"/>
                <w:shd w:val="clear" w:color="auto" w:fill="FFFFFF"/>
                <w:lang w:val="es-ES_tradnl"/>
              </w:rPr>
            </w:pPr>
            <w:r w:rsidRPr="00920440">
              <w:rPr>
                <w:rFonts w:asciiTheme="majorHAnsi" w:hAnsiTheme="majorHAnsi" w:cstheme="majorHAnsi"/>
                <w:b/>
                <w:bCs/>
                <w:iCs/>
                <w:color w:val="000000"/>
                <w:shd w:val="clear" w:color="auto" w:fill="FFFFFF"/>
                <w:lang w:val="es-ES_tradnl"/>
              </w:rPr>
              <w:t>SECTOR ECONÓMICO</w:t>
            </w:r>
          </w:p>
        </w:tc>
      </w:tr>
      <w:tr w:rsidR="00992D09" w:rsidRPr="00920440" w14:paraId="5AA84957" w14:textId="77777777" w:rsidTr="00992D09">
        <w:trPr>
          <w:trHeight w:val="316"/>
          <w:jc w:val="center"/>
        </w:trPr>
        <w:tc>
          <w:tcPr>
            <w:tcW w:w="4022" w:type="dxa"/>
            <w:vAlign w:val="center"/>
          </w:tcPr>
          <w:p w14:paraId="300C15AD" w14:textId="412029E1" w:rsidR="00992D09" w:rsidRPr="00920440" w:rsidRDefault="00992D09" w:rsidP="00B978A4">
            <w:pPr>
              <w:jc w:val="center"/>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Sector Terciario</w:t>
            </w:r>
          </w:p>
        </w:tc>
      </w:tr>
    </w:tbl>
    <w:p w14:paraId="5996FB3A" w14:textId="1BC0F40F" w:rsidR="00D71F74" w:rsidRPr="00920440" w:rsidRDefault="00D71F74" w:rsidP="00B978A4">
      <w:pPr>
        <w:jc w:val="both"/>
        <w:rPr>
          <w:rFonts w:asciiTheme="majorHAnsi" w:hAnsiTheme="majorHAnsi" w:cstheme="majorHAnsi"/>
          <w:bCs/>
          <w:iCs/>
          <w:color w:val="000000"/>
          <w:shd w:val="clear" w:color="auto" w:fill="FFFFFF"/>
          <w:lang w:val="es-ES_tradnl"/>
        </w:rPr>
      </w:pPr>
    </w:p>
    <w:p w14:paraId="7575C8ED"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De acuerdo a lo señalado en el artículo 2.2.1.1.1.6.1 del Decreto 1082 de 2015, cuando define que “La Entidad debe hacer durante la etapa de planeación el análisis necesario para conocer el sector relativo al objeto del Proceso de Contratación desde la perspectiva legal, comercial, financiera, organizacional, técnica y de análisis de riesgo”, el análisis del sector, en el que se plasma el estudio pertinente para lograr satisfacer la necesidad de la Entidad, establecer el contexto de la contratación, identificar algunos de los Riesgos y determinar los requisitos habilitantes para el desarrollo del mismo, así como el entorno en el cual los posibles proveedores desarrollan su actividad.</w:t>
      </w:r>
    </w:p>
    <w:p w14:paraId="13365162"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p>
    <w:p w14:paraId="2540E8C1"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Conforme a la Guía para la Elaboración de Estudios de Sector publicada por Colombia Compra Eficiente, las Entidades estatales deben entender claramente cuál es su necesidad y cómo pueden satisfacerla, por lo cual, deben conocer y entender cómo y con quién pueden establecer la relación que permite satisfacer la necesidad identificada.</w:t>
      </w:r>
    </w:p>
    <w:p w14:paraId="2922450F" w14:textId="77777777" w:rsidR="002C7ACD" w:rsidRPr="00920440" w:rsidRDefault="002C7ACD" w:rsidP="00B978A4">
      <w:pPr>
        <w:jc w:val="both"/>
        <w:rPr>
          <w:rFonts w:asciiTheme="majorHAnsi" w:hAnsiTheme="majorHAnsi" w:cstheme="majorHAnsi"/>
          <w:bCs/>
          <w:iCs/>
          <w:color w:val="000000"/>
          <w:shd w:val="clear" w:color="auto" w:fill="FFFFFF"/>
          <w:lang w:val="es-ES_tradnl"/>
        </w:rPr>
      </w:pPr>
    </w:p>
    <w:p w14:paraId="3E51AB04" w14:textId="375FA2F8" w:rsidR="002C7ACD" w:rsidRPr="00920440" w:rsidRDefault="002C7ACD" w:rsidP="00B978A4">
      <w:pPr>
        <w:jc w:val="both"/>
        <w:rPr>
          <w:rFonts w:asciiTheme="majorHAnsi" w:hAnsiTheme="majorHAnsi" w:cstheme="majorHAnsi"/>
          <w:bCs/>
          <w:iCs/>
          <w:color w:val="000000"/>
          <w:sz w:val="21"/>
          <w:szCs w:val="21"/>
          <w:shd w:val="clear" w:color="auto" w:fill="FFFFFF"/>
          <w:lang w:val="es-ES_tradnl"/>
        </w:rPr>
      </w:pPr>
      <w:r w:rsidRPr="00920440">
        <w:rPr>
          <w:rFonts w:asciiTheme="majorHAnsi" w:hAnsiTheme="majorHAnsi" w:cstheme="majorHAnsi"/>
          <w:bCs/>
          <w:iCs/>
          <w:color w:val="000000"/>
          <w:sz w:val="21"/>
          <w:szCs w:val="21"/>
          <w:shd w:val="clear" w:color="auto" w:fill="FFFFFF"/>
          <w:lang w:val="es-ES_tradnl"/>
        </w:rPr>
        <w:lastRenderedPageBreak/>
        <w:t xml:space="preserve">Fuente: </w:t>
      </w:r>
      <w:hyperlink r:id="rId8" w:history="1">
        <w:r w:rsidRPr="00920440">
          <w:rPr>
            <w:rStyle w:val="Hipervnculo"/>
            <w:rFonts w:asciiTheme="majorHAnsi" w:hAnsiTheme="majorHAnsi" w:cstheme="majorHAnsi"/>
            <w:bCs/>
            <w:iCs/>
            <w:sz w:val="21"/>
            <w:szCs w:val="21"/>
            <w:shd w:val="clear" w:color="auto" w:fill="FFFFFF"/>
            <w:lang w:val="es-ES_tradnl"/>
          </w:rPr>
          <w:t>https://www.colombiacompra.gov.co/sites/cce_public/files/cce_documentos/cce-eicp-gi-18._gees_v.2_2.pdf</w:t>
        </w:r>
      </w:hyperlink>
      <w:r w:rsidRPr="00920440">
        <w:rPr>
          <w:rFonts w:asciiTheme="majorHAnsi" w:hAnsiTheme="majorHAnsi" w:cstheme="majorHAnsi"/>
          <w:bCs/>
          <w:iCs/>
          <w:color w:val="000000"/>
          <w:sz w:val="21"/>
          <w:szCs w:val="21"/>
          <w:shd w:val="clear" w:color="auto" w:fill="FFFFFF"/>
          <w:lang w:val="es-ES_tradnl"/>
        </w:rPr>
        <w:t xml:space="preserve"> </w:t>
      </w:r>
    </w:p>
    <w:p w14:paraId="6F4781E8"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p>
    <w:p w14:paraId="77E2272C"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 xml:space="preserve">En esta medida la Entidad se basa en parámetros establecidos por Colombia Compra Eficiente, según la Guía para la Elaboración de Estudios de Sector G-EES-, para lo cual el análisis cubre las siguientes áreas: </w:t>
      </w:r>
    </w:p>
    <w:p w14:paraId="0E01779F" w14:textId="77777777" w:rsidR="00992D09" w:rsidRPr="00920440" w:rsidRDefault="00992D09" w:rsidP="00B978A4">
      <w:pPr>
        <w:jc w:val="both"/>
        <w:rPr>
          <w:rFonts w:asciiTheme="majorHAnsi" w:hAnsiTheme="majorHAnsi" w:cstheme="majorHAnsi"/>
          <w:bCs/>
          <w:iCs/>
          <w:color w:val="000000"/>
          <w:shd w:val="clear" w:color="auto" w:fill="FFFFFF"/>
          <w:lang w:val="es-ES_tradnl"/>
        </w:rPr>
      </w:pPr>
    </w:p>
    <w:p w14:paraId="08438F9A" w14:textId="692207DC"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 Análisis económico</w:t>
      </w:r>
    </w:p>
    <w:p w14:paraId="67811F6D" w14:textId="77777777" w:rsidR="0036353B" w:rsidRPr="00920440" w:rsidRDefault="0036353B" w:rsidP="00B978A4">
      <w:pPr>
        <w:jc w:val="both"/>
        <w:rPr>
          <w:rFonts w:asciiTheme="majorHAnsi" w:hAnsiTheme="majorHAnsi" w:cstheme="majorHAnsi"/>
          <w:bCs/>
          <w:iCs/>
          <w:color w:val="000000"/>
          <w:shd w:val="clear" w:color="auto" w:fill="FFFFFF"/>
          <w:lang w:val="es-ES_tradnl"/>
        </w:rPr>
      </w:pPr>
    </w:p>
    <w:p w14:paraId="55B4ADDD" w14:textId="599472F0"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 Análisis de la oferta</w:t>
      </w:r>
    </w:p>
    <w:p w14:paraId="059C65D8" w14:textId="77777777" w:rsidR="0036353B" w:rsidRPr="00920440" w:rsidRDefault="0036353B" w:rsidP="00B978A4">
      <w:pPr>
        <w:jc w:val="both"/>
        <w:rPr>
          <w:rFonts w:asciiTheme="majorHAnsi" w:hAnsiTheme="majorHAnsi" w:cstheme="majorHAnsi"/>
          <w:bCs/>
          <w:iCs/>
          <w:color w:val="000000"/>
          <w:shd w:val="clear" w:color="auto" w:fill="FFFFFF"/>
          <w:lang w:val="es-ES_tradnl"/>
        </w:rPr>
      </w:pPr>
    </w:p>
    <w:p w14:paraId="584BF7FF" w14:textId="2F0A503C"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color w:val="000000"/>
          <w:shd w:val="clear" w:color="auto" w:fill="FFFFFF"/>
          <w:lang w:val="es-ES_tradnl"/>
        </w:rPr>
        <w:t>• Análisis de la demanda</w:t>
      </w:r>
    </w:p>
    <w:p w14:paraId="18844DE4" w14:textId="77777777" w:rsidR="00D71F74" w:rsidRPr="00920440" w:rsidRDefault="00D71F74" w:rsidP="00B978A4">
      <w:pPr>
        <w:pStyle w:val="Prrafodelista"/>
        <w:spacing w:after="0" w:line="240" w:lineRule="auto"/>
        <w:ind w:left="0"/>
        <w:jc w:val="both"/>
        <w:rPr>
          <w:rFonts w:asciiTheme="majorHAnsi" w:hAnsiTheme="majorHAnsi" w:cstheme="majorHAnsi"/>
          <w:bCs/>
          <w:iCs/>
          <w:color w:val="000000"/>
          <w:shd w:val="clear" w:color="auto" w:fill="FFFFFF"/>
          <w:lang w:val="es-ES_tradnl"/>
        </w:rPr>
      </w:pPr>
    </w:p>
    <w:p w14:paraId="3E91A21A" w14:textId="2142A399" w:rsidR="00992D09" w:rsidRPr="00776D91" w:rsidRDefault="00992D09" w:rsidP="000F0C2C">
      <w:pPr>
        <w:pStyle w:val="Prrafodelista"/>
        <w:numPr>
          <w:ilvl w:val="1"/>
          <w:numId w:val="2"/>
        </w:numPr>
        <w:jc w:val="both"/>
        <w:rPr>
          <w:rFonts w:asciiTheme="majorHAnsi" w:hAnsiTheme="majorHAnsi" w:cstheme="majorHAnsi"/>
          <w:b/>
          <w:bCs/>
          <w:iCs/>
          <w:color w:val="000000"/>
          <w:shd w:val="clear" w:color="auto" w:fill="FFFFFF"/>
          <w:lang w:val="es-ES_tradnl"/>
        </w:rPr>
      </w:pPr>
      <w:r w:rsidRPr="00776D91">
        <w:rPr>
          <w:rFonts w:asciiTheme="majorHAnsi" w:hAnsiTheme="majorHAnsi" w:cstheme="majorHAnsi"/>
          <w:b/>
          <w:bCs/>
          <w:iCs/>
          <w:color w:val="000000"/>
          <w:shd w:val="clear" w:color="auto" w:fill="FFFFFF"/>
          <w:lang w:val="es-ES_tradnl"/>
        </w:rPr>
        <w:t>Análisis económico</w:t>
      </w:r>
    </w:p>
    <w:p w14:paraId="4D6C376A" w14:textId="77777777" w:rsidR="00D71F74" w:rsidRPr="00920440" w:rsidRDefault="00D71F74" w:rsidP="00B978A4">
      <w:pPr>
        <w:pStyle w:val="Prrafodelista"/>
        <w:spacing w:after="0" w:line="240" w:lineRule="auto"/>
        <w:ind w:left="0"/>
        <w:jc w:val="both"/>
        <w:rPr>
          <w:rFonts w:asciiTheme="majorHAnsi" w:hAnsiTheme="majorHAnsi" w:cstheme="majorHAnsi"/>
          <w:b/>
          <w:i/>
          <w:color w:val="000000"/>
          <w:shd w:val="clear" w:color="auto" w:fill="FFFFFF"/>
          <w:lang w:val="es-ES_tradnl"/>
        </w:rPr>
      </w:pPr>
    </w:p>
    <w:p w14:paraId="32EEA5D9" w14:textId="3EAEFB5E" w:rsidR="00992D09" w:rsidRPr="00920440" w:rsidRDefault="00992D09" w:rsidP="009C3B8F">
      <w:pPr>
        <w:pStyle w:val="Prrafodelista"/>
        <w:numPr>
          <w:ilvl w:val="1"/>
          <w:numId w:val="14"/>
        </w:numPr>
        <w:jc w:val="both"/>
        <w:rPr>
          <w:rFonts w:asciiTheme="majorHAnsi" w:hAnsiTheme="majorHAnsi" w:cstheme="majorHAnsi"/>
          <w:b/>
          <w:i/>
          <w:color w:val="000000"/>
          <w:shd w:val="clear" w:color="auto" w:fill="FFFFFF"/>
          <w:lang w:val="es-ES_tradnl"/>
        </w:rPr>
      </w:pPr>
      <w:r w:rsidRPr="00920440">
        <w:rPr>
          <w:rFonts w:asciiTheme="majorHAnsi" w:hAnsiTheme="majorHAnsi" w:cstheme="majorHAnsi"/>
          <w:b/>
          <w:i/>
          <w:color w:val="000000"/>
          <w:shd w:val="clear" w:color="auto" w:fill="FFFFFF"/>
          <w:lang w:val="es-ES_tradnl"/>
        </w:rPr>
        <w:t xml:space="preserve">Comportamiento de la variación mensual del IPC según divisiones y subclases </w:t>
      </w:r>
    </w:p>
    <w:p w14:paraId="7C7625CB" w14:textId="1170DA12" w:rsidR="00992D09" w:rsidRPr="00920440" w:rsidRDefault="00992D09" w:rsidP="009C3B8F">
      <w:pPr>
        <w:pStyle w:val="Prrafodelista"/>
        <w:numPr>
          <w:ilvl w:val="2"/>
          <w:numId w:val="14"/>
        </w:numPr>
        <w:jc w:val="both"/>
        <w:rPr>
          <w:rFonts w:asciiTheme="majorHAnsi" w:hAnsiTheme="majorHAnsi" w:cstheme="majorHAnsi"/>
          <w:b/>
          <w:i/>
          <w:color w:val="000000"/>
          <w:shd w:val="clear" w:color="auto" w:fill="FFFFFF"/>
          <w:lang w:val="es-ES_tradnl"/>
        </w:rPr>
      </w:pPr>
      <w:r w:rsidRPr="00920440">
        <w:rPr>
          <w:rFonts w:asciiTheme="majorHAnsi" w:hAnsiTheme="majorHAnsi" w:cstheme="majorHAnsi"/>
          <w:b/>
          <w:i/>
          <w:color w:val="000000"/>
          <w:shd w:val="clear" w:color="auto" w:fill="FFFFFF"/>
          <w:lang w:val="es-ES_tradnl"/>
        </w:rPr>
        <w:t>Variación y contribución mensual por divisiones de gasto</w:t>
      </w:r>
      <w:r w:rsidR="00D910A2" w:rsidRPr="00920440">
        <w:rPr>
          <w:rFonts w:asciiTheme="majorHAnsi" w:hAnsiTheme="majorHAnsi" w:cstheme="majorHAnsi"/>
          <w:b/>
          <w:i/>
          <w:color w:val="000000"/>
          <w:shd w:val="clear" w:color="auto" w:fill="FFFFFF"/>
          <w:lang w:val="es-ES_tradnl"/>
        </w:rPr>
        <w:t>.</w:t>
      </w:r>
    </w:p>
    <w:p w14:paraId="22994CBC" w14:textId="29D95E7A" w:rsidR="00166E29" w:rsidRDefault="002B728B" w:rsidP="008F5054">
      <w:pPr>
        <w:jc w:val="both"/>
        <w:rPr>
          <w:rFonts w:asciiTheme="majorHAnsi" w:hAnsiTheme="majorHAnsi" w:cstheme="majorHAnsi"/>
          <w:bCs/>
          <w:iCs/>
          <w:color w:val="000000"/>
          <w:shd w:val="clear" w:color="auto" w:fill="FFFFFF"/>
        </w:rPr>
      </w:pPr>
      <w:r w:rsidRPr="002B728B">
        <w:rPr>
          <w:rFonts w:asciiTheme="majorHAnsi" w:hAnsiTheme="majorHAnsi" w:cstheme="majorHAnsi"/>
          <w:bCs/>
          <w:iCs/>
          <w:color w:val="000000"/>
          <w:shd w:val="clear" w:color="auto" w:fill="FFFFFF"/>
        </w:rPr>
        <w:t>En el mes de febrero de 2026, el IPC registró una variación de 1,08% en comparación con enero de 2026, cinco divisiones se ubicaron por encima del promedio nacional (1,08%): Educación (5,64%), Restaurantes y hoteles (1,38%), Alimentos y bebidas no alcohólicas (1,30%), Muebles, artículos para el hogar y para la conservación ordinaria del hogar (1,23%) y por último, Bebidas alcohólicas y tabaco (1,14%). Por debajo se ubicaron: Transporte (1,07%), Bienes y servicios diversos (1,02%), Salud (0,94%), Prendas de vestir y calzado (0,70%), Alojamiento, agua, electricidad, gas y otros combustibles (0,45%), Recreación y cultura (0,08%) y por último, Información y comunicación (0,01%).</w:t>
      </w:r>
    </w:p>
    <w:p w14:paraId="6C82CB9D" w14:textId="77777777" w:rsidR="002B728B" w:rsidRDefault="002B728B" w:rsidP="008F5054">
      <w:pPr>
        <w:jc w:val="both"/>
        <w:rPr>
          <w:rFonts w:asciiTheme="majorHAnsi" w:hAnsiTheme="majorHAnsi" w:cstheme="majorHAnsi"/>
          <w:bCs/>
          <w:iCs/>
          <w:color w:val="000000"/>
          <w:shd w:val="clear" w:color="auto" w:fill="FFFFFF"/>
        </w:rPr>
      </w:pPr>
    </w:p>
    <w:p w14:paraId="176BF81D" w14:textId="6E7361DF" w:rsidR="002B728B" w:rsidRPr="008F7EEE" w:rsidRDefault="002B728B" w:rsidP="008F5054">
      <w:pPr>
        <w:jc w:val="both"/>
        <w:rPr>
          <w:rFonts w:asciiTheme="majorHAnsi" w:hAnsiTheme="majorHAnsi" w:cstheme="majorHAnsi"/>
          <w:bCs/>
          <w:iCs/>
          <w:color w:val="000000"/>
          <w:shd w:val="clear" w:color="auto" w:fill="FFFFFF"/>
          <w:lang w:val="es-ES_tradnl"/>
        </w:rPr>
      </w:pPr>
      <w:r w:rsidRPr="002B728B">
        <w:rPr>
          <w:rFonts w:asciiTheme="majorHAnsi" w:hAnsiTheme="majorHAnsi" w:cstheme="majorHAnsi"/>
          <w:bCs/>
          <w:iCs/>
          <w:noProof/>
          <w:color w:val="000000"/>
          <w:shd w:val="clear" w:color="auto" w:fill="FFFFFF"/>
          <w:lang w:val="es-ES_tradnl"/>
        </w:rPr>
        <w:drawing>
          <wp:inline distT="0" distB="0" distL="0" distR="0" wp14:anchorId="5B7E96D4" wp14:editId="4B7C48FF">
            <wp:extent cx="5873750" cy="2529840"/>
            <wp:effectExtent l="0" t="0" r="0" b="3810"/>
            <wp:docPr id="153840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0190" name=""/>
                    <pic:cNvPicPr/>
                  </pic:nvPicPr>
                  <pic:blipFill>
                    <a:blip r:embed="rId9"/>
                    <a:stretch>
                      <a:fillRect/>
                    </a:stretch>
                  </pic:blipFill>
                  <pic:spPr>
                    <a:xfrm>
                      <a:off x="0" y="0"/>
                      <a:ext cx="5873750" cy="2529840"/>
                    </a:xfrm>
                    <a:prstGeom prst="rect">
                      <a:avLst/>
                    </a:prstGeom>
                  </pic:spPr>
                </pic:pic>
              </a:graphicData>
            </a:graphic>
          </wp:inline>
        </w:drawing>
      </w:r>
    </w:p>
    <w:p w14:paraId="43980D96" w14:textId="77777777" w:rsidR="00BC2CBD" w:rsidRDefault="00BC2CBD" w:rsidP="008F5054">
      <w:pPr>
        <w:jc w:val="both"/>
        <w:rPr>
          <w:rFonts w:asciiTheme="majorHAnsi" w:hAnsiTheme="majorHAnsi" w:cstheme="majorHAnsi"/>
          <w:bCs/>
          <w:iCs/>
          <w:color w:val="000000"/>
          <w:shd w:val="clear" w:color="auto" w:fill="FFFFFF"/>
          <w:lang w:val="es-ES_tradnl"/>
        </w:rPr>
      </w:pPr>
    </w:p>
    <w:p w14:paraId="48B47977" w14:textId="77777777" w:rsidR="002B728B" w:rsidRDefault="002B728B" w:rsidP="008F5054">
      <w:pPr>
        <w:jc w:val="both"/>
        <w:rPr>
          <w:rFonts w:asciiTheme="majorHAnsi" w:hAnsiTheme="majorHAnsi" w:cstheme="majorHAnsi"/>
          <w:bCs/>
          <w:iCs/>
          <w:color w:val="000000"/>
          <w:shd w:val="clear" w:color="auto" w:fill="FFFFFF"/>
        </w:rPr>
      </w:pPr>
      <w:r w:rsidRPr="002B728B">
        <w:rPr>
          <w:rFonts w:asciiTheme="majorHAnsi" w:hAnsiTheme="majorHAnsi" w:cstheme="majorHAnsi"/>
          <w:b/>
          <w:iCs/>
          <w:color w:val="000000"/>
          <w:shd w:val="clear" w:color="auto" w:fill="FFFFFF"/>
        </w:rPr>
        <w:t>Fuente:</w:t>
      </w:r>
      <w:r w:rsidRPr="002B728B">
        <w:rPr>
          <w:rFonts w:asciiTheme="majorHAnsi" w:hAnsiTheme="majorHAnsi" w:cstheme="majorHAnsi"/>
          <w:bCs/>
          <w:iCs/>
          <w:color w:val="000000"/>
          <w:shd w:val="clear" w:color="auto" w:fill="FFFFFF"/>
        </w:rPr>
        <w:t xml:space="preserve"> DANE, IPC </w:t>
      </w:r>
    </w:p>
    <w:p w14:paraId="5CECCE36" w14:textId="0263C620" w:rsidR="002B728B" w:rsidRDefault="002B728B" w:rsidP="008F5054">
      <w:pPr>
        <w:jc w:val="both"/>
        <w:rPr>
          <w:rFonts w:asciiTheme="majorHAnsi" w:hAnsiTheme="majorHAnsi" w:cstheme="majorHAnsi"/>
          <w:bCs/>
          <w:iCs/>
          <w:color w:val="000000"/>
          <w:shd w:val="clear" w:color="auto" w:fill="FFFFFF"/>
        </w:rPr>
      </w:pPr>
      <w:r w:rsidRPr="002B728B">
        <w:rPr>
          <w:rFonts w:asciiTheme="majorHAnsi" w:hAnsiTheme="majorHAnsi" w:cstheme="majorHAnsi"/>
          <w:bCs/>
          <w:iCs/>
          <w:color w:val="000000"/>
          <w:shd w:val="clear" w:color="auto" w:fill="FFFFFF"/>
        </w:rPr>
        <w:lastRenderedPageBreak/>
        <w:t>Nota: La diferencia en la suma de las variables obedece al sistema de aproximación en el nivel de dígitos trabajados en el índice.</w:t>
      </w:r>
    </w:p>
    <w:p w14:paraId="3971C217" w14:textId="77777777" w:rsidR="00EB6F0E" w:rsidRDefault="00EB6F0E" w:rsidP="008F5054">
      <w:pPr>
        <w:jc w:val="both"/>
        <w:rPr>
          <w:rFonts w:asciiTheme="majorHAnsi" w:hAnsiTheme="majorHAnsi" w:cstheme="majorHAnsi"/>
          <w:bCs/>
          <w:iCs/>
          <w:color w:val="000000"/>
          <w:shd w:val="clear" w:color="auto" w:fill="FFFFFF"/>
        </w:rPr>
      </w:pPr>
    </w:p>
    <w:p w14:paraId="2F96E08E" w14:textId="7B86C066" w:rsidR="00EB6F0E" w:rsidRDefault="00EB6F0E" w:rsidP="008F5054">
      <w:pPr>
        <w:jc w:val="both"/>
        <w:rPr>
          <w:rFonts w:asciiTheme="majorHAnsi" w:hAnsiTheme="majorHAnsi" w:cstheme="majorHAnsi"/>
          <w:bCs/>
          <w:iCs/>
          <w:color w:val="000000"/>
          <w:shd w:val="clear" w:color="auto" w:fill="FFFFFF"/>
        </w:rPr>
      </w:pPr>
      <w:r w:rsidRPr="00EB6F0E">
        <w:rPr>
          <w:rFonts w:asciiTheme="majorHAnsi" w:hAnsiTheme="majorHAnsi" w:cstheme="majorHAnsi"/>
          <w:bCs/>
          <w:iCs/>
          <w:color w:val="000000"/>
          <w:shd w:val="clear" w:color="auto" w:fill="FFFFFF"/>
        </w:rPr>
        <w:t>Los mayores aportes a la variación mensual del IPC (1,08%), se ubicaron en las divisiones de: Alimentos y bebidas no alcohólicas, Educación, Restaurantes y hoteles, Transporte y Alojamiento, agua, electricidad, gas y otros combustibles, las cuales aportaron 0,92 puntos porcentuales a la variación total.</w:t>
      </w:r>
    </w:p>
    <w:p w14:paraId="165628B1" w14:textId="77777777" w:rsidR="002B728B" w:rsidRPr="008F7EEE" w:rsidRDefault="002B728B" w:rsidP="008F5054">
      <w:pPr>
        <w:jc w:val="both"/>
        <w:rPr>
          <w:rFonts w:asciiTheme="majorHAnsi" w:hAnsiTheme="majorHAnsi" w:cstheme="majorHAnsi"/>
          <w:bCs/>
          <w:iCs/>
          <w:color w:val="000000"/>
          <w:shd w:val="clear" w:color="auto" w:fill="FFFFFF"/>
        </w:rPr>
      </w:pPr>
    </w:p>
    <w:p w14:paraId="42E21946" w14:textId="375F38EB" w:rsidR="005960AA" w:rsidRPr="008F7EEE" w:rsidRDefault="00EB6F0E" w:rsidP="008F5054">
      <w:pPr>
        <w:jc w:val="both"/>
        <w:rPr>
          <w:rFonts w:asciiTheme="majorHAnsi" w:hAnsiTheme="majorHAnsi" w:cstheme="majorHAnsi"/>
          <w:bCs/>
          <w:iCs/>
          <w:color w:val="000000"/>
          <w:shd w:val="clear" w:color="auto" w:fill="FFFFFF"/>
        </w:rPr>
      </w:pPr>
      <w:r w:rsidRPr="00EB6F0E">
        <w:rPr>
          <w:rFonts w:asciiTheme="majorHAnsi" w:hAnsiTheme="majorHAnsi" w:cstheme="majorHAnsi"/>
          <w:bCs/>
          <w:iCs/>
          <w:noProof/>
          <w:color w:val="000000"/>
          <w:shd w:val="clear" w:color="auto" w:fill="FFFFFF"/>
        </w:rPr>
        <w:drawing>
          <wp:inline distT="0" distB="0" distL="0" distR="0" wp14:anchorId="5B176B75" wp14:editId="17FBDB31">
            <wp:extent cx="5873750" cy="3216910"/>
            <wp:effectExtent l="0" t="0" r="0" b="2540"/>
            <wp:docPr id="2127142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42087" name=""/>
                    <pic:cNvPicPr/>
                  </pic:nvPicPr>
                  <pic:blipFill>
                    <a:blip r:embed="rId10"/>
                    <a:stretch>
                      <a:fillRect/>
                    </a:stretch>
                  </pic:blipFill>
                  <pic:spPr>
                    <a:xfrm>
                      <a:off x="0" y="0"/>
                      <a:ext cx="5873750" cy="3216910"/>
                    </a:xfrm>
                    <a:prstGeom prst="rect">
                      <a:avLst/>
                    </a:prstGeom>
                  </pic:spPr>
                </pic:pic>
              </a:graphicData>
            </a:graphic>
          </wp:inline>
        </w:drawing>
      </w:r>
    </w:p>
    <w:p w14:paraId="7999A043" w14:textId="77777777" w:rsidR="00992D09" w:rsidRPr="008F7EEE" w:rsidRDefault="00992D09" w:rsidP="00B978A4">
      <w:pPr>
        <w:jc w:val="both"/>
        <w:rPr>
          <w:rFonts w:asciiTheme="majorHAnsi" w:hAnsiTheme="majorHAnsi" w:cstheme="majorHAnsi"/>
          <w:bCs/>
          <w:iCs/>
          <w:color w:val="000000"/>
          <w:shd w:val="clear" w:color="auto" w:fill="FFFFFF"/>
        </w:rPr>
      </w:pPr>
    </w:p>
    <w:p w14:paraId="72F0FD99" w14:textId="06BE60A5" w:rsidR="00212107" w:rsidRPr="008F7EEE" w:rsidRDefault="00212107" w:rsidP="009C3B8F">
      <w:pPr>
        <w:jc w:val="both"/>
        <w:rPr>
          <w:rFonts w:asciiTheme="majorHAnsi" w:hAnsiTheme="majorHAnsi" w:cstheme="majorHAnsi"/>
          <w:bCs/>
          <w:iCs/>
          <w:color w:val="000000"/>
          <w:shd w:val="clear" w:color="auto" w:fill="FFFFFF"/>
          <w:lang w:val="es-ES_tradnl"/>
        </w:rPr>
      </w:pPr>
    </w:p>
    <w:p w14:paraId="379D14C0" w14:textId="77777777" w:rsidR="009C3B8F" w:rsidRPr="008F7EEE" w:rsidRDefault="009C3B8F" w:rsidP="009C3B8F">
      <w:pPr>
        <w:pStyle w:val="Prrafodelista"/>
        <w:numPr>
          <w:ilvl w:val="1"/>
          <w:numId w:val="16"/>
        </w:numPr>
        <w:ind w:left="426"/>
        <w:jc w:val="both"/>
        <w:rPr>
          <w:rFonts w:asciiTheme="majorHAnsi" w:hAnsiTheme="majorHAnsi" w:cstheme="majorHAnsi"/>
          <w:b/>
          <w:i/>
          <w:color w:val="000000"/>
          <w:sz w:val="24"/>
          <w:szCs w:val="24"/>
          <w:shd w:val="clear" w:color="auto" w:fill="FFFFFF"/>
          <w:lang w:val="es-ES_tradnl"/>
        </w:rPr>
      </w:pPr>
      <w:r w:rsidRPr="008F7EEE">
        <w:rPr>
          <w:rFonts w:asciiTheme="majorHAnsi" w:hAnsiTheme="majorHAnsi" w:cstheme="majorHAnsi"/>
          <w:b/>
          <w:i/>
          <w:color w:val="000000"/>
          <w:sz w:val="24"/>
          <w:szCs w:val="24"/>
          <w:shd w:val="clear" w:color="auto" w:fill="FFFFFF"/>
          <w:lang w:val="es-ES_tradnl"/>
        </w:rPr>
        <w:t>Comportamiento de la variación anual del IPC según divisiones y subclases</w:t>
      </w:r>
    </w:p>
    <w:p w14:paraId="07A28BDC" w14:textId="5E72295D" w:rsidR="00992D09" w:rsidRPr="00D51108" w:rsidRDefault="009C3B8F" w:rsidP="00B978A4">
      <w:pPr>
        <w:pStyle w:val="Prrafodelista"/>
        <w:numPr>
          <w:ilvl w:val="2"/>
          <w:numId w:val="16"/>
        </w:numPr>
        <w:ind w:left="851"/>
        <w:jc w:val="both"/>
        <w:rPr>
          <w:rFonts w:asciiTheme="majorHAnsi" w:hAnsiTheme="majorHAnsi" w:cstheme="majorHAnsi"/>
          <w:b/>
          <w:i/>
          <w:color w:val="000000"/>
          <w:sz w:val="24"/>
          <w:szCs w:val="24"/>
          <w:shd w:val="clear" w:color="auto" w:fill="FFFFFF"/>
          <w:lang w:val="es-ES_tradnl"/>
        </w:rPr>
      </w:pPr>
      <w:r w:rsidRPr="008F7EEE">
        <w:rPr>
          <w:rFonts w:asciiTheme="majorHAnsi" w:hAnsiTheme="majorHAnsi" w:cstheme="majorHAnsi"/>
          <w:b/>
          <w:i/>
          <w:color w:val="000000"/>
          <w:sz w:val="24"/>
          <w:szCs w:val="24"/>
          <w:shd w:val="clear" w:color="auto" w:fill="FFFFFF"/>
          <w:lang w:val="es-ES_tradnl"/>
        </w:rPr>
        <w:t>Variación y contribución anual por divisiones de gasto</w:t>
      </w:r>
    </w:p>
    <w:p w14:paraId="31483D0A" w14:textId="426181EB" w:rsidR="00563B3B" w:rsidRDefault="00D51108" w:rsidP="008A3BA9">
      <w:pPr>
        <w:jc w:val="both"/>
        <w:rPr>
          <w:rFonts w:asciiTheme="majorHAnsi" w:hAnsiTheme="majorHAnsi" w:cstheme="majorHAnsi"/>
          <w:bCs/>
          <w:iCs/>
          <w:color w:val="000000"/>
          <w:shd w:val="clear" w:color="auto" w:fill="FFFFFF"/>
        </w:rPr>
      </w:pPr>
      <w:r w:rsidRPr="00D51108">
        <w:rPr>
          <w:rFonts w:asciiTheme="majorHAnsi" w:hAnsiTheme="majorHAnsi" w:cstheme="majorHAnsi"/>
          <w:bCs/>
          <w:iCs/>
          <w:color w:val="000000"/>
          <w:shd w:val="clear" w:color="auto" w:fill="FFFFFF"/>
        </w:rPr>
        <w:t>En el mes de febrero de 2026, el IPC registró una variación de 5,29% en comparación con febrero de 2025. En el último año, las divisiones Restaurantes y hoteles (9,61%), Salud (7,82%), Bebidas alcohólicas y tabaco (7,76%), Educación (7,44%), Alimentos y bebidas no alcohólicas (5,84%) y por último, Bienes y servicios diversos (5,45%) se ubicaron por encima del promedio nacional (5,29%). Entre tanto, las divisiones Transporte (5,27%), Muebles, artículos para el hogar y para la conservación ordinaria del hogar (4,73%), Alojamiento, agua, electricidad, gas y otros combustibles (3,85%), Prendas de vestir y calzado (2,61%), Recreación y cultura (1,68%) y por último, Información y comunicación (1,51%) se ubicaron por debajo del promedio nacional.</w:t>
      </w:r>
    </w:p>
    <w:p w14:paraId="76F8A6A3" w14:textId="77777777" w:rsidR="00D51108" w:rsidRPr="008F7EEE" w:rsidRDefault="00D51108" w:rsidP="008A3BA9">
      <w:pPr>
        <w:jc w:val="both"/>
        <w:rPr>
          <w:rFonts w:asciiTheme="majorHAnsi" w:hAnsiTheme="majorHAnsi" w:cstheme="majorHAnsi"/>
          <w:bCs/>
          <w:iCs/>
          <w:color w:val="000000"/>
          <w:shd w:val="clear" w:color="auto" w:fill="FFFFFF"/>
          <w:lang w:val="es-ES_tradnl"/>
        </w:rPr>
      </w:pPr>
    </w:p>
    <w:p w14:paraId="3FBF1F93" w14:textId="77777777" w:rsidR="008A3BA9" w:rsidRPr="008F7EEE" w:rsidRDefault="008A3BA9" w:rsidP="008A3BA9">
      <w:pPr>
        <w:pStyle w:val="Prrafodelista"/>
        <w:spacing w:after="0" w:line="240" w:lineRule="auto"/>
        <w:ind w:left="0"/>
        <w:jc w:val="both"/>
        <w:rPr>
          <w:rFonts w:asciiTheme="majorHAnsi" w:eastAsia="Times New Roman" w:hAnsiTheme="majorHAnsi" w:cstheme="majorHAnsi"/>
          <w:b/>
          <w:iCs/>
          <w:color w:val="000000"/>
          <w:sz w:val="24"/>
          <w:szCs w:val="24"/>
          <w:shd w:val="clear" w:color="auto" w:fill="FFFFFF"/>
          <w:lang w:val="es-ES_tradnl" w:eastAsia="es-MX"/>
        </w:rPr>
      </w:pPr>
      <w:r w:rsidRPr="008F7EEE">
        <w:rPr>
          <w:rFonts w:asciiTheme="majorHAnsi" w:eastAsia="Times New Roman" w:hAnsiTheme="majorHAnsi" w:cstheme="majorHAnsi"/>
          <w:b/>
          <w:iCs/>
          <w:color w:val="000000"/>
          <w:sz w:val="24"/>
          <w:szCs w:val="24"/>
          <w:shd w:val="clear" w:color="auto" w:fill="FFFFFF"/>
          <w:lang w:val="es-ES_tradnl" w:eastAsia="es-MX"/>
        </w:rPr>
        <w:t>Cuadro 2. IPC Variación y contribución anual</w:t>
      </w:r>
    </w:p>
    <w:p w14:paraId="222B0F0A" w14:textId="77777777" w:rsidR="008A3BA9" w:rsidRPr="008F7EEE" w:rsidRDefault="008A3BA9" w:rsidP="008A3BA9">
      <w:pPr>
        <w:pStyle w:val="Prrafodelista"/>
        <w:spacing w:after="0" w:line="240" w:lineRule="auto"/>
        <w:ind w:left="0"/>
        <w:jc w:val="both"/>
        <w:rPr>
          <w:rFonts w:asciiTheme="majorHAnsi" w:eastAsia="Times New Roman" w:hAnsiTheme="majorHAnsi" w:cstheme="majorHAnsi"/>
          <w:b/>
          <w:iCs/>
          <w:color w:val="000000"/>
          <w:sz w:val="24"/>
          <w:szCs w:val="24"/>
          <w:shd w:val="clear" w:color="auto" w:fill="FFFFFF"/>
          <w:lang w:val="es-ES_tradnl" w:eastAsia="es-MX"/>
        </w:rPr>
      </w:pPr>
      <w:r w:rsidRPr="008F7EEE">
        <w:rPr>
          <w:rFonts w:asciiTheme="majorHAnsi" w:eastAsia="Times New Roman" w:hAnsiTheme="majorHAnsi" w:cstheme="majorHAnsi"/>
          <w:b/>
          <w:iCs/>
          <w:color w:val="000000"/>
          <w:sz w:val="24"/>
          <w:szCs w:val="24"/>
          <w:shd w:val="clear" w:color="auto" w:fill="FFFFFF"/>
          <w:lang w:val="es-ES_tradnl" w:eastAsia="es-MX"/>
        </w:rPr>
        <w:t>Según divisiones de gasto</w:t>
      </w:r>
    </w:p>
    <w:p w14:paraId="68ECB4CB" w14:textId="77777777" w:rsidR="008A3BA9" w:rsidRPr="008F7EEE" w:rsidRDefault="008A3BA9" w:rsidP="008A3BA9">
      <w:pPr>
        <w:pStyle w:val="Prrafodelista"/>
        <w:spacing w:after="0" w:line="240" w:lineRule="auto"/>
        <w:ind w:left="0"/>
        <w:jc w:val="both"/>
        <w:rPr>
          <w:rFonts w:asciiTheme="majorHAnsi" w:hAnsiTheme="majorHAnsi" w:cstheme="majorHAnsi"/>
          <w:b/>
          <w:iCs/>
          <w:color w:val="000000"/>
          <w:sz w:val="24"/>
          <w:szCs w:val="24"/>
          <w:shd w:val="clear" w:color="auto" w:fill="FFFFFF"/>
          <w:lang w:val="es-ES_tradnl"/>
        </w:rPr>
      </w:pPr>
    </w:p>
    <w:p w14:paraId="5BE0B87F" w14:textId="1EC75365" w:rsidR="008A3BA9" w:rsidRPr="008F7EEE" w:rsidRDefault="00C45CD5" w:rsidP="008A3BA9">
      <w:pPr>
        <w:pStyle w:val="Prrafodelista"/>
        <w:spacing w:after="0" w:line="240" w:lineRule="auto"/>
        <w:ind w:left="0"/>
        <w:jc w:val="both"/>
        <w:rPr>
          <w:rFonts w:asciiTheme="majorHAnsi" w:hAnsiTheme="majorHAnsi" w:cstheme="majorHAnsi"/>
          <w:b/>
          <w:iCs/>
          <w:color w:val="000000"/>
          <w:sz w:val="24"/>
          <w:szCs w:val="24"/>
          <w:shd w:val="clear" w:color="auto" w:fill="FFFFFF"/>
          <w:lang w:val="es-ES_tradnl"/>
        </w:rPr>
      </w:pPr>
      <w:r w:rsidRPr="00C45CD5">
        <w:rPr>
          <w:rFonts w:asciiTheme="majorHAnsi" w:hAnsiTheme="majorHAnsi" w:cstheme="majorHAnsi"/>
          <w:b/>
          <w:iCs/>
          <w:noProof/>
          <w:color w:val="000000"/>
          <w:sz w:val="24"/>
          <w:szCs w:val="24"/>
          <w:shd w:val="clear" w:color="auto" w:fill="FFFFFF"/>
          <w:lang w:val="es-ES_tradnl"/>
        </w:rPr>
        <w:lastRenderedPageBreak/>
        <w:drawing>
          <wp:inline distT="0" distB="0" distL="0" distR="0" wp14:anchorId="5FD7136B" wp14:editId="452F60AA">
            <wp:extent cx="5873750" cy="2288540"/>
            <wp:effectExtent l="0" t="0" r="0" b="0"/>
            <wp:docPr id="3239003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00317" name=""/>
                    <pic:cNvPicPr/>
                  </pic:nvPicPr>
                  <pic:blipFill rotWithShape="1">
                    <a:blip r:embed="rId11"/>
                    <a:srcRect l="649" t="2463" r="-649" b="-1095"/>
                    <a:stretch>
                      <a:fillRect/>
                    </a:stretch>
                  </pic:blipFill>
                  <pic:spPr bwMode="auto">
                    <a:xfrm>
                      <a:off x="0" y="0"/>
                      <a:ext cx="5873750" cy="2288540"/>
                    </a:xfrm>
                    <a:prstGeom prst="rect">
                      <a:avLst/>
                    </a:prstGeom>
                    <a:ln>
                      <a:noFill/>
                    </a:ln>
                    <a:extLst>
                      <a:ext uri="{53640926-AAD7-44D8-BBD7-CCE9431645EC}">
                        <a14:shadowObscured xmlns:a14="http://schemas.microsoft.com/office/drawing/2010/main"/>
                      </a:ext>
                    </a:extLst>
                  </pic:spPr>
                </pic:pic>
              </a:graphicData>
            </a:graphic>
          </wp:inline>
        </w:drawing>
      </w:r>
    </w:p>
    <w:p w14:paraId="5712B76D" w14:textId="77777777" w:rsidR="008A3BA9" w:rsidRPr="008F7EEE" w:rsidRDefault="008A3BA9" w:rsidP="008A3BA9">
      <w:pPr>
        <w:pStyle w:val="Prrafodelista"/>
        <w:spacing w:after="0" w:line="240" w:lineRule="auto"/>
        <w:ind w:left="0"/>
        <w:jc w:val="both"/>
        <w:rPr>
          <w:rFonts w:asciiTheme="majorHAnsi" w:hAnsiTheme="majorHAnsi" w:cstheme="majorHAnsi"/>
          <w:bCs/>
          <w:iCs/>
          <w:color w:val="000000"/>
          <w:sz w:val="24"/>
          <w:szCs w:val="24"/>
          <w:shd w:val="clear" w:color="auto" w:fill="FFFFFF"/>
          <w:lang w:val="es-ES_tradnl"/>
        </w:rPr>
      </w:pPr>
    </w:p>
    <w:p w14:paraId="0413C1E5" w14:textId="1D8DB80F" w:rsidR="008A3BA9" w:rsidRPr="008F7EEE" w:rsidRDefault="008A3BA9" w:rsidP="008A3BA9">
      <w:pPr>
        <w:jc w:val="both"/>
        <w:rPr>
          <w:rFonts w:asciiTheme="majorHAnsi" w:hAnsiTheme="majorHAnsi" w:cstheme="majorHAnsi"/>
          <w:bCs/>
          <w:iCs/>
          <w:color w:val="000000"/>
          <w:shd w:val="clear" w:color="auto" w:fill="FFFFFF"/>
          <w:lang w:val="es-ES_tradnl"/>
        </w:rPr>
      </w:pPr>
      <w:r w:rsidRPr="008F7EEE">
        <w:rPr>
          <w:rFonts w:asciiTheme="majorHAnsi" w:hAnsiTheme="majorHAnsi" w:cstheme="majorHAnsi"/>
          <w:b/>
          <w:iCs/>
          <w:color w:val="000000"/>
          <w:shd w:val="clear" w:color="auto" w:fill="FFFFFF"/>
          <w:lang w:val="es-ES_tradnl"/>
        </w:rPr>
        <w:t>Fuente:</w:t>
      </w:r>
      <w:r w:rsidRPr="008F7EEE">
        <w:rPr>
          <w:rFonts w:asciiTheme="majorHAnsi" w:hAnsiTheme="majorHAnsi" w:cstheme="majorHAnsi"/>
          <w:bCs/>
          <w:iCs/>
          <w:color w:val="000000"/>
          <w:shd w:val="clear" w:color="auto" w:fill="FFFFFF"/>
          <w:lang w:val="es-ES_tradnl"/>
        </w:rPr>
        <w:t xml:space="preserve"> DANE, IPC (</w:t>
      </w:r>
      <w:hyperlink r:id="rId12" w:history="1">
        <w:r w:rsidR="00272EFF" w:rsidRPr="00272EFF">
          <w:rPr>
            <w:rStyle w:val="Hipervnculo"/>
            <w:rFonts w:asciiTheme="majorHAnsi" w:hAnsiTheme="majorHAnsi" w:cstheme="majorHAnsi"/>
            <w:bCs/>
            <w:iCs/>
            <w:shd w:val="clear" w:color="auto" w:fill="FFFFFF"/>
          </w:rPr>
          <w:t>bol-IPC-feb2026.pdf</w:t>
        </w:r>
      </w:hyperlink>
      <w:r w:rsidRPr="008F7EEE">
        <w:rPr>
          <w:rFonts w:asciiTheme="majorHAnsi" w:hAnsiTheme="majorHAnsi" w:cstheme="majorHAnsi"/>
          <w:bCs/>
          <w:iCs/>
          <w:color w:val="000000"/>
          <w:shd w:val="clear" w:color="auto" w:fill="FFFFFF"/>
          <w:lang w:val="es-ES_tradnl"/>
        </w:rPr>
        <w:t>)</w:t>
      </w:r>
    </w:p>
    <w:p w14:paraId="0A551F42" w14:textId="3CF2E3C6" w:rsidR="008A3BA9" w:rsidRDefault="008A3BA9" w:rsidP="00BC2CBD">
      <w:pPr>
        <w:jc w:val="both"/>
        <w:rPr>
          <w:rFonts w:asciiTheme="majorHAnsi" w:hAnsiTheme="majorHAnsi" w:cstheme="majorHAnsi"/>
          <w:bCs/>
          <w:iCs/>
          <w:color w:val="000000"/>
          <w:shd w:val="clear" w:color="auto" w:fill="FFFFFF"/>
          <w:lang w:val="es-ES_tradnl"/>
        </w:rPr>
      </w:pPr>
      <w:r w:rsidRPr="008F7EEE">
        <w:rPr>
          <w:rFonts w:asciiTheme="majorHAnsi" w:hAnsiTheme="majorHAnsi" w:cstheme="majorHAnsi"/>
          <w:b/>
          <w:iCs/>
          <w:color w:val="000000"/>
          <w:shd w:val="clear" w:color="auto" w:fill="FFFFFF"/>
          <w:lang w:val="es-ES_tradnl"/>
        </w:rPr>
        <w:t>Nota:</w:t>
      </w:r>
      <w:r w:rsidRPr="008F7EEE">
        <w:rPr>
          <w:rFonts w:asciiTheme="majorHAnsi" w:hAnsiTheme="majorHAnsi" w:cstheme="majorHAnsi"/>
          <w:bCs/>
          <w:iCs/>
          <w:color w:val="000000"/>
          <w:shd w:val="clear" w:color="auto" w:fill="FFFFFF"/>
          <w:lang w:val="es-ES_tradnl"/>
        </w:rPr>
        <w:t xml:space="preserve"> La diferencia en la suma de las variables obedece al sistema de aproximación en el nivel de dígitos trabajados en el</w:t>
      </w:r>
      <w:r w:rsidR="00BC2CBD">
        <w:rPr>
          <w:rFonts w:asciiTheme="majorHAnsi" w:hAnsiTheme="majorHAnsi" w:cstheme="majorHAnsi"/>
          <w:bCs/>
          <w:iCs/>
          <w:color w:val="000000"/>
          <w:shd w:val="clear" w:color="auto" w:fill="FFFFFF"/>
          <w:lang w:val="es-ES_tradnl"/>
        </w:rPr>
        <w:t xml:space="preserve"> </w:t>
      </w:r>
      <w:r w:rsidRPr="008F7EEE">
        <w:rPr>
          <w:rFonts w:asciiTheme="majorHAnsi" w:hAnsiTheme="majorHAnsi" w:cstheme="majorHAnsi"/>
          <w:bCs/>
          <w:iCs/>
          <w:color w:val="000000"/>
          <w:shd w:val="clear" w:color="auto" w:fill="FFFFFF"/>
          <w:lang w:val="es-ES_tradnl"/>
        </w:rPr>
        <w:t>índice.</w:t>
      </w:r>
    </w:p>
    <w:p w14:paraId="2EFA4797" w14:textId="77777777" w:rsidR="00272EFF" w:rsidRDefault="00272EFF" w:rsidP="00BC2CBD">
      <w:pPr>
        <w:jc w:val="both"/>
        <w:rPr>
          <w:rFonts w:asciiTheme="majorHAnsi" w:hAnsiTheme="majorHAnsi" w:cstheme="majorHAnsi"/>
          <w:bCs/>
          <w:iCs/>
          <w:color w:val="000000"/>
          <w:shd w:val="clear" w:color="auto" w:fill="FFFFFF"/>
          <w:lang w:val="es-ES_tradnl"/>
        </w:rPr>
      </w:pPr>
    </w:p>
    <w:p w14:paraId="58D50038" w14:textId="3EC02A6A" w:rsidR="00272EFF" w:rsidRPr="008F7EEE" w:rsidRDefault="00272EFF" w:rsidP="00BC2CBD">
      <w:pPr>
        <w:jc w:val="both"/>
        <w:rPr>
          <w:rFonts w:asciiTheme="majorHAnsi" w:hAnsiTheme="majorHAnsi" w:cstheme="majorHAnsi"/>
          <w:bCs/>
          <w:iCs/>
          <w:color w:val="000000"/>
          <w:shd w:val="clear" w:color="auto" w:fill="FFFFFF"/>
          <w:lang w:val="es-ES_tradnl"/>
        </w:rPr>
      </w:pPr>
      <w:r w:rsidRPr="00272EFF">
        <w:rPr>
          <w:rFonts w:asciiTheme="majorHAnsi" w:hAnsiTheme="majorHAnsi" w:cstheme="majorHAnsi"/>
          <w:bCs/>
          <w:iCs/>
          <w:color w:val="000000"/>
          <w:shd w:val="clear" w:color="auto" w:fill="FFFFFF"/>
        </w:rPr>
        <w:t>Los mayores aportes a la variación anual se registraron en las divisiones de: Alojamiento, agua, electricidad, gas y otros combustibles, Alimentos y bebidas no alcohólicas, Restaurantes y hoteles, Transporte y Educación, las cuales en conjunto contribuyeron con 4,38 puntos porcentuales al acumulado anual de dicha variación.</w:t>
      </w:r>
    </w:p>
    <w:p w14:paraId="7E9CD6A1" w14:textId="77777777" w:rsidR="008A3BA9" w:rsidRPr="008F7EEE" w:rsidRDefault="008A3BA9" w:rsidP="008A3BA9">
      <w:pPr>
        <w:pStyle w:val="Prrafodelista"/>
        <w:spacing w:after="0" w:line="240" w:lineRule="auto"/>
        <w:ind w:left="0"/>
        <w:jc w:val="both"/>
        <w:rPr>
          <w:rFonts w:asciiTheme="majorHAnsi" w:hAnsiTheme="majorHAnsi" w:cstheme="majorHAnsi"/>
          <w:bCs/>
          <w:iCs/>
          <w:color w:val="000000"/>
          <w:sz w:val="24"/>
          <w:szCs w:val="24"/>
          <w:shd w:val="clear" w:color="auto" w:fill="FFFFFF"/>
          <w:lang w:val="es-ES_tradnl"/>
        </w:rPr>
      </w:pPr>
    </w:p>
    <w:p w14:paraId="61E2CC68" w14:textId="564FE48D" w:rsidR="008A3BA9" w:rsidRPr="008F7EEE" w:rsidRDefault="00DB3FA8" w:rsidP="008A3BA9">
      <w:pPr>
        <w:pStyle w:val="Prrafodelista"/>
        <w:spacing w:after="0" w:line="240" w:lineRule="auto"/>
        <w:ind w:left="0"/>
        <w:jc w:val="both"/>
        <w:rPr>
          <w:rFonts w:asciiTheme="majorHAnsi" w:hAnsiTheme="majorHAnsi" w:cstheme="majorHAnsi"/>
          <w:bCs/>
          <w:iCs/>
          <w:color w:val="000000"/>
          <w:sz w:val="24"/>
          <w:szCs w:val="24"/>
          <w:shd w:val="clear" w:color="auto" w:fill="FFFFFF"/>
          <w:lang w:val="es-ES_tradnl"/>
        </w:rPr>
      </w:pPr>
      <w:r w:rsidRPr="00DB3FA8">
        <w:rPr>
          <w:rFonts w:asciiTheme="majorHAnsi" w:hAnsiTheme="majorHAnsi" w:cstheme="majorHAnsi"/>
          <w:bCs/>
          <w:iCs/>
          <w:noProof/>
          <w:color w:val="000000"/>
          <w:sz w:val="24"/>
          <w:szCs w:val="24"/>
          <w:shd w:val="clear" w:color="auto" w:fill="FFFFFF"/>
          <w:lang w:val="es-ES_tradnl"/>
        </w:rPr>
        <w:drawing>
          <wp:inline distT="0" distB="0" distL="0" distR="0" wp14:anchorId="51FFD534" wp14:editId="20DFD526">
            <wp:extent cx="5873750" cy="3053080"/>
            <wp:effectExtent l="0" t="0" r="0" b="0"/>
            <wp:docPr id="659837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37505" name=""/>
                    <pic:cNvPicPr/>
                  </pic:nvPicPr>
                  <pic:blipFill>
                    <a:blip r:embed="rId13"/>
                    <a:stretch>
                      <a:fillRect/>
                    </a:stretch>
                  </pic:blipFill>
                  <pic:spPr>
                    <a:xfrm>
                      <a:off x="0" y="0"/>
                      <a:ext cx="5873750" cy="3053080"/>
                    </a:xfrm>
                    <a:prstGeom prst="rect">
                      <a:avLst/>
                    </a:prstGeom>
                  </pic:spPr>
                </pic:pic>
              </a:graphicData>
            </a:graphic>
          </wp:inline>
        </w:drawing>
      </w:r>
    </w:p>
    <w:p w14:paraId="54C89D9A" w14:textId="77777777" w:rsidR="008A3BA9" w:rsidRPr="008F7EEE" w:rsidRDefault="008A3BA9" w:rsidP="008A3BA9">
      <w:pPr>
        <w:pStyle w:val="Prrafodelista"/>
        <w:spacing w:after="0" w:line="240" w:lineRule="auto"/>
        <w:ind w:left="0"/>
        <w:jc w:val="both"/>
        <w:rPr>
          <w:rFonts w:asciiTheme="majorHAnsi" w:hAnsiTheme="majorHAnsi" w:cstheme="majorHAnsi"/>
          <w:bCs/>
          <w:iCs/>
          <w:color w:val="000000"/>
          <w:sz w:val="24"/>
          <w:szCs w:val="24"/>
          <w:shd w:val="clear" w:color="auto" w:fill="FFFFFF"/>
          <w:lang w:val="es-ES_tradnl"/>
        </w:rPr>
      </w:pPr>
    </w:p>
    <w:p w14:paraId="2F530566" w14:textId="3DD451C2" w:rsidR="008A3BA9" w:rsidRPr="008F7EEE" w:rsidRDefault="008A3BA9" w:rsidP="008A3BA9">
      <w:pPr>
        <w:jc w:val="both"/>
        <w:rPr>
          <w:rFonts w:asciiTheme="majorHAnsi" w:hAnsiTheme="majorHAnsi" w:cstheme="majorHAnsi"/>
          <w:bCs/>
          <w:iCs/>
          <w:color w:val="000000"/>
          <w:shd w:val="clear" w:color="auto" w:fill="FFFFFF"/>
          <w:lang w:val="es-ES_tradnl"/>
        </w:rPr>
      </w:pPr>
      <w:r w:rsidRPr="008F7EEE">
        <w:rPr>
          <w:rFonts w:asciiTheme="majorHAnsi" w:hAnsiTheme="majorHAnsi" w:cstheme="majorHAnsi"/>
          <w:bCs/>
          <w:iCs/>
          <w:color w:val="000000"/>
          <w:shd w:val="clear" w:color="auto" w:fill="FFFFFF"/>
          <w:lang w:val="es-ES_tradnl"/>
        </w:rPr>
        <w:t xml:space="preserve">Así durante el mes de </w:t>
      </w:r>
      <w:r w:rsidR="00DB3FA8">
        <w:rPr>
          <w:rFonts w:asciiTheme="majorHAnsi" w:hAnsiTheme="majorHAnsi" w:cstheme="majorHAnsi"/>
          <w:bCs/>
          <w:iCs/>
          <w:color w:val="000000"/>
          <w:shd w:val="clear" w:color="auto" w:fill="FFFFFF"/>
          <w:lang w:val="es-ES_tradnl"/>
        </w:rPr>
        <w:t>FEBRERO</w:t>
      </w:r>
      <w:r w:rsidRPr="008F7EEE">
        <w:rPr>
          <w:rFonts w:asciiTheme="majorHAnsi" w:hAnsiTheme="majorHAnsi" w:cstheme="majorHAnsi"/>
          <w:bCs/>
          <w:iCs/>
          <w:color w:val="000000"/>
          <w:shd w:val="clear" w:color="auto" w:fill="FFFFFF"/>
          <w:lang w:val="es-ES_tradnl"/>
        </w:rPr>
        <w:t xml:space="preserve"> de 202</w:t>
      </w:r>
      <w:r w:rsidR="00BC2CBD">
        <w:rPr>
          <w:rFonts w:asciiTheme="majorHAnsi" w:hAnsiTheme="majorHAnsi" w:cstheme="majorHAnsi"/>
          <w:bCs/>
          <w:iCs/>
          <w:color w:val="000000"/>
          <w:shd w:val="clear" w:color="auto" w:fill="FFFFFF"/>
          <w:lang w:val="es-ES_tradnl"/>
        </w:rPr>
        <w:t>6</w:t>
      </w:r>
      <w:r w:rsidRPr="008F7EEE">
        <w:rPr>
          <w:rFonts w:asciiTheme="majorHAnsi" w:hAnsiTheme="majorHAnsi" w:cstheme="majorHAnsi"/>
          <w:bCs/>
          <w:iCs/>
          <w:color w:val="000000"/>
          <w:shd w:val="clear" w:color="auto" w:fill="FFFFFF"/>
          <w:lang w:val="es-ES_tradnl"/>
        </w:rPr>
        <w:t xml:space="preserve"> en la ciudad de Villavicencio el sector de </w:t>
      </w:r>
      <w:r w:rsidR="000C580D">
        <w:rPr>
          <w:rFonts w:asciiTheme="majorHAnsi" w:hAnsiTheme="majorHAnsi" w:cstheme="majorHAnsi"/>
          <w:bCs/>
          <w:iCs/>
          <w:color w:val="000000"/>
          <w:shd w:val="clear" w:color="auto" w:fill="FFFFFF"/>
          <w:lang w:val="es-ES_tradnl"/>
        </w:rPr>
        <w:t>la salud</w:t>
      </w:r>
      <w:r w:rsidRPr="008F7EEE">
        <w:rPr>
          <w:rFonts w:asciiTheme="majorHAnsi" w:hAnsiTheme="majorHAnsi" w:cstheme="majorHAnsi"/>
          <w:bCs/>
          <w:iCs/>
          <w:color w:val="000000"/>
          <w:shd w:val="clear" w:color="auto" w:fill="FFFFFF"/>
          <w:lang w:val="es-ES_tradnl"/>
        </w:rPr>
        <w:t xml:space="preserve"> tuvieron un incremento de </w:t>
      </w:r>
      <w:r w:rsidR="000C580D">
        <w:rPr>
          <w:rFonts w:asciiTheme="majorHAnsi" w:hAnsiTheme="majorHAnsi" w:cstheme="majorHAnsi"/>
          <w:bCs/>
          <w:iCs/>
          <w:color w:val="000000"/>
          <w:shd w:val="clear" w:color="auto" w:fill="FFFFFF"/>
          <w:lang w:val="es-ES_tradnl"/>
        </w:rPr>
        <w:t>1.06</w:t>
      </w:r>
      <w:r w:rsidRPr="008F7EEE">
        <w:rPr>
          <w:rFonts w:asciiTheme="majorHAnsi" w:hAnsiTheme="majorHAnsi" w:cstheme="majorHAnsi"/>
          <w:bCs/>
          <w:iCs/>
          <w:color w:val="000000"/>
          <w:shd w:val="clear" w:color="auto" w:fill="FFFFFF"/>
          <w:lang w:val="es-ES_tradnl"/>
        </w:rPr>
        <w:t>% en lo corrido del MES como se puede establecer en la información reportada en el DANE:</w:t>
      </w:r>
    </w:p>
    <w:p w14:paraId="1F02D57A" w14:textId="77777777" w:rsidR="008A3BA9" w:rsidRPr="008F7EEE" w:rsidRDefault="008A3BA9" w:rsidP="008A3BA9">
      <w:pPr>
        <w:jc w:val="both"/>
        <w:rPr>
          <w:rFonts w:asciiTheme="majorHAnsi" w:hAnsiTheme="majorHAnsi" w:cstheme="majorHAnsi"/>
          <w:bCs/>
          <w:iCs/>
          <w:color w:val="000000"/>
          <w:shd w:val="clear" w:color="auto" w:fill="FFFFFF"/>
          <w:lang w:val="es-ES_tradnl"/>
        </w:rPr>
      </w:pPr>
    </w:p>
    <w:p w14:paraId="4AC45E5F" w14:textId="18B9E786" w:rsidR="008A3BA9" w:rsidRDefault="000311B7" w:rsidP="008A3BA9">
      <w:pPr>
        <w:ind w:left="-567" w:right="-531"/>
        <w:jc w:val="both"/>
        <w:rPr>
          <w:rFonts w:asciiTheme="majorHAnsi" w:hAnsiTheme="majorHAnsi" w:cstheme="majorHAnsi"/>
          <w:bCs/>
          <w:iCs/>
          <w:color w:val="000000"/>
          <w:shd w:val="clear" w:color="auto" w:fill="FFFFFF"/>
        </w:rPr>
      </w:pPr>
      <w:r w:rsidRPr="000311B7">
        <w:rPr>
          <w:noProof/>
        </w:rPr>
        <w:drawing>
          <wp:inline distT="0" distB="0" distL="0" distR="0" wp14:anchorId="70A6FF9B" wp14:editId="006DA059">
            <wp:extent cx="6741567" cy="2343150"/>
            <wp:effectExtent l="0" t="0" r="2540" b="0"/>
            <wp:docPr id="551964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45295" cy="2344446"/>
                    </a:xfrm>
                    <a:prstGeom prst="rect">
                      <a:avLst/>
                    </a:prstGeom>
                    <a:noFill/>
                    <a:ln>
                      <a:noFill/>
                    </a:ln>
                  </pic:spPr>
                </pic:pic>
              </a:graphicData>
            </a:graphic>
          </wp:inline>
        </w:drawing>
      </w:r>
    </w:p>
    <w:p w14:paraId="1AE486C7" w14:textId="77777777" w:rsidR="00563B3B" w:rsidRPr="008F7EEE" w:rsidRDefault="00563B3B" w:rsidP="008A3BA9">
      <w:pPr>
        <w:ind w:left="-567" w:right="-531"/>
        <w:jc w:val="both"/>
        <w:rPr>
          <w:rFonts w:asciiTheme="majorHAnsi" w:hAnsiTheme="majorHAnsi" w:cstheme="majorHAnsi"/>
          <w:bCs/>
          <w:iCs/>
          <w:color w:val="000000"/>
          <w:shd w:val="clear" w:color="auto" w:fill="FFFFFF"/>
        </w:rPr>
      </w:pPr>
    </w:p>
    <w:p w14:paraId="6A652D10" w14:textId="24C249DC" w:rsidR="008A3BA9" w:rsidRDefault="008A3BA9" w:rsidP="008A3BA9">
      <w:pPr>
        <w:jc w:val="both"/>
        <w:rPr>
          <w:rFonts w:asciiTheme="majorHAnsi" w:hAnsiTheme="majorHAnsi" w:cstheme="majorHAnsi"/>
          <w:bCs/>
          <w:iCs/>
          <w:color w:val="000000"/>
          <w:shd w:val="clear" w:color="auto" w:fill="FFFFFF"/>
          <w:lang w:val="es-ES_tradnl"/>
        </w:rPr>
      </w:pPr>
      <w:r w:rsidRPr="008F7EEE">
        <w:rPr>
          <w:rFonts w:asciiTheme="majorHAnsi" w:hAnsiTheme="majorHAnsi" w:cstheme="majorHAnsi"/>
          <w:b/>
          <w:iCs/>
          <w:color w:val="000000"/>
          <w:shd w:val="clear" w:color="auto" w:fill="FFFFFF"/>
          <w:lang w:val="es-ES_tradnl"/>
        </w:rPr>
        <w:t>Fuente:</w:t>
      </w:r>
      <w:r w:rsidRPr="008F7EEE">
        <w:rPr>
          <w:rFonts w:asciiTheme="majorHAnsi" w:hAnsiTheme="majorHAnsi" w:cstheme="majorHAnsi"/>
          <w:bCs/>
          <w:iCs/>
          <w:color w:val="000000"/>
          <w:shd w:val="clear" w:color="auto" w:fill="FFFFFF"/>
          <w:lang w:val="es-ES_tradnl"/>
        </w:rPr>
        <w:t xml:space="preserve"> DANE, IPC (</w:t>
      </w:r>
      <w:hyperlink r:id="rId15" w:history="1">
        <w:r w:rsidR="00A4780C" w:rsidRPr="00A4780C">
          <w:rPr>
            <w:rStyle w:val="Hipervnculo"/>
            <w:rFonts w:asciiTheme="majorHAnsi" w:hAnsiTheme="majorHAnsi" w:cstheme="majorHAnsi"/>
            <w:bCs/>
            <w:iCs/>
            <w:shd w:val="clear" w:color="auto" w:fill="FFFFFF"/>
          </w:rPr>
          <w:t>anex-IPC-feb2026.xlsx</w:t>
        </w:r>
      </w:hyperlink>
      <w:r w:rsidRPr="008F7EEE">
        <w:rPr>
          <w:rFonts w:asciiTheme="majorHAnsi" w:hAnsiTheme="majorHAnsi" w:cstheme="majorHAnsi"/>
          <w:bCs/>
          <w:iCs/>
          <w:color w:val="000000"/>
          <w:shd w:val="clear" w:color="auto" w:fill="FFFFFF"/>
          <w:lang w:val="es-ES_tradnl"/>
        </w:rPr>
        <w:t>)</w:t>
      </w:r>
    </w:p>
    <w:p w14:paraId="1967EAB6" w14:textId="77777777" w:rsidR="00563B3B" w:rsidRPr="008F7EEE" w:rsidRDefault="00563B3B" w:rsidP="008A3BA9">
      <w:pPr>
        <w:jc w:val="both"/>
        <w:rPr>
          <w:rFonts w:asciiTheme="majorHAnsi" w:hAnsiTheme="majorHAnsi" w:cstheme="majorHAnsi"/>
          <w:bCs/>
          <w:iCs/>
          <w:color w:val="000000"/>
          <w:shd w:val="clear" w:color="auto" w:fill="FFFFFF"/>
          <w:lang w:val="es-ES_tradnl"/>
        </w:rPr>
      </w:pPr>
    </w:p>
    <w:tbl>
      <w:tblPr>
        <w:tblW w:w="14680" w:type="dxa"/>
        <w:tblCellMar>
          <w:left w:w="70" w:type="dxa"/>
          <w:right w:w="70" w:type="dxa"/>
        </w:tblCellMar>
        <w:tblLook w:val="04A0" w:firstRow="1" w:lastRow="0" w:firstColumn="1" w:lastColumn="0" w:noHBand="0" w:noVBand="1"/>
      </w:tblPr>
      <w:tblGrid>
        <w:gridCol w:w="12880"/>
        <w:gridCol w:w="1800"/>
      </w:tblGrid>
      <w:tr w:rsidR="008A3BA9" w:rsidRPr="008F7EEE" w14:paraId="56ABCFFE" w14:textId="77777777" w:rsidTr="00EC5B3C">
        <w:trPr>
          <w:trHeight w:val="300"/>
        </w:trPr>
        <w:tc>
          <w:tcPr>
            <w:tcW w:w="12880" w:type="dxa"/>
            <w:tcBorders>
              <w:top w:val="nil"/>
              <w:left w:val="nil"/>
              <w:bottom w:val="nil"/>
              <w:right w:val="nil"/>
            </w:tcBorders>
            <w:shd w:val="clear" w:color="000000" w:fill="FFFFFF"/>
            <w:vAlign w:val="center"/>
            <w:hideMark/>
          </w:tcPr>
          <w:p w14:paraId="467EB4C0" w14:textId="77777777" w:rsidR="008A3BA9" w:rsidRPr="008F7EEE" w:rsidRDefault="008A3BA9" w:rsidP="00EC5B3C">
            <w:pPr>
              <w:rPr>
                <w:rFonts w:asciiTheme="majorHAnsi" w:hAnsiTheme="majorHAnsi" w:cstheme="majorHAnsi"/>
              </w:rPr>
            </w:pPr>
            <w:r w:rsidRPr="008F7EEE">
              <w:rPr>
                <w:rFonts w:asciiTheme="majorHAnsi" w:hAnsiTheme="majorHAnsi" w:cstheme="majorHAnsi"/>
                <w:b/>
                <w:bCs/>
              </w:rPr>
              <w:t>Nota</w:t>
            </w:r>
            <w:r w:rsidRPr="008F7EEE">
              <w:rPr>
                <w:rFonts w:asciiTheme="majorHAnsi" w:hAnsiTheme="majorHAnsi" w:cstheme="majorHAnsi"/>
              </w:rPr>
              <w:t>: La diferencia en la suma de las variables, obedece al sistema de aproximación y redondeo.</w:t>
            </w:r>
          </w:p>
        </w:tc>
        <w:tc>
          <w:tcPr>
            <w:tcW w:w="1800" w:type="dxa"/>
            <w:tcBorders>
              <w:top w:val="nil"/>
              <w:left w:val="nil"/>
              <w:bottom w:val="nil"/>
              <w:right w:val="nil"/>
            </w:tcBorders>
            <w:noWrap/>
            <w:vAlign w:val="bottom"/>
            <w:hideMark/>
          </w:tcPr>
          <w:p w14:paraId="05E8FFD9" w14:textId="77777777" w:rsidR="008A3BA9" w:rsidRPr="008F7EEE" w:rsidRDefault="008A3BA9" w:rsidP="00EC5B3C">
            <w:pPr>
              <w:rPr>
                <w:rFonts w:asciiTheme="majorHAnsi" w:hAnsiTheme="majorHAnsi" w:cstheme="majorHAnsi"/>
              </w:rPr>
            </w:pPr>
          </w:p>
        </w:tc>
      </w:tr>
      <w:tr w:rsidR="008A3BA9" w:rsidRPr="008F7EEE" w14:paraId="63159B69" w14:textId="77777777" w:rsidTr="00EC5B3C">
        <w:trPr>
          <w:trHeight w:val="280"/>
        </w:trPr>
        <w:tc>
          <w:tcPr>
            <w:tcW w:w="14680" w:type="dxa"/>
            <w:gridSpan w:val="2"/>
            <w:tcBorders>
              <w:top w:val="nil"/>
              <w:left w:val="nil"/>
              <w:bottom w:val="nil"/>
              <w:right w:val="nil"/>
            </w:tcBorders>
            <w:noWrap/>
            <w:vAlign w:val="center"/>
            <w:hideMark/>
          </w:tcPr>
          <w:p w14:paraId="1CF71DD2" w14:textId="7FAA0A28" w:rsidR="00BB157B" w:rsidRDefault="00A4780C" w:rsidP="00EC5B3C">
            <w:pPr>
              <w:rPr>
                <w:rFonts w:asciiTheme="majorHAnsi" w:hAnsiTheme="majorHAnsi" w:cstheme="majorHAnsi"/>
                <w:b/>
                <w:bCs/>
              </w:rPr>
            </w:pPr>
            <w:r w:rsidRPr="00A4780C">
              <w:rPr>
                <w:rFonts w:asciiTheme="majorHAnsi" w:hAnsiTheme="majorHAnsi" w:cstheme="majorHAnsi"/>
                <w:b/>
                <w:bCs/>
              </w:rPr>
              <w:t xml:space="preserve">Actualizado el 6 de </w:t>
            </w:r>
            <w:r w:rsidR="00273A69" w:rsidRPr="00A4780C">
              <w:rPr>
                <w:rFonts w:asciiTheme="majorHAnsi" w:hAnsiTheme="majorHAnsi" w:cstheme="majorHAnsi"/>
                <w:b/>
                <w:bCs/>
              </w:rPr>
              <w:t>marzo</w:t>
            </w:r>
            <w:r w:rsidRPr="00A4780C">
              <w:rPr>
                <w:rFonts w:asciiTheme="majorHAnsi" w:hAnsiTheme="majorHAnsi" w:cstheme="majorHAnsi"/>
                <w:b/>
                <w:bCs/>
              </w:rPr>
              <w:t xml:space="preserve"> de 2026</w:t>
            </w:r>
            <w:r w:rsidRPr="00A4780C">
              <w:rPr>
                <w:rFonts w:asciiTheme="majorHAnsi" w:hAnsiTheme="majorHAnsi" w:cstheme="majorHAnsi"/>
                <w:b/>
                <w:bCs/>
              </w:rPr>
              <w:tab/>
            </w:r>
            <w:r w:rsidRPr="00A4780C">
              <w:rPr>
                <w:rFonts w:asciiTheme="majorHAnsi" w:hAnsiTheme="majorHAnsi" w:cstheme="majorHAnsi"/>
                <w:b/>
                <w:bCs/>
              </w:rPr>
              <w:tab/>
            </w:r>
            <w:r w:rsidRPr="00A4780C">
              <w:rPr>
                <w:rFonts w:asciiTheme="majorHAnsi" w:hAnsiTheme="majorHAnsi" w:cstheme="majorHAnsi"/>
                <w:b/>
                <w:bCs/>
              </w:rPr>
              <w:tab/>
            </w:r>
            <w:r w:rsidRPr="00A4780C">
              <w:rPr>
                <w:rFonts w:asciiTheme="majorHAnsi" w:hAnsiTheme="majorHAnsi" w:cstheme="majorHAnsi"/>
                <w:b/>
                <w:bCs/>
              </w:rPr>
              <w:tab/>
            </w:r>
            <w:r w:rsidRPr="00A4780C">
              <w:rPr>
                <w:rFonts w:asciiTheme="majorHAnsi" w:hAnsiTheme="majorHAnsi" w:cstheme="majorHAnsi"/>
                <w:b/>
                <w:bCs/>
              </w:rPr>
              <w:tab/>
            </w:r>
            <w:r w:rsidRPr="00A4780C">
              <w:rPr>
                <w:rFonts w:asciiTheme="majorHAnsi" w:hAnsiTheme="majorHAnsi" w:cstheme="majorHAnsi"/>
                <w:b/>
                <w:bCs/>
              </w:rPr>
              <w:tab/>
            </w:r>
            <w:r w:rsidRPr="00A4780C">
              <w:rPr>
                <w:rFonts w:asciiTheme="majorHAnsi" w:hAnsiTheme="majorHAnsi" w:cstheme="majorHAnsi"/>
                <w:b/>
                <w:bCs/>
              </w:rPr>
              <w:tab/>
            </w:r>
          </w:p>
          <w:p w14:paraId="18572AE7" w14:textId="77777777" w:rsidR="00563B3B" w:rsidRPr="008F7EEE" w:rsidRDefault="00563B3B" w:rsidP="00EC5B3C">
            <w:pPr>
              <w:rPr>
                <w:rFonts w:asciiTheme="majorHAnsi" w:hAnsiTheme="majorHAnsi" w:cstheme="majorHAnsi"/>
                <w:b/>
                <w:bCs/>
              </w:rPr>
            </w:pPr>
          </w:p>
        </w:tc>
      </w:tr>
    </w:tbl>
    <w:p w14:paraId="4EF7ED86" w14:textId="4F90E832" w:rsidR="008A3BA9" w:rsidRDefault="00563B3B" w:rsidP="008A3BA9">
      <w:pPr>
        <w:pStyle w:val="Prrafodelista"/>
        <w:ind w:left="0"/>
        <w:jc w:val="both"/>
        <w:rPr>
          <w:rFonts w:asciiTheme="majorHAnsi" w:hAnsiTheme="majorHAnsi" w:cstheme="majorHAnsi"/>
          <w:noProof/>
          <w:sz w:val="24"/>
          <w:szCs w:val="24"/>
        </w:rPr>
      </w:pPr>
      <w:r>
        <w:rPr>
          <w:rFonts w:asciiTheme="majorHAnsi" w:hAnsiTheme="majorHAnsi" w:cstheme="majorHAnsi"/>
          <w:bCs/>
          <w:iCs/>
          <w:color w:val="000000"/>
          <w:sz w:val="24"/>
          <w:szCs w:val="24"/>
          <w:shd w:val="clear" w:color="auto" w:fill="FFFFFF"/>
          <w:lang w:val="es-ES_tradnl"/>
        </w:rPr>
        <w:t>A</w:t>
      </w:r>
      <w:r w:rsidR="008A3BA9" w:rsidRPr="008F7EEE">
        <w:rPr>
          <w:rFonts w:asciiTheme="majorHAnsi" w:hAnsiTheme="majorHAnsi" w:cstheme="majorHAnsi"/>
          <w:bCs/>
          <w:iCs/>
          <w:color w:val="000000"/>
          <w:sz w:val="24"/>
          <w:szCs w:val="24"/>
          <w:shd w:val="clear" w:color="auto" w:fill="FFFFFF"/>
          <w:lang w:val="es-ES_tradnl"/>
        </w:rPr>
        <w:t xml:space="preserve">sí mismo el IPC de la ciudad de Villavicencio para el mes de </w:t>
      </w:r>
      <w:r w:rsidR="00DF7D21">
        <w:rPr>
          <w:rFonts w:asciiTheme="majorHAnsi" w:hAnsiTheme="majorHAnsi" w:cstheme="majorHAnsi"/>
          <w:bCs/>
          <w:iCs/>
          <w:color w:val="000000"/>
          <w:sz w:val="24"/>
          <w:szCs w:val="24"/>
          <w:shd w:val="clear" w:color="auto" w:fill="FFFFFF"/>
          <w:lang w:val="es-ES_tradnl"/>
        </w:rPr>
        <w:t>FEBRERO</w:t>
      </w:r>
      <w:r w:rsidR="008A3BA9" w:rsidRPr="008F7EEE">
        <w:rPr>
          <w:rFonts w:asciiTheme="majorHAnsi" w:hAnsiTheme="majorHAnsi" w:cstheme="majorHAnsi"/>
          <w:bCs/>
          <w:iCs/>
          <w:color w:val="000000"/>
          <w:sz w:val="24"/>
          <w:szCs w:val="24"/>
          <w:shd w:val="clear" w:color="auto" w:fill="FFFFFF"/>
          <w:lang w:val="es-ES_tradnl"/>
        </w:rPr>
        <w:t xml:space="preserve"> estuvo por encima del promedio nacional, incrementando los precios en </w:t>
      </w:r>
      <w:r w:rsidR="00336F11">
        <w:rPr>
          <w:rFonts w:asciiTheme="majorHAnsi" w:hAnsiTheme="majorHAnsi" w:cstheme="majorHAnsi"/>
          <w:bCs/>
          <w:iCs/>
          <w:color w:val="000000"/>
          <w:sz w:val="24"/>
          <w:szCs w:val="24"/>
          <w:shd w:val="clear" w:color="auto" w:fill="FFFFFF"/>
          <w:lang w:val="es-ES_tradnl"/>
        </w:rPr>
        <w:t>1</w:t>
      </w:r>
      <w:r w:rsidR="008A3BA9" w:rsidRPr="008F7EEE">
        <w:rPr>
          <w:rFonts w:asciiTheme="majorHAnsi" w:hAnsiTheme="majorHAnsi" w:cstheme="majorHAnsi"/>
          <w:bCs/>
          <w:iCs/>
          <w:color w:val="000000"/>
          <w:sz w:val="24"/>
          <w:szCs w:val="24"/>
          <w:shd w:val="clear" w:color="auto" w:fill="FFFFFF"/>
          <w:lang w:val="es-ES_tradnl"/>
        </w:rPr>
        <w:t>,</w:t>
      </w:r>
      <w:r w:rsidR="00DF7D21">
        <w:rPr>
          <w:rFonts w:asciiTheme="majorHAnsi" w:hAnsiTheme="majorHAnsi" w:cstheme="majorHAnsi"/>
          <w:bCs/>
          <w:iCs/>
          <w:color w:val="000000"/>
          <w:sz w:val="24"/>
          <w:szCs w:val="24"/>
          <w:shd w:val="clear" w:color="auto" w:fill="FFFFFF"/>
          <w:lang w:val="es-ES_tradnl"/>
        </w:rPr>
        <w:t>09</w:t>
      </w:r>
      <w:r w:rsidR="008A3BA9" w:rsidRPr="008F7EEE">
        <w:rPr>
          <w:rFonts w:asciiTheme="majorHAnsi" w:hAnsiTheme="majorHAnsi" w:cstheme="majorHAnsi"/>
          <w:bCs/>
          <w:iCs/>
          <w:color w:val="000000"/>
          <w:sz w:val="24"/>
          <w:szCs w:val="24"/>
          <w:shd w:val="clear" w:color="auto" w:fill="FFFFFF"/>
          <w:lang w:val="es-ES_tradnl"/>
        </w:rPr>
        <w:t xml:space="preserve">% pb como se visualiza </w:t>
      </w:r>
      <w:r w:rsidR="00336F11">
        <w:rPr>
          <w:rFonts w:asciiTheme="majorHAnsi" w:hAnsiTheme="majorHAnsi" w:cstheme="majorHAnsi"/>
          <w:bCs/>
          <w:iCs/>
          <w:color w:val="000000"/>
          <w:sz w:val="24"/>
          <w:szCs w:val="24"/>
          <w:shd w:val="clear" w:color="auto" w:fill="FFFFFF"/>
          <w:lang w:val="es-ES_tradnl"/>
        </w:rPr>
        <w:t>en el siguiente gráfico.</w:t>
      </w:r>
    </w:p>
    <w:p w14:paraId="03750AB1" w14:textId="77777777" w:rsidR="00DF7D21" w:rsidRDefault="00DF7D21" w:rsidP="008A3BA9">
      <w:pPr>
        <w:pStyle w:val="Prrafodelista"/>
        <w:ind w:left="0"/>
        <w:jc w:val="both"/>
        <w:rPr>
          <w:rFonts w:asciiTheme="majorHAnsi" w:hAnsiTheme="majorHAnsi" w:cstheme="majorHAnsi"/>
          <w:noProof/>
          <w:sz w:val="24"/>
          <w:szCs w:val="24"/>
        </w:rPr>
      </w:pPr>
    </w:p>
    <w:p w14:paraId="1A33B26C" w14:textId="3683EC09" w:rsidR="00DF7D21" w:rsidRPr="008F7EEE" w:rsidRDefault="00DF7D21" w:rsidP="008A3BA9">
      <w:pPr>
        <w:pStyle w:val="Prrafodelista"/>
        <w:ind w:left="0"/>
        <w:jc w:val="both"/>
        <w:rPr>
          <w:rFonts w:asciiTheme="majorHAnsi" w:hAnsiTheme="majorHAnsi" w:cstheme="majorHAnsi"/>
          <w:bCs/>
          <w:iCs/>
          <w:color w:val="000000"/>
          <w:sz w:val="24"/>
          <w:szCs w:val="24"/>
          <w:shd w:val="clear" w:color="auto" w:fill="FFFFFF"/>
          <w:lang w:val="es-ES_tradnl"/>
        </w:rPr>
      </w:pPr>
      <w:r w:rsidRPr="008F7EEE">
        <w:rPr>
          <w:rFonts w:asciiTheme="majorHAnsi" w:hAnsiTheme="majorHAnsi" w:cstheme="majorHAnsi"/>
          <w:bCs/>
          <w:iCs/>
          <w:noProof/>
          <w:color w:val="000000"/>
          <w:sz w:val="24"/>
          <w:szCs w:val="24"/>
          <w:lang w:val="es-ES_tradnl"/>
        </w:rPr>
        <mc:AlternateContent>
          <mc:Choice Requires="wps">
            <w:drawing>
              <wp:anchor distT="0" distB="0" distL="114300" distR="114300" simplePos="0" relativeHeight="251662336" behindDoc="0" locked="0" layoutInCell="1" allowOverlap="1" wp14:anchorId="14D3D1EC" wp14:editId="041274F7">
                <wp:simplePos x="0" y="0"/>
                <wp:positionH relativeFrom="margin">
                  <wp:posOffset>2698750</wp:posOffset>
                </wp:positionH>
                <wp:positionV relativeFrom="paragraph">
                  <wp:posOffset>1176020</wp:posOffset>
                </wp:positionV>
                <wp:extent cx="203200" cy="1130300"/>
                <wp:effectExtent l="19050" t="19050" r="25400" b="12700"/>
                <wp:wrapNone/>
                <wp:docPr id="944835286" name="Recortar rectángulo de esquina del mismo lado 3"/>
                <wp:cNvGraphicFramePr/>
                <a:graphic xmlns:a="http://schemas.openxmlformats.org/drawingml/2006/main">
                  <a:graphicData uri="http://schemas.microsoft.com/office/word/2010/wordprocessingShape">
                    <wps:wsp>
                      <wps:cNvSpPr/>
                      <wps:spPr>
                        <a:xfrm>
                          <a:off x="0" y="0"/>
                          <a:ext cx="203200" cy="1130300"/>
                        </a:xfrm>
                        <a:prstGeom prst="snip2SameRect">
                          <a:avLst>
                            <a:gd name="adj1" fmla="val 0"/>
                            <a:gd name="adj2" fmla="val 0"/>
                          </a:avLst>
                        </a:prstGeom>
                        <a:noFill/>
                        <a:ln w="2857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364E87" id="Recortar rectángulo de esquina del mismo lado 3" o:spid="_x0000_s1026" style="position:absolute;margin-left:212.5pt;margin-top:92.6pt;width:16pt;height:8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3200,113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" path="m,l203200,r,l203200,1130300r,l,1130300r,l,xe" filled="f" strokecolor="#8064a2 [3207]" strokeweight="2.25pt">
                <v:path arrowok="t" o:connecttype="custom" o:connectlocs="0,0;203200,0;203200,0;203200,1130300;203200,1130300;0,1130300;0,1130300;0,0" o:connectangles="0,0,0,0,0,0,0,0"/>
                <w10:wrap anchorx="margin"/>
              </v:shape>
            </w:pict>
          </mc:Fallback>
        </mc:AlternateContent>
      </w:r>
      <w:r w:rsidRPr="00DF7D21">
        <w:rPr>
          <w:rFonts w:asciiTheme="majorHAnsi" w:hAnsiTheme="majorHAnsi" w:cstheme="majorHAnsi"/>
          <w:bCs/>
          <w:iCs/>
          <w:noProof/>
          <w:color w:val="000000"/>
          <w:sz w:val="24"/>
          <w:szCs w:val="24"/>
          <w:shd w:val="clear" w:color="auto" w:fill="FFFFFF"/>
          <w:lang w:val="es-ES_tradnl"/>
        </w:rPr>
        <w:drawing>
          <wp:inline distT="0" distB="0" distL="0" distR="0" wp14:anchorId="170C3653" wp14:editId="734DB47B">
            <wp:extent cx="5873750" cy="3292475"/>
            <wp:effectExtent l="0" t="0" r="0" b="3175"/>
            <wp:docPr id="1174574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74627" name=""/>
                    <pic:cNvPicPr/>
                  </pic:nvPicPr>
                  <pic:blipFill>
                    <a:blip r:embed="rId16"/>
                    <a:stretch>
                      <a:fillRect/>
                    </a:stretch>
                  </pic:blipFill>
                  <pic:spPr>
                    <a:xfrm>
                      <a:off x="0" y="0"/>
                      <a:ext cx="5873750" cy="3292475"/>
                    </a:xfrm>
                    <a:prstGeom prst="rect">
                      <a:avLst/>
                    </a:prstGeom>
                  </pic:spPr>
                </pic:pic>
              </a:graphicData>
            </a:graphic>
          </wp:inline>
        </w:drawing>
      </w:r>
    </w:p>
    <w:p w14:paraId="18601A7A" w14:textId="77777777" w:rsidR="008A3BA9" w:rsidRPr="008F7EEE" w:rsidRDefault="008A3BA9" w:rsidP="008A3BA9">
      <w:pPr>
        <w:pStyle w:val="Prrafodelista"/>
        <w:ind w:left="0"/>
        <w:jc w:val="both"/>
        <w:rPr>
          <w:rFonts w:asciiTheme="majorHAnsi" w:hAnsiTheme="majorHAnsi" w:cstheme="majorHAnsi"/>
          <w:bCs/>
          <w:iCs/>
          <w:color w:val="000000"/>
          <w:sz w:val="24"/>
          <w:szCs w:val="24"/>
          <w:shd w:val="clear" w:color="auto" w:fill="FFFFFF"/>
          <w:lang w:val="es-ES_tradnl"/>
        </w:rPr>
      </w:pPr>
    </w:p>
    <w:p w14:paraId="39E48A45" w14:textId="4C912DCD" w:rsidR="008A3BA9" w:rsidRDefault="008A3BA9" w:rsidP="008A3BA9">
      <w:pPr>
        <w:jc w:val="both"/>
        <w:rPr>
          <w:rFonts w:asciiTheme="majorHAnsi" w:hAnsiTheme="majorHAnsi" w:cstheme="majorHAnsi"/>
          <w:bCs/>
          <w:iCs/>
          <w:color w:val="000000"/>
          <w:shd w:val="clear" w:color="auto" w:fill="FFFFFF"/>
          <w:lang w:val="es-ES_tradnl"/>
        </w:rPr>
      </w:pPr>
      <w:r w:rsidRPr="008F7EEE">
        <w:rPr>
          <w:rFonts w:asciiTheme="majorHAnsi" w:hAnsiTheme="majorHAnsi" w:cstheme="majorHAnsi"/>
          <w:noProof/>
          <w:lang w:val="es-ES_tradnl"/>
        </w:rPr>
        <w:t xml:space="preserve"> </w:t>
      </w:r>
      <w:r w:rsidRPr="008F7EEE">
        <w:rPr>
          <w:rFonts w:asciiTheme="majorHAnsi" w:hAnsiTheme="majorHAnsi" w:cstheme="majorHAnsi"/>
          <w:b/>
          <w:iCs/>
          <w:color w:val="000000"/>
          <w:shd w:val="clear" w:color="auto" w:fill="FFFFFF"/>
          <w:lang w:val="es-ES_tradnl"/>
        </w:rPr>
        <w:t xml:space="preserve"> Fuente:</w:t>
      </w:r>
      <w:r w:rsidRPr="008F7EEE">
        <w:rPr>
          <w:rFonts w:asciiTheme="majorHAnsi" w:hAnsiTheme="majorHAnsi" w:cstheme="majorHAnsi"/>
          <w:bCs/>
          <w:iCs/>
          <w:color w:val="000000"/>
          <w:shd w:val="clear" w:color="auto" w:fill="FFFFFF"/>
          <w:lang w:val="es-ES_tradnl"/>
        </w:rPr>
        <w:t xml:space="preserve"> DANE, IPC (</w:t>
      </w:r>
      <w:hyperlink r:id="rId17" w:history="1">
        <w:r w:rsidR="00DF7D21" w:rsidRPr="007D282B">
          <w:rPr>
            <w:rStyle w:val="Hipervnculo"/>
            <w:rFonts w:asciiTheme="majorHAnsi" w:hAnsiTheme="majorHAnsi" w:cstheme="majorHAnsi"/>
            <w:bCs/>
            <w:iCs/>
            <w:shd w:val="clear" w:color="auto" w:fill="FFFFFF"/>
            <w:lang w:val="es-ES_tradnl"/>
          </w:rPr>
          <w:t>https://www.dane.gov.co/files/operaciones/IPC/feb2026/press-IPC-feb2026.pdf</w:t>
        </w:r>
      </w:hyperlink>
      <w:r w:rsidRPr="008F7EEE">
        <w:rPr>
          <w:rFonts w:asciiTheme="majorHAnsi" w:hAnsiTheme="majorHAnsi" w:cstheme="majorHAnsi"/>
          <w:bCs/>
          <w:iCs/>
          <w:color w:val="000000"/>
          <w:shd w:val="clear" w:color="auto" w:fill="FFFFFF"/>
          <w:lang w:val="es-ES_tradnl"/>
        </w:rPr>
        <w:t>)</w:t>
      </w:r>
    </w:p>
    <w:p w14:paraId="54D5647E" w14:textId="77777777" w:rsidR="00DF7D21" w:rsidRPr="008F7EEE" w:rsidRDefault="00DF7D21" w:rsidP="008A3BA9">
      <w:pPr>
        <w:jc w:val="both"/>
        <w:rPr>
          <w:rFonts w:asciiTheme="majorHAnsi" w:hAnsiTheme="majorHAnsi" w:cstheme="majorHAnsi"/>
          <w:bCs/>
          <w:iCs/>
          <w:color w:val="000000"/>
          <w:shd w:val="clear" w:color="auto" w:fill="FFFFFF"/>
          <w:lang w:val="es-ES_tradnl"/>
        </w:rPr>
      </w:pPr>
    </w:p>
    <w:p w14:paraId="63C0F33A" w14:textId="77777777" w:rsidR="00774BF6" w:rsidRPr="008F7EEE" w:rsidRDefault="00774BF6" w:rsidP="0020056F">
      <w:pPr>
        <w:jc w:val="both"/>
        <w:rPr>
          <w:rFonts w:asciiTheme="majorHAnsi" w:hAnsiTheme="majorHAnsi" w:cstheme="majorHAnsi"/>
          <w:bCs/>
          <w:iCs/>
          <w:color w:val="000000"/>
          <w:shd w:val="clear" w:color="auto" w:fill="FFFFFF"/>
          <w:lang w:val="es-ES_tradnl"/>
        </w:rPr>
      </w:pPr>
    </w:p>
    <w:p w14:paraId="3D2A129A" w14:textId="0888FBD3" w:rsidR="00774BF6" w:rsidRDefault="004A0BC6" w:rsidP="00336F11">
      <w:pPr>
        <w:jc w:val="center"/>
        <w:rPr>
          <w:rFonts w:asciiTheme="majorHAnsi" w:hAnsiTheme="majorHAnsi" w:cstheme="majorHAnsi"/>
          <w:b/>
          <w:iCs/>
          <w:color w:val="000000"/>
          <w:shd w:val="clear" w:color="auto" w:fill="FFFFFF"/>
        </w:rPr>
      </w:pPr>
      <w:r>
        <w:rPr>
          <w:rFonts w:asciiTheme="majorHAnsi" w:hAnsiTheme="majorHAnsi" w:cstheme="majorHAnsi"/>
          <w:b/>
          <w:iCs/>
          <w:color w:val="000000"/>
          <w:shd w:val="clear" w:color="auto" w:fill="FFFFFF"/>
        </w:rPr>
        <w:t>SECTOR ODONTOLOGICO</w:t>
      </w:r>
    </w:p>
    <w:p w14:paraId="76D41CF7" w14:textId="77777777" w:rsidR="00742717" w:rsidRDefault="00742717" w:rsidP="00336F11">
      <w:pPr>
        <w:jc w:val="center"/>
        <w:rPr>
          <w:rFonts w:asciiTheme="majorHAnsi" w:hAnsiTheme="majorHAnsi" w:cstheme="majorHAnsi"/>
          <w:b/>
          <w:iCs/>
          <w:color w:val="000000"/>
          <w:shd w:val="clear" w:color="auto" w:fill="FFFFFF"/>
        </w:rPr>
      </w:pPr>
    </w:p>
    <w:p w14:paraId="315FDD05" w14:textId="77777777" w:rsidR="00742717" w:rsidRPr="00FA5FCE" w:rsidRDefault="00742717" w:rsidP="00FA5FCE">
      <w:pPr>
        <w:rPr>
          <w:rFonts w:asciiTheme="majorHAnsi" w:hAnsiTheme="majorHAnsi" w:cstheme="majorHAnsi"/>
          <w:bCs/>
          <w:iCs/>
          <w:color w:val="000000"/>
          <w:shd w:val="clear" w:color="auto" w:fill="FFFFFF"/>
        </w:rPr>
      </w:pPr>
    </w:p>
    <w:p w14:paraId="67393B7C" w14:textId="77777777" w:rsidR="00FA5FCE"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El sector odontológico en Colombia forma parte fundamental del sistema de prestación de servicios de salud, especialmente en el componente de atención ambulatoria orientado a la promoción, prevención, diagnóstico y tratamiento de enfermedades relacionadas con la salud oral. En el país existe una amplia red de profesionales en odontología general y en diferentes especialidades, así como instituciones prestadoras de servicios de salud que cuentan con infraestructura, tecnología y talento humano calificado para atender las necesidades de la población. </w:t>
      </w:r>
    </w:p>
    <w:p w14:paraId="76315528" w14:textId="77777777" w:rsidR="00FA5FCE" w:rsidRDefault="00FA5FCE" w:rsidP="00173007">
      <w:pPr>
        <w:jc w:val="both"/>
        <w:rPr>
          <w:rFonts w:asciiTheme="majorHAnsi" w:hAnsiTheme="majorHAnsi" w:cstheme="majorHAnsi"/>
          <w:bCs/>
          <w:iCs/>
          <w:color w:val="000000"/>
          <w:shd w:val="clear" w:color="auto" w:fill="FFFFFF"/>
        </w:rPr>
      </w:pPr>
    </w:p>
    <w:p w14:paraId="6377211D" w14:textId="77777777" w:rsidR="00FA5FCE"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La salud oral se reconoce como un elemento determinante dentro del bienestar integral de las personas, ya que las enfermedades bucodentales pueden generar complicaciones que afectan otras condiciones de salud y la calidad de vida. En este contexto, la prestación organizada de servicios odontológicos adquiere especial relevancia para las entidades que cuentan con programas de atención médica asistencial dirigidos a sus beneficiarios. El análisis del sector permite identificar que existe una oferta amplia de prestadores habilitados que desarrollan servicios de odontología integral y especialidades clínicas bajo estándares de calidad establecidos por la normatividad sanitaria vigente. </w:t>
      </w:r>
    </w:p>
    <w:p w14:paraId="2D5531E1" w14:textId="77777777" w:rsidR="00FA5FCE" w:rsidRDefault="00FA5FCE" w:rsidP="00173007">
      <w:pPr>
        <w:jc w:val="both"/>
        <w:rPr>
          <w:rFonts w:asciiTheme="majorHAnsi" w:hAnsiTheme="majorHAnsi" w:cstheme="majorHAnsi"/>
          <w:bCs/>
          <w:iCs/>
          <w:color w:val="000000"/>
          <w:shd w:val="clear" w:color="auto" w:fill="FFFFFF"/>
        </w:rPr>
      </w:pPr>
    </w:p>
    <w:p w14:paraId="51F41E7B" w14:textId="6C3E4E78"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De esta manera, el mercado presenta condiciones favorables para la contratación de servicios que permitan garantizar la atención oportuna de los usuarios. La disponibilidad de profesionales y centros especializados facilita la cobertura de los diferentes procedimientos requeridos dentro de la atención en salud oral. En consecuencia, la contratación de estos servicios se constituye en una estrategia necesaria para asegurar la continuidad y calidad en la atención odontológica de los beneficiarios institucionales.</w:t>
      </w:r>
    </w:p>
    <w:p w14:paraId="6D400C7E" w14:textId="77777777" w:rsidR="00FA5FCE" w:rsidRPr="00FA5FCE" w:rsidRDefault="00FA5FCE" w:rsidP="00173007">
      <w:pPr>
        <w:jc w:val="both"/>
        <w:rPr>
          <w:rFonts w:asciiTheme="majorHAnsi" w:hAnsiTheme="majorHAnsi" w:cstheme="majorHAnsi"/>
          <w:bCs/>
          <w:iCs/>
          <w:color w:val="000000"/>
          <w:shd w:val="clear" w:color="auto" w:fill="FFFFFF"/>
        </w:rPr>
      </w:pPr>
    </w:p>
    <w:p w14:paraId="2B8A9237"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Durante los últimos años el sector odontológico en Colombia ha presentado un crecimiento significativo asociado al incremento de profesionales especializados, la modernización de los consultorios y clínicas odontológicas y la incorporación de nuevas tecnologías para el diagnóstico y tratamiento de enfermedades orales. Este desarrollo ha permitido fortalecer la capacidad del sistema para brindar servicios cada vez más especializados y con mayores niveles de calidad y seguridad para los pacientes. Adicionalmente, el país cuenta con un marco normativo que regula la habilitación de los servicios de salud, lo cual exige a los prestadores cumplir con requisitos técnicos, administrativos y de infraestructura para garantizar una adecuada prestación del servicio. </w:t>
      </w:r>
    </w:p>
    <w:p w14:paraId="7C5B038A" w14:textId="77777777" w:rsidR="00716BCB" w:rsidRDefault="00716BCB" w:rsidP="00173007">
      <w:pPr>
        <w:jc w:val="both"/>
        <w:rPr>
          <w:rFonts w:asciiTheme="majorHAnsi" w:hAnsiTheme="majorHAnsi" w:cstheme="majorHAnsi"/>
          <w:bCs/>
          <w:iCs/>
          <w:color w:val="000000"/>
          <w:shd w:val="clear" w:color="auto" w:fill="FFFFFF"/>
        </w:rPr>
      </w:pPr>
    </w:p>
    <w:p w14:paraId="1D4242FB" w14:textId="7E181142"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lastRenderedPageBreak/>
        <w:t>Este escenario permite que las entidades que requieren contratar servicios de odontología cuenten con múltiples opciones dentro del mercado que cumplen con los estándares exigidos por las autoridades sanitarias. El análisis del sector evidencia que la oferta de servicios incluye desde atención odontológica general hasta procedimientos especializados que permiten resolver patologías de mayor complejidad. Asimismo, se observa que muchos prestadores ofrecen esquemas integrales de atención que facilitan la continuidad de los tratamientos. Esta dinámica contribuye a mejorar la calidad del servicio y la satisfacción de los usuarios. Por lo tanto, el sector presenta condiciones adecuadas para la estructuración de procesos contractuales orientados a garantizar la prestación integral de servicios de salud oral.</w:t>
      </w:r>
    </w:p>
    <w:p w14:paraId="064997D7" w14:textId="77777777" w:rsidR="00716BCB" w:rsidRPr="00FA5FCE" w:rsidRDefault="00716BCB" w:rsidP="00173007">
      <w:pPr>
        <w:jc w:val="both"/>
        <w:rPr>
          <w:rFonts w:asciiTheme="majorHAnsi" w:hAnsiTheme="majorHAnsi" w:cstheme="majorHAnsi"/>
          <w:bCs/>
          <w:iCs/>
          <w:color w:val="000000"/>
          <w:shd w:val="clear" w:color="auto" w:fill="FFFFFF"/>
        </w:rPr>
      </w:pPr>
    </w:p>
    <w:p w14:paraId="12907431"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La odontología integral comprende un conjunto de procedimientos clínicos orientados a prevenir, diagnosticar y tratar las enfermedades que afectan los dientes, encías y tejidos asociados de la cavidad oral, incluyendo actividades de promoción de la salud y prevención de enfermedades que buscan disminuir la aparición de patologías bucodentales en la población. Dentro de los servicios más comunes se encuentran la valoración odontológica inicial, las consultas de control, las actividades de profilaxis y detartraje, la realización de restauraciones dentales, así como tratamientos periodontales y endodónticos cuando las condiciones clínicas del paciente lo requieren. </w:t>
      </w:r>
    </w:p>
    <w:p w14:paraId="31D993E7" w14:textId="77777777" w:rsidR="00716BCB" w:rsidRDefault="00716BCB" w:rsidP="00173007">
      <w:pPr>
        <w:jc w:val="both"/>
        <w:rPr>
          <w:rFonts w:asciiTheme="majorHAnsi" w:hAnsiTheme="majorHAnsi" w:cstheme="majorHAnsi"/>
          <w:bCs/>
          <w:iCs/>
          <w:color w:val="000000"/>
          <w:shd w:val="clear" w:color="auto" w:fill="FFFFFF"/>
        </w:rPr>
      </w:pPr>
    </w:p>
    <w:p w14:paraId="1210590C" w14:textId="4AC63B31"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La atención integral en salud oral permite abordar de manera oportuna diferentes afecciones que, de no ser tratadas adecuadamente, pueden evolucionar hacia complicaciones mayores que demanden procedimientos más complejos. En ese sentido, el acceso a servicios odontológicos oportunos contribuye a preservar la salud general de los pacientes y a mejorar su calidad de vida. Para las entidades que cuentan con programas de atención médica asistencial resulta fundamental garantizar este tipo de servicios dentro de su oferta de atención. La contratación de prestadores especializados permite asegurar la disponibilidad de procedimientos básicos y complementarios. De igual forma, facilita la continuidad del tratamiento odontológico cuando se presentan diferentes necesidades clínicas. En consecuencia, la odontología integral constituye un componente esencial dentro de los esquemas de atención en salud institucional.</w:t>
      </w:r>
    </w:p>
    <w:p w14:paraId="78E67039" w14:textId="77777777" w:rsidR="00716BCB" w:rsidRPr="00FA5FCE" w:rsidRDefault="00716BCB" w:rsidP="00173007">
      <w:pPr>
        <w:jc w:val="both"/>
        <w:rPr>
          <w:rFonts w:asciiTheme="majorHAnsi" w:hAnsiTheme="majorHAnsi" w:cstheme="majorHAnsi"/>
          <w:bCs/>
          <w:iCs/>
          <w:color w:val="000000"/>
          <w:shd w:val="clear" w:color="auto" w:fill="FFFFFF"/>
        </w:rPr>
      </w:pPr>
    </w:p>
    <w:p w14:paraId="425382F0"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Dentro de la estructura del sector odontológico también se destacan diversas especialidades que complementan la atención integral de los pacientes y permiten abordar tratamientos que requieren mayor nivel de complejidad clínica, entre las cuales se encuentran la ortodoncia, la periodoncia, la endodoncia, la rehabilitación oral y la cirugía maxilofacial. Cada una de estas áreas de especialización se enfoca en el tratamiento de patologías específicas que afectan la cavidad oral y las estructuras asociadas, contribuyendo a mejorar los resultados clínicos y funcionales de los pacientes. La intervención por parte de especialistas permite desarrollar tratamientos más precisos y adecuados para cada caso particular, lo cual favorece la recuperación de la salud oral y previene la progresión de enfermedades que pueden generar complicaciones mayores. </w:t>
      </w:r>
    </w:p>
    <w:p w14:paraId="72BCC453" w14:textId="77777777" w:rsidR="00716BCB" w:rsidRDefault="00716BCB" w:rsidP="00173007">
      <w:pPr>
        <w:jc w:val="both"/>
        <w:rPr>
          <w:rFonts w:asciiTheme="majorHAnsi" w:hAnsiTheme="majorHAnsi" w:cstheme="majorHAnsi"/>
          <w:bCs/>
          <w:iCs/>
          <w:color w:val="000000"/>
          <w:shd w:val="clear" w:color="auto" w:fill="FFFFFF"/>
        </w:rPr>
      </w:pPr>
    </w:p>
    <w:p w14:paraId="1834EE3D" w14:textId="18D306E8"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lastRenderedPageBreak/>
        <w:t>Para las entidades que requieren garantizar la atención odontológica de sus beneficiarios resulta importante contar con prestadores que ofrezcan un portafolio amplio de servicios que incluya tanto odontología general como especialidades clínicas. Esto permite brindar una atención más completa y resolutiva dentro de un mismo esquema de prestación de servicios. Asimismo, facilita la coordinación de los tratamientos y el seguimiento de los pacientes. En consecuencia, la inclusión de especialidades odontológicas dentro de los procesos contractuales fortalece la capacidad de respuesta del sistema de atención en salud institucional.</w:t>
      </w:r>
    </w:p>
    <w:p w14:paraId="6849AFBC" w14:textId="77777777" w:rsidR="00716BCB" w:rsidRPr="00FA5FCE" w:rsidRDefault="00716BCB" w:rsidP="00173007">
      <w:pPr>
        <w:jc w:val="both"/>
        <w:rPr>
          <w:rFonts w:asciiTheme="majorHAnsi" w:hAnsiTheme="majorHAnsi" w:cstheme="majorHAnsi"/>
          <w:bCs/>
          <w:iCs/>
          <w:color w:val="000000"/>
          <w:shd w:val="clear" w:color="auto" w:fill="FFFFFF"/>
        </w:rPr>
      </w:pPr>
    </w:p>
    <w:p w14:paraId="692CC269"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La prestación de servicios ambulatorios de salud oral constituye una modalidad ampliamente utilizada dentro del sistema de salud colombiano, debido a que permite realizar la mayoría de los procedimientos odontológicos sin requerir hospitalización, lo cual optimiza el uso de los recursos disponibles y facilita el acceso de los usuarios a los servicios. En este tipo de atención se desarrollan actividades de diagnóstico, tratamiento y control mediante consultas programadas en consultorios o clínicas odontológicas habilitadas que cuentan con la infraestructura y los equipos necesarios para garantizar una atención segura. Los servicios ambulatorios permiten dar continuidad a los tratamientos odontológicos y realizar controles periódicos que contribuyen a mantener la salud bucal de los pacientes. </w:t>
      </w:r>
    </w:p>
    <w:p w14:paraId="130DA5D2" w14:textId="77777777" w:rsidR="00716BCB" w:rsidRDefault="00716BCB" w:rsidP="00173007">
      <w:pPr>
        <w:jc w:val="both"/>
        <w:rPr>
          <w:rFonts w:asciiTheme="majorHAnsi" w:hAnsiTheme="majorHAnsi" w:cstheme="majorHAnsi"/>
          <w:bCs/>
          <w:iCs/>
          <w:color w:val="000000"/>
          <w:shd w:val="clear" w:color="auto" w:fill="FFFFFF"/>
        </w:rPr>
      </w:pPr>
    </w:p>
    <w:p w14:paraId="41A45B93" w14:textId="752B23E9"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Asimismo, esta modalidad facilita la implementación de estrategias de prevención y educación en higiene oral orientadas a reducir la incidencia de enfermedades bucodentales. Para las entidades que requieren garantizar la atención de sus beneficiarios, la contratación de servicios ambulatorios representa una alternativa eficiente que permite atender diferentes necesidades clínicas dentro de un esquema organizado de prestación del servicio. De igual forma, contribuye a reducir tiempos de espera y mejorar la oportunidad en la atención. En consecuencia, este tipo de servicios se convierte en un componente clave dentro de los procesos de contratación en salud oral.</w:t>
      </w:r>
    </w:p>
    <w:p w14:paraId="0980566B" w14:textId="77777777" w:rsidR="00716BCB" w:rsidRPr="00FA5FCE" w:rsidRDefault="00716BCB" w:rsidP="00173007">
      <w:pPr>
        <w:jc w:val="both"/>
        <w:rPr>
          <w:rFonts w:asciiTheme="majorHAnsi" w:hAnsiTheme="majorHAnsi" w:cstheme="majorHAnsi"/>
          <w:bCs/>
          <w:iCs/>
          <w:color w:val="000000"/>
          <w:shd w:val="clear" w:color="auto" w:fill="FFFFFF"/>
        </w:rPr>
      </w:pPr>
    </w:p>
    <w:p w14:paraId="287388D5"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En el caso del Servicio Médico Asistencial de la Regional Meta, la prestación de servicios odontológicos representa un componente importante dentro de las estrategias de bienestar y atención en salud dirigidas a sus beneficiarios, quienes requieren acceso oportuno a servicios de diagnóstico, tratamiento y control relacionados con la salud oral. La disponibilidad de servicios odontológicos contribuye a prevenir la aparición de enfermedades bucodentales y a tratar de manera temprana las afecciones que puedan presentarse en la población beneficiaria. Asimismo, el acceso a tratamientos especializados permite resolver necesidades clínicas que requieren intervenciones más complejas dentro del ámbito de la odontología. </w:t>
      </w:r>
      <w:r w:rsidR="00716BCB">
        <w:rPr>
          <w:rFonts w:asciiTheme="majorHAnsi" w:hAnsiTheme="majorHAnsi" w:cstheme="majorHAnsi"/>
          <w:bCs/>
          <w:iCs/>
          <w:color w:val="000000"/>
          <w:shd w:val="clear" w:color="auto" w:fill="FFFFFF"/>
        </w:rPr>
        <w:t>1</w:t>
      </w:r>
    </w:p>
    <w:p w14:paraId="2219E408" w14:textId="77777777" w:rsidR="00716BCB" w:rsidRDefault="00716BCB" w:rsidP="00173007">
      <w:pPr>
        <w:jc w:val="both"/>
        <w:rPr>
          <w:rFonts w:asciiTheme="majorHAnsi" w:hAnsiTheme="majorHAnsi" w:cstheme="majorHAnsi"/>
          <w:bCs/>
          <w:iCs/>
          <w:color w:val="000000"/>
          <w:shd w:val="clear" w:color="auto" w:fill="FFFFFF"/>
        </w:rPr>
      </w:pPr>
    </w:p>
    <w:p w14:paraId="5959DFD5" w14:textId="7355152A"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La contratación de prestadores habilitados garantiza que los servicios se presten bajo condiciones de calidad, seguridad y cumplimiento de la normatividad vigente en materia de salud. De igual forma, permite asegurar la continuidad en la atención y la disponibilidad de diferentes procedimientos clínicos según las necesidades de los usuarios. Este tipo de contratación fortalece el modelo de atención institucional orientado al bienestar de los beneficiarios. Además, facilita la gestión administrativa y operativa de los servicios de salud oral. </w:t>
      </w:r>
      <w:r w:rsidRPr="00FA5FCE">
        <w:rPr>
          <w:rFonts w:asciiTheme="majorHAnsi" w:hAnsiTheme="majorHAnsi" w:cstheme="majorHAnsi"/>
          <w:bCs/>
          <w:iCs/>
          <w:color w:val="000000"/>
          <w:shd w:val="clear" w:color="auto" w:fill="FFFFFF"/>
        </w:rPr>
        <w:lastRenderedPageBreak/>
        <w:t>En consecuencia, resulta necesario estructurar procesos contractuales que permitan garantizar la prestación integral de estos servicios.</w:t>
      </w:r>
    </w:p>
    <w:p w14:paraId="03DF1AA2" w14:textId="77777777" w:rsidR="00716BCB" w:rsidRPr="00FA5FCE" w:rsidRDefault="00716BCB" w:rsidP="00173007">
      <w:pPr>
        <w:jc w:val="both"/>
        <w:rPr>
          <w:rFonts w:asciiTheme="majorHAnsi" w:hAnsiTheme="majorHAnsi" w:cstheme="majorHAnsi"/>
          <w:bCs/>
          <w:iCs/>
          <w:color w:val="000000"/>
          <w:shd w:val="clear" w:color="auto" w:fill="FFFFFF"/>
        </w:rPr>
      </w:pPr>
    </w:p>
    <w:p w14:paraId="1AA5A854"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Para efectos de la contratación de servicios odontológicos es necesario considerar diferentes aspectos relacionados con la calidad del servicio, la experiencia del prestador, la disponibilidad de talento humano especializado y el cumplimiento de los requisitos de habilitación establecidos por las autoridades sanitarias. Los prestadores que participen en este tipo de procesos deben contar con instalaciones adecuadas, equipos en condiciones óptimas de funcionamiento y protocolos de bioseguridad que garanticen la protección de los pacientes y del personal de salud. </w:t>
      </w:r>
    </w:p>
    <w:p w14:paraId="47C3F2C1" w14:textId="77777777" w:rsidR="00716BCB" w:rsidRDefault="00716BCB" w:rsidP="00173007">
      <w:pPr>
        <w:jc w:val="both"/>
        <w:rPr>
          <w:rFonts w:asciiTheme="majorHAnsi" w:hAnsiTheme="majorHAnsi" w:cstheme="majorHAnsi"/>
          <w:bCs/>
          <w:iCs/>
          <w:color w:val="000000"/>
          <w:shd w:val="clear" w:color="auto" w:fill="FFFFFF"/>
        </w:rPr>
      </w:pPr>
    </w:p>
    <w:p w14:paraId="67ECC884" w14:textId="60376253"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Asimismo, es importante que dispongan de profesionales debidamente titulados y con experiencia en la prestación de servicios de salud oral. El análisis del sector permite identificar que en el mercado existen múltiples instituciones prestadoras de servicios de salud que cumplen con estos requisitos y que ofrecen portafolios integrales de atención odontológica. Esta diversidad de oferta facilita la selección de proveedores que puedan responder adecuadamente a las necesidades institucionales. Igualmente, promueve la competencia entre prestadores, lo cual puede generar condiciones favorables en términos de calidad y costos del servicio. En consecuencia, el mercado presenta condiciones adecuadas para la contratación de estos servicios. Esto permite estructurar procesos contractuales eficientes y transparentes.</w:t>
      </w:r>
    </w:p>
    <w:p w14:paraId="3AA691C4" w14:textId="77777777" w:rsidR="00716BCB" w:rsidRPr="00FA5FCE" w:rsidRDefault="00716BCB" w:rsidP="00173007">
      <w:pPr>
        <w:jc w:val="both"/>
        <w:rPr>
          <w:rFonts w:asciiTheme="majorHAnsi" w:hAnsiTheme="majorHAnsi" w:cstheme="majorHAnsi"/>
          <w:bCs/>
          <w:iCs/>
          <w:color w:val="000000"/>
          <w:shd w:val="clear" w:color="auto" w:fill="FFFFFF"/>
        </w:rPr>
      </w:pPr>
    </w:p>
    <w:p w14:paraId="70825EC1"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Otro aspecto relevante dentro del análisis del sector corresponde a la implementación de programas de promoción y prevención en salud oral, los cuales buscan reducir la incidencia de enfermedades como la caries dental y la enfermedad periodontal mediante actividades educativas y controles periódicos orientados al cuidado de la higiene bucal. Estas estrategias permiten sensibilizar a los usuarios sobre la importancia del autocuidado y fomentan hábitos saludables que contribuyen a mantener una adecuada salud oral a lo largo del tiempo. La intervención temprana mediante revisiones periódicas facilita la identificación oportuna de problemas dentales y permite iniciar tratamientos antes de que las patologías evolucionen hacia condiciones más complejas. </w:t>
      </w:r>
    </w:p>
    <w:p w14:paraId="69208A8D" w14:textId="77777777" w:rsidR="00716BCB" w:rsidRDefault="00716BCB" w:rsidP="00173007">
      <w:pPr>
        <w:jc w:val="both"/>
        <w:rPr>
          <w:rFonts w:asciiTheme="majorHAnsi" w:hAnsiTheme="majorHAnsi" w:cstheme="majorHAnsi"/>
          <w:bCs/>
          <w:iCs/>
          <w:color w:val="000000"/>
          <w:shd w:val="clear" w:color="auto" w:fill="FFFFFF"/>
        </w:rPr>
      </w:pPr>
    </w:p>
    <w:p w14:paraId="01D55D81" w14:textId="547A0BB9" w:rsidR="00DB5E4F"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Para las entidades que cuentan con programas de atención médica asistencial resulta conveniente incluir este tipo de actividades dentro de los servicios contratados. De esta manera se promueve un enfoque preventivo que contribuye a mejorar los indicadores de salud de la población beneficiaria. Asimismo, se optimiza el uso de los recursos destinados a la atención en salud. En consecuencia, la inclusión de estrategias preventivas fortalece el alcance de los servicios odontológicos contratados.</w:t>
      </w:r>
    </w:p>
    <w:p w14:paraId="0BACB73C" w14:textId="77777777" w:rsidR="00716BCB" w:rsidRPr="00FA5FCE" w:rsidRDefault="00716BCB" w:rsidP="00173007">
      <w:pPr>
        <w:jc w:val="both"/>
        <w:rPr>
          <w:rFonts w:asciiTheme="majorHAnsi" w:hAnsiTheme="majorHAnsi" w:cstheme="majorHAnsi"/>
          <w:bCs/>
          <w:iCs/>
          <w:color w:val="000000"/>
          <w:shd w:val="clear" w:color="auto" w:fill="FFFFFF"/>
        </w:rPr>
      </w:pPr>
    </w:p>
    <w:p w14:paraId="5F5A3D98"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La prestación de servicios odontológicos también contribuye al cumplimiento de las políticas públicas en materia de salud en Colombia, las cuales promueven el acceso equitativo a servicios de promoción, prevención, diagnóstico y tratamiento para toda la población. Las entidades que contratan este tipo de servicios participan activamente en el fortalecimiento del sistema de </w:t>
      </w:r>
      <w:r w:rsidRPr="00FA5FCE">
        <w:rPr>
          <w:rFonts w:asciiTheme="majorHAnsi" w:hAnsiTheme="majorHAnsi" w:cstheme="majorHAnsi"/>
          <w:bCs/>
          <w:iCs/>
          <w:color w:val="000000"/>
          <w:shd w:val="clear" w:color="auto" w:fill="FFFFFF"/>
        </w:rPr>
        <w:lastRenderedPageBreak/>
        <w:t xml:space="preserve">salud al articularse con prestadores habilitados que operan bajo estándares de calidad definidos por la normatividad vigente. Esta articulación entre entidades contratantes y prestadores de servicios de salud permite consolidar redes de atención que facilitan la prestación integral de los servicios requeridos por los usuarios. </w:t>
      </w:r>
    </w:p>
    <w:p w14:paraId="42CEDBD8" w14:textId="77777777" w:rsidR="00716BCB" w:rsidRDefault="00716BCB" w:rsidP="00173007">
      <w:pPr>
        <w:jc w:val="both"/>
        <w:rPr>
          <w:rFonts w:asciiTheme="majorHAnsi" w:hAnsiTheme="majorHAnsi" w:cstheme="majorHAnsi"/>
          <w:bCs/>
          <w:iCs/>
          <w:color w:val="000000"/>
          <w:shd w:val="clear" w:color="auto" w:fill="FFFFFF"/>
        </w:rPr>
      </w:pPr>
    </w:p>
    <w:p w14:paraId="7170C067" w14:textId="23F9D78C" w:rsidR="00DB5E4F" w:rsidRPr="00FA5FCE"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Asimismo, promueve el desarrollo del sector odontológico al generar oportunidades de prestación para clínicas, consultorios y profesionales especializados. El análisis del sector evidencia que existe una oferta suficiente de prestadores que cuentan con la capacidad técnica y operativa para brindar servicios odontológicos integrales. Esto permite estructurar procesos contractuales que garanticen la prestación continua de los servicios. De igual forma, contribuye a mejorar los niveles de acceso y cobertura en salud oral. En consecuencia, la contratación de estos servicios se alinea con los objetivos del sistema de salud colombiano.</w:t>
      </w:r>
    </w:p>
    <w:p w14:paraId="3FEF4A64" w14:textId="77777777" w:rsidR="00716BCB" w:rsidRDefault="00716BCB" w:rsidP="00173007">
      <w:pPr>
        <w:jc w:val="both"/>
        <w:rPr>
          <w:rFonts w:asciiTheme="majorHAnsi" w:hAnsiTheme="majorHAnsi" w:cstheme="majorHAnsi"/>
          <w:bCs/>
          <w:iCs/>
          <w:color w:val="000000"/>
          <w:shd w:val="clear" w:color="auto" w:fill="FFFFFF"/>
        </w:rPr>
      </w:pPr>
    </w:p>
    <w:p w14:paraId="2918140D" w14:textId="77777777" w:rsidR="00716BCB"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 xml:space="preserve">En conclusión, el sector odontológico en Colombia presenta condiciones favorables en términos de disponibilidad de profesionales, instituciones prestadoras de servicios de salud habilitadas y oferta de servicios especializados que permiten atender de manera integral las necesidades relacionadas con la salud oral de la población. El análisis del mercado evidencia que existe una amplia oferta de servicios de odontología general, especialidades clínicas y atención ambulatoria que pueden ser contratados por las entidades que requieren garantizar la atención de sus beneficiarios. </w:t>
      </w:r>
    </w:p>
    <w:p w14:paraId="184DF7CC" w14:textId="77777777" w:rsidR="00716BCB" w:rsidRDefault="00716BCB" w:rsidP="00173007">
      <w:pPr>
        <w:jc w:val="both"/>
        <w:rPr>
          <w:rFonts w:asciiTheme="majorHAnsi" w:hAnsiTheme="majorHAnsi" w:cstheme="majorHAnsi"/>
          <w:bCs/>
          <w:iCs/>
          <w:color w:val="000000"/>
          <w:shd w:val="clear" w:color="auto" w:fill="FFFFFF"/>
        </w:rPr>
      </w:pPr>
    </w:p>
    <w:p w14:paraId="5E34DB7D" w14:textId="1BC60F84" w:rsidR="00742717" w:rsidRDefault="00DB5E4F" w:rsidP="00173007">
      <w:pPr>
        <w:jc w:val="both"/>
        <w:rPr>
          <w:rFonts w:asciiTheme="majorHAnsi" w:hAnsiTheme="majorHAnsi" w:cstheme="majorHAnsi"/>
          <w:bCs/>
          <w:iCs/>
          <w:color w:val="000000"/>
          <w:shd w:val="clear" w:color="auto" w:fill="FFFFFF"/>
        </w:rPr>
      </w:pPr>
      <w:r w:rsidRPr="00FA5FCE">
        <w:rPr>
          <w:rFonts w:asciiTheme="majorHAnsi" w:hAnsiTheme="majorHAnsi" w:cstheme="majorHAnsi"/>
          <w:bCs/>
          <w:iCs/>
          <w:color w:val="000000"/>
          <w:shd w:val="clear" w:color="auto" w:fill="FFFFFF"/>
        </w:rPr>
        <w:t>Para el Servicio Médico Asistencial de la Regional Meta resulta fundamental contar con prestadores que aseguren la prestación oportuna, continua y de calidad de los servicios odontológicos requeridos por su población beneficiaria. La contratación de estos servicios permite garantizar el acceso a tratamientos preventivos, diagnósticos y terapéuticos orientados a preservar la salud oral. Asimismo, fortalece las estrategias institucionales de bienestar y atención en salud. La adecuada estructuración de los procesos contractuales contribuye a optimizar el uso de los recursos disponibles. De esta manera se asegura la continuidad en la prestación de los servicios. En consecuencia, la contratación de servicios de odontología integral y especialidades constituye una necesidad para garantizar la atención en salud oral de los beneficiarios.</w:t>
      </w:r>
    </w:p>
    <w:p w14:paraId="0048BEF1" w14:textId="77777777" w:rsidR="00FA5FCE" w:rsidRPr="00FA5FCE" w:rsidRDefault="00FA5FCE" w:rsidP="00FA5FCE">
      <w:pPr>
        <w:rPr>
          <w:rFonts w:asciiTheme="majorHAnsi" w:hAnsiTheme="majorHAnsi" w:cstheme="majorHAnsi"/>
          <w:bCs/>
          <w:iCs/>
          <w:color w:val="000000"/>
          <w:shd w:val="clear" w:color="auto" w:fill="FFFFFF"/>
        </w:rPr>
      </w:pPr>
    </w:p>
    <w:p w14:paraId="4ECF8C2F" w14:textId="216B5A5F" w:rsidR="00614B52" w:rsidRDefault="00992D09" w:rsidP="004225C0">
      <w:pPr>
        <w:pStyle w:val="Prrafodelista"/>
        <w:numPr>
          <w:ilvl w:val="2"/>
          <w:numId w:val="2"/>
        </w:numPr>
        <w:jc w:val="both"/>
        <w:rPr>
          <w:rFonts w:asciiTheme="majorHAnsi" w:hAnsiTheme="majorHAnsi" w:cstheme="majorHAnsi"/>
          <w:b/>
          <w:bCs/>
          <w:iCs/>
          <w:color w:val="000000"/>
          <w:sz w:val="24"/>
          <w:szCs w:val="24"/>
          <w:shd w:val="clear" w:color="auto" w:fill="FFFFFF"/>
          <w:lang w:val="es-ES_tradnl"/>
        </w:rPr>
      </w:pPr>
      <w:r w:rsidRPr="008F7EEE">
        <w:rPr>
          <w:rFonts w:asciiTheme="majorHAnsi" w:hAnsiTheme="majorHAnsi" w:cstheme="majorHAnsi"/>
          <w:b/>
          <w:bCs/>
          <w:iCs/>
          <w:color w:val="000000"/>
          <w:sz w:val="24"/>
          <w:szCs w:val="24"/>
          <w:shd w:val="clear" w:color="auto" w:fill="FFFFFF"/>
          <w:lang w:val="es-ES_tradnl"/>
        </w:rPr>
        <w:t>ASPECTO REGULATORIO</w:t>
      </w:r>
    </w:p>
    <w:p w14:paraId="17EF1B8F" w14:textId="77777777" w:rsidR="004225C0" w:rsidRPr="004225C0" w:rsidRDefault="004225C0" w:rsidP="004225C0">
      <w:pPr>
        <w:pStyle w:val="Prrafodelista"/>
        <w:ind w:left="1080"/>
        <w:jc w:val="both"/>
        <w:rPr>
          <w:rFonts w:asciiTheme="majorHAnsi" w:hAnsiTheme="majorHAnsi" w:cstheme="majorHAnsi"/>
          <w:b/>
          <w:bCs/>
          <w:iCs/>
          <w:color w:val="000000"/>
          <w:sz w:val="24"/>
          <w:szCs w:val="24"/>
          <w:shd w:val="clear" w:color="auto" w:fill="FFFFFF"/>
          <w:lang w:val="es-ES_tradnl"/>
        </w:rPr>
      </w:pPr>
    </w:p>
    <w:p w14:paraId="0756385B" w14:textId="1EFE3781" w:rsidR="0033578A" w:rsidRPr="00614B52" w:rsidRDefault="0033578A" w:rsidP="00614B52">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Ley 80 de 1993</w:t>
      </w:r>
      <w:r w:rsidR="005829CD" w:rsidRPr="00614B52">
        <w:rPr>
          <w:rFonts w:asciiTheme="majorHAnsi" w:hAnsiTheme="majorHAnsi" w:cstheme="majorHAnsi"/>
          <w:iCs/>
          <w:color w:val="000000"/>
          <w:shd w:val="clear" w:color="auto" w:fill="FFFFFF"/>
          <w:lang w:val="es-ES_tradnl"/>
        </w:rPr>
        <w:t xml:space="preserve"> </w:t>
      </w:r>
      <w:r w:rsidR="005829CD" w:rsidRPr="00614B52">
        <w:rPr>
          <w:rFonts w:asciiTheme="majorHAnsi" w:hAnsiTheme="majorHAnsi" w:cstheme="majorHAnsi"/>
          <w:iCs/>
          <w:color w:val="000000"/>
          <w:shd w:val="clear" w:color="auto" w:fill="FFFFFF"/>
        </w:rPr>
        <w:t>Estatuto General de Contratación de la Administración Pública.</w:t>
      </w:r>
    </w:p>
    <w:p w14:paraId="1115B1B3" w14:textId="3F2BA6EF" w:rsidR="0033578A" w:rsidRPr="00614B52" w:rsidRDefault="0033578A" w:rsidP="00614B52">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Ley 1150 de 2007</w:t>
      </w:r>
      <w:r w:rsidR="005829CD" w:rsidRPr="00614B52">
        <w:rPr>
          <w:rFonts w:asciiTheme="majorHAnsi" w:hAnsiTheme="majorHAnsi" w:cstheme="majorHAnsi"/>
          <w:iCs/>
          <w:color w:val="000000"/>
          <w:shd w:val="clear" w:color="auto" w:fill="FFFFFF"/>
          <w:lang w:val="es-ES_tradnl"/>
        </w:rPr>
        <w:t xml:space="preserve"> </w:t>
      </w:r>
      <w:r w:rsidR="005829CD" w:rsidRPr="00614B52">
        <w:rPr>
          <w:rFonts w:asciiTheme="majorHAnsi" w:hAnsiTheme="majorHAnsi" w:cstheme="majorHAnsi"/>
          <w:iCs/>
          <w:color w:val="000000"/>
          <w:shd w:val="clear" w:color="auto" w:fill="FFFFFF"/>
        </w:rPr>
        <w:t>Medidas para la eficiencia y transparencia en la contratación estatal.</w:t>
      </w:r>
    </w:p>
    <w:p w14:paraId="67B96A6A" w14:textId="36F90F48" w:rsidR="0033578A" w:rsidRPr="004225C0" w:rsidRDefault="0033578A" w:rsidP="0033578A">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Decreto 1082 de 2015</w:t>
      </w:r>
      <w:r w:rsidR="005829CD" w:rsidRPr="00614B52">
        <w:rPr>
          <w:rFonts w:asciiTheme="majorHAnsi" w:hAnsiTheme="majorHAnsi" w:cstheme="majorHAnsi"/>
          <w:iCs/>
          <w:color w:val="000000"/>
          <w:shd w:val="clear" w:color="auto" w:fill="FFFFFF"/>
          <w:lang w:val="es-ES_tradnl"/>
        </w:rPr>
        <w:t xml:space="preserve"> </w:t>
      </w:r>
      <w:r w:rsidR="005829CD" w:rsidRPr="00614B52">
        <w:rPr>
          <w:rFonts w:asciiTheme="majorHAnsi" w:hAnsiTheme="majorHAnsi" w:cstheme="majorHAnsi"/>
          <w:iCs/>
          <w:color w:val="000000"/>
          <w:shd w:val="clear" w:color="auto" w:fill="FFFFFF"/>
        </w:rPr>
        <w:t>Decreto Único Reglamentario del sector de Planeación Nacional (reglamenta la contratación estatal).</w:t>
      </w:r>
    </w:p>
    <w:p w14:paraId="4F344251" w14:textId="63A8267E" w:rsidR="0033578A" w:rsidRPr="00614B52" w:rsidRDefault="0033578A" w:rsidP="00614B52">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Ley 100 de 1993</w:t>
      </w:r>
      <w:r w:rsidR="005829CD" w:rsidRPr="00614B52">
        <w:rPr>
          <w:rFonts w:asciiTheme="majorHAnsi" w:hAnsiTheme="majorHAnsi" w:cstheme="majorHAnsi"/>
          <w:iCs/>
          <w:color w:val="000000"/>
          <w:shd w:val="clear" w:color="auto" w:fill="FFFFFF"/>
          <w:lang w:val="es-ES_tradnl"/>
        </w:rPr>
        <w:t xml:space="preserve"> </w:t>
      </w:r>
      <w:r w:rsidR="005829CD" w:rsidRPr="00614B52">
        <w:rPr>
          <w:rFonts w:asciiTheme="majorHAnsi" w:hAnsiTheme="majorHAnsi" w:cstheme="majorHAnsi"/>
          <w:iCs/>
          <w:color w:val="000000"/>
          <w:shd w:val="clear" w:color="auto" w:fill="FFFFFF"/>
        </w:rPr>
        <w:t>Crea el Sistema General de Seguridad Social en Salud.</w:t>
      </w:r>
    </w:p>
    <w:p w14:paraId="22E10727" w14:textId="77777777" w:rsidR="0033578A" w:rsidRPr="00614B52" w:rsidRDefault="0033578A" w:rsidP="0033578A">
      <w:pPr>
        <w:jc w:val="both"/>
        <w:rPr>
          <w:rFonts w:asciiTheme="majorHAnsi" w:hAnsiTheme="majorHAnsi" w:cstheme="majorHAnsi"/>
          <w:iCs/>
          <w:color w:val="000000"/>
          <w:shd w:val="clear" w:color="auto" w:fill="FFFFFF"/>
          <w:lang w:val="es-ES_tradnl"/>
        </w:rPr>
      </w:pPr>
    </w:p>
    <w:p w14:paraId="710F9615" w14:textId="1ABB7FE6" w:rsidR="0033578A" w:rsidRPr="004225C0" w:rsidRDefault="0033578A" w:rsidP="0033578A">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Ley 1751 de 2015</w:t>
      </w:r>
      <w:r w:rsidR="005829CD" w:rsidRPr="00614B52">
        <w:rPr>
          <w:rFonts w:asciiTheme="majorHAnsi" w:hAnsiTheme="majorHAnsi" w:cstheme="majorHAnsi"/>
          <w:iCs/>
          <w:color w:val="000000"/>
          <w:shd w:val="clear" w:color="auto" w:fill="FFFFFF"/>
          <w:lang w:val="es-ES_tradnl"/>
        </w:rPr>
        <w:t xml:space="preserve"> L</w:t>
      </w:r>
      <w:r w:rsidR="005829CD" w:rsidRPr="00614B52">
        <w:rPr>
          <w:rFonts w:asciiTheme="majorHAnsi" w:hAnsiTheme="majorHAnsi" w:cstheme="majorHAnsi"/>
          <w:iCs/>
          <w:color w:val="000000"/>
          <w:shd w:val="clear" w:color="auto" w:fill="FFFFFF"/>
        </w:rPr>
        <w:t>ey Estatutaria de Salud (derecho fundamental a la salud)</w:t>
      </w:r>
    </w:p>
    <w:p w14:paraId="052CE372" w14:textId="2281F622" w:rsidR="0033578A" w:rsidRPr="004225C0" w:rsidRDefault="0033578A" w:rsidP="0033578A">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lastRenderedPageBreak/>
        <w:t xml:space="preserve">Decreto 780 de </w:t>
      </w:r>
      <w:r w:rsidR="004225C0" w:rsidRPr="00614B52">
        <w:rPr>
          <w:rFonts w:asciiTheme="majorHAnsi" w:hAnsiTheme="majorHAnsi" w:cstheme="majorHAnsi"/>
          <w:iCs/>
          <w:color w:val="000000"/>
          <w:shd w:val="clear" w:color="auto" w:fill="FFFFFF"/>
          <w:lang w:val="es-ES_tradnl"/>
        </w:rPr>
        <w:t>2016 Decreto</w:t>
      </w:r>
      <w:r w:rsidR="00F21D8F" w:rsidRPr="00614B52">
        <w:rPr>
          <w:rFonts w:asciiTheme="majorHAnsi" w:hAnsiTheme="majorHAnsi" w:cstheme="majorHAnsi"/>
          <w:iCs/>
          <w:color w:val="000000"/>
          <w:shd w:val="clear" w:color="auto" w:fill="FFFFFF"/>
        </w:rPr>
        <w:t xml:space="preserve"> Único Reglamentario del sector salud.</w:t>
      </w:r>
    </w:p>
    <w:p w14:paraId="70386E80" w14:textId="50979BCC" w:rsidR="0033578A" w:rsidRPr="004225C0" w:rsidRDefault="0033578A" w:rsidP="0033578A">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Resolución 3100 de 2019</w:t>
      </w:r>
      <w:r w:rsidR="00F21D8F" w:rsidRPr="00614B52">
        <w:rPr>
          <w:rFonts w:asciiTheme="majorHAnsi" w:hAnsiTheme="majorHAnsi" w:cstheme="majorHAnsi"/>
          <w:iCs/>
          <w:color w:val="000000"/>
          <w:shd w:val="clear" w:color="auto" w:fill="FFFFFF"/>
          <w:lang w:val="es-ES_tradnl"/>
        </w:rPr>
        <w:t xml:space="preserve"> </w:t>
      </w:r>
      <w:r w:rsidR="00F21D8F" w:rsidRPr="00614B52">
        <w:rPr>
          <w:rFonts w:asciiTheme="majorHAnsi" w:hAnsiTheme="majorHAnsi" w:cstheme="majorHAnsi"/>
          <w:iCs/>
          <w:color w:val="000000"/>
          <w:shd w:val="clear" w:color="auto" w:fill="FFFFFF"/>
        </w:rPr>
        <w:t>Define condiciones de habilitación de prestadores de servicios de salud (IPS).</w:t>
      </w:r>
    </w:p>
    <w:p w14:paraId="70E16CFC" w14:textId="517E61BC" w:rsidR="00AD4DF3" w:rsidRPr="00614B52" w:rsidRDefault="0033578A" w:rsidP="00614B52">
      <w:pPr>
        <w:pStyle w:val="Prrafodelista"/>
        <w:numPr>
          <w:ilvl w:val="0"/>
          <w:numId w:val="38"/>
        </w:numPr>
        <w:jc w:val="both"/>
        <w:rPr>
          <w:rFonts w:asciiTheme="majorHAnsi" w:hAnsiTheme="majorHAnsi" w:cstheme="majorHAnsi"/>
          <w:iCs/>
          <w:color w:val="000000"/>
          <w:shd w:val="clear" w:color="auto" w:fill="FFFFFF"/>
          <w:lang w:val="es-ES_tradnl"/>
        </w:rPr>
      </w:pPr>
      <w:r w:rsidRPr="00614B52">
        <w:rPr>
          <w:rFonts w:asciiTheme="majorHAnsi" w:hAnsiTheme="majorHAnsi" w:cstheme="majorHAnsi"/>
          <w:iCs/>
          <w:color w:val="000000"/>
          <w:shd w:val="clear" w:color="auto" w:fill="FFFFFF"/>
          <w:lang w:val="es-ES_tradnl"/>
        </w:rPr>
        <w:t>Resolución 2366 de 2023</w:t>
      </w:r>
      <w:r w:rsidR="00614B52" w:rsidRPr="00614B52">
        <w:t xml:space="preserve"> </w:t>
      </w:r>
      <w:r w:rsidR="00614B52" w:rsidRPr="00614B52">
        <w:rPr>
          <w:rFonts w:asciiTheme="majorHAnsi" w:hAnsiTheme="majorHAnsi" w:cstheme="majorHAnsi"/>
          <w:iCs/>
          <w:color w:val="000000"/>
          <w:shd w:val="clear" w:color="auto" w:fill="FFFFFF"/>
        </w:rPr>
        <w:t>Actualiza los servicios y tecnologías financiados con la UPC.</w:t>
      </w:r>
    </w:p>
    <w:p w14:paraId="61D92636" w14:textId="77777777" w:rsidR="0033578A" w:rsidRPr="00BB48CD" w:rsidRDefault="0033578A" w:rsidP="0033578A">
      <w:pPr>
        <w:jc w:val="both"/>
        <w:rPr>
          <w:rFonts w:asciiTheme="majorHAnsi" w:hAnsiTheme="majorHAnsi" w:cstheme="majorHAnsi"/>
          <w:b/>
          <w:bCs/>
          <w:iCs/>
          <w:color w:val="000000"/>
          <w:shd w:val="clear" w:color="auto" w:fill="FFFFFF"/>
          <w:lang w:val="es-ES_tradnl"/>
        </w:rPr>
      </w:pPr>
    </w:p>
    <w:p w14:paraId="4868C277" w14:textId="718AABC1" w:rsidR="00992D09" w:rsidRPr="004225C0" w:rsidRDefault="00992D09" w:rsidP="00B978A4">
      <w:pPr>
        <w:pStyle w:val="Prrafodelista"/>
        <w:numPr>
          <w:ilvl w:val="1"/>
          <w:numId w:val="2"/>
        </w:numPr>
        <w:jc w:val="both"/>
        <w:rPr>
          <w:rFonts w:asciiTheme="majorHAnsi" w:hAnsiTheme="majorHAnsi" w:cstheme="majorHAnsi"/>
          <w:b/>
          <w:bCs/>
          <w:iCs/>
          <w:color w:val="000000"/>
          <w:shd w:val="clear" w:color="auto" w:fill="FFFFFF"/>
          <w:lang w:val="es-ES_tradnl"/>
        </w:rPr>
      </w:pPr>
      <w:r w:rsidRPr="00920440">
        <w:rPr>
          <w:rFonts w:asciiTheme="majorHAnsi" w:hAnsiTheme="majorHAnsi" w:cstheme="majorHAnsi"/>
          <w:b/>
          <w:bCs/>
          <w:iCs/>
          <w:color w:val="000000"/>
          <w:shd w:val="clear" w:color="auto" w:fill="FFFFFF"/>
          <w:lang w:val="es-ES_tradnl"/>
        </w:rPr>
        <w:t>ANÁLISIS DE LA OFERTA</w:t>
      </w:r>
    </w:p>
    <w:p w14:paraId="6AAF95CA" w14:textId="7D2D281C" w:rsidR="00992D09" w:rsidRPr="00920440" w:rsidRDefault="00992D09" w:rsidP="00B978A4">
      <w:pPr>
        <w:jc w:val="both"/>
        <w:rPr>
          <w:rFonts w:asciiTheme="majorHAnsi" w:hAnsiTheme="majorHAnsi" w:cstheme="majorHAnsi"/>
          <w:bCs/>
          <w:iCs/>
          <w:color w:val="000000"/>
          <w:shd w:val="clear" w:color="auto" w:fill="FFFFFF"/>
          <w:lang w:val="es-ES_tradnl"/>
        </w:rPr>
      </w:pPr>
      <w:r w:rsidRPr="00920440">
        <w:rPr>
          <w:rFonts w:asciiTheme="majorHAnsi" w:hAnsiTheme="majorHAnsi" w:cstheme="majorHAnsi"/>
          <w:bCs/>
          <w:iCs/>
          <w:shd w:val="clear" w:color="auto" w:fill="FFFFFF"/>
          <w:lang w:val="es-ES_tradnl"/>
        </w:rPr>
        <w:t>El objeto por contratar es prestado por empresas especializadas, que por su actividad económica se convierten en potenciales participantes a ofertar en el proceso. A continuación, se mencionan algunos oferentes potenciales</w:t>
      </w:r>
      <w:r w:rsidRPr="00920440">
        <w:rPr>
          <w:rFonts w:asciiTheme="majorHAnsi" w:hAnsiTheme="majorHAnsi" w:cstheme="majorHAnsi"/>
          <w:bCs/>
          <w:iCs/>
          <w:color w:val="000000"/>
          <w:shd w:val="clear" w:color="auto" w:fill="FFFFFF"/>
          <w:lang w:val="es-ES_tradnl"/>
        </w:rPr>
        <w:t>:</w:t>
      </w:r>
    </w:p>
    <w:p w14:paraId="60A504ED" w14:textId="77777777" w:rsidR="00F71F17" w:rsidRDefault="00F71F17" w:rsidP="00B978A4">
      <w:pPr>
        <w:jc w:val="both"/>
        <w:rPr>
          <w:rFonts w:asciiTheme="majorHAnsi" w:hAnsiTheme="majorHAnsi" w:cstheme="majorHAnsi"/>
          <w:bCs/>
          <w:iCs/>
          <w:color w:val="000000"/>
          <w:shd w:val="clear" w:color="auto" w:fill="FFFFFF"/>
          <w:lang w:val="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5"/>
        <w:gridCol w:w="7089"/>
        <w:gridCol w:w="1386"/>
      </w:tblGrid>
      <w:tr w:rsidR="00236A9E" w:rsidRPr="00236A9E" w14:paraId="52C13C35" w14:textId="77777777" w:rsidTr="0019226F">
        <w:trPr>
          <w:trHeight w:val="220"/>
        </w:trPr>
        <w:tc>
          <w:tcPr>
            <w:tcW w:w="414" w:type="pct"/>
            <w:shd w:val="clear" w:color="auto" w:fill="D9D9D9"/>
          </w:tcPr>
          <w:p w14:paraId="4AD24DFC" w14:textId="77777777" w:rsidR="00236A9E" w:rsidRPr="00353541" w:rsidRDefault="00236A9E" w:rsidP="00236A9E">
            <w:pPr>
              <w:jc w:val="both"/>
              <w:rPr>
                <w:rFonts w:asciiTheme="majorHAnsi" w:hAnsiTheme="majorHAnsi" w:cstheme="majorHAnsi"/>
                <w:b/>
                <w:bCs/>
                <w:iCs/>
                <w:sz w:val="20"/>
                <w:szCs w:val="20"/>
                <w:highlight w:val="lightGray"/>
                <w:shd w:val="clear" w:color="auto" w:fill="FFFFFF"/>
                <w:lang w:val="es-ES"/>
              </w:rPr>
            </w:pPr>
            <w:r w:rsidRPr="00353541">
              <w:rPr>
                <w:rFonts w:asciiTheme="majorHAnsi" w:hAnsiTheme="majorHAnsi" w:cstheme="majorHAnsi"/>
                <w:b/>
                <w:bCs/>
                <w:iCs/>
                <w:sz w:val="20"/>
                <w:szCs w:val="20"/>
                <w:highlight w:val="lightGray"/>
                <w:shd w:val="clear" w:color="auto" w:fill="FFFFFF"/>
                <w:lang w:val="es-ES"/>
              </w:rPr>
              <w:t>No.</w:t>
            </w:r>
          </w:p>
        </w:tc>
        <w:tc>
          <w:tcPr>
            <w:tcW w:w="3836" w:type="pct"/>
            <w:shd w:val="clear" w:color="auto" w:fill="D9D9D9"/>
          </w:tcPr>
          <w:p w14:paraId="0106A66D" w14:textId="77777777" w:rsidR="00236A9E" w:rsidRPr="00353541" w:rsidRDefault="00236A9E" w:rsidP="00236A9E">
            <w:pPr>
              <w:jc w:val="both"/>
              <w:rPr>
                <w:rFonts w:asciiTheme="majorHAnsi" w:hAnsiTheme="majorHAnsi" w:cstheme="majorHAnsi"/>
                <w:b/>
                <w:bCs/>
                <w:iCs/>
                <w:sz w:val="20"/>
                <w:szCs w:val="20"/>
                <w:highlight w:val="lightGray"/>
                <w:shd w:val="clear" w:color="auto" w:fill="FFFFFF"/>
                <w:lang w:val="es-ES"/>
              </w:rPr>
            </w:pPr>
            <w:r w:rsidRPr="00353541">
              <w:rPr>
                <w:rFonts w:asciiTheme="majorHAnsi" w:hAnsiTheme="majorHAnsi" w:cstheme="majorHAnsi"/>
                <w:b/>
                <w:bCs/>
                <w:iCs/>
                <w:sz w:val="20"/>
                <w:szCs w:val="20"/>
                <w:highlight w:val="lightGray"/>
                <w:shd w:val="clear" w:color="auto" w:fill="FFFFFF"/>
                <w:lang w:val="es-ES"/>
              </w:rPr>
              <w:t>NOMBRE DE LA EMPRESA</w:t>
            </w:r>
          </w:p>
        </w:tc>
        <w:tc>
          <w:tcPr>
            <w:tcW w:w="750" w:type="pct"/>
            <w:shd w:val="clear" w:color="auto" w:fill="D9D9D9"/>
          </w:tcPr>
          <w:p w14:paraId="772B49F5" w14:textId="77777777" w:rsidR="00236A9E" w:rsidRPr="00353541" w:rsidRDefault="00236A9E" w:rsidP="00236A9E">
            <w:pPr>
              <w:jc w:val="both"/>
              <w:rPr>
                <w:rFonts w:asciiTheme="majorHAnsi" w:hAnsiTheme="majorHAnsi" w:cstheme="majorHAnsi"/>
                <w:b/>
                <w:bCs/>
                <w:iCs/>
                <w:sz w:val="20"/>
                <w:szCs w:val="20"/>
                <w:highlight w:val="lightGray"/>
                <w:shd w:val="clear" w:color="auto" w:fill="FFFFFF"/>
                <w:lang w:val="es-ES"/>
              </w:rPr>
            </w:pPr>
            <w:r w:rsidRPr="00353541">
              <w:rPr>
                <w:rFonts w:asciiTheme="majorHAnsi" w:hAnsiTheme="majorHAnsi" w:cstheme="majorHAnsi"/>
                <w:b/>
                <w:bCs/>
                <w:iCs/>
                <w:sz w:val="20"/>
                <w:szCs w:val="20"/>
                <w:highlight w:val="lightGray"/>
                <w:shd w:val="clear" w:color="auto" w:fill="FFFFFF"/>
                <w:lang w:val="es-ES"/>
              </w:rPr>
              <w:t>UBICACION</w:t>
            </w:r>
          </w:p>
        </w:tc>
      </w:tr>
      <w:tr w:rsidR="00236A9E" w:rsidRPr="00236A9E" w14:paraId="07A4587A" w14:textId="77777777" w:rsidTr="0019226F">
        <w:trPr>
          <w:trHeight w:val="219"/>
        </w:trPr>
        <w:tc>
          <w:tcPr>
            <w:tcW w:w="414" w:type="pct"/>
          </w:tcPr>
          <w:p w14:paraId="5A2F9A8A" w14:textId="77777777" w:rsidR="00236A9E" w:rsidRPr="00236A9E" w:rsidRDefault="00236A9E" w:rsidP="00236A9E">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1</w:t>
            </w:r>
          </w:p>
        </w:tc>
        <w:tc>
          <w:tcPr>
            <w:tcW w:w="3836" w:type="pct"/>
          </w:tcPr>
          <w:p w14:paraId="6F487F70" w14:textId="63B4C810" w:rsidR="00236A9E" w:rsidRPr="00236A9E" w:rsidRDefault="00A27F0F" w:rsidP="00236A9E">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 xml:space="preserve">LLANO SMILE SA </w:t>
            </w:r>
          </w:p>
        </w:tc>
        <w:tc>
          <w:tcPr>
            <w:tcW w:w="750" w:type="pct"/>
          </w:tcPr>
          <w:p w14:paraId="4B4DEDB0" w14:textId="7B2899C7" w:rsidR="00236A9E" w:rsidRPr="00236A9E" w:rsidRDefault="00353541" w:rsidP="00236A9E">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META</w:t>
            </w:r>
          </w:p>
        </w:tc>
      </w:tr>
      <w:tr w:rsidR="00353541" w:rsidRPr="00236A9E" w14:paraId="56E9E435" w14:textId="77777777" w:rsidTr="0019226F">
        <w:trPr>
          <w:trHeight w:val="219"/>
        </w:trPr>
        <w:tc>
          <w:tcPr>
            <w:tcW w:w="414" w:type="pct"/>
          </w:tcPr>
          <w:p w14:paraId="46E2E423"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2</w:t>
            </w:r>
          </w:p>
        </w:tc>
        <w:tc>
          <w:tcPr>
            <w:tcW w:w="3836" w:type="pct"/>
          </w:tcPr>
          <w:p w14:paraId="0956E5D0" w14:textId="27ECBC23" w:rsidR="00353541" w:rsidRPr="00236A9E" w:rsidRDefault="005F74F5"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ISABEL CRISTINA BETANCOURT GARCIA</w:t>
            </w:r>
          </w:p>
        </w:tc>
        <w:tc>
          <w:tcPr>
            <w:tcW w:w="750" w:type="pct"/>
          </w:tcPr>
          <w:p w14:paraId="65BB20E5" w14:textId="347FA36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D1597E" w14:paraId="7DFDF435" w14:textId="77777777" w:rsidTr="0019226F">
        <w:trPr>
          <w:trHeight w:val="220"/>
        </w:trPr>
        <w:tc>
          <w:tcPr>
            <w:tcW w:w="414" w:type="pct"/>
          </w:tcPr>
          <w:p w14:paraId="65E4981F"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3</w:t>
            </w:r>
          </w:p>
        </w:tc>
        <w:tc>
          <w:tcPr>
            <w:tcW w:w="3836" w:type="pct"/>
          </w:tcPr>
          <w:p w14:paraId="0DACD96C" w14:textId="0378DB22" w:rsidR="00353541" w:rsidRPr="00D1597E" w:rsidRDefault="005F74F5" w:rsidP="00353541">
            <w:pPr>
              <w:jc w:val="both"/>
              <w:rPr>
                <w:rFonts w:asciiTheme="majorHAnsi" w:hAnsiTheme="majorHAnsi" w:cstheme="majorHAnsi"/>
                <w:bCs/>
                <w:iCs/>
                <w:color w:val="000000"/>
                <w:sz w:val="20"/>
                <w:szCs w:val="20"/>
                <w:shd w:val="clear" w:color="auto" w:fill="FFFFFF"/>
                <w:lang w:val="pt-PT"/>
              </w:rPr>
            </w:pPr>
            <w:r>
              <w:rPr>
                <w:rFonts w:asciiTheme="majorHAnsi" w:hAnsiTheme="majorHAnsi" w:cstheme="majorHAnsi"/>
                <w:bCs/>
                <w:iCs/>
                <w:color w:val="000000"/>
                <w:sz w:val="20"/>
                <w:szCs w:val="20"/>
                <w:shd w:val="clear" w:color="auto" w:fill="FFFFFF"/>
                <w:lang w:val="pt-PT"/>
              </w:rPr>
              <w:t xml:space="preserve">NANCY JANETH PULIDO </w:t>
            </w:r>
          </w:p>
        </w:tc>
        <w:tc>
          <w:tcPr>
            <w:tcW w:w="750" w:type="pct"/>
          </w:tcPr>
          <w:p w14:paraId="3B1DB6E3" w14:textId="1FAC7E3C" w:rsidR="00353541" w:rsidRPr="00D1597E" w:rsidRDefault="00353541" w:rsidP="00353541">
            <w:pPr>
              <w:jc w:val="both"/>
              <w:rPr>
                <w:rFonts w:asciiTheme="majorHAnsi" w:hAnsiTheme="majorHAnsi" w:cstheme="majorHAnsi"/>
                <w:bCs/>
                <w:iCs/>
                <w:color w:val="000000"/>
                <w:sz w:val="20"/>
                <w:szCs w:val="20"/>
                <w:shd w:val="clear" w:color="auto" w:fill="FFFFFF"/>
                <w:lang w:val="pt-PT"/>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3EA4A44F" w14:textId="77777777" w:rsidTr="0019226F">
        <w:trPr>
          <w:trHeight w:val="219"/>
        </w:trPr>
        <w:tc>
          <w:tcPr>
            <w:tcW w:w="414" w:type="pct"/>
          </w:tcPr>
          <w:p w14:paraId="128E9BFA"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4</w:t>
            </w:r>
          </w:p>
        </w:tc>
        <w:tc>
          <w:tcPr>
            <w:tcW w:w="3836" w:type="pct"/>
          </w:tcPr>
          <w:p w14:paraId="04029014" w14:textId="634CA83C" w:rsidR="00353541" w:rsidRPr="00236A9E" w:rsidRDefault="005F74F5"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DENTCLASS</w:t>
            </w:r>
          </w:p>
        </w:tc>
        <w:tc>
          <w:tcPr>
            <w:tcW w:w="750" w:type="pct"/>
          </w:tcPr>
          <w:p w14:paraId="715E02F7" w14:textId="37739924"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530B1FD3" w14:textId="77777777" w:rsidTr="0019226F">
        <w:trPr>
          <w:trHeight w:val="220"/>
        </w:trPr>
        <w:tc>
          <w:tcPr>
            <w:tcW w:w="414" w:type="pct"/>
          </w:tcPr>
          <w:p w14:paraId="4D4037CD"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5</w:t>
            </w:r>
          </w:p>
        </w:tc>
        <w:tc>
          <w:tcPr>
            <w:tcW w:w="3836" w:type="pct"/>
          </w:tcPr>
          <w:p w14:paraId="33A989CB" w14:textId="3C7BBA29" w:rsidR="00353541" w:rsidRPr="00236A9E" w:rsidRDefault="005F74F5"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ARMANDO MAYORGA LOPEZ</w:t>
            </w:r>
          </w:p>
        </w:tc>
        <w:tc>
          <w:tcPr>
            <w:tcW w:w="750" w:type="pct"/>
          </w:tcPr>
          <w:p w14:paraId="0A17EDD1" w14:textId="68C6CFA5"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0BF38DCD" w14:textId="77777777" w:rsidTr="0019226F">
        <w:trPr>
          <w:trHeight w:val="219"/>
        </w:trPr>
        <w:tc>
          <w:tcPr>
            <w:tcW w:w="414" w:type="pct"/>
          </w:tcPr>
          <w:p w14:paraId="6CD0C4A1"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6</w:t>
            </w:r>
          </w:p>
        </w:tc>
        <w:tc>
          <w:tcPr>
            <w:tcW w:w="3836" w:type="pct"/>
          </w:tcPr>
          <w:p w14:paraId="201452AB" w14:textId="0E1E7599" w:rsidR="00353541" w:rsidRPr="00236A9E" w:rsidRDefault="00FA7C48"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ANGELA PATRICIA VASQUEZ COTERA</w:t>
            </w:r>
          </w:p>
        </w:tc>
        <w:tc>
          <w:tcPr>
            <w:tcW w:w="750" w:type="pct"/>
          </w:tcPr>
          <w:p w14:paraId="46B43F77" w14:textId="2E18D76A"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6363D95C" w14:textId="77777777" w:rsidTr="0019226F">
        <w:trPr>
          <w:trHeight w:val="220"/>
        </w:trPr>
        <w:tc>
          <w:tcPr>
            <w:tcW w:w="414" w:type="pct"/>
          </w:tcPr>
          <w:p w14:paraId="1993B596"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7</w:t>
            </w:r>
          </w:p>
        </w:tc>
        <w:tc>
          <w:tcPr>
            <w:tcW w:w="3836" w:type="pct"/>
          </w:tcPr>
          <w:p w14:paraId="52A9F33D" w14:textId="53BC8D0F" w:rsidR="00353541" w:rsidRPr="00236A9E" w:rsidRDefault="0036310F"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 xml:space="preserve">YULLY IRNEY PATIÑO </w:t>
            </w:r>
          </w:p>
        </w:tc>
        <w:tc>
          <w:tcPr>
            <w:tcW w:w="750" w:type="pct"/>
          </w:tcPr>
          <w:p w14:paraId="5CE54A64" w14:textId="0A0CDB9F"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7F0BA744" w14:textId="77777777" w:rsidTr="0019226F">
        <w:trPr>
          <w:trHeight w:val="219"/>
        </w:trPr>
        <w:tc>
          <w:tcPr>
            <w:tcW w:w="414" w:type="pct"/>
          </w:tcPr>
          <w:p w14:paraId="08968201"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8</w:t>
            </w:r>
          </w:p>
        </w:tc>
        <w:tc>
          <w:tcPr>
            <w:tcW w:w="3836" w:type="pct"/>
          </w:tcPr>
          <w:p w14:paraId="11062334" w14:textId="41FD8D45" w:rsidR="00353541" w:rsidRPr="00236A9E" w:rsidRDefault="0036310F"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KELLY KARINA VERTEL VERGARA</w:t>
            </w:r>
          </w:p>
        </w:tc>
        <w:tc>
          <w:tcPr>
            <w:tcW w:w="750" w:type="pct"/>
          </w:tcPr>
          <w:p w14:paraId="33813644" w14:textId="2A521BA2"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6623D1AA" w14:textId="77777777" w:rsidTr="0019226F">
        <w:trPr>
          <w:trHeight w:val="220"/>
        </w:trPr>
        <w:tc>
          <w:tcPr>
            <w:tcW w:w="414" w:type="pct"/>
          </w:tcPr>
          <w:p w14:paraId="7D1CD05D"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9</w:t>
            </w:r>
          </w:p>
        </w:tc>
        <w:tc>
          <w:tcPr>
            <w:tcW w:w="3836" w:type="pct"/>
          </w:tcPr>
          <w:p w14:paraId="557278F1" w14:textId="465B76F8" w:rsidR="00353541" w:rsidRPr="00236A9E" w:rsidRDefault="00A448F9"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LIDA ANGELICA GUALTEROS</w:t>
            </w:r>
          </w:p>
        </w:tc>
        <w:tc>
          <w:tcPr>
            <w:tcW w:w="750" w:type="pct"/>
          </w:tcPr>
          <w:p w14:paraId="2396AAD1" w14:textId="2AFAEA86"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r w:rsidR="00353541" w:rsidRPr="00236A9E" w14:paraId="3D37CC57" w14:textId="77777777" w:rsidTr="0019226F">
        <w:trPr>
          <w:trHeight w:val="219"/>
        </w:trPr>
        <w:tc>
          <w:tcPr>
            <w:tcW w:w="414" w:type="pct"/>
          </w:tcPr>
          <w:p w14:paraId="072F5A60" w14:textId="77777777"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236A9E">
              <w:rPr>
                <w:rFonts w:asciiTheme="majorHAnsi" w:hAnsiTheme="majorHAnsi" w:cstheme="majorHAnsi"/>
                <w:bCs/>
                <w:iCs/>
                <w:color w:val="000000"/>
                <w:sz w:val="20"/>
                <w:szCs w:val="20"/>
                <w:shd w:val="clear" w:color="auto" w:fill="FFFFFF"/>
                <w:lang w:val="es-ES"/>
              </w:rPr>
              <w:t>10</w:t>
            </w:r>
          </w:p>
        </w:tc>
        <w:tc>
          <w:tcPr>
            <w:tcW w:w="3836" w:type="pct"/>
          </w:tcPr>
          <w:p w14:paraId="3EAAD2C4" w14:textId="08020A2A" w:rsidR="00353541" w:rsidRPr="00236A9E" w:rsidRDefault="00A448F9" w:rsidP="00353541">
            <w:pPr>
              <w:jc w:val="both"/>
              <w:rPr>
                <w:rFonts w:asciiTheme="majorHAnsi" w:hAnsiTheme="majorHAnsi" w:cstheme="majorHAnsi"/>
                <w:bCs/>
                <w:iCs/>
                <w:color w:val="000000"/>
                <w:sz w:val="20"/>
                <w:szCs w:val="20"/>
                <w:shd w:val="clear" w:color="auto" w:fill="FFFFFF"/>
                <w:lang w:val="es-ES"/>
              </w:rPr>
            </w:pPr>
            <w:r>
              <w:rPr>
                <w:rFonts w:asciiTheme="majorHAnsi" w:hAnsiTheme="majorHAnsi" w:cstheme="majorHAnsi"/>
                <w:bCs/>
                <w:iCs/>
                <w:color w:val="000000"/>
                <w:sz w:val="20"/>
                <w:szCs w:val="20"/>
                <w:shd w:val="clear" w:color="auto" w:fill="FFFFFF"/>
                <w:lang w:val="es-ES"/>
              </w:rPr>
              <w:t>CAROLINA REY CRUZ</w:t>
            </w:r>
          </w:p>
        </w:tc>
        <w:tc>
          <w:tcPr>
            <w:tcW w:w="750" w:type="pct"/>
          </w:tcPr>
          <w:p w14:paraId="3A648464" w14:textId="7703D3E5" w:rsidR="00353541" w:rsidRPr="00236A9E" w:rsidRDefault="00353541" w:rsidP="00353541">
            <w:pPr>
              <w:jc w:val="both"/>
              <w:rPr>
                <w:rFonts w:asciiTheme="majorHAnsi" w:hAnsiTheme="majorHAnsi" w:cstheme="majorHAnsi"/>
                <w:bCs/>
                <w:iCs/>
                <w:color w:val="000000"/>
                <w:sz w:val="20"/>
                <w:szCs w:val="20"/>
                <w:shd w:val="clear" w:color="auto" w:fill="FFFFFF"/>
                <w:lang w:val="es-ES"/>
              </w:rPr>
            </w:pPr>
            <w:r w:rsidRPr="00107F5D">
              <w:rPr>
                <w:rFonts w:asciiTheme="majorHAnsi" w:hAnsiTheme="majorHAnsi" w:cstheme="majorHAnsi"/>
                <w:bCs/>
                <w:iCs/>
                <w:color w:val="000000"/>
                <w:sz w:val="20"/>
                <w:szCs w:val="20"/>
                <w:shd w:val="clear" w:color="auto" w:fill="FFFFFF"/>
                <w:lang w:val="es-ES"/>
              </w:rPr>
              <w:t>META</w:t>
            </w:r>
          </w:p>
        </w:tc>
      </w:tr>
    </w:tbl>
    <w:p w14:paraId="10CD5520" w14:textId="77777777" w:rsidR="00236A9E" w:rsidRPr="00920440" w:rsidRDefault="00236A9E" w:rsidP="00B978A4">
      <w:pPr>
        <w:jc w:val="both"/>
        <w:rPr>
          <w:rFonts w:asciiTheme="majorHAnsi" w:hAnsiTheme="majorHAnsi" w:cstheme="majorHAnsi"/>
          <w:bCs/>
          <w:iCs/>
          <w:color w:val="000000"/>
          <w:shd w:val="clear" w:color="auto" w:fill="FFFFFF"/>
          <w:lang w:val="es-ES_tradnl"/>
        </w:rPr>
      </w:pPr>
    </w:p>
    <w:p w14:paraId="47296DAF" w14:textId="77777777" w:rsidR="00483028" w:rsidRDefault="00483028" w:rsidP="006D5618">
      <w:pPr>
        <w:pStyle w:val="Textoindependiente"/>
        <w:ind w:right="831"/>
        <w:jc w:val="both"/>
      </w:pPr>
    </w:p>
    <w:p w14:paraId="517A365D" w14:textId="11E1803B" w:rsidR="006D5618" w:rsidRPr="00E92DD4" w:rsidRDefault="006D5618" w:rsidP="006D5618">
      <w:pPr>
        <w:pStyle w:val="Textoindependiente"/>
        <w:ind w:right="831"/>
        <w:jc w:val="both"/>
        <w:rPr>
          <w:rFonts w:asciiTheme="majorHAnsi" w:hAnsiTheme="majorHAnsi" w:cstheme="majorHAnsi"/>
          <w:sz w:val="24"/>
          <w:szCs w:val="24"/>
        </w:rPr>
      </w:pPr>
      <w:r w:rsidRPr="00E92DD4">
        <w:rPr>
          <w:rFonts w:asciiTheme="majorHAnsi" w:hAnsiTheme="majorHAnsi" w:cstheme="majorHAnsi"/>
          <w:sz w:val="24"/>
          <w:szCs w:val="24"/>
        </w:rPr>
        <w:t>Así mismo, son varias</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las</w:t>
      </w:r>
      <w:r w:rsidRPr="00E92DD4">
        <w:rPr>
          <w:rFonts w:asciiTheme="majorHAnsi" w:hAnsiTheme="majorHAnsi" w:cstheme="majorHAnsi"/>
          <w:spacing w:val="-2"/>
          <w:sz w:val="24"/>
          <w:szCs w:val="24"/>
        </w:rPr>
        <w:t xml:space="preserve"> </w:t>
      </w:r>
      <w:r w:rsidRPr="00E92DD4">
        <w:rPr>
          <w:rFonts w:asciiTheme="majorHAnsi" w:hAnsiTheme="majorHAnsi" w:cstheme="majorHAnsi"/>
          <w:sz w:val="24"/>
          <w:szCs w:val="24"/>
        </w:rPr>
        <w:t>entidades estatales</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que</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adquieren</w:t>
      </w:r>
      <w:r w:rsidRPr="00E92DD4">
        <w:rPr>
          <w:rFonts w:asciiTheme="majorHAnsi" w:hAnsiTheme="majorHAnsi" w:cstheme="majorHAnsi"/>
          <w:spacing w:val="-2"/>
          <w:sz w:val="24"/>
          <w:szCs w:val="24"/>
        </w:rPr>
        <w:t xml:space="preserve"> </w:t>
      </w:r>
      <w:r w:rsidRPr="00E92DD4">
        <w:rPr>
          <w:rFonts w:asciiTheme="majorHAnsi" w:hAnsiTheme="majorHAnsi" w:cstheme="majorHAnsi"/>
          <w:sz w:val="24"/>
          <w:szCs w:val="24"/>
        </w:rPr>
        <w:t>este tipo de</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bienes</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 xml:space="preserve">conforme a las especificaciones técnicas solicitadas, de acuerdo con lo consultado en el sistema electrónico para la contratación SECOP II. El Centro de Formación identificó las entidades estatales con mayor contratación relacionada con las categorías </w:t>
      </w:r>
      <w:r w:rsidR="00A448F9">
        <w:rPr>
          <w:rFonts w:asciiTheme="majorHAnsi" w:hAnsiTheme="majorHAnsi" w:cstheme="majorHAnsi"/>
          <w:sz w:val="24"/>
          <w:szCs w:val="24"/>
        </w:rPr>
        <w:t>851220</w:t>
      </w:r>
      <w:r w:rsidRPr="00E92DD4">
        <w:rPr>
          <w:rFonts w:asciiTheme="majorHAnsi" w:hAnsiTheme="majorHAnsi" w:cstheme="majorHAnsi"/>
          <w:sz w:val="24"/>
          <w:szCs w:val="24"/>
        </w:rPr>
        <w:t xml:space="preserve"> en la región del Meta las cuales se detallan a continuación:</w:t>
      </w:r>
    </w:p>
    <w:p w14:paraId="5884812C" w14:textId="5287D823" w:rsidR="006D5618" w:rsidRPr="00E92DD4" w:rsidRDefault="005C1E98" w:rsidP="006D5618">
      <w:pPr>
        <w:pStyle w:val="Textoindependiente"/>
        <w:rPr>
          <w:rFonts w:asciiTheme="majorHAnsi" w:hAnsiTheme="majorHAnsi" w:cstheme="majorHAnsi"/>
          <w:sz w:val="24"/>
          <w:szCs w:val="24"/>
        </w:rPr>
      </w:pPr>
      <w:r w:rsidRPr="005C1E98">
        <w:rPr>
          <w:rFonts w:asciiTheme="majorHAnsi" w:hAnsiTheme="majorHAnsi" w:cstheme="majorHAnsi"/>
          <w:noProof/>
          <w:sz w:val="24"/>
          <w:szCs w:val="24"/>
        </w:rPr>
        <w:lastRenderedPageBreak/>
        <w:drawing>
          <wp:inline distT="0" distB="0" distL="0" distR="0" wp14:anchorId="407BA35C" wp14:editId="18B389DB">
            <wp:extent cx="5873750" cy="4399915"/>
            <wp:effectExtent l="0" t="0" r="0" b="635"/>
            <wp:docPr id="12151936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93620" name=""/>
                    <pic:cNvPicPr/>
                  </pic:nvPicPr>
                  <pic:blipFill>
                    <a:blip r:embed="rId18"/>
                    <a:stretch>
                      <a:fillRect/>
                    </a:stretch>
                  </pic:blipFill>
                  <pic:spPr>
                    <a:xfrm>
                      <a:off x="0" y="0"/>
                      <a:ext cx="5873750" cy="4399915"/>
                    </a:xfrm>
                    <a:prstGeom prst="rect">
                      <a:avLst/>
                    </a:prstGeom>
                  </pic:spPr>
                </pic:pic>
              </a:graphicData>
            </a:graphic>
          </wp:inline>
        </w:drawing>
      </w:r>
    </w:p>
    <w:p w14:paraId="14CCCE95" w14:textId="1308BE53" w:rsidR="00CF6A79" w:rsidRPr="00E92DD4" w:rsidRDefault="00CF6A79" w:rsidP="000F1388">
      <w:pPr>
        <w:pStyle w:val="Prrafodelista"/>
        <w:spacing w:after="0" w:line="240" w:lineRule="auto"/>
        <w:ind w:left="-284"/>
        <w:jc w:val="both"/>
        <w:rPr>
          <w:rFonts w:asciiTheme="majorHAnsi" w:hAnsiTheme="majorHAnsi" w:cstheme="majorHAnsi"/>
          <w:bCs/>
          <w:iCs/>
          <w:color w:val="FF0000"/>
          <w:sz w:val="24"/>
          <w:szCs w:val="24"/>
          <w:shd w:val="clear" w:color="auto" w:fill="FFFFFF"/>
          <w:lang w:val="es-ES"/>
        </w:rPr>
      </w:pPr>
    </w:p>
    <w:p w14:paraId="3BAC4A8C" w14:textId="3A11CFB6" w:rsidR="00483028" w:rsidRDefault="00483028" w:rsidP="00483028">
      <w:pPr>
        <w:pStyle w:val="Textoindependiente"/>
        <w:spacing w:before="208"/>
        <w:ind w:right="831"/>
        <w:jc w:val="both"/>
        <w:rPr>
          <w:rFonts w:asciiTheme="majorHAnsi" w:hAnsiTheme="majorHAnsi" w:cstheme="majorHAnsi"/>
          <w:sz w:val="24"/>
          <w:szCs w:val="24"/>
        </w:rPr>
      </w:pPr>
      <w:r w:rsidRPr="00E92DD4">
        <w:rPr>
          <w:rFonts w:asciiTheme="majorHAnsi" w:hAnsiTheme="majorHAnsi" w:cstheme="majorHAnsi"/>
          <w:sz w:val="24"/>
          <w:szCs w:val="24"/>
        </w:rPr>
        <w:t xml:space="preserve">Verificando igualmente la herramienta dispuesta en la página de Colombia compra eficiente </w:t>
      </w:r>
      <w:hyperlink r:id="rId19">
        <w:r w:rsidRPr="00E92DD4">
          <w:rPr>
            <w:rFonts w:asciiTheme="majorHAnsi" w:hAnsiTheme="majorHAnsi" w:cstheme="majorHAnsi"/>
            <w:color w:val="0000FF"/>
            <w:sz w:val="24"/>
            <w:szCs w:val="24"/>
            <w:u w:val="single" w:color="0000FF"/>
          </w:rPr>
          <w:t>www.colombiacompra.gov.co</w:t>
        </w:r>
      </w:hyperlink>
      <w:r w:rsidRPr="00E92DD4">
        <w:rPr>
          <w:rFonts w:asciiTheme="majorHAnsi" w:hAnsiTheme="majorHAnsi" w:cstheme="majorHAnsi"/>
          <w:color w:val="0000FF"/>
          <w:spacing w:val="-6"/>
          <w:sz w:val="24"/>
          <w:szCs w:val="24"/>
        </w:rPr>
        <w:t xml:space="preserve"> </w:t>
      </w:r>
      <w:r w:rsidRPr="00E92DD4">
        <w:rPr>
          <w:rFonts w:asciiTheme="majorHAnsi" w:hAnsiTheme="majorHAnsi" w:cstheme="majorHAnsi"/>
          <w:sz w:val="24"/>
          <w:szCs w:val="24"/>
        </w:rPr>
        <w:t>,</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para</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el</w:t>
      </w:r>
      <w:r w:rsidRPr="00E92DD4">
        <w:rPr>
          <w:rFonts w:asciiTheme="majorHAnsi" w:hAnsiTheme="majorHAnsi" w:cstheme="majorHAnsi"/>
          <w:spacing w:val="-9"/>
          <w:sz w:val="24"/>
          <w:szCs w:val="24"/>
        </w:rPr>
        <w:t xml:space="preserve"> </w:t>
      </w:r>
      <w:r w:rsidRPr="00E92DD4">
        <w:rPr>
          <w:rFonts w:asciiTheme="majorHAnsi" w:hAnsiTheme="majorHAnsi" w:cstheme="majorHAnsi"/>
          <w:sz w:val="24"/>
          <w:szCs w:val="24"/>
        </w:rPr>
        <w:t>análisis</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la</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oferta,</w:t>
      </w:r>
      <w:r w:rsidRPr="00E92DD4">
        <w:rPr>
          <w:rFonts w:asciiTheme="majorHAnsi" w:hAnsiTheme="majorHAnsi" w:cstheme="majorHAnsi"/>
          <w:spacing w:val="-9"/>
          <w:sz w:val="24"/>
          <w:szCs w:val="24"/>
        </w:rPr>
        <w:t xml:space="preserve"> </w:t>
      </w:r>
      <w:r w:rsidRPr="00E92DD4">
        <w:rPr>
          <w:rFonts w:asciiTheme="majorHAnsi" w:hAnsiTheme="majorHAnsi" w:cstheme="majorHAnsi"/>
          <w:sz w:val="24"/>
          <w:szCs w:val="24"/>
        </w:rPr>
        <w:t>seleccionando</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las</w:t>
      </w:r>
      <w:r w:rsidRPr="00E92DD4">
        <w:rPr>
          <w:rFonts w:asciiTheme="majorHAnsi" w:hAnsiTheme="majorHAnsi" w:cstheme="majorHAnsi"/>
          <w:spacing w:val="-10"/>
          <w:sz w:val="24"/>
          <w:szCs w:val="24"/>
        </w:rPr>
        <w:t xml:space="preserve"> </w:t>
      </w:r>
      <w:r w:rsidRPr="00E92DD4">
        <w:rPr>
          <w:rFonts w:asciiTheme="majorHAnsi" w:hAnsiTheme="majorHAnsi" w:cstheme="majorHAnsi"/>
          <w:sz w:val="24"/>
          <w:szCs w:val="24"/>
        </w:rPr>
        <w:t>categorías</w:t>
      </w:r>
      <w:r w:rsidRPr="00E92DD4">
        <w:rPr>
          <w:rFonts w:asciiTheme="majorHAnsi" w:hAnsiTheme="majorHAnsi" w:cstheme="majorHAnsi"/>
          <w:spacing w:val="-9"/>
          <w:sz w:val="24"/>
          <w:szCs w:val="24"/>
        </w:rPr>
        <w:t xml:space="preserve"> </w:t>
      </w:r>
      <w:r w:rsidR="004235C2">
        <w:rPr>
          <w:rFonts w:asciiTheme="majorHAnsi" w:hAnsiTheme="majorHAnsi" w:cstheme="majorHAnsi"/>
          <w:sz w:val="24"/>
          <w:szCs w:val="24"/>
        </w:rPr>
        <w:t>851210</w:t>
      </w:r>
      <w:r w:rsidRPr="00E92DD4">
        <w:rPr>
          <w:rFonts w:asciiTheme="majorHAnsi" w:hAnsiTheme="majorHAnsi" w:cstheme="majorHAnsi"/>
          <w:sz w:val="24"/>
          <w:szCs w:val="24"/>
        </w:rPr>
        <w:t xml:space="preserve"> se encontró que existen </w:t>
      </w:r>
      <w:r w:rsidR="004235C2">
        <w:rPr>
          <w:rFonts w:asciiTheme="majorHAnsi" w:hAnsiTheme="majorHAnsi" w:cstheme="majorHAnsi"/>
          <w:sz w:val="24"/>
          <w:szCs w:val="24"/>
        </w:rPr>
        <w:t>189</w:t>
      </w:r>
      <w:r w:rsidRPr="00E92DD4">
        <w:rPr>
          <w:rFonts w:asciiTheme="majorHAnsi" w:hAnsiTheme="majorHAnsi" w:cstheme="majorHAnsi"/>
          <w:sz w:val="24"/>
          <w:szCs w:val="24"/>
        </w:rPr>
        <w:t xml:space="preserve"> proveedores que han prestado sus servicios</w:t>
      </w:r>
      <w:r w:rsidRPr="00E92DD4">
        <w:rPr>
          <w:rFonts w:asciiTheme="majorHAnsi" w:hAnsiTheme="majorHAnsi" w:cstheme="majorHAnsi"/>
          <w:spacing w:val="-1"/>
          <w:sz w:val="24"/>
          <w:szCs w:val="24"/>
        </w:rPr>
        <w:t xml:space="preserve"> </w:t>
      </w:r>
      <w:r w:rsidRPr="00E92DD4">
        <w:rPr>
          <w:rFonts w:asciiTheme="majorHAnsi" w:hAnsiTheme="majorHAnsi" w:cstheme="majorHAnsi"/>
          <w:sz w:val="24"/>
          <w:szCs w:val="24"/>
        </w:rPr>
        <w:t>en esta zona del país y que desde el año 2020 al 202</w:t>
      </w:r>
      <w:r w:rsidR="00A953D9">
        <w:rPr>
          <w:rFonts w:asciiTheme="majorHAnsi" w:hAnsiTheme="majorHAnsi" w:cstheme="majorHAnsi"/>
          <w:sz w:val="24"/>
          <w:szCs w:val="24"/>
        </w:rPr>
        <w:t>6</w:t>
      </w:r>
      <w:r w:rsidRPr="00E92DD4">
        <w:rPr>
          <w:rFonts w:asciiTheme="majorHAnsi" w:hAnsiTheme="majorHAnsi" w:cstheme="majorHAnsi"/>
          <w:sz w:val="24"/>
          <w:szCs w:val="24"/>
        </w:rPr>
        <w:t xml:space="preserve"> se han elaborado </w:t>
      </w:r>
      <w:r w:rsidR="004235C2">
        <w:rPr>
          <w:rFonts w:asciiTheme="majorHAnsi" w:hAnsiTheme="majorHAnsi" w:cstheme="majorHAnsi"/>
          <w:sz w:val="24"/>
          <w:szCs w:val="24"/>
        </w:rPr>
        <w:t>379</w:t>
      </w:r>
      <w:r w:rsidRPr="00E92DD4">
        <w:rPr>
          <w:rFonts w:asciiTheme="majorHAnsi" w:hAnsiTheme="majorHAnsi" w:cstheme="majorHAnsi"/>
          <w:sz w:val="24"/>
          <w:szCs w:val="24"/>
        </w:rPr>
        <w:t xml:space="preserve"> contratos por un valor estimado de contratación de $</w:t>
      </w:r>
      <w:r w:rsidR="004235C2">
        <w:rPr>
          <w:rFonts w:asciiTheme="majorHAnsi" w:hAnsiTheme="majorHAnsi" w:cstheme="majorHAnsi"/>
          <w:sz w:val="24"/>
          <w:szCs w:val="24"/>
        </w:rPr>
        <w:t>6,2</w:t>
      </w:r>
      <w:r w:rsidRPr="00E92DD4">
        <w:rPr>
          <w:rFonts w:asciiTheme="majorHAnsi" w:hAnsiTheme="majorHAnsi" w:cstheme="majorHAnsi"/>
          <w:sz w:val="24"/>
          <w:szCs w:val="24"/>
        </w:rPr>
        <w:t xml:space="preserve"> Mil Millones, como se muestra a continuación:</w:t>
      </w:r>
    </w:p>
    <w:p w14:paraId="5BB4A1B8" w14:textId="1E95B87D" w:rsidR="00483028" w:rsidRDefault="002D2F9F" w:rsidP="00483028">
      <w:pPr>
        <w:pStyle w:val="Textoindependiente"/>
        <w:spacing w:before="1"/>
        <w:rPr>
          <w:rFonts w:asciiTheme="majorHAnsi" w:hAnsiTheme="majorHAnsi" w:cstheme="majorHAnsi"/>
          <w:sz w:val="24"/>
          <w:szCs w:val="24"/>
        </w:rPr>
      </w:pPr>
      <w:r w:rsidRPr="002D2F9F">
        <w:rPr>
          <w:rFonts w:asciiTheme="majorHAnsi" w:hAnsiTheme="majorHAnsi" w:cstheme="majorHAnsi"/>
          <w:noProof/>
          <w:sz w:val="24"/>
          <w:szCs w:val="24"/>
        </w:rPr>
        <w:drawing>
          <wp:inline distT="0" distB="0" distL="0" distR="0" wp14:anchorId="70D349E1" wp14:editId="243D79A5">
            <wp:extent cx="5797550" cy="2052646"/>
            <wp:effectExtent l="0" t="0" r="0" b="5080"/>
            <wp:docPr id="1088572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72924" name=""/>
                    <pic:cNvPicPr/>
                  </pic:nvPicPr>
                  <pic:blipFill>
                    <a:blip r:embed="rId20"/>
                    <a:stretch>
                      <a:fillRect/>
                    </a:stretch>
                  </pic:blipFill>
                  <pic:spPr>
                    <a:xfrm>
                      <a:off x="0" y="0"/>
                      <a:ext cx="5839206" cy="2067394"/>
                    </a:xfrm>
                    <a:prstGeom prst="rect">
                      <a:avLst/>
                    </a:prstGeom>
                  </pic:spPr>
                </pic:pic>
              </a:graphicData>
            </a:graphic>
          </wp:inline>
        </w:drawing>
      </w:r>
    </w:p>
    <w:p w14:paraId="07D5702C" w14:textId="021E4151" w:rsidR="000868E7" w:rsidRPr="00E92DD4" w:rsidRDefault="00F71F17" w:rsidP="000F0C2C">
      <w:pPr>
        <w:pStyle w:val="Prrafodelista"/>
        <w:numPr>
          <w:ilvl w:val="2"/>
          <w:numId w:val="2"/>
        </w:numPr>
        <w:jc w:val="both"/>
        <w:rPr>
          <w:rFonts w:asciiTheme="majorHAnsi" w:hAnsiTheme="majorHAnsi" w:cstheme="majorHAnsi"/>
          <w:b/>
          <w:bCs/>
          <w:iCs/>
          <w:sz w:val="24"/>
          <w:szCs w:val="24"/>
          <w:shd w:val="clear" w:color="auto" w:fill="FFFFFF"/>
          <w:lang w:val="es-ES_tradnl"/>
        </w:rPr>
      </w:pPr>
      <w:r w:rsidRPr="00E92DD4">
        <w:rPr>
          <w:rFonts w:asciiTheme="majorHAnsi" w:hAnsiTheme="majorHAnsi" w:cstheme="majorHAnsi"/>
          <w:b/>
          <w:bCs/>
          <w:iCs/>
          <w:sz w:val="24"/>
          <w:szCs w:val="24"/>
          <w:shd w:val="clear" w:color="auto" w:fill="FFFFFF"/>
          <w:lang w:val="es-ES_tradnl"/>
        </w:rPr>
        <w:lastRenderedPageBreak/>
        <w:t>ANÁLISIS DE LA DEMANDA:</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17"/>
        <w:gridCol w:w="1418"/>
        <w:gridCol w:w="1134"/>
        <w:gridCol w:w="1275"/>
        <w:gridCol w:w="3254"/>
        <w:gridCol w:w="1708"/>
      </w:tblGrid>
      <w:tr w:rsidR="009D6731" w:rsidRPr="00533497" w14:paraId="575CD8AF" w14:textId="77777777" w:rsidTr="00925BD9">
        <w:trPr>
          <w:trHeight w:val="486"/>
          <w:tblHeader/>
          <w:jc w:val="center"/>
        </w:trPr>
        <w:tc>
          <w:tcPr>
            <w:tcW w:w="421" w:type="dxa"/>
            <w:shd w:val="clear" w:color="000000" w:fill="BFBFBF" w:themeFill="background1" w:themeFillShade="BF"/>
            <w:vAlign w:val="center"/>
          </w:tcPr>
          <w:p w14:paraId="1BF79ED6" w14:textId="689C10E3" w:rsidR="00E506EB" w:rsidRPr="002A64D4" w:rsidRDefault="00E506EB" w:rsidP="008B025E">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No.</w:t>
            </w:r>
          </w:p>
        </w:tc>
        <w:tc>
          <w:tcPr>
            <w:tcW w:w="1417" w:type="dxa"/>
            <w:shd w:val="clear" w:color="000000" w:fill="BFBFBF" w:themeFill="background1" w:themeFillShade="BF"/>
            <w:vAlign w:val="center"/>
            <w:hideMark/>
          </w:tcPr>
          <w:p w14:paraId="2CEDA1CA" w14:textId="5B5661ED" w:rsidR="00E506EB" w:rsidRPr="002A64D4" w:rsidRDefault="00E506EB" w:rsidP="00B978A4">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NÚMERO DEL PROCESO</w:t>
            </w:r>
          </w:p>
        </w:tc>
        <w:tc>
          <w:tcPr>
            <w:tcW w:w="1418" w:type="dxa"/>
            <w:shd w:val="clear" w:color="000000" w:fill="BFBFBF" w:themeFill="background1" w:themeFillShade="BF"/>
            <w:vAlign w:val="center"/>
            <w:hideMark/>
          </w:tcPr>
          <w:p w14:paraId="33649FF8" w14:textId="23ABCFAB" w:rsidR="00E506EB" w:rsidRPr="002A64D4" w:rsidRDefault="00E506EB" w:rsidP="00B978A4">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MODALIDAD DE CONTRATACION</w:t>
            </w:r>
          </w:p>
        </w:tc>
        <w:tc>
          <w:tcPr>
            <w:tcW w:w="1134" w:type="dxa"/>
            <w:shd w:val="clear" w:color="000000" w:fill="BFBFBF" w:themeFill="background1" w:themeFillShade="BF"/>
            <w:vAlign w:val="center"/>
            <w:hideMark/>
          </w:tcPr>
          <w:p w14:paraId="3659C1EA" w14:textId="54B778CA" w:rsidR="00E506EB" w:rsidRPr="002A64D4" w:rsidRDefault="00E506EB" w:rsidP="00B978A4">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ENTIDAD</w:t>
            </w:r>
          </w:p>
        </w:tc>
        <w:tc>
          <w:tcPr>
            <w:tcW w:w="1275" w:type="dxa"/>
            <w:shd w:val="clear" w:color="000000" w:fill="BFBFBF" w:themeFill="background1" w:themeFillShade="BF"/>
            <w:vAlign w:val="center"/>
            <w:hideMark/>
          </w:tcPr>
          <w:p w14:paraId="2C70F92A" w14:textId="6F957042" w:rsidR="00E506EB" w:rsidRPr="002A64D4" w:rsidRDefault="00E506EB" w:rsidP="009E2D4C">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PLAZO DE EJECUCION</w:t>
            </w:r>
          </w:p>
        </w:tc>
        <w:tc>
          <w:tcPr>
            <w:tcW w:w="3254" w:type="dxa"/>
            <w:shd w:val="clear" w:color="000000" w:fill="BFBFBF" w:themeFill="background1" w:themeFillShade="BF"/>
            <w:vAlign w:val="center"/>
          </w:tcPr>
          <w:p w14:paraId="2C772C15" w14:textId="60C83798" w:rsidR="00E506EB" w:rsidRPr="002A64D4" w:rsidRDefault="00E506EB" w:rsidP="000B3485">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OBJETO</w:t>
            </w:r>
          </w:p>
        </w:tc>
        <w:tc>
          <w:tcPr>
            <w:tcW w:w="1708" w:type="dxa"/>
            <w:shd w:val="clear" w:color="000000" w:fill="BFBFBF" w:themeFill="background1" w:themeFillShade="BF"/>
            <w:vAlign w:val="center"/>
            <w:hideMark/>
          </w:tcPr>
          <w:p w14:paraId="05137ADB" w14:textId="188F334C" w:rsidR="00E506EB" w:rsidRPr="002A64D4" w:rsidRDefault="00E506EB" w:rsidP="00B978A4">
            <w:pPr>
              <w:pStyle w:val="Sinespaciado"/>
              <w:jc w:val="center"/>
              <w:rPr>
                <w:rFonts w:asciiTheme="majorHAnsi" w:hAnsiTheme="majorHAnsi" w:cstheme="majorHAnsi"/>
                <w:b/>
                <w:bCs/>
                <w:iCs/>
                <w:sz w:val="18"/>
                <w:szCs w:val="18"/>
                <w:highlight w:val="darkGray"/>
                <w:shd w:val="clear" w:color="auto" w:fill="FFFFFF"/>
                <w:lang w:val="es-ES_tradnl"/>
              </w:rPr>
            </w:pPr>
            <w:r w:rsidRPr="002A64D4">
              <w:rPr>
                <w:rFonts w:asciiTheme="majorHAnsi" w:hAnsiTheme="majorHAnsi" w:cstheme="majorHAnsi"/>
                <w:b/>
                <w:bCs/>
                <w:iCs/>
                <w:sz w:val="18"/>
                <w:szCs w:val="18"/>
                <w:highlight w:val="darkGray"/>
                <w:shd w:val="clear" w:color="auto" w:fill="FFFFFF"/>
                <w:lang w:val="es-ES_tradnl"/>
              </w:rPr>
              <w:t>VALOR DEL CONTRATO</w:t>
            </w:r>
          </w:p>
        </w:tc>
      </w:tr>
      <w:tr w:rsidR="00005F79" w:rsidRPr="00533497" w14:paraId="59A83574" w14:textId="77777777" w:rsidTr="00B7331D">
        <w:trPr>
          <w:trHeight w:val="1193"/>
          <w:jc w:val="center"/>
        </w:trPr>
        <w:tc>
          <w:tcPr>
            <w:tcW w:w="421" w:type="dxa"/>
            <w:shd w:val="clear" w:color="000000" w:fill="FFFFFF"/>
            <w:vAlign w:val="center"/>
          </w:tcPr>
          <w:p w14:paraId="47FDE5A0" w14:textId="69EEA97C" w:rsidR="00005F79" w:rsidRPr="00533497" w:rsidRDefault="00005F79" w:rsidP="00005F79">
            <w:pPr>
              <w:jc w:val="center"/>
              <w:rPr>
                <w:rFonts w:asciiTheme="majorHAnsi" w:hAnsiTheme="majorHAnsi" w:cstheme="majorHAnsi"/>
                <w:sz w:val="18"/>
                <w:szCs w:val="18"/>
                <w:shd w:val="clear" w:color="auto" w:fill="FFFFFF"/>
                <w:lang w:val="es-ES_tradnl"/>
              </w:rPr>
            </w:pPr>
            <w:r w:rsidRPr="00533497">
              <w:rPr>
                <w:rFonts w:asciiTheme="majorHAnsi" w:hAnsiTheme="majorHAnsi" w:cstheme="majorHAnsi"/>
                <w:sz w:val="18"/>
                <w:szCs w:val="18"/>
                <w:lang w:val="es-ES_tradnl"/>
              </w:rPr>
              <w:t>1</w:t>
            </w:r>
          </w:p>
        </w:tc>
        <w:tc>
          <w:tcPr>
            <w:tcW w:w="1417" w:type="dxa"/>
            <w:shd w:val="clear" w:color="000000" w:fill="FFFFFF"/>
          </w:tcPr>
          <w:p w14:paraId="0F3F218A" w14:textId="5FCB0650" w:rsidR="00005F79" w:rsidRPr="00533497" w:rsidRDefault="0054169B" w:rsidP="00005F79">
            <w:pPr>
              <w:jc w:val="both"/>
              <w:rPr>
                <w:rFonts w:asciiTheme="majorHAnsi" w:hAnsiTheme="majorHAnsi" w:cstheme="majorHAnsi"/>
                <w:bCs/>
                <w:iCs/>
                <w:sz w:val="18"/>
                <w:szCs w:val="18"/>
                <w:shd w:val="clear" w:color="auto" w:fill="FFFFFF"/>
                <w:lang w:val="es-ES_tradnl"/>
              </w:rPr>
            </w:pPr>
            <w:r w:rsidRPr="0054169B">
              <w:rPr>
                <w:rFonts w:asciiTheme="majorHAnsi" w:hAnsiTheme="majorHAnsi" w:cstheme="majorHAnsi"/>
                <w:bCs/>
                <w:iCs/>
                <w:sz w:val="18"/>
                <w:szCs w:val="18"/>
                <w:shd w:val="clear" w:color="auto" w:fill="FFFFFF"/>
              </w:rPr>
              <w:t>FFDS-CD-0881-2023</w:t>
            </w:r>
          </w:p>
        </w:tc>
        <w:tc>
          <w:tcPr>
            <w:tcW w:w="1418" w:type="dxa"/>
            <w:shd w:val="clear" w:color="000000" w:fill="FFFFFF"/>
          </w:tcPr>
          <w:p w14:paraId="1D16FE2A" w14:textId="22152CDE" w:rsidR="00005F79" w:rsidRPr="00533497" w:rsidRDefault="003532C1" w:rsidP="00005F79">
            <w:pPr>
              <w:jc w:val="both"/>
              <w:rPr>
                <w:rFonts w:asciiTheme="majorHAnsi" w:hAnsiTheme="majorHAnsi" w:cstheme="majorHAnsi"/>
                <w:sz w:val="18"/>
                <w:szCs w:val="18"/>
                <w:lang w:val="es-ES_tradnl"/>
              </w:rPr>
            </w:pPr>
            <w:r w:rsidRPr="003532C1">
              <w:rPr>
                <w:rFonts w:asciiTheme="majorHAnsi" w:hAnsiTheme="majorHAnsi" w:cstheme="majorHAnsi"/>
                <w:sz w:val="18"/>
                <w:szCs w:val="18"/>
              </w:rPr>
              <w:t>Contratación directa (con ofertas)</w:t>
            </w:r>
          </w:p>
        </w:tc>
        <w:tc>
          <w:tcPr>
            <w:tcW w:w="1134" w:type="dxa"/>
            <w:shd w:val="clear" w:color="000000" w:fill="FFFFFF"/>
          </w:tcPr>
          <w:p w14:paraId="1A10DB86" w14:textId="4CA9D004" w:rsidR="00005F79" w:rsidRPr="00533497" w:rsidRDefault="003532C1" w:rsidP="00005F79">
            <w:pPr>
              <w:rPr>
                <w:rFonts w:asciiTheme="majorHAnsi" w:hAnsiTheme="majorHAnsi" w:cstheme="majorHAnsi"/>
                <w:sz w:val="18"/>
                <w:szCs w:val="18"/>
                <w:lang w:val="es-ES_tradnl"/>
              </w:rPr>
            </w:pPr>
            <w:r w:rsidRPr="003532C1">
              <w:rPr>
                <w:rFonts w:asciiTheme="majorHAnsi" w:hAnsiTheme="majorHAnsi" w:cstheme="majorHAnsi"/>
                <w:b/>
                <w:bCs/>
                <w:sz w:val="18"/>
                <w:szCs w:val="18"/>
              </w:rPr>
              <w:t>FONDO FINANCIERO DISTRITAL DE SALUD.</w:t>
            </w:r>
          </w:p>
        </w:tc>
        <w:tc>
          <w:tcPr>
            <w:tcW w:w="1275" w:type="dxa"/>
            <w:shd w:val="clear" w:color="000000" w:fill="FFFFFF"/>
          </w:tcPr>
          <w:p w14:paraId="10273E88" w14:textId="63A8E652" w:rsidR="00005F79" w:rsidRPr="00533497" w:rsidRDefault="003532C1"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274 DIAS</w:t>
            </w:r>
          </w:p>
        </w:tc>
        <w:tc>
          <w:tcPr>
            <w:tcW w:w="3254" w:type="dxa"/>
            <w:shd w:val="clear" w:color="000000" w:fill="FFFFFF"/>
          </w:tcPr>
          <w:p w14:paraId="0546C544" w14:textId="012FB362" w:rsidR="00005F79" w:rsidRPr="00533497" w:rsidRDefault="003532C1" w:rsidP="00005F79">
            <w:pPr>
              <w:jc w:val="both"/>
              <w:rPr>
                <w:rFonts w:asciiTheme="majorHAnsi" w:hAnsiTheme="majorHAnsi" w:cstheme="majorHAnsi"/>
                <w:sz w:val="18"/>
                <w:szCs w:val="18"/>
                <w:lang w:val="es-ES_tradnl"/>
              </w:rPr>
            </w:pPr>
            <w:r w:rsidRPr="003532C1">
              <w:rPr>
                <w:rFonts w:asciiTheme="majorHAnsi" w:hAnsiTheme="majorHAnsi" w:cstheme="majorHAnsi"/>
                <w:sz w:val="18"/>
                <w:szCs w:val="18"/>
              </w:rPr>
              <w:t>Aunar esfuerzos entre el FFDS y la Subred Integrada de Servicios de Salud Norte E.S.E, para realizar actividades del Plan de Intervenciones Colectivas en el Distrito Capital y de gestión de la salud pública, en concordancia con las normas que regulan el sistema general de seguridad social en salud, el plan territorial en salud, de acuerdo con las necesidades y prioridades de la población en la ciudad, mediante la implementación de acciones de promoción de la Salud, prevención de la enfermedad,</w:t>
            </w:r>
          </w:p>
        </w:tc>
        <w:tc>
          <w:tcPr>
            <w:tcW w:w="1708" w:type="dxa"/>
            <w:shd w:val="clear" w:color="000000" w:fill="FFFFFF"/>
          </w:tcPr>
          <w:p w14:paraId="4BB77FA2" w14:textId="64A5548A" w:rsidR="00005F79" w:rsidRPr="00533497" w:rsidRDefault="003532C1" w:rsidP="00005F79">
            <w:pPr>
              <w:jc w:val="both"/>
              <w:rPr>
                <w:rFonts w:asciiTheme="majorHAnsi" w:hAnsiTheme="majorHAnsi" w:cstheme="majorHAnsi"/>
                <w:sz w:val="18"/>
                <w:szCs w:val="18"/>
                <w:lang w:val="es-ES_tradnl"/>
              </w:rPr>
            </w:pPr>
            <w:r w:rsidRPr="003532C1">
              <w:rPr>
                <w:rFonts w:asciiTheme="majorHAnsi" w:hAnsiTheme="majorHAnsi" w:cstheme="majorHAnsi"/>
                <w:sz w:val="18"/>
                <w:szCs w:val="18"/>
              </w:rPr>
              <w:t>68.052.700.412 COP</w:t>
            </w:r>
          </w:p>
        </w:tc>
      </w:tr>
      <w:tr w:rsidR="00005F79" w:rsidRPr="00533497" w14:paraId="0B2575EF" w14:textId="77777777" w:rsidTr="00B7331D">
        <w:trPr>
          <w:trHeight w:val="412"/>
          <w:jc w:val="center"/>
        </w:trPr>
        <w:tc>
          <w:tcPr>
            <w:tcW w:w="421" w:type="dxa"/>
            <w:shd w:val="clear" w:color="000000" w:fill="FFFFFF"/>
            <w:vAlign w:val="center"/>
          </w:tcPr>
          <w:p w14:paraId="437C1BD3" w14:textId="25F29C66"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t>2</w:t>
            </w:r>
          </w:p>
        </w:tc>
        <w:tc>
          <w:tcPr>
            <w:tcW w:w="1417" w:type="dxa"/>
            <w:shd w:val="clear" w:color="000000" w:fill="FFFFFF"/>
          </w:tcPr>
          <w:p w14:paraId="6A3342D4" w14:textId="1FA85FA6" w:rsidR="00005F79" w:rsidRPr="00533497" w:rsidRDefault="007D5ABC" w:rsidP="00005F79">
            <w:pPr>
              <w:jc w:val="both"/>
              <w:rPr>
                <w:rFonts w:asciiTheme="majorHAnsi" w:hAnsiTheme="majorHAnsi" w:cstheme="majorHAnsi"/>
                <w:sz w:val="18"/>
                <w:szCs w:val="18"/>
                <w:lang w:val="es-ES_tradnl"/>
              </w:rPr>
            </w:pPr>
            <w:r w:rsidRPr="007D5ABC">
              <w:rPr>
                <w:rFonts w:asciiTheme="majorHAnsi" w:hAnsiTheme="majorHAnsi" w:cstheme="majorHAnsi"/>
                <w:sz w:val="18"/>
                <w:szCs w:val="18"/>
              </w:rPr>
              <w:t>SS-CDCTI-1150-2021</w:t>
            </w:r>
          </w:p>
        </w:tc>
        <w:tc>
          <w:tcPr>
            <w:tcW w:w="1418" w:type="dxa"/>
            <w:shd w:val="clear" w:color="000000" w:fill="FFFFFF"/>
          </w:tcPr>
          <w:p w14:paraId="4B97AAC4" w14:textId="3C89A1FD" w:rsidR="00005F79" w:rsidRPr="00533497" w:rsidRDefault="007D5ABC" w:rsidP="00005F79">
            <w:pPr>
              <w:jc w:val="both"/>
              <w:rPr>
                <w:rFonts w:asciiTheme="majorHAnsi" w:hAnsiTheme="majorHAnsi" w:cstheme="majorHAnsi"/>
                <w:sz w:val="18"/>
                <w:szCs w:val="18"/>
                <w:lang w:val="es-ES_tradnl"/>
              </w:rPr>
            </w:pPr>
            <w:r w:rsidRPr="007D5ABC">
              <w:rPr>
                <w:rFonts w:asciiTheme="majorHAnsi" w:hAnsiTheme="majorHAnsi" w:cstheme="majorHAnsi"/>
                <w:sz w:val="18"/>
                <w:szCs w:val="18"/>
              </w:rPr>
              <w:t>Contratación directa</w:t>
            </w:r>
          </w:p>
        </w:tc>
        <w:tc>
          <w:tcPr>
            <w:tcW w:w="1134" w:type="dxa"/>
            <w:shd w:val="clear" w:color="000000" w:fill="FFFFFF"/>
          </w:tcPr>
          <w:p w14:paraId="147EF354" w14:textId="72DA04EA" w:rsidR="00005F79" w:rsidRPr="00533497" w:rsidRDefault="007D5ABC" w:rsidP="00005F79">
            <w:pPr>
              <w:jc w:val="both"/>
              <w:rPr>
                <w:rFonts w:asciiTheme="majorHAnsi" w:hAnsiTheme="majorHAnsi" w:cstheme="majorHAnsi"/>
                <w:sz w:val="18"/>
                <w:szCs w:val="18"/>
                <w:lang w:val="es-ES_tradnl"/>
              </w:rPr>
            </w:pPr>
            <w:r w:rsidRPr="007D5ABC">
              <w:rPr>
                <w:rFonts w:asciiTheme="majorHAnsi" w:hAnsiTheme="majorHAnsi" w:cstheme="majorHAnsi"/>
                <w:b/>
                <w:bCs/>
                <w:sz w:val="18"/>
                <w:szCs w:val="18"/>
              </w:rPr>
              <w:t>DEPARTAMENTO DE CUNDINAMARCA- SECRETARIA DE SALUD</w:t>
            </w:r>
          </w:p>
        </w:tc>
        <w:tc>
          <w:tcPr>
            <w:tcW w:w="1275" w:type="dxa"/>
            <w:shd w:val="clear" w:color="000000" w:fill="FFFFFF"/>
          </w:tcPr>
          <w:p w14:paraId="654993FD" w14:textId="08C80531" w:rsidR="00005F79" w:rsidRPr="00533497" w:rsidRDefault="007D5ABC"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7 MESES</w:t>
            </w:r>
          </w:p>
        </w:tc>
        <w:tc>
          <w:tcPr>
            <w:tcW w:w="3254" w:type="dxa"/>
            <w:shd w:val="clear" w:color="000000" w:fill="FFFFFF"/>
          </w:tcPr>
          <w:p w14:paraId="377D748A" w14:textId="07986C0A" w:rsidR="00005F79" w:rsidRPr="00533497" w:rsidRDefault="007D5ABC" w:rsidP="00005F79">
            <w:pPr>
              <w:jc w:val="both"/>
              <w:rPr>
                <w:rFonts w:asciiTheme="majorHAnsi" w:hAnsiTheme="majorHAnsi" w:cstheme="majorHAnsi"/>
                <w:sz w:val="18"/>
                <w:szCs w:val="18"/>
              </w:rPr>
            </w:pPr>
            <w:r w:rsidRPr="007D5ABC">
              <w:rPr>
                <w:rFonts w:asciiTheme="majorHAnsi" w:hAnsiTheme="majorHAnsi" w:cstheme="majorHAnsi"/>
                <w:sz w:val="18"/>
                <w:szCs w:val="18"/>
              </w:rPr>
              <w:t>Efectuar las acciones de promoción de la salud y gestión del riesgo en los territorios priorizados con el fin de impactar positivamente los indicadores de salud en los municipios del Departamento de Cundinamarca</w:t>
            </w:r>
          </w:p>
        </w:tc>
        <w:tc>
          <w:tcPr>
            <w:tcW w:w="1708" w:type="dxa"/>
            <w:shd w:val="clear" w:color="000000" w:fill="FFFFFF"/>
          </w:tcPr>
          <w:p w14:paraId="52BF2CC5" w14:textId="5BD9BF33" w:rsidR="00005F79" w:rsidRPr="00533497" w:rsidRDefault="004C4766" w:rsidP="00005F79">
            <w:pPr>
              <w:jc w:val="both"/>
              <w:rPr>
                <w:rFonts w:asciiTheme="majorHAnsi" w:hAnsiTheme="majorHAnsi" w:cstheme="majorHAnsi"/>
                <w:sz w:val="18"/>
                <w:szCs w:val="18"/>
                <w:lang w:val="es-ES_tradnl"/>
              </w:rPr>
            </w:pPr>
            <w:r w:rsidRPr="004C4766">
              <w:rPr>
                <w:rFonts w:asciiTheme="majorHAnsi" w:hAnsiTheme="majorHAnsi" w:cstheme="majorHAnsi"/>
                <w:sz w:val="18"/>
                <w:szCs w:val="18"/>
              </w:rPr>
              <w:t>748.765.255 COP</w:t>
            </w:r>
          </w:p>
        </w:tc>
      </w:tr>
      <w:tr w:rsidR="00005F79" w:rsidRPr="00533497" w14:paraId="7A768D00" w14:textId="77777777" w:rsidTr="00B7331D">
        <w:trPr>
          <w:trHeight w:val="412"/>
          <w:jc w:val="center"/>
        </w:trPr>
        <w:tc>
          <w:tcPr>
            <w:tcW w:w="421" w:type="dxa"/>
            <w:shd w:val="clear" w:color="000000" w:fill="FFFFFF"/>
            <w:vAlign w:val="center"/>
          </w:tcPr>
          <w:p w14:paraId="53CE1196" w14:textId="6766BF02" w:rsidR="00005F79" w:rsidRPr="00533497" w:rsidRDefault="00005F79" w:rsidP="00005F79">
            <w:pPr>
              <w:jc w:val="center"/>
              <w:rPr>
                <w:rFonts w:asciiTheme="majorHAnsi" w:hAnsiTheme="majorHAnsi" w:cstheme="majorHAnsi"/>
                <w:sz w:val="18"/>
                <w:szCs w:val="18"/>
                <w:shd w:val="clear" w:color="auto" w:fill="FFFFFF"/>
                <w:lang w:val="es-ES_tradnl"/>
              </w:rPr>
            </w:pPr>
            <w:r w:rsidRPr="00533497">
              <w:rPr>
                <w:rFonts w:asciiTheme="majorHAnsi" w:hAnsiTheme="majorHAnsi" w:cstheme="majorHAnsi"/>
                <w:sz w:val="18"/>
                <w:szCs w:val="18"/>
                <w:shd w:val="clear" w:color="auto" w:fill="FFFFFF"/>
                <w:lang w:val="es-ES_tradnl"/>
              </w:rPr>
              <w:t>3</w:t>
            </w:r>
          </w:p>
        </w:tc>
        <w:tc>
          <w:tcPr>
            <w:tcW w:w="1417" w:type="dxa"/>
            <w:shd w:val="clear" w:color="000000" w:fill="FFFFFF"/>
          </w:tcPr>
          <w:p w14:paraId="0A98F18F" w14:textId="2BE95DD2" w:rsidR="00005F79" w:rsidRPr="00533497" w:rsidRDefault="00A332E3" w:rsidP="00005F79">
            <w:pPr>
              <w:jc w:val="both"/>
              <w:rPr>
                <w:rFonts w:asciiTheme="majorHAnsi" w:hAnsiTheme="majorHAnsi" w:cstheme="majorHAnsi"/>
                <w:sz w:val="18"/>
                <w:szCs w:val="18"/>
                <w:lang w:val="es-ES_tradnl"/>
              </w:rPr>
            </w:pPr>
            <w:r w:rsidRPr="00A332E3">
              <w:rPr>
                <w:rFonts w:asciiTheme="majorHAnsi" w:hAnsiTheme="majorHAnsi" w:cstheme="majorHAnsi"/>
                <w:sz w:val="18"/>
                <w:szCs w:val="18"/>
              </w:rPr>
              <w:t>SS-CDCTI-1155-2021</w:t>
            </w:r>
          </w:p>
        </w:tc>
        <w:tc>
          <w:tcPr>
            <w:tcW w:w="1418" w:type="dxa"/>
            <w:shd w:val="clear" w:color="000000" w:fill="FFFFFF"/>
          </w:tcPr>
          <w:p w14:paraId="2877B8C4" w14:textId="3B836C2D" w:rsidR="00005F79" w:rsidRPr="00533497" w:rsidRDefault="00A332E3" w:rsidP="00005F79">
            <w:pPr>
              <w:jc w:val="both"/>
              <w:rPr>
                <w:rFonts w:asciiTheme="majorHAnsi" w:hAnsiTheme="majorHAnsi" w:cstheme="majorHAnsi"/>
                <w:sz w:val="18"/>
                <w:szCs w:val="18"/>
                <w:lang w:val="es-ES_tradnl"/>
              </w:rPr>
            </w:pPr>
            <w:r w:rsidRPr="00A332E3">
              <w:rPr>
                <w:rFonts w:asciiTheme="majorHAnsi" w:hAnsiTheme="majorHAnsi" w:cstheme="majorHAnsi"/>
                <w:sz w:val="18"/>
                <w:szCs w:val="18"/>
              </w:rPr>
              <w:t>Contratación directa</w:t>
            </w:r>
          </w:p>
        </w:tc>
        <w:tc>
          <w:tcPr>
            <w:tcW w:w="1134" w:type="dxa"/>
            <w:shd w:val="clear" w:color="000000" w:fill="FFFFFF"/>
          </w:tcPr>
          <w:p w14:paraId="13F80B6D" w14:textId="7DE1DE3D" w:rsidR="00005F79" w:rsidRPr="00533497" w:rsidRDefault="00A332E3" w:rsidP="00005F79">
            <w:pPr>
              <w:rPr>
                <w:rFonts w:asciiTheme="majorHAnsi" w:hAnsiTheme="majorHAnsi" w:cstheme="majorHAnsi"/>
                <w:sz w:val="18"/>
                <w:szCs w:val="18"/>
              </w:rPr>
            </w:pPr>
            <w:r w:rsidRPr="00A332E3">
              <w:rPr>
                <w:rFonts w:asciiTheme="majorHAnsi" w:hAnsiTheme="majorHAnsi" w:cstheme="majorHAnsi"/>
                <w:b/>
                <w:bCs/>
                <w:sz w:val="18"/>
                <w:szCs w:val="18"/>
              </w:rPr>
              <w:t>DEPARTAMENTO DE CUNDINAMARCA- SECRETARIA DE SALUD</w:t>
            </w:r>
          </w:p>
        </w:tc>
        <w:tc>
          <w:tcPr>
            <w:tcW w:w="1275" w:type="dxa"/>
            <w:shd w:val="clear" w:color="000000" w:fill="FFFFFF"/>
          </w:tcPr>
          <w:p w14:paraId="2DDB0E5E" w14:textId="2DE11276" w:rsidR="00005F79" w:rsidRPr="00533497" w:rsidRDefault="00A332E3"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7 MESES</w:t>
            </w:r>
          </w:p>
        </w:tc>
        <w:tc>
          <w:tcPr>
            <w:tcW w:w="3254" w:type="dxa"/>
            <w:shd w:val="clear" w:color="000000" w:fill="FFFFFF"/>
          </w:tcPr>
          <w:p w14:paraId="47C307B6" w14:textId="1A7D9A37" w:rsidR="00005F79" w:rsidRPr="00533497" w:rsidRDefault="00A332E3" w:rsidP="00005F79">
            <w:pPr>
              <w:jc w:val="both"/>
              <w:rPr>
                <w:rFonts w:asciiTheme="majorHAnsi" w:hAnsiTheme="majorHAnsi" w:cstheme="majorHAnsi"/>
                <w:sz w:val="18"/>
                <w:szCs w:val="18"/>
              </w:rPr>
            </w:pPr>
            <w:r w:rsidRPr="00A332E3">
              <w:rPr>
                <w:rFonts w:asciiTheme="majorHAnsi" w:hAnsiTheme="majorHAnsi" w:cstheme="majorHAnsi"/>
                <w:sz w:val="18"/>
                <w:szCs w:val="18"/>
              </w:rPr>
              <w:t>Efectuar las acciones de promoción de la salud y gestión del riesgo en los territorios priorizados con el fin de impactar positivamente los indicadores de salud en los municipios del Departamento de Cundinamarca</w:t>
            </w:r>
          </w:p>
        </w:tc>
        <w:tc>
          <w:tcPr>
            <w:tcW w:w="1708" w:type="dxa"/>
            <w:shd w:val="clear" w:color="000000" w:fill="FFFFFF"/>
          </w:tcPr>
          <w:p w14:paraId="200BA99C" w14:textId="054526C0" w:rsidR="00005F79" w:rsidRPr="00533497" w:rsidRDefault="00A332E3" w:rsidP="00005F79">
            <w:pPr>
              <w:jc w:val="both"/>
              <w:rPr>
                <w:rFonts w:asciiTheme="majorHAnsi" w:hAnsiTheme="majorHAnsi" w:cstheme="majorHAnsi"/>
                <w:sz w:val="18"/>
                <w:szCs w:val="18"/>
                <w:lang w:val="es-ES_tradnl"/>
              </w:rPr>
            </w:pPr>
            <w:r w:rsidRPr="00A332E3">
              <w:rPr>
                <w:rFonts w:asciiTheme="majorHAnsi" w:hAnsiTheme="majorHAnsi" w:cstheme="majorHAnsi"/>
                <w:sz w:val="18"/>
                <w:szCs w:val="18"/>
              </w:rPr>
              <w:t>72.084.040 COP</w:t>
            </w:r>
          </w:p>
        </w:tc>
      </w:tr>
      <w:tr w:rsidR="00005F79" w:rsidRPr="00533497" w14:paraId="77EECA67" w14:textId="77777777" w:rsidTr="00B7331D">
        <w:trPr>
          <w:trHeight w:val="412"/>
          <w:jc w:val="center"/>
        </w:trPr>
        <w:tc>
          <w:tcPr>
            <w:tcW w:w="421" w:type="dxa"/>
            <w:shd w:val="clear" w:color="000000" w:fill="FFFFFF"/>
            <w:vAlign w:val="center"/>
          </w:tcPr>
          <w:p w14:paraId="5318B30D" w14:textId="058D6026"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t>4</w:t>
            </w:r>
          </w:p>
        </w:tc>
        <w:tc>
          <w:tcPr>
            <w:tcW w:w="1417" w:type="dxa"/>
            <w:shd w:val="clear" w:color="000000" w:fill="FFFFFF"/>
          </w:tcPr>
          <w:p w14:paraId="19AB1B0E" w14:textId="10635AD7" w:rsidR="00005F79" w:rsidRPr="00533497" w:rsidRDefault="007A5315" w:rsidP="00005F79">
            <w:pPr>
              <w:jc w:val="both"/>
              <w:rPr>
                <w:rFonts w:asciiTheme="majorHAnsi" w:hAnsiTheme="majorHAnsi" w:cstheme="majorHAnsi"/>
                <w:sz w:val="18"/>
                <w:szCs w:val="18"/>
                <w:lang w:val="es-ES_tradnl"/>
              </w:rPr>
            </w:pPr>
            <w:r w:rsidRPr="007A5315">
              <w:rPr>
                <w:rFonts w:asciiTheme="majorHAnsi" w:hAnsiTheme="majorHAnsi" w:cstheme="majorHAnsi"/>
                <w:sz w:val="18"/>
                <w:szCs w:val="18"/>
              </w:rPr>
              <w:t>CDO-SSA-0031-2025</w:t>
            </w:r>
          </w:p>
        </w:tc>
        <w:tc>
          <w:tcPr>
            <w:tcW w:w="1418" w:type="dxa"/>
            <w:shd w:val="clear" w:color="000000" w:fill="FFFFFF"/>
          </w:tcPr>
          <w:p w14:paraId="5439A5E7" w14:textId="63675CA9" w:rsidR="00005F79" w:rsidRPr="00533497" w:rsidRDefault="007A5315" w:rsidP="00005F79">
            <w:pPr>
              <w:jc w:val="both"/>
              <w:rPr>
                <w:rFonts w:asciiTheme="majorHAnsi" w:hAnsiTheme="majorHAnsi" w:cstheme="majorHAnsi"/>
                <w:sz w:val="18"/>
                <w:szCs w:val="18"/>
                <w:lang w:val="es-ES_tradnl"/>
              </w:rPr>
            </w:pPr>
            <w:r w:rsidRPr="007A5315">
              <w:rPr>
                <w:rFonts w:asciiTheme="majorHAnsi" w:hAnsiTheme="majorHAnsi" w:cstheme="majorHAnsi"/>
                <w:sz w:val="18"/>
                <w:szCs w:val="18"/>
              </w:rPr>
              <w:t>Contratación directa (con ofertas)</w:t>
            </w:r>
          </w:p>
        </w:tc>
        <w:tc>
          <w:tcPr>
            <w:tcW w:w="1134" w:type="dxa"/>
            <w:shd w:val="clear" w:color="000000" w:fill="FFFFFF"/>
          </w:tcPr>
          <w:p w14:paraId="429E6323" w14:textId="23EBD0A5" w:rsidR="00005F79" w:rsidRPr="00533497" w:rsidRDefault="007A5315" w:rsidP="00005F79">
            <w:pPr>
              <w:jc w:val="both"/>
              <w:rPr>
                <w:rFonts w:asciiTheme="majorHAnsi" w:hAnsiTheme="majorHAnsi" w:cstheme="majorHAnsi"/>
                <w:sz w:val="18"/>
                <w:szCs w:val="18"/>
                <w:lang w:val="es-ES_tradnl"/>
              </w:rPr>
            </w:pPr>
            <w:r w:rsidRPr="007A5315">
              <w:rPr>
                <w:rFonts w:asciiTheme="majorHAnsi" w:hAnsiTheme="majorHAnsi" w:cstheme="majorHAnsi"/>
                <w:b/>
                <w:bCs/>
                <w:sz w:val="18"/>
                <w:szCs w:val="18"/>
              </w:rPr>
              <w:t>GOBERNACION DEL DEPARTAMENTO DEL CESAR</w:t>
            </w:r>
          </w:p>
        </w:tc>
        <w:tc>
          <w:tcPr>
            <w:tcW w:w="1275" w:type="dxa"/>
            <w:shd w:val="clear" w:color="000000" w:fill="FFFFFF"/>
          </w:tcPr>
          <w:p w14:paraId="514E15D9" w14:textId="355DE702" w:rsidR="00005F79" w:rsidRPr="00533497" w:rsidRDefault="007A5315"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4 MESES</w:t>
            </w:r>
          </w:p>
        </w:tc>
        <w:tc>
          <w:tcPr>
            <w:tcW w:w="3254" w:type="dxa"/>
            <w:shd w:val="clear" w:color="000000" w:fill="FFFFFF"/>
          </w:tcPr>
          <w:p w14:paraId="3BA90165" w14:textId="3504BBB4" w:rsidR="00005F79" w:rsidRPr="00533497" w:rsidRDefault="007A5315" w:rsidP="00005F79">
            <w:pPr>
              <w:jc w:val="both"/>
              <w:rPr>
                <w:rFonts w:asciiTheme="majorHAnsi" w:hAnsiTheme="majorHAnsi" w:cstheme="majorHAnsi"/>
                <w:sz w:val="18"/>
                <w:szCs w:val="18"/>
              </w:rPr>
            </w:pPr>
            <w:r w:rsidRPr="007A5315">
              <w:rPr>
                <w:rFonts w:asciiTheme="majorHAnsi" w:hAnsiTheme="majorHAnsi" w:cstheme="majorHAnsi"/>
                <w:sz w:val="18"/>
                <w:szCs w:val="18"/>
              </w:rPr>
              <w:t>AUNAR ESFUERZOS PARA EL FORTALECIMIENTO DEL AUTOESTIMA Y BIENESTAR INTEGRAL DEL ADULTO MAYOR EN EL DEPARTAMENTO DEL CESAR MEDIANTE LA PROMOCION DE LA SALUD ORAL Y EL CUIDADO BUCODENTAL CON LA ENTREGA DE PROTESIS DENTALES</w:t>
            </w:r>
          </w:p>
        </w:tc>
        <w:tc>
          <w:tcPr>
            <w:tcW w:w="1708" w:type="dxa"/>
            <w:shd w:val="clear" w:color="000000" w:fill="FFFFFF"/>
          </w:tcPr>
          <w:p w14:paraId="5DA7582E" w14:textId="16FE9B9F" w:rsidR="00005F79" w:rsidRPr="00533497" w:rsidRDefault="007A5315" w:rsidP="00005F79">
            <w:pPr>
              <w:jc w:val="both"/>
              <w:rPr>
                <w:rFonts w:asciiTheme="majorHAnsi" w:hAnsiTheme="majorHAnsi" w:cstheme="majorHAnsi"/>
                <w:sz w:val="18"/>
                <w:szCs w:val="18"/>
                <w:lang w:val="es-ES_tradnl"/>
              </w:rPr>
            </w:pPr>
            <w:r w:rsidRPr="007A5315">
              <w:rPr>
                <w:rFonts w:asciiTheme="majorHAnsi" w:hAnsiTheme="majorHAnsi" w:cstheme="majorHAnsi"/>
                <w:sz w:val="18"/>
                <w:szCs w:val="18"/>
              </w:rPr>
              <w:t>1.097.412.100 COP</w:t>
            </w:r>
          </w:p>
        </w:tc>
      </w:tr>
      <w:tr w:rsidR="00005F79" w:rsidRPr="00741D67" w14:paraId="7AFCCE25" w14:textId="77777777" w:rsidTr="00B7331D">
        <w:trPr>
          <w:trHeight w:val="412"/>
          <w:jc w:val="center"/>
        </w:trPr>
        <w:tc>
          <w:tcPr>
            <w:tcW w:w="421" w:type="dxa"/>
            <w:shd w:val="clear" w:color="000000" w:fill="FFFFFF"/>
            <w:vAlign w:val="center"/>
          </w:tcPr>
          <w:p w14:paraId="2A97FE80" w14:textId="1BAE3D57"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t>5</w:t>
            </w:r>
          </w:p>
        </w:tc>
        <w:tc>
          <w:tcPr>
            <w:tcW w:w="1417" w:type="dxa"/>
            <w:shd w:val="clear" w:color="000000" w:fill="FFFFFF"/>
          </w:tcPr>
          <w:p w14:paraId="17C0030B" w14:textId="5B40D3F0" w:rsidR="00005F79" w:rsidRPr="00533497" w:rsidRDefault="0070330A" w:rsidP="00005F79">
            <w:pPr>
              <w:jc w:val="both"/>
              <w:rPr>
                <w:rFonts w:asciiTheme="majorHAnsi" w:hAnsiTheme="majorHAnsi" w:cstheme="majorHAnsi"/>
                <w:sz w:val="18"/>
                <w:szCs w:val="18"/>
                <w:lang w:val="es-ES_tradnl"/>
              </w:rPr>
            </w:pPr>
            <w:r w:rsidRPr="0070330A">
              <w:rPr>
                <w:rFonts w:asciiTheme="majorHAnsi" w:hAnsiTheme="majorHAnsi" w:cstheme="majorHAnsi"/>
                <w:sz w:val="18"/>
                <w:szCs w:val="18"/>
              </w:rPr>
              <w:t>SS-CDCTI-310-2020</w:t>
            </w:r>
          </w:p>
        </w:tc>
        <w:tc>
          <w:tcPr>
            <w:tcW w:w="1418" w:type="dxa"/>
            <w:shd w:val="clear" w:color="000000" w:fill="FFFFFF"/>
          </w:tcPr>
          <w:p w14:paraId="3C416F93" w14:textId="3C370C88" w:rsidR="00005F79" w:rsidRPr="00533497" w:rsidRDefault="00220FE8" w:rsidP="00005F79">
            <w:pPr>
              <w:jc w:val="both"/>
              <w:rPr>
                <w:rFonts w:asciiTheme="majorHAnsi" w:hAnsiTheme="majorHAnsi" w:cstheme="majorHAnsi"/>
                <w:sz w:val="18"/>
                <w:szCs w:val="18"/>
                <w:lang w:val="es-ES_tradnl"/>
              </w:rPr>
            </w:pPr>
            <w:r w:rsidRPr="00220FE8">
              <w:rPr>
                <w:rFonts w:asciiTheme="majorHAnsi" w:hAnsiTheme="majorHAnsi" w:cstheme="majorHAnsi"/>
                <w:sz w:val="18"/>
                <w:szCs w:val="18"/>
              </w:rPr>
              <w:t>Contratación directa</w:t>
            </w:r>
          </w:p>
        </w:tc>
        <w:tc>
          <w:tcPr>
            <w:tcW w:w="1134" w:type="dxa"/>
            <w:shd w:val="clear" w:color="000000" w:fill="FFFFFF"/>
          </w:tcPr>
          <w:p w14:paraId="3562252F" w14:textId="459C0A0F" w:rsidR="00005F79" w:rsidRPr="002C72C8" w:rsidRDefault="00220FE8" w:rsidP="00005F79">
            <w:pPr>
              <w:rPr>
                <w:rFonts w:asciiTheme="majorHAnsi" w:hAnsiTheme="majorHAnsi" w:cstheme="majorHAnsi"/>
                <w:sz w:val="18"/>
                <w:szCs w:val="18"/>
                <w:lang w:val="pt-PT"/>
              </w:rPr>
            </w:pPr>
            <w:r w:rsidRPr="00220FE8">
              <w:rPr>
                <w:rFonts w:asciiTheme="majorHAnsi" w:hAnsiTheme="majorHAnsi" w:cstheme="majorHAnsi"/>
                <w:sz w:val="18"/>
                <w:szCs w:val="18"/>
                <w:lang w:val="pt-PT"/>
              </w:rPr>
              <w:t>DEPARTAMENTO DE CUNDINAMARCA- SECRETARIA DE SALUD</w:t>
            </w:r>
          </w:p>
        </w:tc>
        <w:tc>
          <w:tcPr>
            <w:tcW w:w="1275" w:type="dxa"/>
            <w:shd w:val="clear" w:color="000000" w:fill="FFFFFF"/>
          </w:tcPr>
          <w:p w14:paraId="11393A31" w14:textId="19709B5E" w:rsidR="00005F79" w:rsidRPr="002C72C8" w:rsidRDefault="00220FE8" w:rsidP="00005F79">
            <w:pPr>
              <w:jc w:val="center"/>
              <w:rPr>
                <w:rFonts w:asciiTheme="majorHAnsi" w:hAnsiTheme="majorHAnsi" w:cstheme="majorHAnsi"/>
                <w:sz w:val="18"/>
                <w:szCs w:val="18"/>
                <w:lang w:val="pt-PT"/>
              </w:rPr>
            </w:pPr>
            <w:r>
              <w:rPr>
                <w:rFonts w:asciiTheme="majorHAnsi" w:hAnsiTheme="majorHAnsi" w:cstheme="majorHAnsi"/>
                <w:sz w:val="18"/>
                <w:szCs w:val="18"/>
                <w:lang w:val="pt-PT"/>
              </w:rPr>
              <w:t>4 MESES</w:t>
            </w:r>
          </w:p>
        </w:tc>
        <w:tc>
          <w:tcPr>
            <w:tcW w:w="3254" w:type="dxa"/>
            <w:shd w:val="clear" w:color="000000" w:fill="FFFFFF"/>
          </w:tcPr>
          <w:p w14:paraId="5B7A3387" w14:textId="13EC8000" w:rsidR="00005F79" w:rsidRPr="00741D67" w:rsidRDefault="00220FE8" w:rsidP="00005F79">
            <w:pPr>
              <w:jc w:val="both"/>
              <w:rPr>
                <w:rFonts w:asciiTheme="majorHAnsi" w:hAnsiTheme="majorHAnsi" w:cstheme="majorHAnsi"/>
                <w:sz w:val="18"/>
                <w:szCs w:val="18"/>
              </w:rPr>
            </w:pPr>
            <w:r w:rsidRPr="00220FE8">
              <w:rPr>
                <w:rFonts w:asciiTheme="majorHAnsi" w:hAnsiTheme="majorHAnsi" w:cstheme="majorHAnsi"/>
                <w:sz w:val="18"/>
                <w:szCs w:val="18"/>
              </w:rPr>
              <w:t>Brindar apoyo en la realización de las acciones enmarcadas en las líneas de acción de promoción de salud y gestión del riesgo en salud de las dimensiones del plan decenal de salud pública y mitigación del riesgo de la trasmisión de coronavirus, la vigilancia y control de casos sospechosos y confirmados de COVID 19, en los municipios del departamento de Cundinamarca.</w:t>
            </w:r>
          </w:p>
        </w:tc>
        <w:tc>
          <w:tcPr>
            <w:tcW w:w="1708" w:type="dxa"/>
            <w:shd w:val="clear" w:color="000000" w:fill="FFFFFF"/>
          </w:tcPr>
          <w:p w14:paraId="7A17B80D" w14:textId="2FC546C6" w:rsidR="00005F79" w:rsidRPr="00741D67" w:rsidRDefault="00220FE8" w:rsidP="00005F79">
            <w:pPr>
              <w:jc w:val="both"/>
              <w:rPr>
                <w:rFonts w:asciiTheme="majorHAnsi" w:hAnsiTheme="majorHAnsi" w:cstheme="majorHAnsi"/>
                <w:sz w:val="18"/>
                <w:szCs w:val="18"/>
              </w:rPr>
            </w:pPr>
            <w:r w:rsidRPr="00220FE8">
              <w:rPr>
                <w:rFonts w:asciiTheme="majorHAnsi" w:hAnsiTheme="majorHAnsi" w:cstheme="majorHAnsi"/>
                <w:sz w:val="18"/>
                <w:szCs w:val="18"/>
              </w:rPr>
              <w:t>215.030.224 COP</w:t>
            </w:r>
          </w:p>
        </w:tc>
      </w:tr>
      <w:tr w:rsidR="00005F79" w:rsidRPr="00533497" w14:paraId="738D1C73" w14:textId="77777777" w:rsidTr="00B7331D">
        <w:trPr>
          <w:trHeight w:val="412"/>
          <w:jc w:val="center"/>
        </w:trPr>
        <w:tc>
          <w:tcPr>
            <w:tcW w:w="421" w:type="dxa"/>
            <w:shd w:val="clear" w:color="000000" w:fill="FFFFFF"/>
            <w:vAlign w:val="center"/>
          </w:tcPr>
          <w:p w14:paraId="1A869406" w14:textId="0673FA8A"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t>6</w:t>
            </w:r>
          </w:p>
        </w:tc>
        <w:tc>
          <w:tcPr>
            <w:tcW w:w="1417" w:type="dxa"/>
            <w:shd w:val="clear" w:color="000000" w:fill="FFFFFF"/>
          </w:tcPr>
          <w:p w14:paraId="37E9745C" w14:textId="7AB5E800" w:rsidR="00005F79" w:rsidRPr="00533497" w:rsidRDefault="002B5F99" w:rsidP="00005F79">
            <w:pPr>
              <w:jc w:val="both"/>
              <w:rPr>
                <w:rFonts w:asciiTheme="majorHAnsi" w:hAnsiTheme="majorHAnsi" w:cstheme="majorHAnsi"/>
                <w:sz w:val="18"/>
                <w:szCs w:val="18"/>
                <w:lang w:val="es-ES_tradnl"/>
              </w:rPr>
            </w:pPr>
            <w:r w:rsidRPr="002B5F99">
              <w:rPr>
                <w:rFonts w:asciiTheme="majorHAnsi" w:hAnsiTheme="majorHAnsi" w:cstheme="majorHAnsi"/>
                <w:sz w:val="18"/>
                <w:szCs w:val="18"/>
              </w:rPr>
              <w:t>SS-CDCTI-362-2020</w:t>
            </w:r>
          </w:p>
        </w:tc>
        <w:tc>
          <w:tcPr>
            <w:tcW w:w="1418" w:type="dxa"/>
            <w:shd w:val="clear" w:color="000000" w:fill="FFFFFF"/>
          </w:tcPr>
          <w:p w14:paraId="1221C085" w14:textId="5769B00B" w:rsidR="00005F79" w:rsidRPr="00533497" w:rsidRDefault="002B5F99" w:rsidP="00005F79">
            <w:pPr>
              <w:jc w:val="both"/>
              <w:rPr>
                <w:rFonts w:asciiTheme="majorHAnsi" w:hAnsiTheme="majorHAnsi" w:cstheme="majorHAnsi"/>
                <w:sz w:val="18"/>
                <w:szCs w:val="18"/>
                <w:lang w:val="es-ES_tradnl"/>
              </w:rPr>
            </w:pPr>
            <w:r w:rsidRPr="002B5F99">
              <w:rPr>
                <w:rFonts w:asciiTheme="majorHAnsi" w:hAnsiTheme="majorHAnsi" w:cstheme="majorHAnsi"/>
                <w:sz w:val="18"/>
                <w:szCs w:val="18"/>
              </w:rPr>
              <w:t>Contratación directa</w:t>
            </w:r>
          </w:p>
        </w:tc>
        <w:tc>
          <w:tcPr>
            <w:tcW w:w="1134" w:type="dxa"/>
            <w:shd w:val="clear" w:color="000000" w:fill="FFFFFF"/>
          </w:tcPr>
          <w:p w14:paraId="33E372A7" w14:textId="42CFB1FE" w:rsidR="00005F79" w:rsidRPr="00533497" w:rsidRDefault="002B5F99" w:rsidP="00005F79">
            <w:pPr>
              <w:rPr>
                <w:rFonts w:asciiTheme="majorHAnsi" w:hAnsiTheme="majorHAnsi" w:cstheme="majorHAnsi"/>
                <w:sz w:val="18"/>
                <w:szCs w:val="18"/>
                <w:lang w:val="es-ES_tradnl"/>
              </w:rPr>
            </w:pPr>
            <w:r w:rsidRPr="002B5F99">
              <w:rPr>
                <w:rFonts w:asciiTheme="majorHAnsi" w:hAnsiTheme="majorHAnsi" w:cstheme="majorHAnsi"/>
                <w:b/>
                <w:bCs/>
                <w:sz w:val="18"/>
                <w:szCs w:val="18"/>
              </w:rPr>
              <w:t>DEPARTAMENTO DE CUNDINAMARCA- SECRETARIA DE SALUD</w:t>
            </w:r>
          </w:p>
        </w:tc>
        <w:tc>
          <w:tcPr>
            <w:tcW w:w="1275" w:type="dxa"/>
            <w:shd w:val="clear" w:color="000000" w:fill="FFFFFF"/>
          </w:tcPr>
          <w:p w14:paraId="37B23D52" w14:textId="10B613D7" w:rsidR="00005F79" w:rsidRPr="00533497" w:rsidRDefault="002B5F99"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4 MESES</w:t>
            </w:r>
          </w:p>
        </w:tc>
        <w:tc>
          <w:tcPr>
            <w:tcW w:w="3254" w:type="dxa"/>
            <w:shd w:val="clear" w:color="000000" w:fill="FFFFFF"/>
          </w:tcPr>
          <w:p w14:paraId="4BE745A9" w14:textId="58F25E8D" w:rsidR="00005F79" w:rsidRPr="00533497" w:rsidRDefault="002B5F99" w:rsidP="00005F79">
            <w:pPr>
              <w:jc w:val="both"/>
              <w:rPr>
                <w:rFonts w:asciiTheme="majorHAnsi" w:hAnsiTheme="majorHAnsi" w:cstheme="majorHAnsi"/>
                <w:sz w:val="18"/>
                <w:szCs w:val="18"/>
                <w:lang w:val="es-ES_tradnl"/>
              </w:rPr>
            </w:pPr>
            <w:r w:rsidRPr="002B5F99">
              <w:rPr>
                <w:rFonts w:asciiTheme="majorHAnsi" w:hAnsiTheme="majorHAnsi" w:cstheme="majorHAnsi"/>
                <w:sz w:val="18"/>
                <w:szCs w:val="18"/>
              </w:rPr>
              <w:t>Brindar apoyo en la realización de las acciones enmarcadas en las líneas de acción de promoción de salud y gestión del riesgo en salud de las dimensiones del plan decenal de salud pública y mitigación del riesgo de la trasmisión de coronavirus, la vigilancia y control de casos sospechosos y confirmados de COVID 19, en los municipios del departamento de Cundinamarca.</w:t>
            </w:r>
          </w:p>
        </w:tc>
        <w:tc>
          <w:tcPr>
            <w:tcW w:w="1708" w:type="dxa"/>
            <w:shd w:val="clear" w:color="000000" w:fill="FFFFFF"/>
          </w:tcPr>
          <w:p w14:paraId="02683A31" w14:textId="26A37AFD" w:rsidR="00005F79" w:rsidRPr="00533497" w:rsidRDefault="0070330A" w:rsidP="00005F79">
            <w:pPr>
              <w:jc w:val="both"/>
              <w:rPr>
                <w:rFonts w:asciiTheme="majorHAnsi" w:hAnsiTheme="majorHAnsi" w:cstheme="majorHAnsi"/>
                <w:sz w:val="18"/>
                <w:szCs w:val="18"/>
                <w:lang w:val="es-ES_tradnl"/>
              </w:rPr>
            </w:pPr>
            <w:r w:rsidRPr="0070330A">
              <w:rPr>
                <w:rFonts w:asciiTheme="majorHAnsi" w:hAnsiTheme="majorHAnsi" w:cstheme="majorHAnsi"/>
                <w:sz w:val="18"/>
                <w:szCs w:val="18"/>
              </w:rPr>
              <w:t>48.903.506 COP</w:t>
            </w:r>
          </w:p>
        </w:tc>
      </w:tr>
      <w:tr w:rsidR="00005F79" w:rsidRPr="00533497" w14:paraId="7F11A5B7" w14:textId="77777777" w:rsidTr="00B7331D">
        <w:trPr>
          <w:trHeight w:val="412"/>
          <w:jc w:val="center"/>
        </w:trPr>
        <w:tc>
          <w:tcPr>
            <w:tcW w:w="421" w:type="dxa"/>
            <w:shd w:val="clear" w:color="000000" w:fill="FFFFFF"/>
            <w:vAlign w:val="center"/>
          </w:tcPr>
          <w:p w14:paraId="07895FE5" w14:textId="2A5F41FF"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lastRenderedPageBreak/>
              <w:t>7</w:t>
            </w:r>
          </w:p>
        </w:tc>
        <w:tc>
          <w:tcPr>
            <w:tcW w:w="1417" w:type="dxa"/>
            <w:shd w:val="clear" w:color="000000" w:fill="FFFFFF"/>
          </w:tcPr>
          <w:p w14:paraId="3C307ED3" w14:textId="27E069FB" w:rsidR="00005F79" w:rsidRPr="009028FE" w:rsidRDefault="009028FE" w:rsidP="00005F79">
            <w:pPr>
              <w:jc w:val="both"/>
              <w:rPr>
                <w:rFonts w:asciiTheme="majorHAnsi" w:hAnsiTheme="majorHAnsi" w:cstheme="majorHAnsi"/>
                <w:sz w:val="18"/>
                <w:szCs w:val="18"/>
                <w:lang w:val="en-US"/>
              </w:rPr>
            </w:pPr>
            <w:r w:rsidRPr="009028FE">
              <w:rPr>
                <w:rFonts w:asciiTheme="majorHAnsi" w:hAnsiTheme="majorHAnsi" w:cstheme="majorHAnsi"/>
                <w:sz w:val="18"/>
                <w:szCs w:val="18"/>
                <w:lang w:val="en-US"/>
              </w:rPr>
              <w:t>PN UPRES DEANT CD PSP 427-2024</w:t>
            </w:r>
          </w:p>
        </w:tc>
        <w:tc>
          <w:tcPr>
            <w:tcW w:w="1418" w:type="dxa"/>
            <w:shd w:val="clear" w:color="000000" w:fill="FFFFFF"/>
          </w:tcPr>
          <w:p w14:paraId="2B7E4C0E" w14:textId="479BE849" w:rsidR="00005F79" w:rsidRPr="00533497" w:rsidRDefault="009028FE" w:rsidP="00005F79">
            <w:pPr>
              <w:jc w:val="both"/>
              <w:rPr>
                <w:rFonts w:asciiTheme="majorHAnsi" w:hAnsiTheme="majorHAnsi" w:cstheme="majorHAnsi"/>
                <w:sz w:val="18"/>
                <w:szCs w:val="18"/>
                <w:lang w:val="es-ES_tradnl"/>
              </w:rPr>
            </w:pPr>
            <w:r w:rsidRPr="009028FE">
              <w:rPr>
                <w:rFonts w:asciiTheme="majorHAnsi" w:hAnsiTheme="majorHAnsi" w:cstheme="majorHAnsi"/>
                <w:sz w:val="18"/>
                <w:szCs w:val="18"/>
              </w:rPr>
              <w:t>Contratación directa</w:t>
            </w:r>
          </w:p>
        </w:tc>
        <w:tc>
          <w:tcPr>
            <w:tcW w:w="1134" w:type="dxa"/>
            <w:shd w:val="clear" w:color="000000" w:fill="FFFFFF"/>
          </w:tcPr>
          <w:p w14:paraId="2738820A" w14:textId="7C420C76" w:rsidR="00005F79" w:rsidRPr="00533497" w:rsidRDefault="009028FE" w:rsidP="00005F79">
            <w:pPr>
              <w:rPr>
                <w:rFonts w:asciiTheme="majorHAnsi" w:hAnsiTheme="majorHAnsi" w:cstheme="majorHAnsi"/>
                <w:sz w:val="18"/>
                <w:szCs w:val="18"/>
                <w:lang w:val="es-ES_tradnl"/>
              </w:rPr>
            </w:pPr>
            <w:r w:rsidRPr="009028FE">
              <w:rPr>
                <w:rFonts w:asciiTheme="majorHAnsi" w:hAnsiTheme="majorHAnsi" w:cstheme="majorHAnsi"/>
                <w:sz w:val="18"/>
                <w:szCs w:val="18"/>
                <w:lang w:val="es-ES_tradnl"/>
              </w:rPr>
              <w:t>UPRES ANTIOQUIA</w:t>
            </w:r>
          </w:p>
        </w:tc>
        <w:tc>
          <w:tcPr>
            <w:tcW w:w="1275" w:type="dxa"/>
            <w:shd w:val="clear" w:color="000000" w:fill="FFFFFF"/>
          </w:tcPr>
          <w:p w14:paraId="3DE18204" w14:textId="39260DAD" w:rsidR="00005F79" w:rsidRPr="00533497" w:rsidRDefault="009028FE"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200 DIAS</w:t>
            </w:r>
          </w:p>
        </w:tc>
        <w:tc>
          <w:tcPr>
            <w:tcW w:w="3254" w:type="dxa"/>
            <w:shd w:val="clear" w:color="000000" w:fill="FFFFFF"/>
          </w:tcPr>
          <w:p w14:paraId="0F4598C4" w14:textId="0504412A" w:rsidR="00005F79" w:rsidRPr="00533497" w:rsidRDefault="009028FE" w:rsidP="00005F79">
            <w:pPr>
              <w:jc w:val="both"/>
              <w:rPr>
                <w:rFonts w:asciiTheme="majorHAnsi" w:hAnsiTheme="majorHAnsi" w:cstheme="majorHAnsi"/>
                <w:sz w:val="18"/>
                <w:szCs w:val="18"/>
                <w:lang w:val="es-ES_tradnl"/>
              </w:rPr>
            </w:pPr>
            <w:r w:rsidRPr="009028FE">
              <w:rPr>
                <w:rFonts w:asciiTheme="majorHAnsi" w:hAnsiTheme="majorHAnsi" w:cstheme="majorHAnsi"/>
                <w:sz w:val="18"/>
                <w:szCs w:val="18"/>
              </w:rPr>
              <w:t>PRESTACIÓN DE SERVICIOS PROFESIONALES Y DE APOYO A LA GESTION COMO AUXILIAR DE ODONTOLOGIA</w:t>
            </w:r>
          </w:p>
        </w:tc>
        <w:tc>
          <w:tcPr>
            <w:tcW w:w="1708" w:type="dxa"/>
            <w:shd w:val="clear" w:color="000000" w:fill="FFFFFF"/>
          </w:tcPr>
          <w:p w14:paraId="7C024B5A" w14:textId="3B4735E4" w:rsidR="00005F79" w:rsidRPr="00533497" w:rsidRDefault="002B5F99" w:rsidP="00005F79">
            <w:pPr>
              <w:jc w:val="both"/>
              <w:rPr>
                <w:rFonts w:asciiTheme="majorHAnsi" w:hAnsiTheme="majorHAnsi" w:cstheme="majorHAnsi"/>
                <w:sz w:val="18"/>
                <w:szCs w:val="18"/>
                <w:lang w:val="es-ES_tradnl"/>
              </w:rPr>
            </w:pPr>
            <w:r w:rsidRPr="002B5F99">
              <w:rPr>
                <w:rFonts w:asciiTheme="majorHAnsi" w:hAnsiTheme="majorHAnsi" w:cstheme="majorHAnsi"/>
                <w:sz w:val="18"/>
                <w:szCs w:val="18"/>
              </w:rPr>
              <w:t>16.524.446,67 COP</w:t>
            </w:r>
          </w:p>
        </w:tc>
      </w:tr>
      <w:tr w:rsidR="00005F79" w:rsidRPr="00533497" w14:paraId="19B90933" w14:textId="77777777" w:rsidTr="00B7331D">
        <w:trPr>
          <w:trHeight w:val="412"/>
          <w:jc w:val="center"/>
        </w:trPr>
        <w:tc>
          <w:tcPr>
            <w:tcW w:w="421" w:type="dxa"/>
            <w:shd w:val="clear" w:color="000000" w:fill="FFFFFF"/>
            <w:vAlign w:val="center"/>
          </w:tcPr>
          <w:p w14:paraId="630F5E95" w14:textId="2373A084" w:rsidR="00005F79" w:rsidRPr="00533497" w:rsidRDefault="00005F79" w:rsidP="00005F79">
            <w:pPr>
              <w:jc w:val="center"/>
              <w:rPr>
                <w:rFonts w:asciiTheme="majorHAnsi" w:hAnsiTheme="majorHAnsi" w:cstheme="majorHAnsi"/>
                <w:sz w:val="18"/>
                <w:szCs w:val="18"/>
                <w:lang w:val="es-ES_tradnl"/>
              </w:rPr>
            </w:pPr>
            <w:r w:rsidRPr="00533497">
              <w:rPr>
                <w:rFonts w:asciiTheme="majorHAnsi" w:hAnsiTheme="majorHAnsi" w:cstheme="majorHAnsi"/>
                <w:sz w:val="18"/>
                <w:szCs w:val="18"/>
                <w:lang w:val="es-ES_tradnl"/>
              </w:rPr>
              <w:t>8</w:t>
            </w:r>
          </w:p>
        </w:tc>
        <w:tc>
          <w:tcPr>
            <w:tcW w:w="1417" w:type="dxa"/>
            <w:shd w:val="clear" w:color="000000" w:fill="FFFFFF"/>
          </w:tcPr>
          <w:p w14:paraId="5FAC52C4" w14:textId="07913FBB" w:rsidR="00005F79" w:rsidRPr="00533497" w:rsidRDefault="006E39AE" w:rsidP="00005F79">
            <w:pPr>
              <w:jc w:val="both"/>
              <w:rPr>
                <w:rFonts w:asciiTheme="majorHAnsi" w:hAnsiTheme="majorHAnsi" w:cstheme="majorHAnsi"/>
                <w:sz w:val="18"/>
                <w:szCs w:val="18"/>
                <w:lang w:val="es-ES_tradnl"/>
              </w:rPr>
            </w:pPr>
            <w:r w:rsidRPr="006E39AE">
              <w:rPr>
                <w:rFonts w:asciiTheme="majorHAnsi" w:hAnsiTheme="majorHAnsi" w:cstheme="majorHAnsi"/>
                <w:sz w:val="18"/>
                <w:szCs w:val="18"/>
              </w:rPr>
              <w:t>SS-CDCTI-1066-2021</w:t>
            </w:r>
          </w:p>
        </w:tc>
        <w:tc>
          <w:tcPr>
            <w:tcW w:w="1418" w:type="dxa"/>
            <w:shd w:val="clear" w:color="000000" w:fill="FFFFFF"/>
          </w:tcPr>
          <w:p w14:paraId="70F024D5" w14:textId="2A90D625" w:rsidR="00005F79" w:rsidRPr="00533497" w:rsidRDefault="006E39AE" w:rsidP="00005F79">
            <w:pPr>
              <w:jc w:val="both"/>
              <w:rPr>
                <w:rFonts w:asciiTheme="majorHAnsi" w:hAnsiTheme="majorHAnsi" w:cstheme="majorHAnsi"/>
                <w:sz w:val="18"/>
                <w:szCs w:val="18"/>
                <w:lang w:val="es-ES_tradnl"/>
              </w:rPr>
            </w:pPr>
            <w:r w:rsidRPr="006E39AE">
              <w:rPr>
                <w:rFonts w:asciiTheme="majorHAnsi" w:hAnsiTheme="majorHAnsi" w:cstheme="majorHAnsi"/>
                <w:sz w:val="18"/>
                <w:szCs w:val="18"/>
              </w:rPr>
              <w:t>Contratación directa</w:t>
            </w:r>
          </w:p>
        </w:tc>
        <w:tc>
          <w:tcPr>
            <w:tcW w:w="1134" w:type="dxa"/>
            <w:shd w:val="clear" w:color="000000" w:fill="FFFFFF"/>
          </w:tcPr>
          <w:p w14:paraId="47C1F458" w14:textId="614A5B80" w:rsidR="00005F79" w:rsidRPr="00533497" w:rsidRDefault="006E39AE" w:rsidP="00005F79">
            <w:pPr>
              <w:jc w:val="both"/>
              <w:rPr>
                <w:rFonts w:asciiTheme="majorHAnsi" w:hAnsiTheme="majorHAnsi" w:cstheme="majorHAnsi"/>
                <w:sz w:val="18"/>
                <w:szCs w:val="18"/>
                <w:lang w:val="pt-PT"/>
              </w:rPr>
            </w:pPr>
            <w:r w:rsidRPr="006E39AE">
              <w:rPr>
                <w:rFonts w:asciiTheme="majorHAnsi" w:hAnsiTheme="majorHAnsi" w:cstheme="majorHAnsi"/>
                <w:b/>
                <w:bCs/>
                <w:sz w:val="18"/>
                <w:szCs w:val="18"/>
              </w:rPr>
              <w:t>DEPARTAMENTO DE CUNDINAMARCA- SECRETARIA DE SALUD</w:t>
            </w:r>
          </w:p>
        </w:tc>
        <w:tc>
          <w:tcPr>
            <w:tcW w:w="1275" w:type="dxa"/>
            <w:shd w:val="clear" w:color="000000" w:fill="FFFFFF"/>
          </w:tcPr>
          <w:p w14:paraId="76C79C46" w14:textId="1424ECCB" w:rsidR="00005F79" w:rsidRPr="00533497" w:rsidRDefault="006E39AE" w:rsidP="00005F79">
            <w:pPr>
              <w:jc w:val="center"/>
              <w:rPr>
                <w:rFonts w:asciiTheme="majorHAnsi" w:hAnsiTheme="majorHAnsi" w:cstheme="majorHAnsi"/>
                <w:sz w:val="18"/>
                <w:szCs w:val="18"/>
                <w:lang w:val="es-ES_tradnl"/>
              </w:rPr>
            </w:pPr>
            <w:r>
              <w:rPr>
                <w:rFonts w:asciiTheme="majorHAnsi" w:hAnsiTheme="majorHAnsi" w:cstheme="majorHAnsi"/>
                <w:sz w:val="18"/>
                <w:szCs w:val="18"/>
                <w:lang w:val="es-ES_tradnl"/>
              </w:rPr>
              <w:t>60 DIAS</w:t>
            </w:r>
          </w:p>
        </w:tc>
        <w:tc>
          <w:tcPr>
            <w:tcW w:w="3254" w:type="dxa"/>
            <w:shd w:val="clear" w:color="000000" w:fill="FFFFFF"/>
          </w:tcPr>
          <w:p w14:paraId="62C30E22" w14:textId="502A6BCD" w:rsidR="00005F79" w:rsidRPr="00533497" w:rsidRDefault="007E5751" w:rsidP="00005F79">
            <w:pPr>
              <w:jc w:val="both"/>
              <w:rPr>
                <w:rFonts w:asciiTheme="majorHAnsi" w:hAnsiTheme="majorHAnsi" w:cstheme="majorHAnsi"/>
                <w:sz w:val="18"/>
                <w:szCs w:val="18"/>
                <w:lang w:val="es-ES_tradnl"/>
              </w:rPr>
            </w:pPr>
            <w:r w:rsidRPr="007E5751">
              <w:rPr>
                <w:rFonts w:asciiTheme="majorHAnsi" w:hAnsiTheme="majorHAnsi" w:cstheme="majorHAnsi"/>
                <w:sz w:val="18"/>
                <w:szCs w:val="18"/>
              </w:rPr>
              <w:t>Realizar las acciones de promoción de la salud y gestión del riesgo en los municipios priorizados por el departamento de Cundinamarca con el fin de concurrir e impactar los indicadores de salud en los entes territoriales</w:t>
            </w:r>
          </w:p>
        </w:tc>
        <w:tc>
          <w:tcPr>
            <w:tcW w:w="1708" w:type="dxa"/>
            <w:shd w:val="clear" w:color="000000" w:fill="FFFFFF"/>
          </w:tcPr>
          <w:p w14:paraId="70020CFC" w14:textId="1C6C37E6" w:rsidR="00005F79" w:rsidRPr="00533497" w:rsidRDefault="007E5751" w:rsidP="00005F79">
            <w:pPr>
              <w:jc w:val="both"/>
              <w:rPr>
                <w:rFonts w:asciiTheme="majorHAnsi" w:hAnsiTheme="majorHAnsi" w:cstheme="majorHAnsi"/>
                <w:sz w:val="18"/>
                <w:szCs w:val="18"/>
                <w:lang w:val="es-ES_tradnl"/>
              </w:rPr>
            </w:pPr>
            <w:r w:rsidRPr="007E5751">
              <w:rPr>
                <w:rFonts w:asciiTheme="majorHAnsi" w:hAnsiTheme="majorHAnsi" w:cstheme="majorHAnsi"/>
                <w:sz w:val="18"/>
                <w:szCs w:val="18"/>
              </w:rPr>
              <w:t>718.430.440 COP</w:t>
            </w:r>
          </w:p>
        </w:tc>
      </w:tr>
    </w:tbl>
    <w:p w14:paraId="4863BFDA" w14:textId="77777777" w:rsidR="00B05190" w:rsidRPr="00E92DD4" w:rsidRDefault="00B05190" w:rsidP="00BA0829">
      <w:pPr>
        <w:jc w:val="both"/>
        <w:rPr>
          <w:rFonts w:asciiTheme="majorHAnsi" w:hAnsiTheme="majorHAnsi" w:cstheme="majorHAnsi"/>
          <w:color w:val="000000" w:themeColor="text1"/>
          <w:lang w:val="es-ES_tradnl"/>
        </w:rPr>
      </w:pPr>
    </w:p>
    <w:p w14:paraId="19CD9AFE" w14:textId="3A1BECF1" w:rsidR="00E506EB" w:rsidRPr="005151C0" w:rsidRDefault="00E506EB" w:rsidP="00BA0829">
      <w:pPr>
        <w:jc w:val="both"/>
        <w:rPr>
          <w:rFonts w:asciiTheme="majorHAnsi" w:hAnsiTheme="majorHAnsi" w:cstheme="majorHAnsi"/>
          <w:color w:val="000000" w:themeColor="text1"/>
          <w:lang w:val="en-US"/>
        </w:rPr>
      </w:pPr>
      <w:r w:rsidRPr="005151C0">
        <w:rPr>
          <w:rFonts w:asciiTheme="majorHAnsi" w:hAnsiTheme="majorHAnsi" w:cstheme="majorHAnsi"/>
          <w:color w:val="000000" w:themeColor="text1"/>
          <w:lang w:val="en-US"/>
        </w:rPr>
        <w:t>Fuente</w:t>
      </w:r>
      <w:r w:rsidR="003B4FF5" w:rsidRPr="005151C0">
        <w:rPr>
          <w:rFonts w:asciiTheme="majorHAnsi" w:hAnsiTheme="majorHAnsi" w:cstheme="majorHAnsi"/>
          <w:color w:val="000000" w:themeColor="text1"/>
          <w:lang w:val="en-US"/>
        </w:rPr>
        <w:t>s</w:t>
      </w:r>
      <w:r w:rsidRPr="005151C0">
        <w:rPr>
          <w:rFonts w:asciiTheme="majorHAnsi" w:hAnsiTheme="majorHAnsi" w:cstheme="majorHAnsi"/>
          <w:color w:val="000000" w:themeColor="text1"/>
          <w:lang w:val="en-US"/>
        </w:rPr>
        <w:t>:</w:t>
      </w:r>
    </w:p>
    <w:p w14:paraId="0DD8C6F4" w14:textId="77777777" w:rsidR="00F529A0" w:rsidRPr="00E92DD4" w:rsidRDefault="00F529A0" w:rsidP="00DB56D0">
      <w:pPr>
        <w:jc w:val="both"/>
        <w:rPr>
          <w:rFonts w:asciiTheme="majorHAnsi" w:hAnsiTheme="majorHAnsi" w:cstheme="majorHAnsi"/>
          <w:color w:val="000000" w:themeColor="text1"/>
          <w:lang w:val="en-US"/>
        </w:rPr>
      </w:pPr>
    </w:p>
    <w:p w14:paraId="0E4E66C3" w14:textId="429E5FF8" w:rsidR="007213BB" w:rsidRDefault="00B36724" w:rsidP="00906117">
      <w:pPr>
        <w:pStyle w:val="Prrafodelista"/>
        <w:numPr>
          <w:ilvl w:val="0"/>
          <w:numId w:val="37"/>
        </w:numPr>
        <w:jc w:val="both"/>
        <w:rPr>
          <w:rFonts w:asciiTheme="majorHAnsi" w:hAnsiTheme="majorHAnsi" w:cstheme="majorHAnsi"/>
          <w:color w:val="000000" w:themeColor="text1"/>
          <w:lang w:val="en-US"/>
        </w:rPr>
      </w:pPr>
      <w:hyperlink r:id="rId21" w:history="1">
        <w:r w:rsidR="007D5ABC" w:rsidRPr="007D5ABC">
          <w:rPr>
            <w:rStyle w:val="Hipervnculo"/>
            <w:rFonts w:asciiTheme="majorHAnsi" w:hAnsiTheme="majorHAnsi" w:cstheme="majorHAnsi"/>
            <w:lang w:val="en-US"/>
          </w:rPr>
          <w:t>community.secop.gov.co/Public/TEndering/OpportunityDetail/Index?noticeUID=CO1.NTC.4211653&amp;isFromPublicArea=True&amp;isModal=true&amp;asPopupView=true</w:t>
        </w:r>
      </w:hyperlink>
    </w:p>
    <w:p w14:paraId="5FEB93DB" w14:textId="516FBFD9" w:rsidR="007D5ABC" w:rsidRDefault="00B36724" w:rsidP="00906117">
      <w:pPr>
        <w:pStyle w:val="Prrafodelista"/>
        <w:numPr>
          <w:ilvl w:val="0"/>
          <w:numId w:val="37"/>
        </w:numPr>
        <w:jc w:val="both"/>
        <w:rPr>
          <w:rFonts w:asciiTheme="majorHAnsi" w:hAnsiTheme="majorHAnsi" w:cstheme="majorHAnsi"/>
          <w:color w:val="000000" w:themeColor="text1"/>
          <w:lang w:val="en-US"/>
        </w:rPr>
      </w:pPr>
      <w:hyperlink r:id="rId22" w:history="1">
        <w:r w:rsidR="004C4766" w:rsidRPr="004C4766">
          <w:rPr>
            <w:rStyle w:val="Hipervnculo"/>
            <w:rFonts w:asciiTheme="majorHAnsi" w:hAnsiTheme="majorHAnsi" w:cstheme="majorHAnsi"/>
            <w:lang w:val="en-US"/>
          </w:rPr>
          <w:t>community.secop.gov.co/Public/TEndering/OpportunityDetail/Index?noticeUID=CO1.NTC.2390464&amp;isFromPublicArea=True&amp;isModal=true&amp;asPopupView=true</w:t>
        </w:r>
      </w:hyperlink>
    </w:p>
    <w:p w14:paraId="7C9857D1" w14:textId="3543D50C" w:rsidR="004C4766" w:rsidRDefault="00B36724" w:rsidP="00906117">
      <w:pPr>
        <w:pStyle w:val="Prrafodelista"/>
        <w:numPr>
          <w:ilvl w:val="0"/>
          <w:numId w:val="37"/>
        </w:numPr>
        <w:jc w:val="both"/>
        <w:rPr>
          <w:rFonts w:asciiTheme="majorHAnsi" w:hAnsiTheme="majorHAnsi" w:cstheme="majorHAnsi"/>
          <w:color w:val="000000" w:themeColor="text1"/>
          <w:lang w:val="en-US"/>
        </w:rPr>
      </w:pPr>
      <w:hyperlink r:id="rId23" w:history="1">
        <w:r w:rsidR="004C4766" w:rsidRPr="004C4766">
          <w:rPr>
            <w:rStyle w:val="Hipervnculo"/>
            <w:rFonts w:asciiTheme="majorHAnsi" w:hAnsiTheme="majorHAnsi" w:cstheme="majorHAnsi"/>
            <w:lang w:val="en-US"/>
          </w:rPr>
          <w:t>community.secop.gov.co/Public/TEndering/OpportunityDetail/Index?noticeUID=CO1.NTC.2390721&amp;isFromPublicArea=True&amp;isModal=true&amp;asPopupView=true</w:t>
        </w:r>
      </w:hyperlink>
    </w:p>
    <w:p w14:paraId="0A004EF3" w14:textId="36DEB038" w:rsidR="007A5315" w:rsidRDefault="00B36724" w:rsidP="00906117">
      <w:pPr>
        <w:pStyle w:val="Prrafodelista"/>
        <w:numPr>
          <w:ilvl w:val="0"/>
          <w:numId w:val="37"/>
        </w:numPr>
        <w:jc w:val="both"/>
        <w:rPr>
          <w:rFonts w:asciiTheme="majorHAnsi" w:hAnsiTheme="majorHAnsi" w:cstheme="majorHAnsi"/>
          <w:color w:val="000000" w:themeColor="text1"/>
          <w:lang w:val="en-US"/>
        </w:rPr>
      </w:pPr>
      <w:hyperlink r:id="rId24" w:history="1">
        <w:r w:rsidR="007A5315" w:rsidRPr="007A5315">
          <w:rPr>
            <w:rStyle w:val="Hipervnculo"/>
            <w:rFonts w:asciiTheme="majorHAnsi" w:hAnsiTheme="majorHAnsi" w:cstheme="majorHAnsi"/>
            <w:lang w:val="en-US"/>
          </w:rPr>
          <w:t>community.secop.gov.co/Public/TEndering/OpportunityDetail/Index?noticeUID=CO1.NTC.8387888&amp;isFromPublicArea=True&amp;isModal=true&amp;asPopupView=true</w:t>
        </w:r>
      </w:hyperlink>
    </w:p>
    <w:p w14:paraId="03B62157" w14:textId="3434C1FB" w:rsidR="0070330A" w:rsidRDefault="00B36724" w:rsidP="00906117">
      <w:pPr>
        <w:pStyle w:val="Prrafodelista"/>
        <w:numPr>
          <w:ilvl w:val="0"/>
          <w:numId w:val="37"/>
        </w:numPr>
        <w:jc w:val="both"/>
        <w:rPr>
          <w:rFonts w:asciiTheme="majorHAnsi" w:hAnsiTheme="majorHAnsi" w:cstheme="majorHAnsi"/>
          <w:color w:val="000000" w:themeColor="text1"/>
          <w:lang w:val="en-US"/>
        </w:rPr>
      </w:pPr>
      <w:hyperlink r:id="rId25" w:history="1">
        <w:r w:rsidR="0070330A" w:rsidRPr="0070330A">
          <w:rPr>
            <w:rStyle w:val="Hipervnculo"/>
            <w:rFonts w:asciiTheme="majorHAnsi" w:hAnsiTheme="majorHAnsi" w:cstheme="majorHAnsi"/>
            <w:lang w:val="en-US"/>
          </w:rPr>
          <w:t>community.secop.gov.co/Public/TEndering/OpportunityDetail/Index?noticeUID=CO1.NTC.1233243&amp;isFromPublicArea=True&amp;isModal=true&amp;asPopupView=true</w:t>
        </w:r>
      </w:hyperlink>
    </w:p>
    <w:p w14:paraId="3B1B9FEE" w14:textId="3F602ABA" w:rsidR="002B5F99" w:rsidRDefault="00B36724" w:rsidP="00906117">
      <w:pPr>
        <w:pStyle w:val="Prrafodelista"/>
        <w:numPr>
          <w:ilvl w:val="0"/>
          <w:numId w:val="37"/>
        </w:numPr>
        <w:jc w:val="both"/>
        <w:rPr>
          <w:rFonts w:asciiTheme="majorHAnsi" w:hAnsiTheme="majorHAnsi" w:cstheme="majorHAnsi"/>
          <w:color w:val="000000" w:themeColor="text1"/>
          <w:lang w:val="en-US"/>
        </w:rPr>
      </w:pPr>
      <w:hyperlink r:id="rId26" w:history="1">
        <w:r w:rsidR="002B5F99" w:rsidRPr="002B5F99">
          <w:rPr>
            <w:rStyle w:val="Hipervnculo"/>
            <w:rFonts w:asciiTheme="majorHAnsi" w:hAnsiTheme="majorHAnsi" w:cstheme="majorHAnsi"/>
            <w:lang w:val="en-US"/>
          </w:rPr>
          <w:t>community.secop.gov.co/Public/TEndering/OpportunityDetail/Index?noticeUID=CO1.NTC.1243270&amp;isFromPublicArea=True&amp;isModal=true&amp;asPopupView=true</w:t>
        </w:r>
      </w:hyperlink>
      <w:r w:rsidR="002B5F99">
        <w:rPr>
          <w:rFonts w:asciiTheme="majorHAnsi" w:hAnsiTheme="majorHAnsi" w:cstheme="majorHAnsi"/>
          <w:color w:val="000000" w:themeColor="text1"/>
          <w:lang w:val="en-US"/>
        </w:rPr>
        <w:t>}</w:t>
      </w:r>
    </w:p>
    <w:p w14:paraId="1B932050" w14:textId="491D92C0" w:rsidR="002B5F99" w:rsidRDefault="00B36724" w:rsidP="00906117">
      <w:pPr>
        <w:pStyle w:val="Prrafodelista"/>
        <w:numPr>
          <w:ilvl w:val="0"/>
          <w:numId w:val="37"/>
        </w:numPr>
        <w:jc w:val="both"/>
        <w:rPr>
          <w:rFonts w:asciiTheme="majorHAnsi" w:hAnsiTheme="majorHAnsi" w:cstheme="majorHAnsi"/>
          <w:color w:val="000000" w:themeColor="text1"/>
          <w:lang w:val="en-US"/>
        </w:rPr>
      </w:pPr>
      <w:hyperlink r:id="rId27" w:history="1">
        <w:r w:rsidR="009028FE" w:rsidRPr="009028FE">
          <w:rPr>
            <w:rStyle w:val="Hipervnculo"/>
            <w:rFonts w:asciiTheme="majorHAnsi" w:hAnsiTheme="majorHAnsi" w:cstheme="majorHAnsi"/>
            <w:lang w:val="en-US"/>
          </w:rPr>
          <w:t>community.secop.gov.co/Public/TEndering/OpportunityDetail/Index?noticeUID=CO1.NTC.7237494&amp;isFromPublicArea=True&amp;isModal=true&amp;asPopupView=true</w:t>
        </w:r>
      </w:hyperlink>
    </w:p>
    <w:p w14:paraId="213636AE" w14:textId="4D43DF5A" w:rsidR="009028FE" w:rsidRDefault="00B36724" w:rsidP="00906117">
      <w:pPr>
        <w:pStyle w:val="Prrafodelista"/>
        <w:numPr>
          <w:ilvl w:val="0"/>
          <w:numId w:val="37"/>
        </w:numPr>
        <w:jc w:val="both"/>
        <w:rPr>
          <w:rFonts w:asciiTheme="majorHAnsi" w:hAnsiTheme="majorHAnsi" w:cstheme="majorHAnsi"/>
          <w:color w:val="000000" w:themeColor="text1"/>
          <w:lang w:val="en-US"/>
        </w:rPr>
      </w:pPr>
      <w:hyperlink r:id="rId28" w:history="1">
        <w:r w:rsidR="007E5751" w:rsidRPr="007E5751">
          <w:rPr>
            <w:rStyle w:val="Hipervnculo"/>
            <w:rFonts w:asciiTheme="majorHAnsi" w:hAnsiTheme="majorHAnsi" w:cstheme="majorHAnsi"/>
            <w:lang w:val="en-US"/>
          </w:rPr>
          <w:t>community.secop.gov.co/Public/TEndering/OpportunityDetail/Index?noticeUID=CO1.NTC.2343166&amp;isFromPublicArea=True&amp;isModal=true&amp;asPopupView=true</w:t>
        </w:r>
      </w:hyperlink>
    </w:p>
    <w:p w14:paraId="23657478" w14:textId="0A03BE59" w:rsidR="00906117" w:rsidRDefault="00297B26" w:rsidP="00906117">
      <w:pPr>
        <w:pStyle w:val="Textoindependiente"/>
        <w:spacing w:before="233"/>
        <w:ind w:right="830"/>
        <w:jc w:val="both"/>
        <w:rPr>
          <w:rFonts w:asciiTheme="majorHAnsi" w:hAnsiTheme="majorHAnsi" w:cstheme="majorHAnsi"/>
          <w:sz w:val="24"/>
          <w:szCs w:val="24"/>
        </w:rPr>
      </w:pPr>
      <w:r w:rsidRPr="00E92DD4">
        <w:rPr>
          <w:rFonts w:asciiTheme="majorHAnsi" w:hAnsiTheme="majorHAnsi" w:cstheme="majorHAnsi"/>
          <w:sz w:val="24"/>
          <w:szCs w:val="24"/>
        </w:rPr>
        <w:t xml:space="preserve">De lo anterior se deduce que el SENA y otras entidades públicas permanentemente demandan </w:t>
      </w:r>
      <w:r w:rsidR="007E5751" w:rsidRPr="007E5751">
        <w:rPr>
          <w:rFonts w:asciiTheme="majorHAnsi" w:hAnsiTheme="majorHAnsi" w:cstheme="majorHAnsi"/>
          <w:sz w:val="24"/>
          <w:szCs w:val="24"/>
        </w:rPr>
        <w:t>Contratar la prestación de los servicios de salud en el área de odontología integral, sus especialidades y demás servicios ambulatorios de salud oral</w:t>
      </w:r>
      <w:r w:rsidR="007E5751">
        <w:rPr>
          <w:rFonts w:asciiTheme="majorHAnsi" w:hAnsiTheme="majorHAnsi" w:cstheme="majorHAnsi"/>
          <w:sz w:val="24"/>
          <w:szCs w:val="24"/>
        </w:rPr>
        <w:t>.</w:t>
      </w:r>
    </w:p>
    <w:p w14:paraId="3FBB7D43" w14:textId="143EC854" w:rsidR="00297B26" w:rsidRPr="00E92DD4" w:rsidRDefault="00297B26" w:rsidP="00906117">
      <w:pPr>
        <w:pStyle w:val="Textoindependiente"/>
        <w:spacing w:before="233"/>
        <w:ind w:right="830"/>
        <w:jc w:val="both"/>
        <w:rPr>
          <w:rFonts w:asciiTheme="majorHAnsi" w:hAnsiTheme="majorHAnsi" w:cstheme="majorHAnsi"/>
          <w:sz w:val="24"/>
          <w:szCs w:val="24"/>
        </w:rPr>
      </w:pPr>
      <w:r w:rsidRPr="00E92DD4">
        <w:rPr>
          <w:rFonts w:asciiTheme="majorHAnsi" w:hAnsiTheme="majorHAnsi" w:cstheme="majorHAnsi"/>
          <w:sz w:val="24"/>
          <w:szCs w:val="24"/>
        </w:rPr>
        <w:t>Así</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mismo</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y</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haciendo</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uso</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la</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herramienta</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Análisis</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la</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Demanda</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dispuesta</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por</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 xml:space="preserve">Colombia Compra Eficiente </w:t>
      </w:r>
      <w:hyperlink r:id="rId29">
        <w:r w:rsidRPr="00E92DD4">
          <w:rPr>
            <w:rFonts w:asciiTheme="majorHAnsi" w:hAnsiTheme="majorHAnsi" w:cstheme="majorHAnsi"/>
            <w:color w:val="0000FF"/>
            <w:sz w:val="24"/>
            <w:szCs w:val="24"/>
            <w:u w:val="single" w:color="0000FF"/>
          </w:rPr>
          <w:t>www.colombiacompraeficiente.gov.co</w:t>
        </w:r>
      </w:hyperlink>
      <w:r w:rsidRPr="00E92DD4">
        <w:rPr>
          <w:rFonts w:asciiTheme="majorHAnsi" w:hAnsiTheme="majorHAnsi" w:cstheme="majorHAnsi"/>
          <w:color w:val="0000FF"/>
          <w:sz w:val="24"/>
          <w:szCs w:val="24"/>
        </w:rPr>
        <w:t xml:space="preserve"> </w:t>
      </w:r>
      <w:r w:rsidRPr="00E92DD4">
        <w:rPr>
          <w:rFonts w:asciiTheme="majorHAnsi" w:hAnsiTheme="majorHAnsi" w:cstheme="majorHAnsi"/>
          <w:sz w:val="24"/>
          <w:szCs w:val="24"/>
        </w:rPr>
        <w:t>a través del Modelo de Abastecimiento Estratégico, se consultaron los procesos de contratación que se han llevado a cabo</w:t>
      </w:r>
      <w:r w:rsidRPr="00E92DD4">
        <w:rPr>
          <w:rFonts w:asciiTheme="majorHAnsi" w:hAnsiTheme="majorHAnsi" w:cstheme="majorHAnsi"/>
          <w:spacing w:val="-6"/>
          <w:sz w:val="24"/>
          <w:szCs w:val="24"/>
        </w:rPr>
        <w:t xml:space="preserve"> </w:t>
      </w:r>
      <w:r w:rsidRPr="00E92DD4">
        <w:rPr>
          <w:rFonts w:asciiTheme="majorHAnsi" w:hAnsiTheme="majorHAnsi" w:cstheme="majorHAnsi"/>
          <w:sz w:val="24"/>
          <w:szCs w:val="24"/>
        </w:rPr>
        <w:t>en</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el</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Servicio</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Nacional</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Aprendizaje</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SENA,</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con</w:t>
      </w:r>
      <w:r w:rsidRPr="00E92DD4">
        <w:rPr>
          <w:rFonts w:asciiTheme="majorHAnsi" w:hAnsiTheme="majorHAnsi" w:cstheme="majorHAnsi"/>
          <w:spacing w:val="-8"/>
          <w:sz w:val="24"/>
          <w:szCs w:val="24"/>
        </w:rPr>
        <w:t xml:space="preserve"> </w:t>
      </w:r>
      <w:r w:rsidRPr="00E92DD4">
        <w:rPr>
          <w:rFonts w:asciiTheme="majorHAnsi" w:hAnsiTheme="majorHAnsi" w:cstheme="majorHAnsi"/>
          <w:sz w:val="24"/>
          <w:szCs w:val="24"/>
        </w:rPr>
        <w:t>objetos</w:t>
      </w:r>
      <w:r w:rsidRPr="00E92DD4">
        <w:rPr>
          <w:rFonts w:asciiTheme="majorHAnsi" w:hAnsiTheme="majorHAnsi" w:cstheme="majorHAnsi"/>
          <w:spacing w:val="-8"/>
          <w:sz w:val="24"/>
          <w:szCs w:val="24"/>
        </w:rPr>
        <w:t xml:space="preserve"> </w:t>
      </w:r>
      <w:r w:rsidRPr="00E92DD4">
        <w:rPr>
          <w:rFonts w:asciiTheme="majorHAnsi" w:hAnsiTheme="majorHAnsi" w:cstheme="majorHAnsi"/>
          <w:sz w:val="24"/>
          <w:szCs w:val="24"/>
        </w:rPr>
        <w:t>similares</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al</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del</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presente</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proceso de contratación, para determinar el comportamiento de los mismos, aclarando que existen infinidad de variables que hacen completamente heterogéneo un proceso de otro, por ser específico</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para</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cada</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entidad</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dependiendo</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de</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las</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necesidades</w:t>
      </w:r>
      <w:r w:rsidRPr="00E92DD4">
        <w:rPr>
          <w:rFonts w:asciiTheme="majorHAnsi" w:hAnsiTheme="majorHAnsi" w:cstheme="majorHAnsi"/>
          <w:spacing w:val="-7"/>
          <w:sz w:val="24"/>
          <w:szCs w:val="24"/>
        </w:rPr>
        <w:t xml:space="preserve"> </w:t>
      </w:r>
      <w:r w:rsidRPr="00E92DD4">
        <w:rPr>
          <w:rFonts w:asciiTheme="majorHAnsi" w:hAnsiTheme="majorHAnsi" w:cstheme="majorHAnsi"/>
          <w:sz w:val="24"/>
          <w:szCs w:val="24"/>
        </w:rPr>
        <w:t>y</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las</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características</w:t>
      </w:r>
      <w:r w:rsidRPr="00E92DD4">
        <w:rPr>
          <w:rFonts w:asciiTheme="majorHAnsi" w:hAnsiTheme="majorHAnsi" w:cstheme="majorHAnsi"/>
          <w:spacing w:val="-4"/>
          <w:sz w:val="24"/>
          <w:szCs w:val="24"/>
        </w:rPr>
        <w:t xml:space="preserve"> </w:t>
      </w:r>
      <w:r w:rsidRPr="00E92DD4">
        <w:rPr>
          <w:rFonts w:asciiTheme="majorHAnsi" w:hAnsiTheme="majorHAnsi" w:cstheme="majorHAnsi"/>
          <w:sz w:val="24"/>
          <w:szCs w:val="24"/>
        </w:rPr>
        <w:t>propias.</w:t>
      </w:r>
      <w:r w:rsidRPr="00E92DD4">
        <w:rPr>
          <w:rFonts w:asciiTheme="majorHAnsi" w:hAnsiTheme="majorHAnsi" w:cstheme="majorHAnsi"/>
          <w:spacing w:val="-5"/>
          <w:sz w:val="24"/>
          <w:szCs w:val="24"/>
        </w:rPr>
        <w:t xml:space="preserve"> </w:t>
      </w:r>
      <w:r w:rsidRPr="00E92DD4">
        <w:rPr>
          <w:rFonts w:asciiTheme="majorHAnsi" w:hAnsiTheme="majorHAnsi" w:cstheme="majorHAnsi"/>
          <w:sz w:val="24"/>
          <w:szCs w:val="24"/>
        </w:rPr>
        <w:t xml:space="preserve">Para el análisis de la demanda se tomó como referencia las categorías del segmento </w:t>
      </w:r>
      <w:r w:rsidR="00531B93">
        <w:rPr>
          <w:rFonts w:asciiTheme="majorHAnsi" w:hAnsiTheme="majorHAnsi" w:cstheme="majorHAnsi"/>
          <w:sz w:val="24"/>
          <w:szCs w:val="24"/>
        </w:rPr>
        <w:t>851220</w:t>
      </w:r>
      <w:r w:rsidR="00F57DAD">
        <w:rPr>
          <w:rFonts w:asciiTheme="majorHAnsi" w:hAnsiTheme="majorHAnsi" w:cstheme="majorHAnsi"/>
          <w:sz w:val="24"/>
          <w:szCs w:val="24"/>
        </w:rPr>
        <w:t>.</w:t>
      </w:r>
    </w:p>
    <w:p w14:paraId="3A3AAE98" w14:textId="77777777" w:rsidR="00F71F17" w:rsidRPr="00E92DD4" w:rsidRDefault="00F71F17" w:rsidP="00B978A4">
      <w:pPr>
        <w:jc w:val="both"/>
        <w:rPr>
          <w:rFonts w:asciiTheme="majorHAnsi" w:hAnsiTheme="majorHAnsi" w:cstheme="majorHAnsi"/>
          <w:bCs/>
          <w:iCs/>
          <w:color w:val="000000"/>
          <w:shd w:val="clear" w:color="auto" w:fill="FFFFFF"/>
          <w:lang w:val="es-ES"/>
        </w:rPr>
      </w:pPr>
    </w:p>
    <w:p w14:paraId="7848C419" w14:textId="2FD968AF" w:rsidR="00F71F17" w:rsidRPr="00F57DAD" w:rsidRDefault="00493093" w:rsidP="00BC59FB">
      <w:pPr>
        <w:ind w:left="-284"/>
        <w:jc w:val="both"/>
        <w:rPr>
          <w:rFonts w:asciiTheme="majorHAnsi" w:hAnsiTheme="majorHAnsi" w:cstheme="majorHAnsi"/>
          <w:bCs/>
          <w:iCs/>
          <w:color w:val="000000"/>
          <w:shd w:val="clear" w:color="auto" w:fill="FFFFFF"/>
          <w:lang w:val="es-ES"/>
        </w:rPr>
      </w:pPr>
      <w:r w:rsidRPr="00493093">
        <w:rPr>
          <w:rFonts w:asciiTheme="majorHAnsi" w:hAnsiTheme="majorHAnsi" w:cstheme="majorHAnsi"/>
          <w:bCs/>
          <w:iCs/>
          <w:noProof/>
          <w:color w:val="000000"/>
          <w:shd w:val="clear" w:color="auto" w:fill="FFFFFF"/>
          <w:lang w:val="es-ES"/>
        </w:rPr>
        <w:drawing>
          <wp:inline distT="0" distB="0" distL="0" distR="0" wp14:anchorId="4291CADB" wp14:editId="274A2BD1">
            <wp:extent cx="5873750" cy="4391660"/>
            <wp:effectExtent l="0" t="0" r="0" b="8890"/>
            <wp:docPr id="328785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85744" name=""/>
                    <pic:cNvPicPr/>
                  </pic:nvPicPr>
                  <pic:blipFill>
                    <a:blip r:embed="rId30"/>
                    <a:stretch>
                      <a:fillRect/>
                    </a:stretch>
                  </pic:blipFill>
                  <pic:spPr>
                    <a:xfrm>
                      <a:off x="0" y="0"/>
                      <a:ext cx="5873750" cy="4391660"/>
                    </a:xfrm>
                    <a:prstGeom prst="rect">
                      <a:avLst/>
                    </a:prstGeom>
                  </pic:spPr>
                </pic:pic>
              </a:graphicData>
            </a:graphic>
          </wp:inline>
        </w:drawing>
      </w:r>
    </w:p>
    <w:p w14:paraId="48E27F12" w14:textId="3431A09E" w:rsidR="00E92DD4" w:rsidRDefault="00E92DD4" w:rsidP="00034A41">
      <w:pPr>
        <w:pStyle w:val="Textoindependiente"/>
        <w:ind w:right="831"/>
        <w:jc w:val="both"/>
        <w:rPr>
          <w:rFonts w:asciiTheme="majorHAnsi" w:hAnsiTheme="majorHAnsi" w:cstheme="majorHAnsi"/>
          <w:sz w:val="24"/>
          <w:szCs w:val="24"/>
        </w:rPr>
      </w:pPr>
    </w:p>
    <w:p w14:paraId="249E10D0" w14:textId="26169827" w:rsidR="00E62FA6" w:rsidRPr="00E62FA6" w:rsidRDefault="00493093" w:rsidP="00E62FA6">
      <w:pPr>
        <w:pStyle w:val="Textoindependiente"/>
        <w:rPr>
          <w:rFonts w:asciiTheme="majorHAnsi" w:hAnsiTheme="majorHAnsi" w:cstheme="majorHAnsi"/>
          <w:bCs/>
          <w:iCs/>
          <w:lang w:val="es-ES_tradnl"/>
        </w:rPr>
      </w:pPr>
      <w:r>
        <w:rPr>
          <w:rFonts w:asciiTheme="majorHAnsi" w:hAnsiTheme="majorHAnsi" w:cstheme="majorHAnsi"/>
          <w:bCs/>
          <w:iCs/>
          <w:lang w:val="es-ES_tradnl"/>
        </w:rPr>
        <w:t xml:space="preserve">Del año 2020 al 2022 la plataforma mas usada fue secop I, del año 2023 hasta la fecha se han realizado la contratación en la plataforma secop II. </w:t>
      </w:r>
    </w:p>
    <w:p w14:paraId="39F21BE9" w14:textId="77777777" w:rsidR="00034A41" w:rsidRPr="00E92DD4" w:rsidRDefault="00034A41" w:rsidP="00034A41">
      <w:pPr>
        <w:pStyle w:val="Textoindependiente"/>
        <w:rPr>
          <w:rFonts w:asciiTheme="majorHAnsi" w:hAnsiTheme="majorHAnsi" w:cstheme="majorHAnsi"/>
          <w:sz w:val="24"/>
          <w:szCs w:val="24"/>
        </w:rPr>
      </w:pPr>
    </w:p>
    <w:p w14:paraId="10364874" w14:textId="5CED5910" w:rsidR="00DB3227" w:rsidRDefault="00A84185" w:rsidP="00590DC7">
      <w:pPr>
        <w:pStyle w:val="Textoindependiente"/>
        <w:spacing w:before="26"/>
        <w:rPr>
          <w:noProof/>
        </w:rPr>
      </w:pPr>
      <w:r w:rsidRPr="00A84185">
        <w:rPr>
          <w:noProof/>
        </w:rPr>
        <w:lastRenderedPageBreak/>
        <w:drawing>
          <wp:inline distT="0" distB="0" distL="0" distR="0" wp14:anchorId="187EA92F" wp14:editId="6DABD3F9">
            <wp:extent cx="5873750" cy="4056380"/>
            <wp:effectExtent l="0" t="0" r="0" b="1270"/>
            <wp:docPr id="1849592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92657" name=""/>
                    <pic:cNvPicPr/>
                  </pic:nvPicPr>
                  <pic:blipFill>
                    <a:blip r:embed="rId31"/>
                    <a:stretch>
                      <a:fillRect/>
                    </a:stretch>
                  </pic:blipFill>
                  <pic:spPr>
                    <a:xfrm>
                      <a:off x="0" y="0"/>
                      <a:ext cx="5873750" cy="4056380"/>
                    </a:xfrm>
                    <a:prstGeom prst="rect">
                      <a:avLst/>
                    </a:prstGeom>
                  </pic:spPr>
                </pic:pic>
              </a:graphicData>
            </a:graphic>
          </wp:inline>
        </w:drawing>
      </w:r>
      <w:r w:rsidR="00DB3227" w:rsidRPr="00DB3227">
        <w:rPr>
          <w:noProof/>
        </w:rPr>
        <w:t xml:space="preserve"> </w:t>
      </w:r>
    </w:p>
    <w:p w14:paraId="724A0451" w14:textId="77777777" w:rsidR="00DB3227" w:rsidRDefault="00DB3227" w:rsidP="00590DC7">
      <w:pPr>
        <w:pStyle w:val="Textoindependiente"/>
        <w:spacing w:before="26"/>
        <w:rPr>
          <w:noProof/>
        </w:rPr>
      </w:pPr>
    </w:p>
    <w:p w14:paraId="7307D18F" w14:textId="770085C5" w:rsidR="00DB3227" w:rsidRPr="00BC2441" w:rsidRDefault="00DB3227" w:rsidP="00DB3227">
      <w:pPr>
        <w:pStyle w:val="Textoindependiente"/>
        <w:rPr>
          <w:rFonts w:asciiTheme="majorHAnsi" w:hAnsiTheme="majorHAnsi" w:cstheme="majorHAnsi"/>
          <w:bCs/>
          <w:iCs/>
          <w:lang w:val="es-ES_tradnl"/>
        </w:rPr>
      </w:pPr>
      <w:r w:rsidRPr="00BC2441">
        <w:rPr>
          <w:rFonts w:asciiTheme="majorHAnsi" w:hAnsiTheme="majorHAnsi" w:cstheme="majorHAnsi"/>
          <w:bCs/>
          <w:iCs/>
          <w:lang w:val="es-ES_tradnl"/>
        </w:rPr>
        <w:t xml:space="preserve">Por otra parte, la herramienta de análisis de la demanda nos muestra que, para la categoría seleccionada, la modalidad de contratación por la que más recursos se han apropiado es </w:t>
      </w:r>
      <w:r w:rsidR="009E68A5">
        <w:rPr>
          <w:rFonts w:asciiTheme="majorHAnsi" w:hAnsiTheme="majorHAnsi" w:cstheme="majorHAnsi"/>
          <w:bCs/>
          <w:iCs/>
          <w:lang w:val="es-ES_tradnl"/>
        </w:rPr>
        <w:t xml:space="preserve">contratación directa, seguido de régimen especial, </w:t>
      </w:r>
      <w:r w:rsidR="00A84185">
        <w:rPr>
          <w:rFonts w:asciiTheme="majorHAnsi" w:hAnsiTheme="majorHAnsi" w:cstheme="majorHAnsi"/>
          <w:bCs/>
          <w:iCs/>
          <w:lang w:val="es-ES_tradnl"/>
        </w:rPr>
        <w:t xml:space="preserve">mínima cuantía, </w:t>
      </w:r>
      <w:r w:rsidR="00DB3A27">
        <w:rPr>
          <w:rFonts w:asciiTheme="majorHAnsi" w:hAnsiTheme="majorHAnsi" w:cstheme="majorHAnsi"/>
          <w:bCs/>
          <w:iCs/>
          <w:lang w:val="es-ES_tradnl"/>
        </w:rPr>
        <w:t xml:space="preserve">y selección abreviada de menor cuantía. </w:t>
      </w:r>
    </w:p>
    <w:p w14:paraId="0769705A" w14:textId="77777777" w:rsidR="00DB3227" w:rsidRDefault="00DB3227" w:rsidP="00590DC7">
      <w:pPr>
        <w:pStyle w:val="Textoindependiente"/>
        <w:spacing w:before="26"/>
        <w:rPr>
          <w:noProof/>
        </w:rPr>
      </w:pPr>
    </w:p>
    <w:p w14:paraId="6B3C71D4" w14:textId="56887839" w:rsidR="00590DC7" w:rsidRDefault="00A84185" w:rsidP="008F668A">
      <w:pPr>
        <w:pStyle w:val="Textoindependiente"/>
        <w:spacing w:before="26"/>
        <w:rPr>
          <w:rFonts w:asciiTheme="majorHAnsi" w:hAnsiTheme="majorHAnsi" w:cstheme="majorHAnsi"/>
          <w:sz w:val="24"/>
          <w:szCs w:val="24"/>
        </w:rPr>
      </w:pPr>
      <w:r w:rsidRPr="00A84185">
        <w:rPr>
          <w:rFonts w:asciiTheme="majorHAnsi" w:hAnsiTheme="majorHAnsi" w:cstheme="majorHAnsi"/>
          <w:noProof/>
          <w:sz w:val="24"/>
          <w:szCs w:val="24"/>
        </w:rPr>
        <w:drawing>
          <wp:inline distT="0" distB="0" distL="0" distR="0" wp14:anchorId="4C79022A" wp14:editId="6BF22C98">
            <wp:extent cx="5873750" cy="1657350"/>
            <wp:effectExtent l="0" t="0" r="0" b="0"/>
            <wp:docPr id="18770889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88908" name=""/>
                    <pic:cNvPicPr/>
                  </pic:nvPicPr>
                  <pic:blipFill>
                    <a:blip r:embed="rId32"/>
                    <a:stretch>
                      <a:fillRect/>
                    </a:stretch>
                  </pic:blipFill>
                  <pic:spPr>
                    <a:xfrm>
                      <a:off x="0" y="0"/>
                      <a:ext cx="5873750" cy="1657350"/>
                    </a:xfrm>
                    <a:prstGeom prst="rect">
                      <a:avLst/>
                    </a:prstGeom>
                  </pic:spPr>
                </pic:pic>
              </a:graphicData>
            </a:graphic>
          </wp:inline>
        </w:drawing>
      </w:r>
    </w:p>
    <w:p w14:paraId="33515F59" w14:textId="77777777" w:rsidR="008F668A" w:rsidRDefault="008F668A" w:rsidP="008F668A">
      <w:pPr>
        <w:pStyle w:val="Textoindependiente"/>
        <w:spacing w:before="26"/>
        <w:rPr>
          <w:rFonts w:asciiTheme="majorHAnsi" w:hAnsiTheme="majorHAnsi" w:cstheme="majorHAnsi"/>
          <w:sz w:val="24"/>
          <w:szCs w:val="24"/>
        </w:rPr>
      </w:pPr>
    </w:p>
    <w:p w14:paraId="1610CCE9" w14:textId="0399A1A5" w:rsidR="008F668A" w:rsidRPr="008F668A" w:rsidRDefault="008F668A" w:rsidP="008F668A">
      <w:pPr>
        <w:pStyle w:val="Textoindependiente"/>
        <w:spacing w:before="26"/>
        <w:rPr>
          <w:rFonts w:asciiTheme="majorHAnsi" w:hAnsiTheme="majorHAnsi" w:cstheme="majorHAnsi"/>
          <w:sz w:val="24"/>
          <w:szCs w:val="24"/>
        </w:rPr>
      </w:pPr>
      <w:r>
        <w:rPr>
          <w:rFonts w:asciiTheme="majorHAnsi" w:hAnsiTheme="majorHAnsi" w:cstheme="majorHAnsi"/>
          <w:sz w:val="24"/>
          <w:szCs w:val="24"/>
        </w:rPr>
        <w:t xml:space="preserve">Fuente: </w:t>
      </w:r>
      <w:hyperlink r:id="rId33" w:history="1">
        <w:r w:rsidR="0010002F" w:rsidRPr="0010002F">
          <w:rPr>
            <w:rStyle w:val="Hipervnculo"/>
            <w:rFonts w:asciiTheme="majorHAnsi" w:hAnsiTheme="majorHAnsi" w:cstheme="majorHAnsi"/>
            <w:sz w:val="24"/>
            <w:szCs w:val="24"/>
            <w:lang w:val="es-CO"/>
          </w:rPr>
          <w:t>Herramienta de visualización para el análisis de la demanda y de la oferta – ANCP Colombia Compra Eficiente</w:t>
        </w:r>
      </w:hyperlink>
    </w:p>
    <w:p w14:paraId="1EB42732" w14:textId="77777777" w:rsidR="00F261DE" w:rsidRPr="00E92DD4" w:rsidRDefault="00F261DE" w:rsidP="00B978A4">
      <w:pPr>
        <w:jc w:val="both"/>
        <w:rPr>
          <w:rFonts w:asciiTheme="majorHAnsi" w:hAnsiTheme="majorHAnsi" w:cstheme="majorHAnsi"/>
          <w:bCs/>
          <w:iCs/>
          <w:color w:val="000000"/>
          <w:shd w:val="clear" w:color="auto" w:fill="FFFFFF"/>
        </w:rPr>
      </w:pPr>
    </w:p>
    <w:p w14:paraId="2A659E8E" w14:textId="77777777" w:rsidR="00F261DE" w:rsidRPr="00E92DD4" w:rsidRDefault="00F261DE" w:rsidP="00B978A4">
      <w:pPr>
        <w:jc w:val="both"/>
        <w:rPr>
          <w:rFonts w:asciiTheme="majorHAnsi" w:hAnsiTheme="majorHAnsi" w:cstheme="majorHAnsi"/>
          <w:bCs/>
          <w:iCs/>
          <w:color w:val="000000"/>
          <w:shd w:val="clear" w:color="auto" w:fill="FFFFFF"/>
        </w:rPr>
      </w:pPr>
    </w:p>
    <w:p w14:paraId="35732855" w14:textId="77777777" w:rsidR="000515B5" w:rsidRPr="00E92DD4" w:rsidRDefault="000515B5" w:rsidP="000515B5">
      <w:pPr>
        <w:jc w:val="both"/>
        <w:rPr>
          <w:rFonts w:asciiTheme="majorHAnsi" w:hAnsiTheme="majorHAnsi" w:cstheme="majorHAnsi"/>
          <w:bCs/>
          <w:iCs/>
          <w:color w:val="000000"/>
          <w:shd w:val="clear" w:color="auto" w:fill="FFFFFF"/>
        </w:rPr>
      </w:pPr>
    </w:p>
    <w:p w14:paraId="13990B4B" w14:textId="77777777" w:rsidR="000515B5" w:rsidRPr="00E92DD4" w:rsidRDefault="000515B5" w:rsidP="000515B5">
      <w:pPr>
        <w:jc w:val="both"/>
        <w:rPr>
          <w:rFonts w:asciiTheme="majorHAnsi" w:hAnsiTheme="majorHAnsi" w:cstheme="majorHAnsi"/>
          <w:bCs/>
          <w:iCs/>
          <w:color w:val="000000"/>
          <w:shd w:val="clear" w:color="auto" w:fill="FFFFFF"/>
        </w:rPr>
      </w:pPr>
    </w:p>
    <w:p w14:paraId="5BE706C9" w14:textId="77777777" w:rsidR="002D6F25" w:rsidRPr="00E92DD4" w:rsidRDefault="002D6F25" w:rsidP="002D6F25">
      <w:pPr>
        <w:rPr>
          <w:rFonts w:asciiTheme="majorHAnsi" w:eastAsia="Calibri" w:hAnsiTheme="majorHAnsi" w:cstheme="majorHAnsi"/>
          <w:b/>
          <w:bCs/>
          <w:iCs/>
          <w:shd w:val="clear" w:color="auto" w:fill="FFFFFF"/>
          <w:lang w:val="es-ES_tradnl" w:eastAsia="en-US"/>
        </w:rPr>
      </w:pPr>
      <w:r w:rsidRPr="00E92DD4">
        <w:rPr>
          <w:rFonts w:asciiTheme="majorHAnsi" w:eastAsia="Calibri" w:hAnsiTheme="majorHAnsi" w:cstheme="majorHAnsi"/>
          <w:b/>
          <w:bCs/>
          <w:iCs/>
          <w:shd w:val="clear" w:color="auto" w:fill="FFFFFF"/>
          <w:lang w:val="es-ES_tradnl" w:eastAsia="en-US"/>
        </w:rPr>
        <w:t>ANÁLISIS DEL VALOR ESTIMADO DEL CONTRATO Y PRESUPUESTO OFICIAL:</w:t>
      </w:r>
    </w:p>
    <w:p w14:paraId="7C45BA54" w14:textId="77777777" w:rsidR="00BB0CE3" w:rsidRDefault="00BB0CE3" w:rsidP="00F84F92">
      <w:pPr>
        <w:jc w:val="both"/>
        <w:rPr>
          <w:rFonts w:asciiTheme="majorHAnsi" w:eastAsia="Arial MT" w:hAnsiTheme="majorHAnsi" w:cstheme="majorHAnsi"/>
          <w:bCs/>
          <w:iCs/>
          <w:lang w:val="es-ES_tradnl" w:eastAsia="en-US"/>
        </w:rPr>
      </w:pPr>
    </w:p>
    <w:p w14:paraId="1DC09875" w14:textId="781943AA" w:rsidR="00F84F92" w:rsidRPr="00F84F92" w:rsidRDefault="00F84F92" w:rsidP="00F84F92">
      <w:pPr>
        <w:jc w:val="both"/>
        <w:rPr>
          <w:rFonts w:asciiTheme="majorHAnsi" w:eastAsia="Arial MT" w:hAnsiTheme="majorHAnsi" w:cstheme="majorHAnsi"/>
          <w:b/>
          <w:bCs/>
          <w:lang w:eastAsia="en-US"/>
        </w:rPr>
      </w:pPr>
      <w:r w:rsidRPr="00F84F92">
        <w:rPr>
          <w:rFonts w:asciiTheme="majorHAnsi" w:eastAsia="Arial MT" w:hAnsiTheme="majorHAnsi" w:cstheme="majorHAnsi"/>
          <w:bCs/>
          <w:iCs/>
          <w:lang w:val="es-ES_tradnl" w:eastAsia="en-US"/>
        </w:rPr>
        <w:t xml:space="preserve">El valor estimado del contrato será hasta por la suma de </w:t>
      </w:r>
      <w:r w:rsidR="00391F5E">
        <w:rPr>
          <w:rFonts w:asciiTheme="majorHAnsi" w:eastAsia="Arial MT" w:hAnsiTheme="majorHAnsi" w:cstheme="majorHAnsi"/>
          <w:b/>
          <w:bCs/>
          <w:iCs/>
          <w:lang w:eastAsia="en-US"/>
        </w:rPr>
        <w:t>CUARENTA Y DOS MILLONES</w:t>
      </w:r>
      <w:r w:rsidR="008122E5" w:rsidRPr="00E92DD4">
        <w:rPr>
          <w:rFonts w:asciiTheme="majorHAnsi" w:eastAsia="Arial MT" w:hAnsiTheme="majorHAnsi" w:cstheme="majorHAnsi"/>
          <w:b/>
          <w:iCs/>
          <w:lang w:val="es-ES_tradnl" w:eastAsia="en-US"/>
        </w:rPr>
        <w:t xml:space="preserve"> </w:t>
      </w:r>
      <w:r w:rsidRPr="00F84F92">
        <w:rPr>
          <w:rFonts w:asciiTheme="majorHAnsi" w:eastAsia="Arial MT" w:hAnsiTheme="majorHAnsi" w:cstheme="majorHAnsi"/>
          <w:b/>
          <w:iCs/>
          <w:lang w:val="es-ES_tradnl" w:eastAsia="en-US"/>
        </w:rPr>
        <w:t>PESOS M/CTE (</w:t>
      </w:r>
      <w:r w:rsidRPr="00F84F92">
        <w:rPr>
          <w:rFonts w:asciiTheme="majorHAnsi" w:eastAsia="Arial MT" w:hAnsiTheme="majorHAnsi" w:cstheme="majorHAnsi"/>
          <w:b/>
          <w:bCs/>
          <w:lang w:eastAsia="en-US"/>
        </w:rPr>
        <w:t>$</w:t>
      </w:r>
      <w:r w:rsidR="00391F5E">
        <w:rPr>
          <w:rFonts w:asciiTheme="majorHAnsi" w:eastAsia="Arial MT" w:hAnsiTheme="majorHAnsi" w:cstheme="majorHAnsi"/>
          <w:b/>
          <w:bCs/>
          <w:lang w:eastAsia="en-US"/>
        </w:rPr>
        <w:t>42.000.000</w:t>
      </w:r>
      <w:r w:rsidRPr="00F84F92">
        <w:rPr>
          <w:rFonts w:asciiTheme="majorHAnsi" w:eastAsia="Arial MT" w:hAnsiTheme="majorHAnsi" w:cstheme="majorHAnsi"/>
          <w:b/>
          <w:bCs/>
          <w:lang w:eastAsia="en-US"/>
        </w:rPr>
        <w:t>)</w:t>
      </w:r>
      <w:r w:rsidRPr="00F84F92">
        <w:rPr>
          <w:rFonts w:asciiTheme="majorHAnsi" w:eastAsia="Arial MT" w:hAnsiTheme="majorHAnsi" w:cstheme="majorHAnsi"/>
          <w:b/>
          <w:iCs/>
          <w:lang w:val="es-ES_tradnl" w:eastAsia="en-US"/>
        </w:rPr>
        <w:t>,</w:t>
      </w:r>
      <w:r w:rsidRPr="00F84F92">
        <w:rPr>
          <w:rFonts w:asciiTheme="majorHAnsi" w:eastAsia="Arial MT" w:hAnsiTheme="majorHAnsi" w:cstheme="majorHAnsi"/>
          <w:bCs/>
          <w:iCs/>
          <w:lang w:val="es-ES_tradnl" w:eastAsia="en-US"/>
        </w:rPr>
        <w:t xml:space="preserve"> IVA incluido, cuando a ello hubiere lugar, y demás impuestos, costos directos e indirectos, tasas, contribuciones de carácter nacional y/o municipal o de carácter legal.</w:t>
      </w:r>
    </w:p>
    <w:p w14:paraId="00A576E8" w14:textId="77777777" w:rsidR="00F84F92" w:rsidRPr="00F84F92" w:rsidRDefault="00F84F92" w:rsidP="00F84F92">
      <w:pPr>
        <w:jc w:val="both"/>
        <w:rPr>
          <w:rFonts w:asciiTheme="majorHAnsi" w:eastAsia="Arial MT" w:hAnsiTheme="majorHAnsi" w:cstheme="majorHAnsi"/>
          <w:bCs/>
          <w:iCs/>
          <w:lang w:val="es-ES_tradnl" w:eastAsia="en-US"/>
        </w:rPr>
      </w:pPr>
    </w:p>
    <w:p w14:paraId="74FB5871" w14:textId="17A38BDA" w:rsidR="00234FF0" w:rsidRPr="00234FF0" w:rsidRDefault="00234FF0" w:rsidP="00234FF0">
      <w:pPr>
        <w:jc w:val="both"/>
        <w:rPr>
          <w:rFonts w:asciiTheme="majorHAnsi" w:eastAsia="Arial MT" w:hAnsiTheme="majorHAnsi" w:cstheme="majorHAnsi"/>
          <w:bCs/>
          <w:iCs/>
          <w:lang w:val="es-ES_tradnl" w:eastAsia="en-US"/>
        </w:rPr>
      </w:pPr>
      <w:r w:rsidRPr="00234FF0">
        <w:rPr>
          <w:rFonts w:asciiTheme="majorHAnsi" w:eastAsia="Arial MT" w:hAnsiTheme="majorHAnsi" w:cstheme="majorHAnsi"/>
          <w:bCs/>
          <w:iCs/>
          <w:lang w:val="es-ES_tradnl" w:eastAsia="en-US"/>
        </w:rPr>
        <w:t xml:space="preserve">Para establecer el valor del contrato la Dirección Regional Meta del SENA publicó a través de la página web de la entidad www.contratacion.sena.edu.co y la plataforma SECOP II, solicitud de información a los proveedores con la finalidad de recibir cotizaciones y conocer los precios del mercado. Al respecto, </w:t>
      </w:r>
      <w:r w:rsidR="000414E9">
        <w:rPr>
          <w:rFonts w:asciiTheme="majorHAnsi" w:eastAsia="Arial MT" w:hAnsiTheme="majorHAnsi" w:cstheme="majorHAnsi"/>
          <w:bCs/>
          <w:iCs/>
          <w:lang w:val="es-ES_tradnl" w:eastAsia="en-US"/>
        </w:rPr>
        <w:t xml:space="preserve">se recibió una cotización de </w:t>
      </w:r>
      <w:r w:rsidR="000414E9" w:rsidRPr="000414E9">
        <w:rPr>
          <w:rFonts w:asciiTheme="majorHAnsi" w:eastAsia="Arial MT" w:hAnsiTheme="majorHAnsi" w:cstheme="majorHAnsi"/>
          <w:bCs/>
          <w:iCs/>
          <w:lang w:eastAsia="en-US"/>
        </w:rPr>
        <w:t>CLINICA ODONTOLOGICA DENTCLASS E.U.</w:t>
      </w:r>
      <w:r w:rsidRPr="00234FF0">
        <w:rPr>
          <w:rFonts w:asciiTheme="majorHAnsi" w:eastAsia="Arial MT" w:hAnsiTheme="majorHAnsi" w:cstheme="majorHAnsi"/>
          <w:bCs/>
          <w:iCs/>
          <w:lang w:val="es-ES_tradnl" w:eastAsia="en-US"/>
        </w:rPr>
        <w:t xml:space="preserve"> </w:t>
      </w:r>
      <w:r w:rsidR="00C70B2F">
        <w:rPr>
          <w:rFonts w:asciiTheme="majorHAnsi" w:eastAsia="Arial MT" w:hAnsiTheme="majorHAnsi" w:cstheme="majorHAnsi"/>
          <w:bCs/>
          <w:iCs/>
          <w:lang w:val="es-ES_tradnl" w:eastAsia="en-US"/>
        </w:rPr>
        <w:t>en plataforma SECOP II,</w:t>
      </w:r>
      <w:r w:rsidR="000414E9">
        <w:rPr>
          <w:rFonts w:asciiTheme="majorHAnsi" w:eastAsia="Arial MT" w:hAnsiTheme="majorHAnsi" w:cstheme="majorHAnsi"/>
          <w:bCs/>
          <w:iCs/>
          <w:lang w:val="es-ES_tradnl" w:eastAsia="en-US"/>
        </w:rPr>
        <w:t xml:space="preserve"> </w:t>
      </w:r>
      <w:r w:rsidRPr="00234FF0">
        <w:rPr>
          <w:rFonts w:asciiTheme="majorHAnsi" w:eastAsia="Arial MT" w:hAnsiTheme="majorHAnsi" w:cstheme="majorHAnsi"/>
          <w:bCs/>
          <w:iCs/>
          <w:lang w:val="es-ES_tradnl" w:eastAsia="en-US"/>
        </w:rPr>
        <w:t xml:space="preserve"> la</w:t>
      </w:r>
      <w:r w:rsidR="00C70B2F">
        <w:rPr>
          <w:rFonts w:asciiTheme="majorHAnsi" w:eastAsia="Arial MT" w:hAnsiTheme="majorHAnsi" w:cstheme="majorHAnsi"/>
          <w:bCs/>
          <w:iCs/>
          <w:lang w:val="es-ES_tradnl" w:eastAsia="en-US"/>
        </w:rPr>
        <w:t xml:space="preserve"> </w:t>
      </w:r>
      <w:r w:rsidRPr="00234FF0">
        <w:rPr>
          <w:rFonts w:asciiTheme="majorHAnsi" w:eastAsia="Arial MT" w:hAnsiTheme="majorHAnsi" w:cstheme="majorHAnsi"/>
          <w:bCs/>
          <w:iCs/>
          <w:lang w:val="es-ES_tradnl" w:eastAsia="en-US"/>
        </w:rPr>
        <w:t xml:space="preserve">cual fue revisadas y analizadas por el área económica. </w:t>
      </w:r>
      <w:r w:rsidR="00D87A06">
        <w:rPr>
          <w:rFonts w:asciiTheme="majorHAnsi" w:eastAsia="Arial MT" w:hAnsiTheme="majorHAnsi" w:cstheme="majorHAnsi"/>
          <w:bCs/>
          <w:iCs/>
          <w:lang w:val="es-ES_tradnl" w:eastAsia="en-US"/>
        </w:rPr>
        <w:t xml:space="preserve">Con el fin de poder realizar el estudio de mercado el área solicitante tomo el histórico de precios </w:t>
      </w:r>
      <w:r w:rsidR="001E794C">
        <w:rPr>
          <w:rFonts w:asciiTheme="majorHAnsi" w:eastAsia="Arial MT" w:hAnsiTheme="majorHAnsi" w:cstheme="majorHAnsi"/>
          <w:bCs/>
          <w:iCs/>
          <w:lang w:val="es-ES_tradnl" w:eastAsia="en-US"/>
        </w:rPr>
        <w:t xml:space="preserve">del proceso del 2025 junto con la cotización recibida. </w:t>
      </w:r>
      <w:r w:rsidRPr="00234FF0">
        <w:rPr>
          <w:rFonts w:asciiTheme="majorHAnsi" w:eastAsia="Arial MT" w:hAnsiTheme="majorHAnsi" w:cstheme="majorHAnsi"/>
          <w:bCs/>
          <w:iCs/>
          <w:lang w:val="es-ES_tradnl" w:eastAsia="en-US"/>
        </w:rPr>
        <w:t xml:space="preserve">Con la información de las cotizaciones, y el análisis de los precios de contratos anteriores ejecutados en el SENA dicha área elaboro el estudio de mercado, estableciendo los </w:t>
      </w:r>
      <w:r w:rsidR="001E794C" w:rsidRPr="00234FF0">
        <w:rPr>
          <w:rFonts w:asciiTheme="majorHAnsi" w:eastAsia="Arial MT" w:hAnsiTheme="majorHAnsi" w:cstheme="majorHAnsi"/>
          <w:bCs/>
          <w:iCs/>
          <w:lang w:val="es-ES_tradnl" w:eastAsia="en-US"/>
        </w:rPr>
        <w:t>precios unitarios</w:t>
      </w:r>
      <w:r w:rsidRPr="00234FF0">
        <w:rPr>
          <w:rFonts w:asciiTheme="majorHAnsi" w:eastAsia="Arial MT" w:hAnsiTheme="majorHAnsi" w:cstheme="majorHAnsi"/>
          <w:bCs/>
          <w:iCs/>
          <w:lang w:val="es-ES_tradnl" w:eastAsia="en-US"/>
        </w:rPr>
        <w:t xml:space="preserve"> </w:t>
      </w:r>
      <w:r w:rsidR="00EC2456">
        <w:rPr>
          <w:rFonts w:asciiTheme="majorHAnsi" w:eastAsia="Arial MT" w:hAnsiTheme="majorHAnsi" w:cstheme="majorHAnsi"/>
          <w:bCs/>
          <w:iCs/>
          <w:lang w:val="es-ES_tradnl" w:eastAsia="en-US"/>
        </w:rPr>
        <w:t>de alquiler de la pista por hora</w:t>
      </w:r>
      <w:r w:rsidRPr="00234FF0">
        <w:rPr>
          <w:rFonts w:asciiTheme="majorHAnsi" w:eastAsia="Arial MT" w:hAnsiTheme="majorHAnsi" w:cstheme="majorHAnsi"/>
          <w:bCs/>
          <w:iCs/>
          <w:lang w:val="es-ES_tradnl" w:eastAsia="en-US"/>
        </w:rPr>
        <w:t xml:space="preserve"> para el presente proceso. </w:t>
      </w:r>
    </w:p>
    <w:p w14:paraId="697CEC59" w14:textId="77777777" w:rsidR="00234FF0" w:rsidRPr="00234FF0" w:rsidRDefault="00234FF0" w:rsidP="00234FF0">
      <w:pPr>
        <w:jc w:val="both"/>
        <w:rPr>
          <w:rFonts w:asciiTheme="majorHAnsi" w:eastAsia="Arial MT" w:hAnsiTheme="majorHAnsi" w:cstheme="majorHAnsi"/>
          <w:bCs/>
          <w:iCs/>
          <w:lang w:val="es-ES_tradnl" w:eastAsia="en-US"/>
        </w:rPr>
      </w:pPr>
    </w:p>
    <w:p w14:paraId="2B19A475" w14:textId="4616FCCE" w:rsidR="00BB0CE3" w:rsidRPr="00BB0CE3" w:rsidRDefault="00BB0CE3" w:rsidP="00BB0CE3">
      <w:pPr>
        <w:jc w:val="both"/>
        <w:rPr>
          <w:rFonts w:asciiTheme="majorHAnsi" w:eastAsia="Arial MT" w:hAnsiTheme="majorHAnsi" w:cstheme="majorHAnsi"/>
          <w:bCs/>
          <w:iCs/>
          <w:lang w:eastAsia="en-US"/>
        </w:rPr>
      </w:pPr>
      <w:r w:rsidRPr="00BB0CE3">
        <w:rPr>
          <w:rFonts w:asciiTheme="majorHAnsi" w:eastAsia="Arial MT" w:hAnsiTheme="majorHAnsi" w:cstheme="majorHAnsi"/>
          <w:bCs/>
          <w:iCs/>
          <w:lang w:eastAsia="en-US"/>
        </w:rPr>
        <w:t xml:space="preserve">Se aclara que la forma de adjudicación será “contrato suministro de servicios a monto agotable” con precios unitarios fijos para cada ítem. El SENA solicitará las cantidades de los diferentes procedimientos según los requerimientos de los beneficiarios del servicio médico asistencial  hasta agotar el saldo. </w:t>
      </w:r>
      <w:r>
        <w:rPr>
          <w:rFonts w:asciiTheme="majorHAnsi" w:eastAsia="Arial MT" w:hAnsiTheme="majorHAnsi" w:cstheme="majorHAnsi"/>
          <w:bCs/>
          <w:iCs/>
          <w:lang w:eastAsia="en-US"/>
        </w:rPr>
        <w:t xml:space="preserve"> </w:t>
      </w:r>
      <w:r w:rsidRPr="00BB0CE3">
        <w:rPr>
          <w:rFonts w:asciiTheme="majorHAnsi" w:eastAsia="Arial MT" w:hAnsiTheme="majorHAnsi" w:cstheme="majorHAnsi"/>
          <w:bCs/>
          <w:iCs/>
          <w:lang w:eastAsia="en-US"/>
        </w:rPr>
        <w:t>El ARTÍCULO CUARTO de la RESOLUCIÓN No.1-00824 DE 2022, establece las tarifas odontológicas máximas para todas las regionales como referentes de contratación y a reconocer para los beneficiarios del Servicio Médico Asistencial del SENA, en los servicios de consulta externa de odontología, y demás servicios ambulatorios de salud oral.</w:t>
      </w:r>
    </w:p>
    <w:p w14:paraId="11C6E8DC" w14:textId="77777777" w:rsidR="00BB0CE3" w:rsidRPr="00BB0CE3" w:rsidRDefault="00BB0CE3" w:rsidP="00BB0CE3">
      <w:pPr>
        <w:jc w:val="both"/>
        <w:rPr>
          <w:rFonts w:asciiTheme="majorHAnsi" w:eastAsia="Arial MT" w:hAnsiTheme="majorHAnsi" w:cstheme="majorHAnsi"/>
          <w:bCs/>
          <w:iCs/>
          <w:lang w:eastAsia="en-US"/>
        </w:rPr>
      </w:pPr>
    </w:p>
    <w:p w14:paraId="7883F190" w14:textId="77777777" w:rsidR="00234FF0" w:rsidRPr="00234FF0" w:rsidRDefault="00234FF0" w:rsidP="00234FF0">
      <w:pPr>
        <w:jc w:val="both"/>
        <w:rPr>
          <w:rFonts w:asciiTheme="majorHAnsi" w:eastAsia="Arial MT" w:hAnsiTheme="majorHAnsi" w:cstheme="majorHAnsi"/>
          <w:bCs/>
          <w:iCs/>
          <w:lang w:val="es-ES_tradnl" w:eastAsia="en-US"/>
        </w:rPr>
      </w:pPr>
      <w:r w:rsidRPr="00234FF0">
        <w:rPr>
          <w:rFonts w:asciiTheme="majorHAnsi" w:eastAsia="Arial MT" w:hAnsiTheme="majorHAnsi" w:cstheme="majorHAnsi"/>
          <w:bCs/>
          <w:iCs/>
          <w:lang w:val="es-ES_tradnl" w:eastAsia="en-US"/>
        </w:rPr>
        <w:t>Teniendo en cuenta que la Entidad ha determinado un presupuesto oficial por ítem, las ofertas no podrán sobrepasar este presupuesto por ítem, SO PENA de rechazo de esta. Será de exclusiva responsabilidad del proponente, los errores u omisiones en que incurra al indicar los valores unitarios en la propuesta, debiendo asumir los mayores costos o perdidas que se deriven de dichos errores y omisiones.</w:t>
      </w:r>
    </w:p>
    <w:p w14:paraId="78D71C57" w14:textId="77777777" w:rsidR="00234FF0" w:rsidRPr="00234FF0" w:rsidRDefault="00234FF0" w:rsidP="00234FF0">
      <w:pPr>
        <w:jc w:val="both"/>
        <w:rPr>
          <w:rFonts w:asciiTheme="majorHAnsi" w:eastAsia="Arial MT" w:hAnsiTheme="majorHAnsi" w:cstheme="majorHAnsi"/>
          <w:bCs/>
          <w:iCs/>
          <w:lang w:val="es-ES_tradnl" w:eastAsia="en-US"/>
        </w:rPr>
      </w:pPr>
    </w:p>
    <w:p w14:paraId="75A693CD" w14:textId="6F673FB2" w:rsidR="00E506EB" w:rsidRDefault="00234FF0" w:rsidP="00234FF0">
      <w:pPr>
        <w:jc w:val="both"/>
        <w:rPr>
          <w:rFonts w:asciiTheme="majorHAnsi" w:eastAsia="Arial MT" w:hAnsiTheme="majorHAnsi" w:cstheme="majorHAnsi"/>
          <w:bCs/>
          <w:iCs/>
          <w:lang w:val="es-ES_tradnl" w:eastAsia="en-US"/>
        </w:rPr>
      </w:pPr>
      <w:r w:rsidRPr="00234FF0">
        <w:rPr>
          <w:rFonts w:asciiTheme="majorHAnsi" w:eastAsia="Arial MT" w:hAnsiTheme="majorHAnsi" w:cstheme="majorHAnsi"/>
          <w:bCs/>
          <w:iCs/>
          <w:lang w:val="es-ES_tradnl" w:eastAsia="en-US"/>
        </w:rPr>
        <w:t>Adicionalmente, se pudo constatar una gran Demanda de los referidos elementos, a través de la consulta efectuada en la Herramienta del Sistema Electrónico de Contratación Pública – SECOP II, que oscila principalmente, y varía mucho el presupuesto, tal y como se establece de las compras adelantadas por algunas de las Entidades.</w:t>
      </w:r>
    </w:p>
    <w:p w14:paraId="52053097" w14:textId="77777777" w:rsidR="00EC2456" w:rsidRPr="00E92DD4" w:rsidRDefault="00EC2456" w:rsidP="00234FF0">
      <w:pPr>
        <w:jc w:val="both"/>
        <w:rPr>
          <w:rFonts w:asciiTheme="majorHAnsi" w:hAnsiTheme="majorHAnsi" w:cstheme="majorHAnsi"/>
          <w:bCs/>
          <w:iCs/>
          <w:color w:val="000000"/>
          <w:shd w:val="clear" w:color="auto" w:fill="FFFFFF"/>
          <w:lang w:val="es-ES_tradnl"/>
        </w:rPr>
      </w:pPr>
    </w:p>
    <w:p w14:paraId="57AE3F14" w14:textId="65954FA4" w:rsidR="00B978A4" w:rsidRPr="00E92DD4" w:rsidRDefault="00D338F4" w:rsidP="00B978A4">
      <w:pPr>
        <w:jc w:val="both"/>
        <w:rPr>
          <w:rFonts w:asciiTheme="majorHAnsi" w:hAnsiTheme="majorHAnsi" w:cstheme="majorHAnsi"/>
          <w:bCs/>
          <w:iCs/>
          <w:color w:val="000000"/>
          <w:shd w:val="clear" w:color="auto" w:fill="FFFFFF"/>
          <w:lang w:val="es-ES_tradnl"/>
        </w:rPr>
      </w:pPr>
      <w:r w:rsidRPr="00E92DD4">
        <w:rPr>
          <w:rFonts w:asciiTheme="majorHAnsi" w:hAnsiTheme="majorHAnsi" w:cstheme="majorHAnsi"/>
          <w:bCs/>
          <w:iCs/>
          <w:color w:val="000000"/>
          <w:shd w:val="clear" w:color="auto" w:fill="FFFFFF"/>
          <w:lang w:val="es-ES_tradnl"/>
        </w:rPr>
        <w:t xml:space="preserve">Se expide en Villavicencio </w:t>
      </w:r>
      <w:r w:rsidR="0055671E" w:rsidRPr="00E92DD4">
        <w:rPr>
          <w:rFonts w:asciiTheme="majorHAnsi" w:hAnsiTheme="majorHAnsi" w:cstheme="majorHAnsi"/>
          <w:bCs/>
          <w:iCs/>
          <w:color w:val="000000"/>
          <w:shd w:val="clear" w:color="auto" w:fill="FFFFFF"/>
          <w:lang w:val="es-ES_tradnl"/>
        </w:rPr>
        <w:t>–</w:t>
      </w:r>
      <w:r w:rsidRPr="00E92DD4">
        <w:rPr>
          <w:rFonts w:asciiTheme="majorHAnsi" w:hAnsiTheme="majorHAnsi" w:cstheme="majorHAnsi"/>
          <w:bCs/>
          <w:iCs/>
          <w:color w:val="000000"/>
          <w:shd w:val="clear" w:color="auto" w:fill="FFFFFF"/>
          <w:lang w:val="es-ES_tradnl"/>
        </w:rPr>
        <w:t xml:space="preserve"> Meta, a los </w:t>
      </w:r>
      <w:r w:rsidR="001E794C">
        <w:rPr>
          <w:rFonts w:asciiTheme="majorHAnsi" w:hAnsiTheme="majorHAnsi" w:cstheme="majorHAnsi"/>
          <w:bCs/>
          <w:iCs/>
          <w:color w:val="000000"/>
          <w:shd w:val="clear" w:color="auto" w:fill="FFFFFF"/>
          <w:lang w:val="es-ES_tradnl"/>
        </w:rPr>
        <w:t>diez</w:t>
      </w:r>
      <w:r w:rsidR="00EC2456" w:rsidRPr="00E92DD4">
        <w:rPr>
          <w:rFonts w:asciiTheme="majorHAnsi" w:hAnsiTheme="majorHAnsi" w:cstheme="majorHAnsi"/>
          <w:bCs/>
          <w:iCs/>
          <w:color w:val="000000"/>
          <w:shd w:val="clear" w:color="auto" w:fill="FFFFFF"/>
          <w:lang w:val="es-ES_tradnl"/>
        </w:rPr>
        <w:t xml:space="preserve"> (</w:t>
      </w:r>
      <w:r w:rsidR="001E794C">
        <w:rPr>
          <w:rFonts w:asciiTheme="majorHAnsi" w:hAnsiTheme="majorHAnsi" w:cstheme="majorHAnsi"/>
          <w:bCs/>
          <w:iCs/>
          <w:color w:val="000000"/>
          <w:shd w:val="clear" w:color="auto" w:fill="FFFFFF"/>
          <w:lang w:val="es-ES_tradnl"/>
        </w:rPr>
        <w:t>10</w:t>
      </w:r>
      <w:r w:rsidRPr="00E92DD4">
        <w:rPr>
          <w:rFonts w:asciiTheme="majorHAnsi" w:hAnsiTheme="majorHAnsi" w:cstheme="majorHAnsi"/>
          <w:bCs/>
          <w:iCs/>
          <w:color w:val="000000"/>
          <w:shd w:val="clear" w:color="auto" w:fill="FFFFFF"/>
          <w:lang w:val="es-ES_tradnl"/>
        </w:rPr>
        <w:t xml:space="preserve">) días del mes de </w:t>
      </w:r>
      <w:r w:rsidR="00BB0CE3">
        <w:rPr>
          <w:rFonts w:asciiTheme="majorHAnsi" w:hAnsiTheme="majorHAnsi" w:cstheme="majorHAnsi"/>
          <w:bCs/>
          <w:iCs/>
          <w:color w:val="000000"/>
          <w:shd w:val="clear" w:color="auto" w:fill="FFFFFF"/>
          <w:lang w:val="es-ES_tradnl"/>
        </w:rPr>
        <w:t>marzo</w:t>
      </w:r>
      <w:r w:rsidR="00B978A4" w:rsidRPr="00E92DD4">
        <w:rPr>
          <w:rFonts w:asciiTheme="majorHAnsi" w:hAnsiTheme="majorHAnsi" w:cstheme="majorHAnsi"/>
          <w:bCs/>
          <w:iCs/>
          <w:color w:val="000000"/>
          <w:shd w:val="clear" w:color="auto" w:fill="FFFFFF"/>
          <w:lang w:val="es-ES_tradnl"/>
        </w:rPr>
        <w:t xml:space="preserve"> de 202</w:t>
      </w:r>
      <w:r w:rsidR="0088574C" w:rsidRPr="00E92DD4">
        <w:rPr>
          <w:rFonts w:asciiTheme="majorHAnsi" w:hAnsiTheme="majorHAnsi" w:cstheme="majorHAnsi"/>
          <w:bCs/>
          <w:iCs/>
          <w:color w:val="000000"/>
          <w:shd w:val="clear" w:color="auto" w:fill="FFFFFF"/>
          <w:lang w:val="es-ES_tradnl"/>
        </w:rPr>
        <w:t>6.</w:t>
      </w:r>
    </w:p>
    <w:p w14:paraId="0CD9A03C" w14:textId="77777777" w:rsidR="00E542C5" w:rsidRPr="00920440" w:rsidRDefault="00E542C5" w:rsidP="00B978A4">
      <w:pPr>
        <w:jc w:val="both"/>
        <w:rPr>
          <w:rFonts w:asciiTheme="majorHAnsi" w:hAnsiTheme="majorHAnsi" w:cstheme="majorHAnsi"/>
          <w:bCs/>
          <w:iCs/>
          <w:color w:val="000000"/>
          <w:shd w:val="clear" w:color="auto" w:fill="FFFFFF"/>
          <w:lang w:val="es-ES_tradnl"/>
        </w:rPr>
      </w:pPr>
    </w:p>
    <w:p w14:paraId="10E1D04F" w14:textId="2AB95401" w:rsidR="00E542C5" w:rsidRPr="00920440" w:rsidRDefault="00B03648" w:rsidP="00E542C5">
      <w:pPr>
        <w:ind w:left="122"/>
        <w:rPr>
          <w:rFonts w:ascii="Arial" w:hAnsi="Arial" w:cs="Arial"/>
          <w:sz w:val="16"/>
          <w:szCs w:val="16"/>
          <w:lang w:val="es-ES_tradnl" w:bidi="es-ES"/>
        </w:rPr>
      </w:pPr>
      <w:r>
        <w:rPr>
          <w:rFonts w:ascii="Arial" w:hAnsi="Arial" w:cs="Arial"/>
          <w:noProof/>
          <w:sz w:val="16"/>
          <w:szCs w:val="16"/>
          <w:lang w:val="es-ES_tradnl" w:bidi="es-ES"/>
        </w:rPr>
        <w:drawing>
          <wp:anchor distT="0" distB="0" distL="114300" distR="114300" simplePos="0" relativeHeight="251660288" behindDoc="1" locked="0" layoutInCell="1" allowOverlap="1" wp14:anchorId="6B8080A2" wp14:editId="0A0FD012">
            <wp:simplePos x="0" y="0"/>
            <wp:positionH relativeFrom="column">
              <wp:posOffset>3035300</wp:posOffset>
            </wp:positionH>
            <wp:positionV relativeFrom="paragraph">
              <wp:posOffset>63500</wp:posOffset>
            </wp:positionV>
            <wp:extent cx="812800" cy="200369"/>
            <wp:effectExtent l="0" t="0" r="6350" b="9525"/>
            <wp:wrapNone/>
            <wp:docPr id="20011829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82901" name="Imagen 2001182901"/>
                    <pic:cNvPicPr/>
                  </pic:nvPicPr>
                  <pic:blipFill>
                    <a:blip r:embed="rId34"/>
                    <a:stretch>
                      <a:fillRect/>
                    </a:stretch>
                  </pic:blipFill>
                  <pic:spPr>
                    <a:xfrm>
                      <a:off x="0" y="0"/>
                      <a:ext cx="812800" cy="200369"/>
                    </a:xfrm>
                    <a:prstGeom prst="rect">
                      <a:avLst/>
                    </a:prstGeom>
                  </pic:spPr>
                </pic:pic>
              </a:graphicData>
            </a:graphic>
            <wp14:sizeRelH relativeFrom="margin">
              <wp14:pctWidth>0</wp14:pctWidth>
            </wp14:sizeRelH>
            <wp14:sizeRelV relativeFrom="margin">
              <wp14:pctHeight>0</wp14:pctHeight>
            </wp14:sizeRelV>
          </wp:anchor>
        </w:drawing>
      </w:r>
    </w:p>
    <w:p w14:paraId="42012DCE" w14:textId="70D15BBD" w:rsidR="00E542C5" w:rsidRPr="00920440" w:rsidRDefault="00E542C5" w:rsidP="00E542C5">
      <w:pPr>
        <w:ind w:left="125"/>
        <w:rPr>
          <w:rFonts w:ascii="Arial" w:hAnsi="Arial" w:cs="Arial"/>
          <w:sz w:val="16"/>
          <w:szCs w:val="16"/>
          <w:lang w:val="es-ES_tradnl" w:bidi="es-ES"/>
        </w:rPr>
      </w:pPr>
      <w:r w:rsidRPr="00920440">
        <w:rPr>
          <w:rFonts w:ascii="Arial" w:hAnsi="Arial" w:cs="Arial"/>
          <w:b/>
          <w:bCs/>
          <w:sz w:val="16"/>
          <w:szCs w:val="16"/>
          <w:lang w:val="es-ES_tradnl" w:bidi="es-ES"/>
        </w:rPr>
        <w:t>Proyectó</w:t>
      </w:r>
      <w:r w:rsidRPr="00920440">
        <w:rPr>
          <w:rFonts w:ascii="Arial" w:hAnsi="Arial" w:cs="Arial"/>
          <w:sz w:val="16"/>
          <w:szCs w:val="16"/>
          <w:lang w:val="es-ES_tradnl" w:bidi="es-ES"/>
        </w:rPr>
        <w:t xml:space="preserve">: </w:t>
      </w:r>
      <w:r w:rsidR="00886E22">
        <w:rPr>
          <w:rFonts w:ascii="Arial" w:hAnsi="Arial" w:cs="Arial"/>
          <w:sz w:val="16"/>
          <w:szCs w:val="16"/>
          <w:lang w:val="es-ES_tradnl" w:bidi="es-ES"/>
        </w:rPr>
        <w:t>Angie Stephanie Echeverri Bastidas</w:t>
      </w:r>
      <w:r w:rsidRPr="00920440">
        <w:rPr>
          <w:rFonts w:ascii="Arial" w:hAnsi="Arial" w:cs="Arial"/>
          <w:sz w:val="16"/>
          <w:szCs w:val="16"/>
          <w:lang w:val="es-ES_tradnl" w:bidi="es-ES"/>
        </w:rPr>
        <w:t xml:space="preserve"> </w:t>
      </w:r>
      <w:r w:rsidR="00EC13D3" w:rsidRPr="00920440">
        <w:rPr>
          <w:rFonts w:ascii="Arial" w:hAnsi="Arial" w:cs="Arial"/>
          <w:sz w:val="16"/>
          <w:szCs w:val="16"/>
          <w:lang w:val="es-ES_tradnl" w:bidi="es-ES"/>
        </w:rPr>
        <w:t xml:space="preserve">- </w:t>
      </w:r>
      <w:r w:rsidR="00354289" w:rsidRPr="00920440">
        <w:rPr>
          <w:rFonts w:ascii="Arial" w:hAnsi="Arial" w:cs="Arial"/>
          <w:sz w:val="16"/>
          <w:szCs w:val="16"/>
          <w:lang w:val="es-ES_tradnl" w:bidi="es-ES"/>
        </w:rPr>
        <w:t>Contratista</w:t>
      </w:r>
      <w:r w:rsidRPr="00920440">
        <w:rPr>
          <w:rFonts w:ascii="Arial" w:hAnsi="Arial" w:cs="Arial"/>
          <w:sz w:val="16"/>
          <w:szCs w:val="16"/>
          <w:lang w:val="es-ES_tradnl" w:bidi="es-ES"/>
        </w:rPr>
        <w:t xml:space="preserve"> </w:t>
      </w:r>
      <w:r w:rsidR="00354289" w:rsidRPr="00920440">
        <w:rPr>
          <w:rFonts w:ascii="Arial" w:hAnsi="Arial" w:cs="Arial"/>
          <w:sz w:val="16"/>
          <w:szCs w:val="16"/>
          <w:lang w:val="es-ES_tradnl" w:bidi="es-ES"/>
        </w:rPr>
        <w:t>DR</w:t>
      </w:r>
      <w:r w:rsidR="00510537">
        <w:rPr>
          <w:rFonts w:ascii="Arial" w:hAnsi="Arial" w:cs="Arial"/>
          <w:sz w:val="16"/>
          <w:szCs w:val="16"/>
          <w:lang w:val="es-ES_tradnl" w:bidi="es-ES"/>
        </w:rPr>
        <w:t>M</w:t>
      </w:r>
    </w:p>
    <w:p w14:paraId="3A58DEA3" w14:textId="1578346B" w:rsidR="00D910A2" w:rsidRPr="00920440" w:rsidRDefault="00D910A2">
      <w:pPr>
        <w:jc w:val="both"/>
        <w:rPr>
          <w:rFonts w:asciiTheme="majorHAnsi" w:hAnsiTheme="majorHAnsi" w:cstheme="majorHAnsi"/>
          <w:bCs/>
          <w:iCs/>
          <w:color w:val="000000"/>
          <w:shd w:val="clear" w:color="auto" w:fill="FFFFFF"/>
          <w:lang w:val="es-ES_tradnl"/>
        </w:rPr>
      </w:pPr>
    </w:p>
    <w:sectPr w:rsidR="00D910A2" w:rsidRPr="00920440" w:rsidSect="00D910A2">
      <w:headerReference w:type="even" r:id="rId35"/>
      <w:headerReference w:type="default" r:id="rId36"/>
      <w:footerReference w:type="even" r:id="rId37"/>
      <w:footerReference w:type="default" r:id="rId38"/>
      <w:pgSz w:w="11910" w:h="16840"/>
      <w:pgMar w:top="2220" w:right="1260" w:bottom="1540" w:left="1400" w:header="340" w:footer="1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3AD70" w14:textId="77777777" w:rsidR="00B36724" w:rsidRDefault="00B36724" w:rsidP="001A74F0">
      <w:r>
        <w:separator/>
      </w:r>
    </w:p>
  </w:endnote>
  <w:endnote w:type="continuationSeparator" w:id="0">
    <w:p w14:paraId="113AA92C" w14:textId="77777777" w:rsidR="00B36724" w:rsidRDefault="00B36724"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F71F17" w:rsidRDefault="00B36724">
    <w:pPr>
      <w:pStyle w:val="Piedepgina"/>
    </w:pPr>
    <w:sdt>
      <w:sdtPr>
        <w:id w:val="-1444230679"/>
        <w:temporary/>
        <w:showingPlcHdr/>
      </w:sdtPr>
      <w:sdtEndPr/>
      <w:sdtContent>
        <w:r w:rsidR="00F71F17">
          <w:rPr>
            <w:lang w:val="es-ES"/>
          </w:rPr>
          <w:t>[Escriba texto]</w:t>
        </w:r>
      </w:sdtContent>
    </w:sdt>
    <w:r w:rsidR="00F71F17">
      <w:ptab w:relativeTo="margin" w:alignment="center" w:leader="none"/>
    </w:r>
    <w:sdt>
      <w:sdtPr>
        <w:id w:val="1255167112"/>
        <w:temporary/>
        <w:showingPlcHdr/>
      </w:sdtPr>
      <w:sdtEndPr/>
      <w:sdtContent>
        <w:r w:rsidR="00F71F17">
          <w:rPr>
            <w:lang w:val="es-ES"/>
          </w:rPr>
          <w:t>[Escriba texto]</w:t>
        </w:r>
      </w:sdtContent>
    </w:sdt>
    <w:r w:rsidR="00F71F17">
      <w:ptab w:relativeTo="margin" w:alignment="right" w:leader="none"/>
    </w:r>
    <w:sdt>
      <w:sdtPr>
        <w:id w:val="1264188017"/>
        <w:temporary/>
        <w:showingPlcHdr/>
      </w:sdtPr>
      <w:sdtEndPr/>
      <w:sdtContent>
        <w:r w:rsidR="00F71F1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6E328C0F" w:rsidR="00F71F17" w:rsidRPr="00AF4D27" w:rsidRDefault="00D910A2" w:rsidP="009F2A26">
    <w:pPr>
      <w:tabs>
        <w:tab w:val="center" w:pos="4252"/>
        <w:tab w:val="right" w:pos="8504"/>
      </w:tabs>
      <w:jc w:val="center"/>
      <w:rPr>
        <w:rFonts w:ascii="Work Sans Medium" w:hAnsi="Work Sans Medium" w:cs="Calibri"/>
        <w:color w:val="45AA00"/>
        <w:sz w:val="20"/>
        <w:szCs w:val="20"/>
        <w:lang w:val="es-ES" w:eastAsia="es-ES"/>
      </w:rPr>
    </w:pPr>
    <w:r w:rsidRPr="00AF4D27">
      <w:rPr>
        <w:rFonts w:ascii="Work Sans Medium" w:hAnsi="Work Sans Medium"/>
        <w:noProof/>
        <w:color w:val="45AA00"/>
      </w:rPr>
      <mc:AlternateContent>
        <mc:Choice Requires="wps">
          <w:drawing>
            <wp:anchor distT="0" distB="0" distL="114300" distR="114300" simplePos="0" relativeHeight="251679744" behindDoc="0" locked="0" layoutInCell="1" allowOverlap="1" wp14:anchorId="18A330D1" wp14:editId="4410B741">
              <wp:simplePos x="0" y="0"/>
              <wp:positionH relativeFrom="column">
                <wp:posOffset>5547531</wp:posOffset>
              </wp:positionH>
              <wp:positionV relativeFrom="paragraph">
                <wp:posOffset>-177385</wp:posOffset>
              </wp:positionV>
              <wp:extent cx="1723341" cy="427990"/>
              <wp:effectExtent l="0" t="317" r="4127" b="4128"/>
              <wp:wrapNone/>
              <wp:docPr id="10" name="Cuadro de texto 10"/>
              <wp:cNvGraphicFramePr/>
              <a:graphic xmlns:a="http://schemas.openxmlformats.org/drawingml/2006/main">
                <a:graphicData uri="http://schemas.microsoft.com/office/word/2010/wordprocessingShape">
                  <wps:wsp>
                    <wps:cNvSpPr txBox="1"/>
                    <wps:spPr>
                      <a:xfrm rot="16200000">
                        <a:off x="0" y="0"/>
                        <a:ext cx="1723341" cy="4279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4D12A" w14:textId="243414C3" w:rsidR="00F71F17" w:rsidRPr="00D910A2" w:rsidRDefault="00F71F17" w:rsidP="009F2A26">
                          <w:pPr>
                            <w:rPr>
                              <w:rFonts w:cs="Calibri"/>
                              <w:sz w:val="18"/>
                            </w:rPr>
                          </w:pPr>
                          <w:r w:rsidRPr="003F6467">
                            <w:rPr>
                              <w:rFonts w:cs="Calibri"/>
                              <w:sz w:val="18"/>
                            </w:rPr>
                            <w:t>GD-F-011 V</w:t>
                          </w:r>
                          <w:r>
                            <w:rPr>
                              <w:rFonts w:cs="Calibri"/>
                              <w:sz w:val="18"/>
                            </w:rPr>
                            <w:t>.010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36.8pt;margin-top:-13.95pt;width:135.7pt;height:33.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" fillcolor="white [3201]" stroked="f" strokeweight=".5pt">
              <v:textbox>
                <w:txbxContent>
                  <w:p w14:paraId="6044D12A" w14:textId="243414C3" w:rsidR="00F71F17" w:rsidRPr="00D910A2" w:rsidRDefault="00F71F17" w:rsidP="009F2A26">
                    <w:pPr>
                      <w:rPr>
                        <w:rFonts w:cs="Calibri"/>
                        <w:sz w:val="18"/>
                      </w:rPr>
                    </w:pPr>
                    <w:r w:rsidRPr="003F6467">
                      <w:rPr>
                        <w:rFonts w:cs="Calibri"/>
                        <w:sz w:val="18"/>
                      </w:rPr>
                      <w:t>GD-F-011 V</w:t>
                    </w:r>
                    <w:r>
                      <w:rPr>
                        <w:rFonts w:cs="Calibri"/>
                        <w:sz w:val="18"/>
                      </w:rPr>
                      <w:t>.010</w:t>
                    </w:r>
                  </w:p>
                </w:txbxContent>
              </v:textbox>
            </v:shape>
          </w:pict>
        </mc:Fallback>
      </mc:AlternateContent>
    </w:r>
    <w:r w:rsidRPr="00D910A2">
      <w:rPr>
        <w:rFonts w:ascii="Work Sans Medium" w:hAnsi="Work Sans Medium" w:cs="Calibri"/>
        <w:color w:val="45AA00"/>
        <w:sz w:val="20"/>
        <w:szCs w:val="20"/>
        <w:lang w:val="es-ES" w:eastAsia="es-ES"/>
      </w:rPr>
      <w:t>SENA Centro de Industria y Servicios del Meta - Regional Meta</w:t>
    </w:r>
  </w:p>
  <w:p w14:paraId="1D5389AF" w14:textId="12D0C56C" w:rsidR="00F71F17" w:rsidRPr="00AF4D27" w:rsidRDefault="00D910A2" w:rsidP="009F2A26">
    <w:pPr>
      <w:tabs>
        <w:tab w:val="center" w:pos="4252"/>
        <w:tab w:val="right" w:pos="8504"/>
      </w:tabs>
      <w:jc w:val="center"/>
      <w:rPr>
        <w:rFonts w:ascii="Work Sans Medium" w:hAnsi="Work Sans Medium" w:cs="Calibri"/>
        <w:noProof/>
        <w:color w:val="FF6C00"/>
        <w:sz w:val="20"/>
        <w:szCs w:val="20"/>
      </w:rPr>
    </w:pPr>
    <w:r w:rsidRPr="00D910A2">
      <w:rPr>
        <w:rFonts w:ascii="Work Sans Medium" w:hAnsi="Work Sans Medium" w:cs="Calibri"/>
        <w:noProof/>
        <w:color w:val="45AA00"/>
        <w:sz w:val="20"/>
        <w:szCs w:val="20"/>
      </w:rPr>
      <w:t>Carrera. 48 no. 06 – 40 – Urbanización Guayuriba</w:t>
    </w:r>
    <w:r w:rsidR="00E2716A">
      <w:rPr>
        <w:rFonts w:ascii="Work Sans Medium" w:hAnsi="Work Sans Medium" w:cs="Calibri"/>
        <w:noProof/>
        <w:color w:val="45AA00"/>
        <w:sz w:val="20"/>
        <w:szCs w:val="20"/>
      </w:rPr>
      <w:t>, Villavicencio</w:t>
    </w:r>
    <w:r w:rsidR="00F71F17" w:rsidRPr="00AF4D27">
      <w:rPr>
        <w:rFonts w:ascii="Work Sans Medium" w:hAnsi="Work Sans Medium" w:cs="Calibri"/>
        <w:noProof/>
        <w:color w:val="45AA00"/>
        <w:sz w:val="20"/>
        <w:szCs w:val="20"/>
      </w:rPr>
      <w:t xml:space="preserve"> - PBX 57 60</w:t>
    </w:r>
    <w:r w:rsidRPr="00D910A2">
      <w:rPr>
        <w:rFonts w:ascii="Work Sans Medium" w:hAnsi="Work Sans Medium" w:cs="Calibri"/>
        <w:noProof/>
        <w:color w:val="45AA00"/>
        <w:sz w:val="20"/>
        <w:szCs w:val="20"/>
      </w:rPr>
      <w:t>8</w:t>
    </w:r>
    <w:r>
      <w:rPr>
        <w:rFonts w:ascii="Work Sans Medium" w:hAnsi="Work Sans Medium" w:cs="Calibri"/>
        <w:noProof/>
        <w:color w:val="45AA00"/>
        <w:sz w:val="20"/>
        <w:szCs w:val="20"/>
      </w:rPr>
      <w:t xml:space="preserve"> </w:t>
    </w:r>
    <w:r w:rsidRPr="00D910A2">
      <w:rPr>
        <w:rFonts w:ascii="Work Sans Medium" w:hAnsi="Work Sans Medium" w:cs="Calibri"/>
        <w:noProof/>
        <w:color w:val="45AA00"/>
        <w:sz w:val="20"/>
        <w:szCs w:val="20"/>
      </w:rPr>
      <w:t>6825264</w:t>
    </w:r>
  </w:p>
  <w:p w14:paraId="5059FA62" w14:textId="624F4959" w:rsidR="00F71F17" w:rsidRPr="00C92ADF" w:rsidRDefault="00F71F17" w:rsidP="00C92ADF">
    <w:pPr>
      <w:tabs>
        <w:tab w:val="center" w:pos="4252"/>
        <w:tab w:val="right" w:pos="8504"/>
      </w:tabs>
      <w:jc w:val="center"/>
      <w:rPr>
        <w:rFonts w:ascii="Raleway" w:hAnsi="Raleway" w:cs="Calibri"/>
        <w:b/>
        <w:bCs/>
        <w:noProof/>
        <w:color w:val="FF6C00"/>
        <w:sz w:val="20"/>
        <w:szCs w:val="20"/>
      </w:rPr>
    </w:pPr>
    <w:r w:rsidRPr="00AF4D27">
      <w:rPr>
        <w:rFonts w:ascii="Work Sans Medium"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80F31" w14:textId="77777777" w:rsidR="00B36724" w:rsidRDefault="00B36724" w:rsidP="001A74F0">
      <w:r>
        <w:separator/>
      </w:r>
    </w:p>
  </w:footnote>
  <w:footnote w:type="continuationSeparator" w:id="0">
    <w:p w14:paraId="7FDDCFB1" w14:textId="77777777" w:rsidR="00B36724" w:rsidRDefault="00B36724"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F71F17" w:rsidRDefault="00B36724">
    <w:pPr>
      <w:pStyle w:val="Encabezado"/>
    </w:pPr>
    <w:sdt>
      <w:sdtPr>
        <w:id w:val="-1119840844"/>
        <w:placeholder>
          <w:docPart w:val="215D9D3468509B4DB8977804B3CDAE7B"/>
        </w:placeholder>
        <w:temporary/>
        <w:showingPlcHdr/>
      </w:sdtPr>
      <w:sdtEndPr/>
      <w:sdtContent>
        <w:r w:rsidR="00F71F17">
          <w:rPr>
            <w:lang w:val="es-ES"/>
          </w:rPr>
          <w:t>[Escriba texto]</w:t>
        </w:r>
      </w:sdtContent>
    </w:sdt>
    <w:r w:rsidR="00F71F17">
      <w:ptab w:relativeTo="margin" w:alignment="center" w:leader="none"/>
    </w:r>
    <w:sdt>
      <w:sdtPr>
        <w:id w:val="1998610231"/>
        <w:placeholder>
          <w:docPart w:val="2A322A0813B52E46A132C12B825DCDA5"/>
        </w:placeholder>
        <w:temporary/>
        <w:showingPlcHdr/>
      </w:sdtPr>
      <w:sdtEndPr/>
      <w:sdtContent>
        <w:r w:rsidR="00F71F17">
          <w:rPr>
            <w:lang w:val="es-ES"/>
          </w:rPr>
          <w:t>[Escriba texto]</w:t>
        </w:r>
      </w:sdtContent>
    </w:sdt>
    <w:r w:rsidR="00F71F17">
      <w:ptab w:relativeTo="margin" w:alignment="right" w:leader="none"/>
    </w:r>
    <w:sdt>
      <w:sdtPr>
        <w:id w:val="545715771"/>
        <w:placeholder>
          <w:docPart w:val="E82D1B589F359243859D98DEB1846D34"/>
        </w:placeholder>
        <w:temporary/>
        <w:showingPlcHdr/>
      </w:sdtPr>
      <w:sdtEndPr/>
      <w:sdtContent>
        <w:r w:rsidR="00F71F17">
          <w:rPr>
            <w:lang w:val="es-ES"/>
          </w:rPr>
          <w:t>[Escriba texto]</w:t>
        </w:r>
      </w:sdtContent>
    </w:sdt>
  </w:p>
  <w:p w14:paraId="21CB647B" w14:textId="77777777" w:rsidR="00F71F17" w:rsidRDefault="00F71F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F5DA" w14:textId="77777777" w:rsidR="00D910A2" w:rsidRDefault="00F71F17" w:rsidP="00D910A2">
    <w:pPr>
      <w:pStyle w:val="Encabezado"/>
      <w:jc w:val="center"/>
    </w:pPr>
    <w:r w:rsidRPr="00AF4D27">
      <w:rPr>
        <w:noProof/>
        <w:lang w:val="es-ES_tradnl" w:eastAsia="es-ES_tradnl"/>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p w14:paraId="385107C9" w14:textId="7CFD943D" w:rsidR="00F71F17" w:rsidRDefault="00F71F17" w:rsidP="00D910A2">
    <w:pPr>
      <w:pStyle w:val="Encabezado"/>
      <w:jc w:val="center"/>
    </w:pPr>
    <w:r>
      <w:t>ANALISIS DEL SECTOR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223C"/>
    <w:multiLevelType w:val="multilevel"/>
    <w:tmpl w:val="C398396C"/>
    <w:lvl w:ilvl="0">
      <w:start w:val="3"/>
      <w:numFmt w:val="decimal"/>
      <w:lvlText w:val="%1"/>
      <w:lvlJc w:val="left"/>
      <w:pPr>
        <w:ind w:left="1309" w:hanging="701"/>
      </w:pPr>
      <w:rPr>
        <w:rFonts w:hint="default"/>
        <w:lang w:val="es-ES" w:eastAsia="en-US" w:bidi="ar-SA"/>
      </w:rPr>
    </w:lvl>
    <w:lvl w:ilvl="1">
      <w:start w:val="3"/>
      <w:numFmt w:val="decimal"/>
      <w:lvlText w:val="%1.%2."/>
      <w:lvlJc w:val="left"/>
      <w:pPr>
        <w:ind w:left="1309" w:hanging="701"/>
      </w:pPr>
      <w:rPr>
        <w:rFonts w:ascii="Arial" w:eastAsia="Arial" w:hAnsi="Arial" w:cs="Arial" w:hint="default"/>
        <w:b/>
        <w:bCs/>
        <w:spacing w:val="-4"/>
        <w:w w:val="100"/>
        <w:sz w:val="23"/>
        <w:szCs w:val="23"/>
        <w:lang w:val="es-ES" w:eastAsia="en-US" w:bidi="ar-SA"/>
      </w:rPr>
    </w:lvl>
    <w:lvl w:ilvl="2">
      <w:numFmt w:val="bullet"/>
      <w:lvlText w:val="•"/>
      <w:lvlJc w:val="left"/>
      <w:pPr>
        <w:ind w:left="2889" w:hanging="701"/>
      </w:pPr>
      <w:rPr>
        <w:rFonts w:hint="default"/>
        <w:lang w:val="es-ES" w:eastAsia="en-US" w:bidi="ar-SA"/>
      </w:rPr>
    </w:lvl>
    <w:lvl w:ilvl="3">
      <w:numFmt w:val="bullet"/>
      <w:lvlText w:val="•"/>
      <w:lvlJc w:val="left"/>
      <w:pPr>
        <w:ind w:left="3683" w:hanging="701"/>
      </w:pPr>
      <w:rPr>
        <w:rFonts w:hint="default"/>
        <w:lang w:val="es-ES" w:eastAsia="en-US" w:bidi="ar-SA"/>
      </w:rPr>
    </w:lvl>
    <w:lvl w:ilvl="4">
      <w:numFmt w:val="bullet"/>
      <w:lvlText w:val="•"/>
      <w:lvlJc w:val="left"/>
      <w:pPr>
        <w:ind w:left="4478" w:hanging="701"/>
      </w:pPr>
      <w:rPr>
        <w:rFonts w:hint="default"/>
        <w:lang w:val="es-ES" w:eastAsia="en-US" w:bidi="ar-SA"/>
      </w:rPr>
    </w:lvl>
    <w:lvl w:ilvl="5">
      <w:numFmt w:val="bullet"/>
      <w:lvlText w:val="•"/>
      <w:lvlJc w:val="left"/>
      <w:pPr>
        <w:ind w:left="5273" w:hanging="701"/>
      </w:pPr>
      <w:rPr>
        <w:rFonts w:hint="default"/>
        <w:lang w:val="es-ES" w:eastAsia="en-US" w:bidi="ar-SA"/>
      </w:rPr>
    </w:lvl>
    <w:lvl w:ilvl="6">
      <w:numFmt w:val="bullet"/>
      <w:lvlText w:val="•"/>
      <w:lvlJc w:val="left"/>
      <w:pPr>
        <w:ind w:left="6067" w:hanging="701"/>
      </w:pPr>
      <w:rPr>
        <w:rFonts w:hint="default"/>
        <w:lang w:val="es-ES" w:eastAsia="en-US" w:bidi="ar-SA"/>
      </w:rPr>
    </w:lvl>
    <w:lvl w:ilvl="7">
      <w:numFmt w:val="bullet"/>
      <w:lvlText w:val="•"/>
      <w:lvlJc w:val="left"/>
      <w:pPr>
        <w:ind w:left="6862" w:hanging="701"/>
      </w:pPr>
      <w:rPr>
        <w:rFonts w:hint="default"/>
        <w:lang w:val="es-ES" w:eastAsia="en-US" w:bidi="ar-SA"/>
      </w:rPr>
    </w:lvl>
    <w:lvl w:ilvl="8">
      <w:numFmt w:val="bullet"/>
      <w:lvlText w:val="•"/>
      <w:lvlJc w:val="left"/>
      <w:pPr>
        <w:ind w:left="7657" w:hanging="701"/>
      </w:pPr>
      <w:rPr>
        <w:rFonts w:hint="default"/>
        <w:lang w:val="es-ES" w:eastAsia="en-US" w:bidi="ar-SA"/>
      </w:rPr>
    </w:lvl>
  </w:abstractNum>
  <w:abstractNum w:abstractNumId="1" w15:restartNumberingAfterBreak="0">
    <w:nsid w:val="0472447A"/>
    <w:multiLevelType w:val="hybridMultilevel"/>
    <w:tmpl w:val="3930760E"/>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1A329D"/>
    <w:multiLevelType w:val="hybridMultilevel"/>
    <w:tmpl w:val="09AEA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61469"/>
    <w:multiLevelType w:val="hybridMultilevel"/>
    <w:tmpl w:val="81E6BDA8"/>
    <w:lvl w:ilvl="0" w:tplc="4D041D64">
      <w:start w:val="1"/>
      <w:numFmt w:val="decimal"/>
      <w:lvlText w:val="%1."/>
      <w:lvlJc w:val="left"/>
      <w:pPr>
        <w:ind w:left="956" w:hanging="348"/>
      </w:pPr>
      <w:rPr>
        <w:rFonts w:ascii="Arial" w:eastAsia="Arial" w:hAnsi="Arial" w:cs="Arial" w:hint="default"/>
        <w:b/>
        <w:bCs/>
        <w:spacing w:val="-4"/>
        <w:w w:val="100"/>
        <w:sz w:val="23"/>
        <w:szCs w:val="23"/>
        <w:lang w:val="es-ES" w:eastAsia="en-US" w:bidi="ar-SA"/>
      </w:rPr>
    </w:lvl>
    <w:lvl w:ilvl="1" w:tplc="C9DE028A">
      <w:numFmt w:val="bullet"/>
      <w:lvlText w:val="•"/>
      <w:lvlJc w:val="left"/>
      <w:pPr>
        <w:ind w:left="1788" w:hanging="348"/>
      </w:pPr>
      <w:rPr>
        <w:rFonts w:hint="default"/>
        <w:lang w:val="es-ES" w:eastAsia="en-US" w:bidi="ar-SA"/>
      </w:rPr>
    </w:lvl>
    <w:lvl w:ilvl="2" w:tplc="D0945AE0">
      <w:numFmt w:val="bullet"/>
      <w:lvlText w:val="•"/>
      <w:lvlJc w:val="left"/>
      <w:pPr>
        <w:ind w:left="2617" w:hanging="348"/>
      </w:pPr>
      <w:rPr>
        <w:rFonts w:hint="default"/>
        <w:lang w:val="es-ES" w:eastAsia="en-US" w:bidi="ar-SA"/>
      </w:rPr>
    </w:lvl>
    <w:lvl w:ilvl="3" w:tplc="94D8BBD0">
      <w:numFmt w:val="bullet"/>
      <w:lvlText w:val="•"/>
      <w:lvlJc w:val="left"/>
      <w:pPr>
        <w:ind w:left="3445" w:hanging="348"/>
      </w:pPr>
      <w:rPr>
        <w:rFonts w:hint="default"/>
        <w:lang w:val="es-ES" w:eastAsia="en-US" w:bidi="ar-SA"/>
      </w:rPr>
    </w:lvl>
    <w:lvl w:ilvl="4" w:tplc="AE28A93E">
      <w:numFmt w:val="bullet"/>
      <w:lvlText w:val="•"/>
      <w:lvlJc w:val="left"/>
      <w:pPr>
        <w:ind w:left="4274" w:hanging="348"/>
      </w:pPr>
      <w:rPr>
        <w:rFonts w:hint="default"/>
        <w:lang w:val="es-ES" w:eastAsia="en-US" w:bidi="ar-SA"/>
      </w:rPr>
    </w:lvl>
    <w:lvl w:ilvl="5" w:tplc="2FECB568">
      <w:numFmt w:val="bullet"/>
      <w:lvlText w:val="•"/>
      <w:lvlJc w:val="left"/>
      <w:pPr>
        <w:ind w:left="5103" w:hanging="348"/>
      </w:pPr>
      <w:rPr>
        <w:rFonts w:hint="default"/>
        <w:lang w:val="es-ES" w:eastAsia="en-US" w:bidi="ar-SA"/>
      </w:rPr>
    </w:lvl>
    <w:lvl w:ilvl="6" w:tplc="054C6E60">
      <w:numFmt w:val="bullet"/>
      <w:lvlText w:val="•"/>
      <w:lvlJc w:val="left"/>
      <w:pPr>
        <w:ind w:left="5931" w:hanging="348"/>
      </w:pPr>
      <w:rPr>
        <w:rFonts w:hint="default"/>
        <w:lang w:val="es-ES" w:eastAsia="en-US" w:bidi="ar-SA"/>
      </w:rPr>
    </w:lvl>
    <w:lvl w:ilvl="7" w:tplc="DCCE6076">
      <w:numFmt w:val="bullet"/>
      <w:lvlText w:val="•"/>
      <w:lvlJc w:val="left"/>
      <w:pPr>
        <w:ind w:left="6760" w:hanging="348"/>
      </w:pPr>
      <w:rPr>
        <w:rFonts w:hint="default"/>
        <w:lang w:val="es-ES" w:eastAsia="en-US" w:bidi="ar-SA"/>
      </w:rPr>
    </w:lvl>
    <w:lvl w:ilvl="8" w:tplc="20248D10">
      <w:numFmt w:val="bullet"/>
      <w:lvlText w:val="•"/>
      <w:lvlJc w:val="left"/>
      <w:pPr>
        <w:ind w:left="7589" w:hanging="348"/>
      </w:pPr>
      <w:rPr>
        <w:rFonts w:hint="default"/>
        <w:lang w:val="es-ES" w:eastAsia="en-US" w:bidi="ar-SA"/>
      </w:rPr>
    </w:lvl>
  </w:abstractNum>
  <w:abstractNum w:abstractNumId="4" w15:restartNumberingAfterBreak="0">
    <w:nsid w:val="0C8E52F4"/>
    <w:multiLevelType w:val="hybridMultilevel"/>
    <w:tmpl w:val="646E6932"/>
    <w:lvl w:ilvl="0" w:tplc="0A9EBCF8">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390E22"/>
    <w:multiLevelType w:val="multilevel"/>
    <w:tmpl w:val="38AEEC06"/>
    <w:lvl w:ilvl="0">
      <w:start w:val="1"/>
      <w:numFmt w:val="decimal"/>
      <w:lvlText w:val="%1."/>
      <w:lvlJc w:val="left"/>
      <w:pPr>
        <w:ind w:left="720" w:hanging="360"/>
      </w:pPr>
      <w:rPr>
        <w:rFonts w:cstheme="minorBidi" w:hint="default"/>
        <w:b/>
        <w:bCs w:val="0"/>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6" w15:restartNumberingAfterBreak="0">
    <w:nsid w:val="171B1031"/>
    <w:multiLevelType w:val="hybridMultilevel"/>
    <w:tmpl w:val="AEDA7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F072FF"/>
    <w:multiLevelType w:val="hybridMultilevel"/>
    <w:tmpl w:val="05561168"/>
    <w:lvl w:ilvl="0" w:tplc="3FBA357A">
      <w:start w:val="1"/>
      <w:numFmt w:val="decimal"/>
      <w:lvlText w:val="%1."/>
      <w:lvlJc w:val="left"/>
      <w:pPr>
        <w:ind w:left="1554" w:hanging="360"/>
      </w:pPr>
      <w:rPr>
        <w:rFonts w:ascii="Calibri" w:eastAsia="Calibri" w:hAnsi="Calibri" w:cs="Calibri" w:hint="default"/>
        <w:b w:val="0"/>
        <w:bCs w:val="0"/>
        <w:i w:val="0"/>
        <w:iCs w:val="0"/>
        <w:spacing w:val="-1"/>
        <w:w w:val="100"/>
        <w:sz w:val="18"/>
        <w:szCs w:val="18"/>
        <w:lang w:val="es-ES" w:eastAsia="en-US" w:bidi="ar-SA"/>
      </w:rPr>
    </w:lvl>
    <w:lvl w:ilvl="1" w:tplc="DCE6FCE8">
      <w:numFmt w:val="bullet"/>
      <w:lvlText w:val="•"/>
      <w:lvlJc w:val="left"/>
      <w:pPr>
        <w:ind w:left="2495" w:hanging="360"/>
      </w:pPr>
      <w:rPr>
        <w:rFonts w:hint="default"/>
        <w:lang w:val="es-ES" w:eastAsia="en-US" w:bidi="ar-SA"/>
      </w:rPr>
    </w:lvl>
    <w:lvl w:ilvl="2" w:tplc="F0CEA3DA">
      <w:numFmt w:val="bullet"/>
      <w:lvlText w:val="•"/>
      <w:lvlJc w:val="left"/>
      <w:pPr>
        <w:ind w:left="3431" w:hanging="360"/>
      </w:pPr>
      <w:rPr>
        <w:rFonts w:hint="default"/>
        <w:lang w:val="es-ES" w:eastAsia="en-US" w:bidi="ar-SA"/>
      </w:rPr>
    </w:lvl>
    <w:lvl w:ilvl="3" w:tplc="4F84D7B4">
      <w:numFmt w:val="bullet"/>
      <w:lvlText w:val="•"/>
      <w:lvlJc w:val="left"/>
      <w:pPr>
        <w:ind w:left="4367" w:hanging="360"/>
      </w:pPr>
      <w:rPr>
        <w:rFonts w:hint="default"/>
        <w:lang w:val="es-ES" w:eastAsia="en-US" w:bidi="ar-SA"/>
      </w:rPr>
    </w:lvl>
    <w:lvl w:ilvl="4" w:tplc="A35CA8D0">
      <w:numFmt w:val="bullet"/>
      <w:lvlText w:val="•"/>
      <w:lvlJc w:val="left"/>
      <w:pPr>
        <w:ind w:left="5303" w:hanging="360"/>
      </w:pPr>
      <w:rPr>
        <w:rFonts w:hint="default"/>
        <w:lang w:val="es-ES" w:eastAsia="en-US" w:bidi="ar-SA"/>
      </w:rPr>
    </w:lvl>
    <w:lvl w:ilvl="5" w:tplc="D0DE8D9A">
      <w:numFmt w:val="bullet"/>
      <w:lvlText w:val="•"/>
      <w:lvlJc w:val="left"/>
      <w:pPr>
        <w:ind w:left="6239" w:hanging="360"/>
      </w:pPr>
      <w:rPr>
        <w:rFonts w:hint="default"/>
        <w:lang w:val="es-ES" w:eastAsia="en-US" w:bidi="ar-SA"/>
      </w:rPr>
    </w:lvl>
    <w:lvl w:ilvl="6" w:tplc="C7CA1C78">
      <w:numFmt w:val="bullet"/>
      <w:lvlText w:val="•"/>
      <w:lvlJc w:val="left"/>
      <w:pPr>
        <w:ind w:left="7175" w:hanging="360"/>
      </w:pPr>
      <w:rPr>
        <w:rFonts w:hint="default"/>
        <w:lang w:val="es-ES" w:eastAsia="en-US" w:bidi="ar-SA"/>
      </w:rPr>
    </w:lvl>
    <w:lvl w:ilvl="7" w:tplc="AC00026A">
      <w:numFmt w:val="bullet"/>
      <w:lvlText w:val="•"/>
      <w:lvlJc w:val="left"/>
      <w:pPr>
        <w:ind w:left="8111" w:hanging="360"/>
      </w:pPr>
      <w:rPr>
        <w:rFonts w:hint="default"/>
        <w:lang w:val="es-ES" w:eastAsia="en-US" w:bidi="ar-SA"/>
      </w:rPr>
    </w:lvl>
    <w:lvl w:ilvl="8" w:tplc="E8186EDC">
      <w:numFmt w:val="bullet"/>
      <w:lvlText w:val="•"/>
      <w:lvlJc w:val="left"/>
      <w:pPr>
        <w:ind w:left="9047" w:hanging="360"/>
      </w:pPr>
      <w:rPr>
        <w:rFonts w:hint="default"/>
        <w:lang w:val="es-ES" w:eastAsia="en-US" w:bidi="ar-SA"/>
      </w:r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F76E77"/>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10" w15:restartNumberingAfterBreak="0">
    <w:nsid w:val="20EC3B31"/>
    <w:multiLevelType w:val="hybridMultilevel"/>
    <w:tmpl w:val="EE3071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341001"/>
    <w:multiLevelType w:val="hybridMultilevel"/>
    <w:tmpl w:val="6C30D6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4D24695"/>
    <w:multiLevelType w:val="hybridMultilevel"/>
    <w:tmpl w:val="F8268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3C2A89"/>
    <w:multiLevelType w:val="hybridMultilevel"/>
    <w:tmpl w:val="FC7CAAD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C476B8D"/>
    <w:multiLevelType w:val="hybridMultilevel"/>
    <w:tmpl w:val="7B20D7D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308110FA"/>
    <w:multiLevelType w:val="hybridMultilevel"/>
    <w:tmpl w:val="0060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601C0E"/>
    <w:multiLevelType w:val="hybridMultilevel"/>
    <w:tmpl w:val="C61C9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F439F3"/>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18" w15:restartNumberingAfterBreak="0">
    <w:nsid w:val="45EE009E"/>
    <w:multiLevelType w:val="hybridMultilevel"/>
    <w:tmpl w:val="24FAF27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4A8347A2"/>
    <w:multiLevelType w:val="hybridMultilevel"/>
    <w:tmpl w:val="A17234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B1644DA"/>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21" w15:restartNumberingAfterBreak="0">
    <w:nsid w:val="4E2F343D"/>
    <w:multiLevelType w:val="hybridMultilevel"/>
    <w:tmpl w:val="AC8AC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054AEC"/>
    <w:multiLevelType w:val="hybridMultilevel"/>
    <w:tmpl w:val="DA2EBE90"/>
    <w:lvl w:ilvl="0" w:tplc="3684E07C">
      <w:numFmt w:val="bullet"/>
      <w:lvlText w:val="–"/>
      <w:lvlJc w:val="left"/>
      <w:pPr>
        <w:ind w:left="360" w:hanging="360"/>
      </w:pPr>
      <w:rPr>
        <w:rFonts w:ascii="Calibri" w:eastAsia="Calibri" w:hAnsi="Calibri" w:cs="Calibr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540F0D2F"/>
    <w:multiLevelType w:val="hybridMultilevel"/>
    <w:tmpl w:val="02FE2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64362E"/>
    <w:multiLevelType w:val="hybridMultilevel"/>
    <w:tmpl w:val="88EA075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9DF117D"/>
    <w:multiLevelType w:val="hybridMultilevel"/>
    <w:tmpl w:val="2A0A3A7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DAA1461"/>
    <w:multiLevelType w:val="multilevel"/>
    <w:tmpl w:val="0CE4D7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26A5087"/>
    <w:multiLevelType w:val="hybridMultilevel"/>
    <w:tmpl w:val="09F8D5C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621475A"/>
    <w:multiLevelType w:val="hybridMultilevel"/>
    <w:tmpl w:val="064E4B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D8B36C5"/>
    <w:multiLevelType w:val="hybridMultilevel"/>
    <w:tmpl w:val="F8C415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7E4AE6"/>
    <w:multiLevelType w:val="hybridMultilevel"/>
    <w:tmpl w:val="2CC4D37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728400F7"/>
    <w:multiLevelType w:val="hybridMultilevel"/>
    <w:tmpl w:val="5396F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D22AF9"/>
    <w:multiLevelType w:val="multilevel"/>
    <w:tmpl w:val="929E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41A5A44"/>
    <w:multiLevelType w:val="hybridMultilevel"/>
    <w:tmpl w:val="4E8CB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1872FF"/>
    <w:multiLevelType w:val="hybridMultilevel"/>
    <w:tmpl w:val="E1344D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5773177"/>
    <w:multiLevelType w:val="multilevel"/>
    <w:tmpl w:val="559010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8E5B7B"/>
    <w:multiLevelType w:val="hybridMultilevel"/>
    <w:tmpl w:val="AB08E64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D8E15E9"/>
    <w:multiLevelType w:val="hybridMultilevel"/>
    <w:tmpl w:val="906E64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9"/>
  </w:num>
  <w:num w:numId="3">
    <w:abstractNumId w:val="20"/>
  </w:num>
  <w:num w:numId="4">
    <w:abstractNumId w:val="0"/>
  </w:num>
  <w:num w:numId="5">
    <w:abstractNumId w:val="3"/>
  </w:num>
  <w:num w:numId="6">
    <w:abstractNumId w:val="1"/>
  </w:num>
  <w:num w:numId="7">
    <w:abstractNumId w:val="18"/>
  </w:num>
  <w:num w:numId="8">
    <w:abstractNumId w:val="25"/>
  </w:num>
  <w:num w:numId="9">
    <w:abstractNumId w:val="34"/>
  </w:num>
  <w:num w:numId="10">
    <w:abstractNumId w:val="22"/>
  </w:num>
  <w:num w:numId="11">
    <w:abstractNumId w:val="36"/>
  </w:num>
  <w:num w:numId="12">
    <w:abstractNumId w:val="13"/>
  </w:num>
  <w:num w:numId="13">
    <w:abstractNumId w:val="17"/>
  </w:num>
  <w:num w:numId="14">
    <w:abstractNumId w:val="35"/>
  </w:num>
  <w:num w:numId="15">
    <w:abstractNumId w:val="11"/>
  </w:num>
  <w:num w:numId="16">
    <w:abstractNumId w:val="26"/>
  </w:num>
  <w:num w:numId="17">
    <w:abstractNumId w:val="30"/>
  </w:num>
  <w:num w:numId="18">
    <w:abstractNumId w:val="4"/>
  </w:num>
  <w:num w:numId="19">
    <w:abstractNumId w:val="14"/>
  </w:num>
  <w:num w:numId="20">
    <w:abstractNumId w:val="24"/>
  </w:num>
  <w:num w:numId="21">
    <w:abstractNumId w:val="5"/>
  </w:num>
  <w:num w:numId="22">
    <w:abstractNumId w:val="32"/>
  </w:num>
  <w:num w:numId="23">
    <w:abstractNumId w:val="19"/>
  </w:num>
  <w:num w:numId="24">
    <w:abstractNumId w:val="27"/>
  </w:num>
  <w:num w:numId="25">
    <w:abstractNumId w:val="37"/>
  </w:num>
  <w:num w:numId="26">
    <w:abstractNumId w:val="29"/>
  </w:num>
  <w:num w:numId="27">
    <w:abstractNumId w:val="16"/>
  </w:num>
  <w:num w:numId="28">
    <w:abstractNumId w:val="6"/>
  </w:num>
  <w:num w:numId="29">
    <w:abstractNumId w:val="2"/>
  </w:num>
  <w:num w:numId="30">
    <w:abstractNumId w:val="33"/>
  </w:num>
  <w:num w:numId="31">
    <w:abstractNumId w:val="15"/>
  </w:num>
  <w:num w:numId="32">
    <w:abstractNumId w:val="21"/>
  </w:num>
  <w:num w:numId="33">
    <w:abstractNumId w:val="10"/>
  </w:num>
  <w:num w:numId="34">
    <w:abstractNumId w:val="23"/>
  </w:num>
  <w:num w:numId="35">
    <w:abstractNumId w:val="7"/>
  </w:num>
  <w:num w:numId="36">
    <w:abstractNumId w:val="31"/>
  </w:num>
  <w:num w:numId="37">
    <w:abstractNumId w:val="28"/>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552"/>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11B"/>
    <w:rsid w:val="00005F79"/>
    <w:rsid w:val="00012C07"/>
    <w:rsid w:val="00014505"/>
    <w:rsid w:val="00015073"/>
    <w:rsid w:val="0001778C"/>
    <w:rsid w:val="00021B8F"/>
    <w:rsid w:val="000255E6"/>
    <w:rsid w:val="000311B7"/>
    <w:rsid w:val="00032E76"/>
    <w:rsid w:val="00033001"/>
    <w:rsid w:val="00034A41"/>
    <w:rsid w:val="00034C44"/>
    <w:rsid w:val="000371AB"/>
    <w:rsid w:val="000414E9"/>
    <w:rsid w:val="0004157A"/>
    <w:rsid w:val="00043268"/>
    <w:rsid w:val="000515B5"/>
    <w:rsid w:val="000533F7"/>
    <w:rsid w:val="00061657"/>
    <w:rsid w:val="0006205A"/>
    <w:rsid w:val="00062C49"/>
    <w:rsid w:val="000632D3"/>
    <w:rsid w:val="0006674D"/>
    <w:rsid w:val="000722F8"/>
    <w:rsid w:val="00074E60"/>
    <w:rsid w:val="00075A19"/>
    <w:rsid w:val="000838FD"/>
    <w:rsid w:val="00083B74"/>
    <w:rsid w:val="000868E7"/>
    <w:rsid w:val="00096CD7"/>
    <w:rsid w:val="000A77C3"/>
    <w:rsid w:val="000B0DDB"/>
    <w:rsid w:val="000B2F7D"/>
    <w:rsid w:val="000B3485"/>
    <w:rsid w:val="000B3FC5"/>
    <w:rsid w:val="000B415F"/>
    <w:rsid w:val="000B433C"/>
    <w:rsid w:val="000B5B56"/>
    <w:rsid w:val="000C1649"/>
    <w:rsid w:val="000C4924"/>
    <w:rsid w:val="000C4B57"/>
    <w:rsid w:val="000C580D"/>
    <w:rsid w:val="000D2ED2"/>
    <w:rsid w:val="000D578B"/>
    <w:rsid w:val="000E7CA6"/>
    <w:rsid w:val="000F0A52"/>
    <w:rsid w:val="000F0C2C"/>
    <w:rsid w:val="000F1388"/>
    <w:rsid w:val="000F1CA0"/>
    <w:rsid w:val="000F2CA4"/>
    <w:rsid w:val="000F3C70"/>
    <w:rsid w:val="000F459C"/>
    <w:rsid w:val="000F5899"/>
    <w:rsid w:val="000F7CA5"/>
    <w:rsid w:val="0010002F"/>
    <w:rsid w:val="001014ED"/>
    <w:rsid w:val="00102A86"/>
    <w:rsid w:val="00104DD2"/>
    <w:rsid w:val="0010700D"/>
    <w:rsid w:val="0010750F"/>
    <w:rsid w:val="00112C0D"/>
    <w:rsid w:val="00114CDB"/>
    <w:rsid w:val="00131017"/>
    <w:rsid w:val="001310BD"/>
    <w:rsid w:val="00131724"/>
    <w:rsid w:val="001348EE"/>
    <w:rsid w:val="001356AC"/>
    <w:rsid w:val="00142300"/>
    <w:rsid w:val="001431F6"/>
    <w:rsid w:val="00144FF6"/>
    <w:rsid w:val="00145F8A"/>
    <w:rsid w:val="0014760D"/>
    <w:rsid w:val="001568A0"/>
    <w:rsid w:val="00157845"/>
    <w:rsid w:val="0016175E"/>
    <w:rsid w:val="00166E29"/>
    <w:rsid w:val="00170555"/>
    <w:rsid w:val="00173007"/>
    <w:rsid w:val="00174D21"/>
    <w:rsid w:val="001762E7"/>
    <w:rsid w:val="00180405"/>
    <w:rsid w:val="001813CA"/>
    <w:rsid w:val="00184F3B"/>
    <w:rsid w:val="00186133"/>
    <w:rsid w:val="0019226F"/>
    <w:rsid w:val="00192FBE"/>
    <w:rsid w:val="00197389"/>
    <w:rsid w:val="001A6690"/>
    <w:rsid w:val="001A74F0"/>
    <w:rsid w:val="001B069B"/>
    <w:rsid w:val="001B16EB"/>
    <w:rsid w:val="001B1935"/>
    <w:rsid w:val="001B1AE2"/>
    <w:rsid w:val="001B27F4"/>
    <w:rsid w:val="001B4EB5"/>
    <w:rsid w:val="001B69F7"/>
    <w:rsid w:val="001C0123"/>
    <w:rsid w:val="001C2BC2"/>
    <w:rsid w:val="001C6F52"/>
    <w:rsid w:val="001D6C79"/>
    <w:rsid w:val="001D7D62"/>
    <w:rsid w:val="001E67A0"/>
    <w:rsid w:val="001E794C"/>
    <w:rsid w:val="001E7A77"/>
    <w:rsid w:val="0020056F"/>
    <w:rsid w:val="00201041"/>
    <w:rsid w:val="0020228A"/>
    <w:rsid w:val="00210164"/>
    <w:rsid w:val="00212107"/>
    <w:rsid w:val="0021255F"/>
    <w:rsid w:val="00220FE8"/>
    <w:rsid w:val="00222FC2"/>
    <w:rsid w:val="00223750"/>
    <w:rsid w:val="002248BB"/>
    <w:rsid w:val="00230A6A"/>
    <w:rsid w:val="002313BD"/>
    <w:rsid w:val="00234FF0"/>
    <w:rsid w:val="00236A9E"/>
    <w:rsid w:val="00242713"/>
    <w:rsid w:val="00243D90"/>
    <w:rsid w:val="0024447E"/>
    <w:rsid w:val="002470E1"/>
    <w:rsid w:val="00247D99"/>
    <w:rsid w:val="00251363"/>
    <w:rsid w:val="00253E40"/>
    <w:rsid w:val="0025743A"/>
    <w:rsid w:val="00262430"/>
    <w:rsid w:val="0027171E"/>
    <w:rsid w:val="0027237E"/>
    <w:rsid w:val="00272AA6"/>
    <w:rsid w:val="00272EFF"/>
    <w:rsid w:val="002733CD"/>
    <w:rsid w:val="00273A69"/>
    <w:rsid w:val="00273C2F"/>
    <w:rsid w:val="002802D1"/>
    <w:rsid w:val="002829AF"/>
    <w:rsid w:val="00284DC1"/>
    <w:rsid w:val="00286017"/>
    <w:rsid w:val="002905A9"/>
    <w:rsid w:val="00290F55"/>
    <w:rsid w:val="002913DF"/>
    <w:rsid w:val="00291FB2"/>
    <w:rsid w:val="00292253"/>
    <w:rsid w:val="00296C50"/>
    <w:rsid w:val="00297A1C"/>
    <w:rsid w:val="00297B26"/>
    <w:rsid w:val="002A04BF"/>
    <w:rsid w:val="002A64D4"/>
    <w:rsid w:val="002B0369"/>
    <w:rsid w:val="002B46E4"/>
    <w:rsid w:val="002B50D1"/>
    <w:rsid w:val="002B5902"/>
    <w:rsid w:val="002B5F99"/>
    <w:rsid w:val="002B728B"/>
    <w:rsid w:val="002C5563"/>
    <w:rsid w:val="002C72C8"/>
    <w:rsid w:val="002C7ACD"/>
    <w:rsid w:val="002D0AA6"/>
    <w:rsid w:val="002D2F9F"/>
    <w:rsid w:val="002D481D"/>
    <w:rsid w:val="002D510B"/>
    <w:rsid w:val="002D6588"/>
    <w:rsid w:val="002D6F25"/>
    <w:rsid w:val="002D7EA3"/>
    <w:rsid w:val="002F0C0B"/>
    <w:rsid w:val="00301D1E"/>
    <w:rsid w:val="00305056"/>
    <w:rsid w:val="003058E2"/>
    <w:rsid w:val="00313087"/>
    <w:rsid w:val="00324316"/>
    <w:rsid w:val="00330ED3"/>
    <w:rsid w:val="00331488"/>
    <w:rsid w:val="0033578A"/>
    <w:rsid w:val="00336F11"/>
    <w:rsid w:val="00342388"/>
    <w:rsid w:val="00342C7E"/>
    <w:rsid w:val="003532C1"/>
    <w:rsid w:val="00353541"/>
    <w:rsid w:val="00354289"/>
    <w:rsid w:val="003615A9"/>
    <w:rsid w:val="0036310F"/>
    <w:rsid w:val="0036353B"/>
    <w:rsid w:val="00364508"/>
    <w:rsid w:val="00371B28"/>
    <w:rsid w:val="0037397C"/>
    <w:rsid w:val="00381564"/>
    <w:rsid w:val="00382F07"/>
    <w:rsid w:val="00383039"/>
    <w:rsid w:val="00384798"/>
    <w:rsid w:val="00385103"/>
    <w:rsid w:val="00387B00"/>
    <w:rsid w:val="0039155C"/>
    <w:rsid w:val="00391F5E"/>
    <w:rsid w:val="00394EEA"/>
    <w:rsid w:val="00397447"/>
    <w:rsid w:val="003A64E0"/>
    <w:rsid w:val="003A6D4B"/>
    <w:rsid w:val="003A75A9"/>
    <w:rsid w:val="003A7E15"/>
    <w:rsid w:val="003B1A32"/>
    <w:rsid w:val="003B1CD9"/>
    <w:rsid w:val="003B1E28"/>
    <w:rsid w:val="003B2CBC"/>
    <w:rsid w:val="003B4FF5"/>
    <w:rsid w:val="003B5402"/>
    <w:rsid w:val="003C22E7"/>
    <w:rsid w:val="003D3BBA"/>
    <w:rsid w:val="003E1A30"/>
    <w:rsid w:val="003E1B6B"/>
    <w:rsid w:val="003E55EC"/>
    <w:rsid w:val="003E705D"/>
    <w:rsid w:val="003E7F18"/>
    <w:rsid w:val="003F1E80"/>
    <w:rsid w:val="003F6467"/>
    <w:rsid w:val="004034E0"/>
    <w:rsid w:val="00411589"/>
    <w:rsid w:val="00414229"/>
    <w:rsid w:val="00421122"/>
    <w:rsid w:val="004225C0"/>
    <w:rsid w:val="004235C2"/>
    <w:rsid w:val="00432EEA"/>
    <w:rsid w:val="00450BCE"/>
    <w:rsid w:val="00464B3E"/>
    <w:rsid w:val="004707B0"/>
    <w:rsid w:val="00474DEA"/>
    <w:rsid w:val="0048224A"/>
    <w:rsid w:val="00483028"/>
    <w:rsid w:val="00484C29"/>
    <w:rsid w:val="004868DA"/>
    <w:rsid w:val="00491DF6"/>
    <w:rsid w:val="0049307C"/>
    <w:rsid w:val="00493093"/>
    <w:rsid w:val="004A0BC6"/>
    <w:rsid w:val="004A5039"/>
    <w:rsid w:val="004A6674"/>
    <w:rsid w:val="004B1095"/>
    <w:rsid w:val="004B20C7"/>
    <w:rsid w:val="004B44C8"/>
    <w:rsid w:val="004C05EB"/>
    <w:rsid w:val="004C4766"/>
    <w:rsid w:val="004D0208"/>
    <w:rsid w:val="004D39FF"/>
    <w:rsid w:val="004D49DC"/>
    <w:rsid w:val="004D7BD5"/>
    <w:rsid w:val="004E2221"/>
    <w:rsid w:val="004E52C7"/>
    <w:rsid w:val="004F1E19"/>
    <w:rsid w:val="004F3FD6"/>
    <w:rsid w:val="00502A4F"/>
    <w:rsid w:val="00503119"/>
    <w:rsid w:val="0050614B"/>
    <w:rsid w:val="00506A82"/>
    <w:rsid w:val="00506F82"/>
    <w:rsid w:val="00510537"/>
    <w:rsid w:val="00510D06"/>
    <w:rsid w:val="00511468"/>
    <w:rsid w:val="00512777"/>
    <w:rsid w:val="005151C0"/>
    <w:rsid w:val="00525E0D"/>
    <w:rsid w:val="005263DD"/>
    <w:rsid w:val="00531B93"/>
    <w:rsid w:val="00531D5C"/>
    <w:rsid w:val="00533497"/>
    <w:rsid w:val="00537621"/>
    <w:rsid w:val="00537FE7"/>
    <w:rsid w:val="0054169B"/>
    <w:rsid w:val="00552E4D"/>
    <w:rsid w:val="0055671E"/>
    <w:rsid w:val="005571FD"/>
    <w:rsid w:val="00557782"/>
    <w:rsid w:val="00563B3B"/>
    <w:rsid w:val="00565953"/>
    <w:rsid w:val="00566971"/>
    <w:rsid w:val="005701F3"/>
    <w:rsid w:val="00571B55"/>
    <w:rsid w:val="00581514"/>
    <w:rsid w:val="005829CD"/>
    <w:rsid w:val="00582AD5"/>
    <w:rsid w:val="00583DA2"/>
    <w:rsid w:val="0058429B"/>
    <w:rsid w:val="00587428"/>
    <w:rsid w:val="00590DC7"/>
    <w:rsid w:val="00590DE6"/>
    <w:rsid w:val="00592E97"/>
    <w:rsid w:val="00595FB4"/>
    <w:rsid w:val="005960AA"/>
    <w:rsid w:val="005A6196"/>
    <w:rsid w:val="005B3DBF"/>
    <w:rsid w:val="005B4606"/>
    <w:rsid w:val="005B5F98"/>
    <w:rsid w:val="005B72D4"/>
    <w:rsid w:val="005C1E98"/>
    <w:rsid w:val="005C3EDD"/>
    <w:rsid w:val="005C791C"/>
    <w:rsid w:val="005D0091"/>
    <w:rsid w:val="005E1843"/>
    <w:rsid w:val="005E22C1"/>
    <w:rsid w:val="005E4ACC"/>
    <w:rsid w:val="005E5D47"/>
    <w:rsid w:val="005E727C"/>
    <w:rsid w:val="005F39C1"/>
    <w:rsid w:val="005F74F5"/>
    <w:rsid w:val="00602F1B"/>
    <w:rsid w:val="006064BB"/>
    <w:rsid w:val="006130FF"/>
    <w:rsid w:val="00614B52"/>
    <w:rsid w:val="0062035B"/>
    <w:rsid w:val="006206D4"/>
    <w:rsid w:val="00623160"/>
    <w:rsid w:val="00625B47"/>
    <w:rsid w:val="006269DC"/>
    <w:rsid w:val="00634A74"/>
    <w:rsid w:val="00634FD5"/>
    <w:rsid w:val="00637849"/>
    <w:rsid w:val="0064131F"/>
    <w:rsid w:val="006417DB"/>
    <w:rsid w:val="00643388"/>
    <w:rsid w:val="00643A27"/>
    <w:rsid w:val="00645DB0"/>
    <w:rsid w:val="00647F25"/>
    <w:rsid w:val="00654B90"/>
    <w:rsid w:val="006707F6"/>
    <w:rsid w:val="0067219F"/>
    <w:rsid w:val="00673DEE"/>
    <w:rsid w:val="0067546C"/>
    <w:rsid w:val="00677E89"/>
    <w:rsid w:val="0068020C"/>
    <w:rsid w:val="00684CF9"/>
    <w:rsid w:val="00693302"/>
    <w:rsid w:val="00694A75"/>
    <w:rsid w:val="00695D5A"/>
    <w:rsid w:val="00696B37"/>
    <w:rsid w:val="006A7215"/>
    <w:rsid w:val="006A79F6"/>
    <w:rsid w:val="006B0010"/>
    <w:rsid w:val="006B563E"/>
    <w:rsid w:val="006B5A08"/>
    <w:rsid w:val="006C0D03"/>
    <w:rsid w:val="006C475F"/>
    <w:rsid w:val="006C6B1F"/>
    <w:rsid w:val="006C6C15"/>
    <w:rsid w:val="006D34D6"/>
    <w:rsid w:val="006D3D3F"/>
    <w:rsid w:val="006D5618"/>
    <w:rsid w:val="006E39AE"/>
    <w:rsid w:val="006E76A1"/>
    <w:rsid w:val="006F2DA3"/>
    <w:rsid w:val="0070330A"/>
    <w:rsid w:val="00704F0B"/>
    <w:rsid w:val="00706100"/>
    <w:rsid w:val="007125AE"/>
    <w:rsid w:val="0071336D"/>
    <w:rsid w:val="0071557F"/>
    <w:rsid w:val="00716BCB"/>
    <w:rsid w:val="007213BB"/>
    <w:rsid w:val="00727A99"/>
    <w:rsid w:val="00731809"/>
    <w:rsid w:val="0073229F"/>
    <w:rsid w:val="00735E00"/>
    <w:rsid w:val="00740C57"/>
    <w:rsid w:val="00741D67"/>
    <w:rsid w:val="00742717"/>
    <w:rsid w:val="007455D8"/>
    <w:rsid w:val="007463EB"/>
    <w:rsid w:val="0075146E"/>
    <w:rsid w:val="007516E3"/>
    <w:rsid w:val="007519FB"/>
    <w:rsid w:val="007528CB"/>
    <w:rsid w:val="007533A0"/>
    <w:rsid w:val="00757549"/>
    <w:rsid w:val="00761CB0"/>
    <w:rsid w:val="00771178"/>
    <w:rsid w:val="0077260C"/>
    <w:rsid w:val="00774BF6"/>
    <w:rsid w:val="00775D59"/>
    <w:rsid w:val="00776D91"/>
    <w:rsid w:val="00785622"/>
    <w:rsid w:val="007A5315"/>
    <w:rsid w:val="007A6E1D"/>
    <w:rsid w:val="007A77D7"/>
    <w:rsid w:val="007B2925"/>
    <w:rsid w:val="007B3DCE"/>
    <w:rsid w:val="007B706D"/>
    <w:rsid w:val="007B721D"/>
    <w:rsid w:val="007C05A4"/>
    <w:rsid w:val="007C6D7B"/>
    <w:rsid w:val="007D5ABC"/>
    <w:rsid w:val="007D625C"/>
    <w:rsid w:val="007D6431"/>
    <w:rsid w:val="007E0102"/>
    <w:rsid w:val="007E5751"/>
    <w:rsid w:val="007F5BFD"/>
    <w:rsid w:val="007F7CE1"/>
    <w:rsid w:val="008005AE"/>
    <w:rsid w:val="00800CA1"/>
    <w:rsid w:val="00801128"/>
    <w:rsid w:val="008122E5"/>
    <w:rsid w:val="00813006"/>
    <w:rsid w:val="00825DC0"/>
    <w:rsid w:val="008274EF"/>
    <w:rsid w:val="00830598"/>
    <w:rsid w:val="0083193C"/>
    <w:rsid w:val="00835D99"/>
    <w:rsid w:val="008365D1"/>
    <w:rsid w:val="00840F73"/>
    <w:rsid w:val="00841A76"/>
    <w:rsid w:val="00843B30"/>
    <w:rsid w:val="008534DB"/>
    <w:rsid w:val="00857C91"/>
    <w:rsid w:val="0086138F"/>
    <w:rsid w:val="00862049"/>
    <w:rsid w:val="008638AE"/>
    <w:rsid w:val="008647FE"/>
    <w:rsid w:val="00864D32"/>
    <w:rsid w:val="00866FC8"/>
    <w:rsid w:val="00883309"/>
    <w:rsid w:val="00883987"/>
    <w:rsid w:val="0088574C"/>
    <w:rsid w:val="00886E22"/>
    <w:rsid w:val="0088703A"/>
    <w:rsid w:val="00890C39"/>
    <w:rsid w:val="008954D7"/>
    <w:rsid w:val="008A02DD"/>
    <w:rsid w:val="008A3BA9"/>
    <w:rsid w:val="008A51FA"/>
    <w:rsid w:val="008A571E"/>
    <w:rsid w:val="008B025E"/>
    <w:rsid w:val="008B1183"/>
    <w:rsid w:val="008B6986"/>
    <w:rsid w:val="008C7690"/>
    <w:rsid w:val="008D1D77"/>
    <w:rsid w:val="008D5C6A"/>
    <w:rsid w:val="008D6675"/>
    <w:rsid w:val="008E0B76"/>
    <w:rsid w:val="008F0409"/>
    <w:rsid w:val="008F5054"/>
    <w:rsid w:val="008F668A"/>
    <w:rsid w:val="008F7EEE"/>
    <w:rsid w:val="0090058F"/>
    <w:rsid w:val="009028FE"/>
    <w:rsid w:val="00906117"/>
    <w:rsid w:val="00907F7A"/>
    <w:rsid w:val="00916E26"/>
    <w:rsid w:val="00917BCD"/>
    <w:rsid w:val="00920440"/>
    <w:rsid w:val="00923ACD"/>
    <w:rsid w:val="00925A4E"/>
    <w:rsid w:val="00925BD9"/>
    <w:rsid w:val="0092683C"/>
    <w:rsid w:val="00927021"/>
    <w:rsid w:val="00944352"/>
    <w:rsid w:val="0094453D"/>
    <w:rsid w:val="0094520E"/>
    <w:rsid w:val="00966211"/>
    <w:rsid w:val="009673F0"/>
    <w:rsid w:val="00970B42"/>
    <w:rsid w:val="009723FD"/>
    <w:rsid w:val="009737B4"/>
    <w:rsid w:val="0097565D"/>
    <w:rsid w:val="00983C98"/>
    <w:rsid w:val="00985ACD"/>
    <w:rsid w:val="00985AF2"/>
    <w:rsid w:val="009909F2"/>
    <w:rsid w:val="009924AF"/>
    <w:rsid w:val="009925B0"/>
    <w:rsid w:val="00992D09"/>
    <w:rsid w:val="00996092"/>
    <w:rsid w:val="009A0C5B"/>
    <w:rsid w:val="009A3744"/>
    <w:rsid w:val="009A6DB7"/>
    <w:rsid w:val="009A7BB4"/>
    <w:rsid w:val="009B0144"/>
    <w:rsid w:val="009B059B"/>
    <w:rsid w:val="009B2034"/>
    <w:rsid w:val="009B2D41"/>
    <w:rsid w:val="009B4251"/>
    <w:rsid w:val="009C1E9D"/>
    <w:rsid w:val="009C1EE0"/>
    <w:rsid w:val="009C26C0"/>
    <w:rsid w:val="009C3B8F"/>
    <w:rsid w:val="009C501E"/>
    <w:rsid w:val="009C6F4C"/>
    <w:rsid w:val="009D0C38"/>
    <w:rsid w:val="009D6731"/>
    <w:rsid w:val="009D73D1"/>
    <w:rsid w:val="009D7A92"/>
    <w:rsid w:val="009E2D4C"/>
    <w:rsid w:val="009E68A5"/>
    <w:rsid w:val="009F098D"/>
    <w:rsid w:val="009F1A26"/>
    <w:rsid w:val="009F2A26"/>
    <w:rsid w:val="00A05F18"/>
    <w:rsid w:val="00A0728C"/>
    <w:rsid w:val="00A13B67"/>
    <w:rsid w:val="00A14D7B"/>
    <w:rsid w:val="00A270EF"/>
    <w:rsid w:val="00A27F0F"/>
    <w:rsid w:val="00A30C66"/>
    <w:rsid w:val="00A32693"/>
    <w:rsid w:val="00A332E3"/>
    <w:rsid w:val="00A42F25"/>
    <w:rsid w:val="00A448F9"/>
    <w:rsid w:val="00A4498B"/>
    <w:rsid w:val="00A45A3E"/>
    <w:rsid w:val="00A4780C"/>
    <w:rsid w:val="00A5484C"/>
    <w:rsid w:val="00A6320C"/>
    <w:rsid w:val="00A715AC"/>
    <w:rsid w:val="00A73021"/>
    <w:rsid w:val="00A74EBE"/>
    <w:rsid w:val="00A76D00"/>
    <w:rsid w:val="00A80DD3"/>
    <w:rsid w:val="00A82172"/>
    <w:rsid w:val="00A823F6"/>
    <w:rsid w:val="00A837B7"/>
    <w:rsid w:val="00A84000"/>
    <w:rsid w:val="00A84185"/>
    <w:rsid w:val="00A87E99"/>
    <w:rsid w:val="00A87FAE"/>
    <w:rsid w:val="00A94986"/>
    <w:rsid w:val="00A953D9"/>
    <w:rsid w:val="00A97D07"/>
    <w:rsid w:val="00AA2F58"/>
    <w:rsid w:val="00AB2A21"/>
    <w:rsid w:val="00AC1EA8"/>
    <w:rsid w:val="00AC521E"/>
    <w:rsid w:val="00AD4DF3"/>
    <w:rsid w:val="00AD7A1E"/>
    <w:rsid w:val="00AF0027"/>
    <w:rsid w:val="00AF42C0"/>
    <w:rsid w:val="00B01200"/>
    <w:rsid w:val="00B03648"/>
    <w:rsid w:val="00B036A0"/>
    <w:rsid w:val="00B04060"/>
    <w:rsid w:val="00B04A3B"/>
    <w:rsid w:val="00B05190"/>
    <w:rsid w:val="00B14F7B"/>
    <w:rsid w:val="00B21BF1"/>
    <w:rsid w:val="00B2345D"/>
    <w:rsid w:val="00B24D2A"/>
    <w:rsid w:val="00B2727F"/>
    <w:rsid w:val="00B325C2"/>
    <w:rsid w:val="00B3345D"/>
    <w:rsid w:val="00B35683"/>
    <w:rsid w:val="00B36724"/>
    <w:rsid w:val="00B428B1"/>
    <w:rsid w:val="00B52E1B"/>
    <w:rsid w:val="00B53452"/>
    <w:rsid w:val="00B55E54"/>
    <w:rsid w:val="00B7510F"/>
    <w:rsid w:val="00B82847"/>
    <w:rsid w:val="00B83152"/>
    <w:rsid w:val="00B87594"/>
    <w:rsid w:val="00B91315"/>
    <w:rsid w:val="00B93393"/>
    <w:rsid w:val="00B978A4"/>
    <w:rsid w:val="00BA0829"/>
    <w:rsid w:val="00BA4B13"/>
    <w:rsid w:val="00BA4D6C"/>
    <w:rsid w:val="00BA742F"/>
    <w:rsid w:val="00BB0CE3"/>
    <w:rsid w:val="00BB157B"/>
    <w:rsid w:val="00BB26BD"/>
    <w:rsid w:val="00BB3796"/>
    <w:rsid w:val="00BB48CD"/>
    <w:rsid w:val="00BC0577"/>
    <w:rsid w:val="00BC0C49"/>
    <w:rsid w:val="00BC2441"/>
    <w:rsid w:val="00BC2CBD"/>
    <w:rsid w:val="00BC2FB7"/>
    <w:rsid w:val="00BC4187"/>
    <w:rsid w:val="00BC59FB"/>
    <w:rsid w:val="00BC5E1B"/>
    <w:rsid w:val="00BC7229"/>
    <w:rsid w:val="00BD2168"/>
    <w:rsid w:val="00BD2994"/>
    <w:rsid w:val="00BD2B9B"/>
    <w:rsid w:val="00BD56DE"/>
    <w:rsid w:val="00BD7C2F"/>
    <w:rsid w:val="00BE370C"/>
    <w:rsid w:val="00BE4C92"/>
    <w:rsid w:val="00BF0AC4"/>
    <w:rsid w:val="00BF6BD6"/>
    <w:rsid w:val="00C01966"/>
    <w:rsid w:val="00C01FB7"/>
    <w:rsid w:val="00C04F76"/>
    <w:rsid w:val="00C05B0E"/>
    <w:rsid w:val="00C10108"/>
    <w:rsid w:val="00C21275"/>
    <w:rsid w:val="00C22D2E"/>
    <w:rsid w:val="00C31C7A"/>
    <w:rsid w:val="00C3228A"/>
    <w:rsid w:val="00C345FE"/>
    <w:rsid w:val="00C36381"/>
    <w:rsid w:val="00C4055A"/>
    <w:rsid w:val="00C45CD5"/>
    <w:rsid w:val="00C46E53"/>
    <w:rsid w:val="00C47CED"/>
    <w:rsid w:val="00C54D6D"/>
    <w:rsid w:val="00C6003F"/>
    <w:rsid w:val="00C615AF"/>
    <w:rsid w:val="00C61817"/>
    <w:rsid w:val="00C625BB"/>
    <w:rsid w:val="00C6326A"/>
    <w:rsid w:val="00C70B2F"/>
    <w:rsid w:val="00C735F6"/>
    <w:rsid w:val="00C74067"/>
    <w:rsid w:val="00C818CB"/>
    <w:rsid w:val="00C82FD4"/>
    <w:rsid w:val="00C92ADF"/>
    <w:rsid w:val="00C96B48"/>
    <w:rsid w:val="00C975C5"/>
    <w:rsid w:val="00CA2AB4"/>
    <w:rsid w:val="00CB24AB"/>
    <w:rsid w:val="00CB5150"/>
    <w:rsid w:val="00CB6422"/>
    <w:rsid w:val="00CC282D"/>
    <w:rsid w:val="00CC3784"/>
    <w:rsid w:val="00CC4FAD"/>
    <w:rsid w:val="00CD38AC"/>
    <w:rsid w:val="00CD665E"/>
    <w:rsid w:val="00CE0AD0"/>
    <w:rsid w:val="00CE704D"/>
    <w:rsid w:val="00CF6A79"/>
    <w:rsid w:val="00CF6EC4"/>
    <w:rsid w:val="00D02537"/>
    <w:rsid w:val="00D03787"/>
    <w:rsid w:val="00D05D19"/>
    <w:rsid w:val="00D06F4D"/>
    <w:rsid w:val="00D10718"/>
    <w:rsid w:val="00D13757"/>
    <w:rsid w:val="00D1597E"/>
    <w:rsid w:val="00D26DA2"/>
    <w:rsid w:val="00D32302"/>
    <w:rsid w:val="00D338F4"/>
    <w:rsid w:val="00D3732D"/>
    <w:rsid w:val="00D41A91"/>
    <w:rsid w:val="00D41F30"/>
    <w:rsid w:val="00D51108"/>
    <w:rsid w:val="00D53A48"/>
    <w:rsid w:val="00D54675"/>
    <w:rsid w:val="00D603BF"/>
    <w:rsid w:val="00D67A41"/>
    <w:rsid w:val="00D70711"/>
    <w:rsid w:val="00D70C6C"/>
    <w:rsid w:val="00D71F74"/>
    <w:rsid w:val="00D722A7"/>
    <w:rsid w:val="00D7237A"/>
    <w:rsid w:val="00D72E5A"/>
    <w:rsid w:val="00D73CBF"/>
    <w:rsid w:val="00D73E0B"/>
    <w:rsid w:val="00D769CE"/>
    <w:rsid w:val="00D774B0"/>
    <w:rsid w:val="00D8002B"/>
    <w:rsid w:val="00D83137"/>
    <w:rsid w:val="00D87A06"/>
    <w:rsid w:val="00D910A2"/>
    <w:rsid w:val="00D921B2"/>
    <w:rsid w:val="00D97C2D"/>
    <w:rsid w:val="00DA4349"/>
    <w:rsid w:val="00DA7C1A"/>
    <w:rsid w:val="00DA7CC1"/>
    <w:rsid w:val="00DB02B4"/>
    <w:rsid w:val="00DB0CA6"/>
    <w:rsid w:val="00DB1320"/>
    <w:rsid w:val="00DB28EC"/>
    <w:rsid w:val="00DB2B75"/>
    <w:rsid w:val="00DB3227"/>
    <w:rsid w:val="00DB3A27"/>
    <w:rsid w:val="00DB3FA8"/>
    <w:rsid w:val="00DB56D0"/>
    <w:rsid w:val="00DB5E4F"/>
    <w:rsid w:val="00DD318C"/>
    <w:rsid w:val="00DD5747"/>
    <w:rsid w:val="00DD6D3D"/>
    <w:rsid w:val="00DE1D5B"/>
    <w:rsid w:val="00DE258F"/>
    <w:rsid w:val="00DF6C20"/>
    <w:rsid w:val="00DF7D21"/>
    <w:rsid w:val="00E06A86"/>
    <w:rsid w:val="00E100A8"/>
    <w:rsid w:val="00E105FC"/>
    <w:rsid w:val="00E13BDD"/>
    <w:rsid w:val="00E14954"/>
    <w:rsid w:val="00E200E5"/>
    <w:rsid w:val="00E26D68"/>
    <w:rsid w:val="00E2716A"/>
    <w:rsid w:val="00E300E1"/>
    <w:rsid w:val="00E304E5"/>
    <w:rsid w:val="00E308A6"/>
    <w:rsid w:val="00E32A6D"/>
    <w:rsid w:val="00E403A1"/>
    <w:rsid w:val="00E41B63"/>
    <w:rsid w:val="00E506EB"/>
    <w:rsid w:val="00E542C5"/>
    <w:rsid w:val="00E5654C"/>
    <w:rsid w:val="00E62FA6"/>
    <w:rsid w:val="00E63FF3"/>
    <w:rsid w:val="00E701B8"/>
    <w:rsid w:val="00E717ED"/>
    <w:rsid w:val="00E7293B"/>
    <w:rsid w:val="00E74909"/>
    <w:rsid w:val="00E843D4"/>
    <w:rsid w:val="00E85547"/>
    <w:rsid w:val="00E86494"/>
    <w:rsid w:val="00E90EDF"/>
    <w:rsid w:val="00E92DD4"/>
    <w:rsid w:val="00E93950"/>
    <w:rsid w:val="00EA39B9"/>
    <w:rsid w:val="00EA523A"/>
    <w:rsid w:val="00EB2B3F"/>
    <w:rsid w:val="00EB3201"/>
    <w:rsid w:val="00EB3FE9"/>
    <w:rsid w:val="00EB5B4F"/>
    <w:rsid w:val="00EB6137"/>
    <w:rsid w:val="00EB6F0E"/>
    <w:rsid w:val="00EC13D3"/>
    <w:rsid w:val="00EC2456"/>
    <w:rsid w:val="00EC2E75"/>
    <w:rsid w:val="00EC329A"/>
    <w:rsid w:val="00EC6081"/>
    <w:rsid w:val="00ED5C41"/>
    <w:rsid w:val="00ED64A3"/>
    <w:rsid w:val="00ED6D30"/>
    <w:rsid w:val="00EE1D38"/>
    <w:rsid w:val="00EE2163"/>
    <w:rsid w:val="00EE4A98"/>
    <w:rsid w:val="00EE775B"/>
    <w:rsid w:val="00EF2588"/>
    <w:rsid w:val="00EF4621"/>
    <w:rsid w:val="00EF4C1A"/>
    <w:rsid w:val="00EF6474"/>
    <w:rsid w:val="00F009D8"/>
    <w:rsid w:val="00F01A38"/>
    <w:rsid w:val="00F04D85"/>
    <w:rsid w:val="00F07072"/>
    <w:rsid w:val="00F10D31"/>
    <w:rsid w:val="00F170BC"/>
    <w:rsid w:val="00F21D8F"/>
    <w:rsid w:val="00F261DE"/>
    <w:rsid w:val="00F33948"/>
    <w:rsid w:val="00F40DA4"/>
    <w:rsid w:val="00F41662"/>
    <w:rsid w:val="00F43BD4"/>
    <w:rsid w:val="00F44F66"/>
    <w:rsid w:val="00F529A0"/>
    <w:rsid w:val="00F532E5"/>
    <w:rsid w:val="00F5702C"/>
    <w:rsid w:val="00F57DAD"/>
    <w:rsid w:val="00F6014C"/>
    <w:rsid w:val="00F6020C"/>
    <w:rsid w:val="00F62AEE"/>
    <w:rsid w:val="00F70F86"/>
    <w:rsid w:val="00F71F17"/>
    <w:rsid w:val="00F811F3"/>
    <w:rsid w:val="00F83952"/>
    <w:rsid w:val="00F84F92"/>
    <w:rsid w:val="00F92CD6"/>
    <w:rsid w:val="00F92EC5"/>
    <w:rsid w:val="00F93F52"/>
    <w:rsid w:val="00F95887"/>
    <w:rsid w:val="00FA278F"/>
    <w:rsid w:val="00FA3400"/>
    <w:rsid w:val="00FA47A8"/>
    <w:rsid w:val="00FA5FCE"/>
    <w:rsid w:val="00FA7C48"/>
    <w:rsid w:val="00FB2ECE"/>
    <w:rsid w:val="00FB2FD4"/>
    <w:rsid w:val="00FC195E"/>
    <w:rsid w:val="00FC1B02"/>
    <w:rsid w:val="00FC5E86"/>
    <w:rsid w:val="00FD3B48"/>
    <w:rsid w:val="00FD3E6C"/>
    <w:rsid w:val="00FD50BF"/>
    <w:rsid w:val="00FD50D6"/>
    <w:rsid w:val="00FD5395"/>
    <w:rsid w:val="00FE1A45"/>
    <w:rsid w:val="00FE3364"/>
    <w:rsid w:val="00FF21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20440"/>
    <w:rPr>
      <w:rFonts w:ascii="Times New Roman" w:eastAsia="Times New Roman" w:hAnsi="Times New Roman" w:cs="Times New Roman"/>
      <w:lang w:eastAsia="es-MX"/>
    </w:rPr>
  </w:style>
  <w:style w:type="paragraph" w:styleId="Ttulo1">
    <w:name w:val="heading 1"/>
    <w:basedOn w:val="Normal"/>
    <w:link w:val="Ttulo1Car"/>
    <w:uiPriority w:val="1"/>
    <w:qFormat/>
    <w:rsid w:val="004E52C7"/>
    <w:pPr>
      <w:widowControl w:val="0"/>
      <w:autoSpaceDE w:val="0"/>
      <w:autoSpaceDN w:val="0"/>
      <w:ind w:left="956" w:hanging="349"/>
      <w:outlineLvl w:val="0"/>
    </w:pPr>
    <w:rPr>
      <w:rFonts w:ascii="Arial" w:eastAsia="Arial" w:hAnsi="Arial" w:cs="Arial"/>
      <w:b/>
      <w:bCs/>
      <w:sz w:val="23"/>
      <w:szCs w:val="23"/>
      <w:lang w:val="es-ES" w:eastAsia="en-US"/>
    </w:rPr>
  </w:style>
  <w:style w:type="paragraph" w:styleId="Ttulo2">
    <w:name w:val="heading 2"/>
    <w:basedOn w:val="Normal"/>
    <w:next w:val="Normal"/>
    <w:link w:val="Ttulo2Car"/>
    <w:uiPriority w:val="9"/>
    <w:semiHidden/>
    <w:unhideWhenUsed/>
    <w:qFormat/>
    <w:rsid w:val="00D910A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spacing w:after="200" w:line="276" w:lineRule="auto"/>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spacing w:after="200" w:line="276" w:lineRule="auto"/>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VIÑETA,HOJA,Bolita,List Paragraph,Párrafo de lista4,BOLADEF,Párrafo de lista3,Párrafo de lista21,BOLA,Nivel 1 OS,Colorful List Accent 1,Colorful List - Accent 11,Bullet List,FooterText,numbered,List Paragraph1,Foot,列出段落,l"/>
    <w:basedOn w:val="Normal"/>
    <w:link w:val="PrrafodelistaCar"/>
    <w:uiPriority w:val="34"/>
    <w:qFormat/>
    <w:rsid w:val="001A74F0"/>
    <w:pPr>
      <w:spacing w:after="200" w:line="276" w:lineRule="auto"/>
      <w:ind w:left="720"/>
      <w:contextualSpacing/>
    </w:pPr>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ED6D30"/>
    <w:rPr>
      <w:rFonts w:ascii="Lucida Grande" w:eastAsiaTheme="minorEastAsia" w:hAnsi="Lucida Grande" w:cs="Lucida Grande"/>
      <w:sz w:val="18"/>
      <w:szCs w:val="18"/>
      <w:lang w:val="es-ES_tradnl" w:eastAsia="es-ES_tradnl"/>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PrrafodelistaCar">
    <w:name w:val="Párrafo de lista Car"/>
    <w:aliases w:val="Llista Nivell1 Car,VIÑETA Car,HOJA Car,Bolita Car,List Paragraph Car,Párrafo de lista4 Car,BOLADEF Car,Párrafo de lista3 Car,Párrafo de lista21 Car,BOLA Car,Nivel 1 OS Car,Colorful List Accent 1 Car,Colorful List - Accent 11 Car"/>
    <w:link w:val="Prrafodelista"/>
    <w:uiPriority w:val="34"/>
    <w:qFormat/>
    <w:rsid w:val="00D71F74"/>
    <w:rPr>
      <w:rFonts w:ascii="Calibri" w:eastAsia="Calibri" w:hAnsi="Calibri" w:cs="Times New Roman"/>
      <w:sz w:val="22"/>
      <w:szCs w:val="22"/>
      <w:lang w:eastAsia="en-US"/>
    </w:rPr>
  </w:style>
  <w:style w:type="table" w:styleId="Tablaconcuadrcula">
    <w:name w:val="Table Grid"/>
    <w:basedOn w:val="Tablanormal"/>
    <w:uiPriority w:val="39"/>
    <w:rsid w:val="00D71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4E52C7"/>
    <w:rPr>
      <w:rFonts w:ascii="Arial" w:eastAsia="Arial" w:hAnsi="Arial" w:cs="Arial"/>
      <w:b/>
      <w:bCs/>
      <w:sz w:val="23"/>
      <w:szCs w:val="23"/>
      <w:lang w:val="es-ES" w:eastAsia="en-US"/>
    </w:rPr>
  </w:style>
  <w:style w:type="paragraph" w:styleId="Textoindependiente">
    <w:name w:val="Body Text"/>
    <w:basedOn w:val="Normal"/>
    <w:link w:val="TextoindependienteCar"/>
    <w:uiPriority w:val="1"/>
    <w:qFormat/>
    <w:rsid w:val="004E52C7"/>
    <w:pPr>
      <w:widowControl w:val="0"/>
      <w:autoSpaceDE w:val="0"/>
      <w:autoSpaceDN w:val="0"/>
    </w:pPr>
    <w:rPr>
      <w:rFonts w:ascii="Arial MT" w:eastAsia="Arial MT" w:hAnsi="Arial MT" w:cs="Arial MT"/>
      <w:sz w:val="23"/>
      <w:szCs w:val="23"/>
      <w:lang w:val="es-ES" w:eastAsia="en-US"/>
    </w:rPr>
  </w:style>
  <w:style w:type="character" w:customStyle="1" w:styleId="TextoindependienteCar">
    <w:name w:val="Texto independiente Car"/>
    <w:basedOn w:val="Fuentedeprrafopredeter"/>
    <w:link w:val="Textoindependiente"/>
    <w:uiPriority w:val="1"/>
    <w:rsid w:val="004E52C7"/>
    <w:rPr>
      <w:rFonts w:ascii="Arial MT" w:eastAsia="Arial MT" w:hAnsi="Arial MT" w:cs="Arial MT"/>
      <w:sz w:val="23"/>
      <w:szCs w:val="23"/>
      <w:lang w:val="es-ES" w:eastAsia="en-US"/>
    </w:rPr>
  </w:style>
  <w:style w:type="paragraph" w:customStyle="1" w:styleId="MINUTAS">
    <w:name w:val="MINUTAS"/>
    <w:uiPriority w:val="99"/>
    <w:rsid w:val="004E52C7"/>
    <w:pPr>
      <w:spacing w:before="170"/>
      <w:ind w:left="170" w:right="170"/>
      <w:jc w:val="both"/>
    </w:pPr>
    <w:rPr>
      <w:rFonts w:ascii="Helvetica" w:eastAsia="Times New Roman" w:hAnsi="Helvetica" w:cs="Times New Roman"/>
      <w:sz w:val="20"/>
      <w:szCs w:val="20"/>
      <w:lang w:val="en-US"/>
    </w:rPr>
  </w:style>
  <w:style w:type="character" w:customStyle="1" w:styleId="SinespaciadoCar">
    <w:name w:val="Sin espaciado Car"/>
    <w:basedOn w:val="Fuentedeprrafopredeter"/>
    <w:link w:val="Sinespaciado"/>
    <w:uiPriority w:val="1"/>
    <w:rsid w:val="004E52C7"/>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E52C7"/>
    <w:rPr>
      <w:color w:val="0000FF" w:themeColor="hyperlink"/>
      <w:u w:val="single"/>
    </w:rPr>
  </w:style>
  <w:style w:type="table" w:customStyle="1" w:styleId="TableNormal2">
    <w:name w:val="Table Normal2"/>
    <w:uiPriority w:val="2"/>
    <w:semiHidden/>
    <w:unhideWhenUsed/>
    <w:qFormat/>
    <w:rsid w:val="004E52C7"/>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styleId="Nmerodepgina">
    <w:name w:val="page number"/>
    <w:basedOn w:val="Fuentedeprrafopredeter"/>
    <w:rsid w:val="00835D99"/>
  </w:style>
  <w:style w:type="paragraph" w:styleId="Revisin">
    <w:name w:val="Revision"/>
    <w:hidden/>
    <w:uiPriority w:val="99"/>
    <w:semiHidden/>
    <w:rsid w:val="00243D90"/>
    <w:rPr>
      <w:rFonts w:ascii="Times New Roman" w:hAnsi="Times New Roman" w:cs="Times New Roman"/>
      <w:lang w:val="es-ES_tradnl" w:eastAsia="es-ES_tradnl"/>
    </w:rPr>
  </w:style>
  <w:style w:type="paragraph" w:styleId="NormalWeb">
    <w:name w:val="Normal (Web)"/>
    <w:basedOn w:val="Normal"/>
    <w:uiPriority w:val="99"/>
    <w:unhideWhenUsed/>
    <w:rsid w:val="000F7CA5"/>
    <w:pPr>
      <w:spacing w:before="100" w:beforeAutospacing="1" w:after="100" w:afterAutospacing="1"/>
    </w:pPr>
    <w:rPr>
      <w:lang w:eastAsia="es-CO"/>
    </w:rPr>
  </w:style>
  <w:style w:type="character" w:customStyle="1" w:styleId="Ttulo2Car">
    <w:name w:val="Título 2 Car"/>
    <w:basedOn w:val="Fuentedeprrafopredeter"/>
    <w:link w:val="Ttulo2"/>
    <w:uiPriority w:val="9"/>
    <w:semiHidden/>
    <w:rsid w:val="00D910A2"/>
    <w:rPr>
      <w:rFonts w:asciiTheme="majorHAnsi" w:eastAsiaTheme="majorEastAsia" w:hAnsiTheme="majorHAnsi" w:cstheme="majorBidi"/>
      <w:color w:val="365F91" w:themeColor="accent1" w:themeShade="BF"/>
      <w:sz w:val="26"/>
      <w:szCs w:val="26"/>
      <w:lang w:eastAsia="es-MX"/>
    </w:rPr>
  </w:style>
  <w:style w:type="character" w:styleId="Mencinsinresolver">
    <w:name w:val="Unresolved Mention"/>
    <w:basedOn w:val="Fuentedeprrafopredeter"/>
    <w:uiPriority w:val="99"/>
    <w:rsid w:val="002C7ACD"/>
    <w:rPr>
      <w:color w:val="605E5C"/>
      <w:shd w:val="clear" w:color="auto" w:fill="E1DFDD"/>
    </w:rPr>
  </w:style>
  <w:style w:type="table" w:customStyle="1" w:styleId="Tablaconcuadrcula10">
    <w:name w:val="Tabla con cuadrícula10"/>
    <w:basedOn w:val="Tablanormal"/>
    <w:next w:val="Tablaconcuadrcula"/>
    <w:uiPriority w:val="59"/>
    <w:rsid w:val="00CF6A79"/>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6353B"/>
    <w:pPr>
      <w:widowControl w:val="0"/>
      <w:autoSpaceDE w:val="0"/>
      <w:autoSpaceDN w:val="0"/>
    </w:pPr>
    <w:rPr>
      <w:rFonts w:ascii="Tahoma" w:eastAsia="Tahoma" w:hAnsi="Tahoma" w:cs="Tahoma"/>
      <w:sz w:val="22"/>
      <w:szCs w:val="22"/>
      <w:lang w:eastAsia="es-CO" w:bidi="es-CO"/>
    </w:rPr>
  </w:style>
  <w:style w:type="table" w:customStyle="1" w:styleId="TableNormal1">
    <w:name w:val="Table Normal1"/>
    <w:uiPriority w:val="2"/>
    <w:semiHidden/>
    <w:unhideWhenUsed/>
    <w:qFormat/>
    <w:rsid w:val="0036353B"/>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67546C"/>
    <w:rPr>
      <w:color w:val="800080" w:themeColor="followedHyperlink"/>
      <w:u w:val="single"/>
    </w:rPr>
  </w:style>
  <w:style w:type="character" w:customStyle="1" w:styleId="vortalnumericspan">
    <w:name w:val="vortalnumericspan"/>
    <w:basedOn w:val="Fuentedeprrafopredeter"/>
    <w:rsid w:val="003B1A32"/>
  </w:style>
  <w:style w:type="table" w:customStyle="1" w:styleId="TableNormal">
    <w:name w:val="Table Normal"/>
    <w:uiPriority w:val="2"/>
    <w:semiHidden/>
    <w:unhideWhenUsed/>
    <w:qFormat/>
    <w:rsid w:val="00A14D7B"/>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subtitulos">
    <w:name w:val="subtitulos"/>
    <w:basedOn w:val="Normal"/>
    <w:rsid w:val="0094520E"/>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9253">
      <w:bodyDiv w:val="1"/>
      <w:marLeft w:val="0"/>
      <w:marRight w:val="0"/>
      <w:marTop w:val="0"/>
      <w:marBottom w:val="0"/>
      <w:divBdr>
        <w:top w:val="none" w:sz="0" w:space="0" w:color="auto"/>
        <w:left w:val="none" w:sz="0" w:space="0" w:color="auto"/>
        <w:bottom w:val="none" w:sz="0" w:space="0" w:color="auto"/>
        <w:right w:val="none" w:sz="0" w:space="0" w:color="auto"/>
      </w:divBdr>
    </w:div>
    <w:div w:id="31276092">
      <w:bodyDiv w:val="1"/>
      <w:marLeft w:val="0"/>
      <w:marRight w:val="0"/>
      <w:marTop w:val="0"/>
      <w:marBottom w:val="0"/>
      <w:divBdr>
        <w:top w:val="none" w:sz="0" w:space="0" w:color="auto"/>
        <w:left w:val="none" w:sz="0" w:space="0" w:color="auto"/>
        <w:bottom w:val="none" w:sz="0" w:space="0" w:color="auto"/>
        <w:right w:val="none" w:sz="0" w:space="0" w:color="auto"/>
      </w:divBdr>
    </w:div>
    <w:div w:id="35669148">
      <w:bodyDiv w:val="1"/>
      <w:marLeft w:val="0"/>
      <w:marRight w:val="0"/>
      <w:marTop w:val="0"/>
      <w:marBottom w:val="0"/>
      <w:divBdr>
        <w:top w:val="none" w:sz="0" w:space="0" w:color="auto"/>
        <w:left w:val="none" w:sz="0" w:space="0" w:color="auto"/>
        <w:bottom w:val="none" w:sz="0" w:space="0" w:color="auto"/>
        <w:right w:val="none" w:sz="0" w:space="0" w:color="auto"/>
      </w:divBdr>
    </w:div>
    <w:div w:id="62488477">
      <w:bodyDiv w:val="1"/>
      <w:marLeft w:val="0"/>
      <w:marRight w:val="0"/>
      <w:marTop w:val="0"/>
      <w:marBottom w:val="0"/>
      <w:divBdr>
        <w:top w:val="none" w:sz="0" w:space="0" w:color="auto"/>
        <w:left w:val="none" w:sz="0" w:space="0" w:color="auto"/>
        <w:bottom w:val="none" w:sz="0" w:space="0" w:color="auto"/>
        <w:right w:val="none" w:sz="0" w:space="0" w:color="auto"/>
      </w:divBdr>
    </w:div>
    <w:div w:id="77602166">
      <w:bodyDiv w:val="1"/>
      <w:marLeft w:val="0"/>
      <w:marRight w:val="0"/>
      <w:marTop w:val="0"/>
      <w:marBottom w:val="0"/>
      <w:divBdr>
        <w:top w:val="none" w:sz="0" w:space="0" w:color="auto"/>
        <w:left w:val="none" w:sz="0" w:space="0" w:color="auto"/>
        <w:bottom w:val="none" w:sz="0" w:space="0" w:color="auto"/>
        <w:right w:val="none" w:sz="0" w:space="0" w:color="auto"/>
      </w:divBdr>
    </w:div>
    <w:div w:id="79914440">
      <w:bodyDiv w:val="1"/>
      <w:marLeft w:val="0"/>
      <w:marRight w:val="0"/>
      <w:marTop w:val="0"/>
      <w:marBottom w:val="0"/>
      <w:divBdr>
        <w:top w:val="none" w:sz="0" w:space="0" w:color="auto"/>
        <w:left w:val="none" w:sz="0" w:space="0" w:color="auto"/>
        <w:bottom w:val="none" w:sz="0" w:space="0" w:color="auto"/>
        <w:right w:val="none" w:sz="0" w:space="0" w:color="auto"/>
      </w:divBdr>
    </w:div>
    <w:div w:id="80686898">
      <w:bodyDiv w:val="1"/>
      <w:marLeft w:val="0"/>
      <w:marRight w:val="0"/>
      <w:marTop w:val="0"/>
      <w:marBottom w:val="0"/>
      <w:divBdr>
        <w:top w:val="none" w:sz="0" w:space="0" w:color="auto"/>
        <w:left w:val="none" w:sz="0" w:space="0" w:color="auto"/>
        <w:bottom w:val="none" w:sz="0" w:space="0" w:color="auto"/>
        <w:right w:val="none" w:sz="0" w:space="0" w:color="auto"/>
      </w:divBdr>
    </w:div>
    <w:div w:id="88939420">
      <w:bodyDiv w:val="1"/>
      <w:marLeft w:val="0"/>
      <w:marRight w:val="0"/>
      <w:marTop w:val="0"/>
      <w:marBottom w:val="0"/>
      <w:divBdr>
        <w:top w:val="none" w:sz="0" w:space="0" w:color="auto"/>
        <w:left w:val="none" w:sz="0" w:space="0" w:color="auto"/>
        <w:bottom w:val="none" w:sz="0" w:space="0" w:color="auto"/>
        <w:right w:val="none" w:sz="0" w:space="0" w:color="auto"/>
      </w:divBdr>
    </w:div>
    <w:div w:id="97680860">
      <w:bodyDiv w:val="1"/>
      <w:marLeft w:val="0"/>
      <w:marRight w:val="0"/>
      <w:marTop w:val="0"/>
      <w:marBottom w:val="0"/>
      <w:divBdr>
        <w:top w:val="none" w:sz="0" w:space="0" w:color="auto"/>
        <w:left w:val="none" w:sz="0" w:space="0" w:color="auto"/>
        <w:bottom w:val="none" w:sz="0" w:space="0" w:color="auto"/>
        <w:right w:val="none" w:sz="0" w:space="0" w:color="auto"/>
      </w:divBdr>
      <w:divsChild>
        <w:div w:id="276067613">
          <w:marLeft w:val="0"/>
          <w:marRight w:val="0"/>
          <w:marTop w:val="0"/>
          <w:marBottom w:val="0"/>
          <w:divBdr>
            <w:top w:val="none" w:sz="0" w:space="0" w:color="auto"/>
            <w:left w:val="none" w:sz="0" w:space="0" w:color="auto"/>
            <w:bottom w:val="none" w:sz="0" w:space="0" w:color="auto"/>
            <w:right w:val="none" w:sz="0" w:space="0" w:color="auto"/>
          </w:divBdr>
          <w:divsChild>
            <w:div w:id="1060440812">
              <w:marLeft w:val="0"/>
              <w:marRight w:val="0"/>
              <w:marTop w:val="0"/>
              <w:marBottom w:val="0"/>
              <w:divBdr>
                <w:top w:val="none" w:sz="0" w:space="0" w:color="auto"/>
                <w:left w:val="none" w:sz="0" w:space="0" w:color="auto"/>
                <w:bottom w:val="none" w:sz="0" w:space="0" w:color="auto"/>
                <w:right w:val="none" w:sz="0" w:space="0" w:color="auto"/>
              </w:divBdr>
              <w:divsChild>
                <w:div w:id="523708484">
                  <w:marLeft w:val="0"/>
                  <w:marRight w:val="0"/>
                  <w:marTop w:val="0"/>
                  <w:marBottom w:val="0"/>
                  <w:divBdr>
                    <w:top w:val="none" w:sz="0" w:space="0" w:color="auto"/>
                    <w:left w:val="none" w:sz="0" w:space="0" w:color="auto"/>
                    <w:bottom w:val="none" w:sz="0" w:space="0" w:color="auto"/>
                    <w:right w:val="none" w:sz="0" w:space="0" w:color="auto"/>
                  </w:divBdr>
                  <w:divsChild>
                    <w:div w:id="14231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79351">
      <w:bodyDiv w:val="1"/>
      <w:marLeft w:val="0"/>
      <w:marRight w:val="0"/>
      <w:marTop w:val="0"/>
      <w:marBottom w:val="0"/>
      <w:divBdr>
        <w:top w:val="none" w:sz="0" w:space="0" w:color="auto"/>
        <w:left w:val="none" w:sz="0" w:space="0" w:color="auto"/>
        <w:bottom w:val="none" w:sz="0" w:space="0" w:color="auto"/>
        <w:right w:val="none" w:sz="0" w:space="0" w:color="auto"/>
      </w:divBdr>
    </w:div>
    <w:div w:id="129132950">
      <w:bodyDiv w:val="1"/>
      <w:marLeft w:val="0"/>
      <w:marRight w:val="0"/>
      <w:marTop w:val="0"/>
      <w:marBottom w:val="0"/>
      <w:divBdr>
        <w:top w:val="none" w:sz="0" w:space="0" w:color="auto"/>
        <w:left w:val="none" w:sz="0" w:space="0" w:color="auto"/>
        <w:bottom w:val="none" w:sz="0" w:space="0" w:color="auto"/>
        <w:right w:val="none" w:sz="0" w:space="0" w:color="auto"/>
      </w:divBdr>
    </w:div>
    <w:div w:id="176160803">
      <w:bodyDiv w:val="1"/>
      <w:marLeft w:val="0"/>
      <w:marRight w:val="0"/>
      <w:marTop w:val="0"/>
      <w:marBottom w:val="0"/>
      <w:divBdr>
        <w:top w:val="none" w:sz="0" w:space="0" w:color="auto"/>
        <w:left w:val="none" w:sz="0" w:space="0" w:color="auto"/>
        <w:bottom w:val="none" w:sz="0" w:space="0" w:color="auto"/>
        <w:right w:val="none" w:sz="0" w:space="0" w:color="auto"/>
      </w:divBdr>
    </w:div>
    <w:div w:id="199050945">
      <w:bodyDiv w:val="1"/>
      <w:marLeft w:val="0"/>
      <w:marRight w:val="0"/>
      <w:marTop w:val="0"/>
      <w:marBottom w:val="0"/>
      <w:divBdr>
        <w:top w:val="none" w:sz="0" w:space="0" w:color="auto"/>
        <w:left w:val="none" w:sz="0" w:space="0" w:color="auto"/>
        <w:bottom w:val="none" w:sz="0" w:space="0" w:color="auto"/>
        <w:right w:val="none" w:sz="0" w:space="0" w:color="auto"/>
      </w:divBdr>
    </w:div>
    <w:div w:id="206528628">
      <w:bodyDiv w:val="1"/>
      <w:marLeft w:val="0"/>
      <w:marRight w:val="0"/>
      <w:marTop w:val="0"/>
      <w:marBottom w:val="0"/>
      <w:divBdr>
        <w:top w:val="none" w:sz="0" w:space="0" w:color="auto"/>
        <w:left w:val="none" w:sz="0" w:space="0" w:color="auto"/>
        <w:bottom w:val="none" w:sz="0" w:space="0" w:color="auto"/>
        <w:right w:val="none" w:sz="0" w:space="0" w:color="auto"/>
      </w:divBdr>
    </w:div>
    <w:div w:id="208883531">
      <w:bodyDiv w:val="1"/>
      <w:marLeft w:val="0"/>
      <w:marRight w:val="0"/>
      <w:marTop w:val="0"/>
      <w:marBottom w:val="0"/>
      <w:divBdr>
        <w:top w:val="none" w:sz="0" w:space="0" w:color="auto"/>
        <w:left w:val="none" w:sz="0" w:space="0" w:color="auto"/>
        <w:bottom w:val="none" w:sz="0" w:space="0" w:color="auto"/>
        <w:right w:val="none" w:sz="0" w:space="0" w:color="auto"/>
      </w:divBdr>
    </w:div>
    <w:div w:id="212082536">
      <w:bodyDiv w:val="1"/>
      <w:marLeft w:val="0"/>
      <w:marRight w:val="0"/>
      <w:marTop w:val="0"/>
      <w:marBottom w:val="0"/>
      <w:divBdr>
        <w:top w:val="none" w:sz="0" w:space="0" w:color="auto"/>
        <w:left w:val="none" w:sz="0" w:space="0" w:color="auto"/>
        <w:bottom w:val="none" w:sz="0" w:space="0" w:color="auto"/>
        <w:right w:val="none" w:sz="0" w:space="0" w:color="auto"/>
      </w:divBdr>
    </w:div>
    <w:div w:id="219441243">
      <w:bodyDiv w:val="1"/>
      <w:marLeft w:val="0"/>
      <w:marRight w:val="0"/>
      <w:marTop w:val="0"/>
      <w:marBottom w:val="0"/>
      <w:divBdr>
        <w:top w:val="none" w:sz="0" w:space="0" w:color="auto"/>
        <w:left w:val="none" w:sz="0" w:space="0" w:color="auto"/>
        <w:bottom w:val="none" w:sz="0" w:space="0" w:color="auto"/>
        <w:right w:val="none" w:sz="0" w:space="0" w:color="auto"/>
      </w:divBdr>
    </w:div>
    <w:div w:id="224730657">
      <w:marLeft w:val="0"/>
      <w:marRight w:val="0"/>
      <w:marTop w:val="0"/>
      <w:marBottom w:val="0"/>
      <w:divBdr>
        <w:top w:val="none" w:sz="0" w:space="0" w:color="auto"/>
        <w:left w:val="none" w:sz="0" w:space="0" w:color="auto"/>
        <w:bottom w:val="none" w:sz="0" w:space="0" w:color="auto"/>
        <w:right w:val="none" w:sz="0" w:space="0" w:color="auto"/>
      </w:divBdr>
    </w:div>
    <w:div w:id="247619230">
      <w:bodyDiv w:val="1"/>
      <w:marLeft w:val="0"/>
      <w:marRight w:val="0"/>
      <w:marTop w:val="0"/>
      <w:marBottom w:val="0"/>
      <w:divBdr>
        <w:top w:val="none" w:sz="0" w:space="0" w:color="auto"/>
        <w:left w:val="none" w:sz="0" w:space="0" w:color="auto"/>
        <w:bottom w:val="none" w:sz="0" w:space="0" w:color="auto"/>
        <w:right w:val="none" w:sz="0" w:space="0" w:color="auto"/>
      </w:divBdr>
      <w:divsChild>
        <w:div w:id="2085754832">
          <w:marLeft w:val="0"/>
          <w:marRight w:val="0"/>
          <w:marTop w:val="0"/>
          <w:marBottom w:val="0"/>
          <w:divBdr>
            <w:top w:val="none" w:sz="0" w:space="0" w:color="auto"/>
            <w:left w:val="none" w:sz="0" w:space="0" w:color="auto"/>
            <w:bottom w:val="none" w:sz="0" w:space="0" w:color="auto"/>
            <w:right w:val="none" w:sz="0" w:space="0" w:color="auto"/>
          </w:divBdr>
          <w:divsChild>
            <w:div w:id="371462765">
              <w:marLeft w:val="0"/>
              <w:marRight w:val="0"/>
              <w:marTop w:val="0"/>
              <w:marBottom w:val="0"/>
              <w:divBdr>
                <w:top w:val="none" w:sz="0" w:space="0" w:color="auto"/>
                <w:left w:val="none" w:sz="0" w:space="0" w:color="auto"/>
                <w:bottom w:val="none" w:sz="0" w:space="0" w:color="auto"/>
                <w:right w:val="none" w:sz="0" w:space="0" w:color="auto"/>
              </w:divBdr>
              <w:divsChild>
                <w:div w:id="157339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661275">
      <w:bodyDiv w:val="1"/>
      <w:marLeft w:val="0"/>
      <w:marRight w:val="0"/>
      <w:marTop w:val="0"/>
      <w:marBottom w:val="0"/>
      <w:divBdr>
        <w:top w:val="none" w:sz="0" w:space="0" w:color="auto"/>
        <w:left w:val="none" w:sz="0" w:space="0" w:color="auto"/>
        <w:bottom w:val="none" w:sz="0" w:space="0" w:color="auto"/>
        <w:right w:val="none" w:sz="0" w:space="0" w:color="auto"/>
      </w:divBdr>
    </w:div>
    <w:div w:id="295795793">
      <w:bodyDiv w:val="1"/>
      <w:marLeft w:val="0"/>
      <w:marRight w:val="0"/>
      <w:marTop w:val="0"/>
      <w:marBottom w:val="0"/>
      <w:divBdr>
        <w:top w:val="none" w:sz="0" w:space="0" w:color="auto"/>
        <w:left w:val="none" w:sz="0" w:space="0" w:color="auto"/>
        <w:bottom w:val="none" w:sz="0" w:space="0" w:color="auto"/>
        <w:right w:val="none" w:sz="0" w:space="0" w:color="auto"/>
      </w:divBdr>
    </w:div>
    <w:div w:id="301859169">
      <w:bodyDiv w:val="1"/>
      <w:marLeft w:val="0"/>
      <w:marRight w:val="0"/>
      <w:marTop w:val="0"/>
      <w:marBottom w:val="0"/>
      <w:divBdr>
        <w:top w:val="none" w:sz="0" w:space="0" w:color="auto"/>
        <w:left w:val="none" w:sz="0" w:space="0" w:color="auto"/>
        <w:bottom w:val="none" w:sz="0" w:space="0" w:color="auto"/>
        <w:right w:val="none" w:sz="0" w:space="0" w:color="auto"/>
      </w:divBdr>
    </w:div>
    <w:div w:id="317029990">
      <w:bodyDiv w:val="1"/>
      <w:marLeft w:val="0"/>
      <w:marRight w:val="0"/>
      <w:marTop w:val="0"/>
      <w:marBottom w:val="0"/>
      <w:divBdr>
        <w:top w:val="none" w:sz="0" w:space="0" w:color="auto"/>
        <w:left w:val="none" w:sz="0" w:space="0" w:color="auto"/>
        <w:bottom w:val="none" w:sz="0" w:space="0" w:color="auto"/>
        <w:right w:val="none" w:sz="0" w:space="0" w:color="auto"/>
      </w:divBdr>
    </w:div>
    <w:div w:id="322128469">
      <w:bodyDiv w:val="1"/>
      <w:marLeft w:val="0"/>
      <w:marRight w:val="0"/>
      <w:marTop w:val="0"/>
      <w:marBottom w:val="0"/>
      <w:divBdr>
        <w:top w:val="none" w:sz="0" w:space="0" w:color="auto"/>
        <w:left w:val="none" w:sz="0" w:space="0" w:color="auto"/>
        <w:bottom w:val="none" w:sz="0" w:space="0" w:color="auto"/>
        <w:right w:val="none" w:sz="0" w:space="0" w:color="auto"/>
      </w:divBdr>
    </w:div>
    <w:div w:id="357585540">
      <w:bodyDiv w:val="1"/>
      <w:marLeft w:val="0"/>
      <w:marRight w:val="0"/>
      <w:marTop w:val="0"/>
      <w:marBottom w:val="0"/>
      <w:divBdr>
        <w:top w:val="none" w:sz="0" w:space="0" w:color="auto"/>
        <w:left w:val="none" w:sz="0" w:space="0" w:color="auto"/>
        <w:bottom w:val="none" w:sz="0" w:space="0" w:color="auto"/>
        <w:right w:val="none" w:sz="0" w:space="0" w:color="auto"/>
      </w:divBdr>
    </w:div>
    <w:div w:id="359864594">
      <w:bodyDiv w:val="1"/>
      <w:marLeft w:val="0"/>
      <w:marRight w:val="0"/>
      <w:marTop w:val="0"/>
      <w:marBottom w:val="0"/>
      <w:divBdr>
        <w:top w:val="none" w:sz="0" w:space="0" w:color="auto"/>
        <w:left w:val="none" w:sz="0" w:space="0" w:color="auto"/>
        <w:bottom w:val="none" w:sz="0" w:space="0" w:color="auto"/>
        <w:right w:val="none" w:sz="0" w:space="0" w:color="auto"/>
      </w:divBdr>
    </w:div>
    <w:div w:id="377516712">
      <w:bodyDiv w:val="1"/>
      <w:marLeft w:val="0"/>
      <w:marRight w:val="0"/>
      <w:marTop w:val="0"/>
      <w:marBottom w:val="0"/>
      <w:divBdr>
        <w:top w:val="none" w:sz="0" w:space="0" w:color="auto"/>
        <w:left w:val="none" w:sz="0" w:space="0" w:color="auto"/>
        <w:bottom w:val="none" w:sz="0" w:space="0" w:color="auto"/>
        <w:right w:val="none" w:sz="0" w:space="0" w:color="auto"/>
      </w:divBdr>
    </w:div>
    <w:div w:id="393166497">
      <w:bodyDiv w:val="1"/>
      <w:marLeft w:val="0"/>
      <w:marRight w:val="0"/>
      <w:marTop w:val="0"/>
      <w:marBottom w:val="0"/>
      <w:divBdr>
        <w:top w:val="none" w:sz="0" w:space="0" w:color="auto"/>
        <w:left w:val="none" w:sz="0" w:space="0" w:color="auto"/>
        <w:bottom w:val="none" w:sz="0" w:space="0" w:color="auto"/>
        <w:right w:val="none" w:sz="0" w:space="0" w:color="auto"/>
      </w:divBdr>
    </w:div>
    <w:div w:id="400375806">
      <w:bodyDiv w:val="1"/>
      <w:marLeft w:val="0"/>
      <w:marRight w:val="0"/>
      <w:marTop w:val="0"/>
      <w:marBottom w:val="0"/>
      <w:divBdr>
        <w:top w:val="none" w:sz="0" w:space="0" w:color="auto"/>
        <w:left w:val="none" w:sz="0" w:space="0" w:color="auto"/>
        <w:bottom w:val="none" w:sz="0" w:space="0" w:color="auto"/>
        <w:right w:val="none" w:sz="0" w:space="0" w:color="auto"/>
      </w:divBdr>
      <w:divsChild>
        <w:div w:id="45304831">
          <w:marLeft w:val="0"/>
          <w:marRight w:val="0"/>
          <w:marTop w:val="0"/>
          <w:marBottom w:val="0"/>
          <w:divBdr>
            <w:top w:val="none" w:sz="0" w:space="0" w:color="auto"/>
            <w:left w:val="none" w:sz="0" w:space="0" w:color="auto"/>
            <w:bottom w:val="none" w:sz="0" w:space="0" w:color="auto"/>
            <w:right w:val="none" w:sz="0" w:space="0" w:color="auto"/>
          </w:divBdr>
          <w:divsChild>
            <w:div w:id="1349870639">
              <w:marLeft w:val="0"/>
              <w:marRight w:val="0"/>
              <w:marTop w:val="0"/>
              <w:marBottom w:val="0"/>
              <w:divBdr>
                <w:top w:val="none" w:sz="0" w:space="0" w:color="auto"/>
                <w:left w:val="none" w:sz="0" w:space="0" w:color="auto"/>
                <w:bottom w:val="none" w:sz="0" w:space="0" w:color="auto"/>
                <w:right w:val="none" w:sz="0" w:space="0" w:color="auto"/>
              </w:divBdr>
              <w:divsChild>
                <w:div w:id="2066946936">
                  <w:marLeft w:val="0"/>
                  <w:marRight w:val="0"/>
                  <w:marTop w:val="0"/>
                  <w:marBottom w:val="0"/>
                  <w:divBdr>
                    <w:top w:val="none" w:sz="0" w:space="0" w:color="auto"/>
                    <w:left w:val="none" w:sz="0" w:space="0" w:color="auto"/>
                    <w:bottom w:val="none" w:sz="0" w:space="0" w:color="auto"/>
                    <w:right w:val="none" w:sz="0" w:space="0" w:color="auto"/>
                  </w:divBdr>
                  <w:divsChild>
                    <w:div w:id="28134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463848">
      <w:bodyDiv w:val="1"/>
      <w:marLeft w:val="0"/>
      <w:marRight w:val="0"/>
      <w:marTop w:val="0"/>
      <w:marBottom w:val="0"/>
      <w:divBdr>
        <w:top w:val="none" w:sz="0" w:space="0" w:color="auto"/>
        <w:left w:val="none" w:sz="0" w:space="0" w:color="auto"/>
        <w:bottom w:val="none" w:sz="0" w:space="0" w:color="auto"/>
        <w:right w:val="none" w:sz="0" w:space="0" w:color="auto"/>
      </w:divBdr>
    </w:div>
    <w:div w:id="412318641">
      <w:bodyDiv w:val="1"/>
      <w:marLeft w:val="0"/>
      <w:marRight w:val="0"/>
      <w:marTop w:val="0"/>
      <w:marBottom w:val="0"/>
      <w:divBdr>
        <w:top w:val="none" w:sz="0" w:space="0" w:color="auto"/>
        <w:left w:val="none" w:sz="0" w:space="0" w:color="auto"/>
        <w:bottom w:val="none" w:sz="0" w:space="0" w:color="auto"/>
        <w:right w:val="none" w:sz="0" w:space="0" w:color="auto"/>
      </w:divBdr>
    </w:div>
    <w:div w:id="448741184">
      <w:bodyDiv w:val="1"/>
      <w:marLeft w:val="0"/>
      <w:marRight w:val="0"/>
      <w:marTop w:val="0"/>
      <w:marBottom w:val="0"/>
      <w:divBdr>
        <w:top w:val="none" w:sz="0" w:space="0" w:color="auto"/>
        <w:left w:val="none" w:sz="0" w:space="0" w:color="auto"/>
        <w:bottom w:val="none" w:sz="0" w:space="0" w:color="auto"/>
        <w:right w:val="none" w:sz="0" w:space="0" w:color="auto"/>
      </w:divBdr>
      <w:divsChild>
        <w:div w:id="938685738">
          <w:marLeft w:val="0"/>
          <w:marRight w:val="0"/>
          <w:marTop w:val="0"/>
          <w:marBottom w:val="0"/>
          <w:divBdr>
            <w:top w:val="none" w:sz="0" w:space="0" w:color="auto"/>
            <w:left w:val="none" w:sz="0" w:space="0" w:color="auto"/>
            <w:bottom w:val="none" w:sz="0" w:space="0" w:color="auto"/>
            <w:right w:val="none" w:sz="0" w:space="0" w:color="auto"/>
          </w:divBdr>
          <w:divsChild>
            <w:div w:id="1549879282">
              <w:marLeft w:val="0"/>
              <w:marRight w:val="0"/>
              <w:marTop w:val="0"/>
              <w:marBottom w:val="0"/>
              <w:divBdr>
                <w:top w:val="none" w:sz="0" w:space="0" w:color="auto"/>
                <w:left w:val="none" w:sz="0" w:space="0" w:color="auto"/>
                <w:bottom w:val="none" w:sz="0" w:space="0" w:color="auto"/>
                <w:right w:val="none" w:sz="0" w:space="0" w:color="auto"/>
              </w:divBdr>
              <w:divsChild>
                <w:div w:id="1838113918">
                  <w:marLeft w:val="0"/>
                  <w:marRight w:val="0"/>
                  <w:marTop w:val="0"/>
                  <w:marBottom w:val="0"/>
                  <w:divBdr>
                    <w:top w:val="none" w:sz="0" w:space="0" w:color="auto"/>
                    <w:left w:val="none" w:sz="0" w:space="0" w:color="auto"/>
                    <w:bottom w:val="none" w:sz="0" w:space="0" w:color="auto"/>
                    <w:right w:val="none" w:sz="0" w:space="0" w:color="auto"/>
                  </w:divBdr>
                  <w:divsChild>
                    <w:div w:id="22672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535253">
      <w:bodyDiv w:val="1"/>
      <w:marLeft w:val="0"/>
      <w:marRight w:val="0"/>
      <w:marTop w:val="0"/>
      <w:marBottom w:val="0"/>
      <w:divBdr>
        <w:top w:val="none" w:sz="0" w:space="0" w:color="auto"/>
        <w:left w:val="none" w:sz="0" w:space="0" w:color="auto"/>
        <w:bottom w:val="none" w:sz="0" w:space="0" w:color="auto"/>
        <w:right w:val="none" w:sz="0" w:space="0" w:color="auto"/>
      </w:divBdr>
    </w:div>
    <w:div w:id="498622418">
      <w:bodyDiv w:val="1"/>
      <w:marLeft w:val="0"/>
      <w:marRight w:val="0"/>
      <w:marTop w:val="0"/>
      <w:marBottom w:val="0"/>
      <w:divBdr>
        <w:top w:val="none" w:sz="0" w:space="0" w:color="auto"/>
        <w:left w:val="none" w:sz="0" w:space="0" w:color="auto"/>
        <w:bottom w:val="none" w:sz="0" w:space="0" w:color="auto"/>
        <w:right w:val="none" w:sz="0" w:space="0" w:color="auto"/>
      </w:divBdr>
      <w:divsChild>
        <w:div w:id="1712343613">
          <w:marLeft w:val="0"/>
          <w:marRight w:val="0"/>
          <w:marTop w:val="0"/>
          <w:marBottom w:val="0"/>
          <w:divBdr>
            <w:top w:val="none" w:sz="0" w:space="0" w:color="auto"/>
            <w:left w:val="none" w:sz="0" w:space="0" w:color="auto"/>
            <w:bottom w:val="none" w:sz="0" w:space="0" w:color="auto"/>
            <w:right w:val="none" w:sz="0" w:space="0" w:color="auto"/>
          </w:divBdr>
        </w:div>
      </w:divsChild>
    </w:div>
    <w:div w:id="499008102">
      <w:bodyDiv w:val="1"/>
      <w:marLeft w:val="0"/>
      <w:marRight w:val="0"/>
      <w:marTop w:val="0"/>
      <w:marBottom w:val="0"/>
      <w:divBdr>
        <w:top w:val="none" w:sz="0" w:space="0" w:color="auto"/>
        <w:left w:val="none" w:sz="0" w:space="0" w:color="auto"/>
        <w:bottom w:val="none" w:sz="0" w:space="0" w:color="auto"/>
        <w:right w:val="none" w:sz="0" w:space="0" w:color="auto"/>
      </w:divBdr>
    </w:div>
    <w:div w:id="500202514">
      <w:bodyDiv w:val="1"/>
      <w:marLeft w:val="0"/>
      <w:marRight w:val="0"/>
      <w:marTop w:val="0"/>
      <w:marBottom w:val="0"/>
      <w:divBdr>
        <w:top w:val="none" w:sz="0" w:space="0" w:color="auto"/>
        <w:left w:val="none" w:sz="0" w:space="0" w:color="auto"/>
        <w:bottom w:val="none" w:sz="0" w:space="0" w:color="auto"/>
        <w:right w:val="none" w:sz="0" w:space="0" w:color="auto"/>
      </w:divBdr>
    </w:div>
    <w:div w:id="515310612">
      <w:bodyDiv w:val="1"/>
      <w:marLeft w:val="0"/>
      <w:marRight w:val="0"/>
      <w:marTop w:val="0"/>
      <w:marBottom w:val="0"/>
      <w:divBdr>
        <w:top w:val="none" w:sz="0" w:space="0" w:color="auto"/>
        <w:left w:val="none" w:sz="0" w:space="0" w:color="auto"/>
        <w:bottom w:val="none" w:sz="0" w:space="0" w:color="auto"/>
        <w:right w:val="none" w:sz="0" w:space="0" w:color="auto"/>
      </w:divBdr>
    </w:div>
    <w:div w:id="519246784">
      <w:bodyDiv w:val="1"/>
      <w:marLeft w:val="0"/>
      <w:marRight w:val="0"/>
      <w:marTop w:val="0"/>
      <w:marBottom w:val="0"/>
      <w:divBdr>
        <w:top w:val="none" w:sz="0" w:space="0" w:color="auto"/>
        <w:left w:val="none" w:sz="0" w:space="0" w:color="auto"/>
        <w:bottom w:val="none" w:sz="0" w:space="0" w:color="auto"/>
        <w:right w:val="none" w:sz="0" w:space="0" w:color="auto"/>
      </w:divBdr>
    </w:div>
    <w:div w:id="540017851">
      <w:bodyDiv w:val="1"/>
      <w:marLeft w:val="0"/>
      <w:marRight w:val="0"/>
      <w:marTop w:val="0"/>
      <w:marBottom w:val="0"/>
      <w:divBdr>
        <w:top w:val="none" w:sz="0" w:space="0" w:color="auto"/>
        <w:left w:val="none" w:sz="0" w:space="0" w:color="auto"/>
        <w:bottom w:val="none" w:sz="0" w:space="0" w:color="auto"/>
        <w:right w:val="none" w:sz="0" w:space="0" w:color="auto"/>
      </w:divBdr>
    </w:div>
    <w:div w:id="553585717">
      <w:bodyDiv w:val="1"/>
      <w:marLeft w:val="0"/>
      <w:marRight w:val="0"/>
      <w:marTop w:val="0"/>
      <w:marBottom w:val="0"/>
      <w:divBdr>
        <w:top w:val="none" w:sz="0" w:space="0" w:color="auto"/>
        <w:left w:val="none" w:sz="0" w:space="0" w:color="auto"/>
        <w:bottom w:val="none" w:sz="0" w:space="0" w:color="auto"/>
        <w:right w:val="none" w:sz="0" w:space="0" w:color="auto"/>
      </w:divBdr>
    </w:div>
    <w:div w:id="617032709">
      <w:bodyDiv w:val="1"/>
      <w:marLeft w:val="0"/>
      <w:marRight w:val="0"/>
      <w:marTop w:val="0"/>
      <w:marBottom w:val="0"/>
      <w:divBdr>
        <w:top w:val="none" w:sz="0" w:space="0" w:color="auto"/>
        <w:left w:val="none" w:sz="0" w:space="0" w:color="auto"/>
        <w:bottom w:val="none" w:sz="0" w:space="0" w:color="auto"/>
        <w:right w:val="none" w:sz="0" w:space="0" w:color="auto"/>
      </w:divBdr>
    </w:div>
    <w:div w:id="652679824">
      <w:bodyDiv w:val="1"/>
      <w:marLeft w:val="0"/>
      <w:marRight w:val="0"/>
      <w:marTop w:val="0"/>
      <w:marBottom w:val="0"/>
      <w:divBdr>
        <w:top w:val="none" w:sz="0" w:space="0" w:color="auto"/>
        <w:left w:val="none" w:sz="0" w:space="0" w:color="auto"/>
        <w:bottom w:val="none" w:sz="0" w:space="0" w:color="auto"/>
        <w:right w:val="none" w:sz="0" w:space="0" w:color="auto"/>
      </w:divBdr>
      <w:divsChild>
        <w:div w:id="1947617643">
          <w:marLeft w:val="0"/>
          <w:marRight w:val="0"/>
          <w:marTop w:val="0"/>
          <w:marBottom w:val="0"/>
          <w:divBdr>
            <w:top w:val="none" w:sz="0" w:space="0" w:color="auto"/>
            <w:left w:val="none" w:sz="0" w:space="0" w:color="auto"/>
            <w:bottom w:val="none" w:sz="0" w:space="0" w:color="auto"/>
            <w:right w:val="none" w:sz="0" w:space="0" w:color="auto"/>
          </w:divBdr>
          <w:divsChild>
            <w:div w:id="1756972050">
              <w:marLeft w:val="0"/>
              <w:marRight w:val="0"/>
              <w:marTop w:val="0"/>
              <w:marBottom w:val="0"/>
              <w:divBdr>
                <w:top w:val="none" w:sz="0" w:space="0" w:color="auto"/>
                <w:left w:val="none" w:sz="0" w:space="0" w:color="auto"/>
                <w:bottom w:val="none" w:sz="0" w:space="0" w:color="auto"/>
                <w:right w:val="none" w:sz="0" w:space="0" w:color="auto"/>
              </w:divBdr>
              <w:divsChild>
                <w:div w:id="1770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38808">
      <w:bodyDiv w:val="1"/>
      <w:marLeft w:val="0"/>
      <w:marRight w:val="0"/>
      <w:marTop w:val="0"/>
      <w:marBottom w:val="0"/>
      <w:divBdr>
        <w:top w:val="none" w:sz="0" w:space="0" w:color="auto"/>
        <w:left w:val="none" w:sz="0" w:space="0" w:color="auto"/>
        <w:bottom w:val="none" w:sz="0" w:space="0" w:color="auto"/>
        <w:right w:val="none" w:sz="0" w:space="0" w:color="auto"/>
      </w:divBdr>
    </w:div>
    <w:div w:id="659699986">
      <w:bodyDiv w:val="1"/>
      <w:marLeft w:val="0"/>
      <w:marRight w:val="0"/>
      <w:marTop w:val="0"/>
      <w:marBottom w:val="0"/>
      <w:divBdr>
        <w:top w:val="none" w:sz="0" w:space="0" w:color="auto"/>
        <w:left w:val="none" w:sz="0" w:space="0" w:color="auto"/>
        <w:bottom w:val="none" w:sz="0" w:space="0" w:color="auto"/>
        <w:right w:val="none" w:sz="0" w:space="0" w:color="auto"/>
      </w:divBdr>
    </w:div>
    <w:div w:id="699818451">
      <w:bodyDiv w:val="1"/>
      <w:marLeft w:val="0"/>
      <w:marRight w:val="0"/>
      <w:marTop w:val="0"/>
      <w:marBottom w:val="0"/>
      <w:divBdr>
        <w:top w:val="none" w:sz="0" w:space="0" w:color="auto"/>
        <w:left w:val="none" w:sz="0" w:space="0" w:color="auto"/>
        <w:bottom w:val="none" w:sz="0" w:space="0" w:color="auto"/>
        <w:right w:val="none" w:sz="0" w:space="0" w:color="auto"/>
      </w:divBdr>
    </w:div>
    <w:div w:id="703097819">
      <w:bodyDiv w:val="1"/>
      <w:marLeft w:val="0"/>
      <w:marRight w:val="0"/>
      <w:marTop w:val="0"/>
      <w:marBottom w:val="0"/>
      <w:divBdr>
        <w:top w:val="none" w:sz="0" w:space="0" w:color="auto"/>
        <w:left w:val="none" w:sz="0" w:space="0" w:color="auto"/>
        <w:bottom w:val="none" w:sz="0" w:space="0" w:color="auto"/>
        <w:right w:val="none" w:sz="0" w:space="0" w:color="auto"/>
      </w:divBdr>
    </w:div>
    <w:div w:id="711155912">
      <w:bodyDiv w:val="1"/>
      <w:marLeft w:val="0"/>
      <w:marRight w:val="0"/>
      <w:marTop w:val="0"/>
      <w:marBottom w:val="0"/>
      <w:divBdr>
        <w:top w:val="none" w:sz="0" w:space="0" w:color="auto"/>
        <w:left w:val="none" w:sz="0" w:space="0" w:color="auto"/>
        <w:bottom w:val="none" w:sz="0" w:space="0" w:color="auto"/>
        <w:right w:val="none" w:sz="0" w:space="0" w:color="auto"/>
      </w:divBdr>
      <w:divsChild>
        <w:div w:id="1201241828">
          <w:marLeft w:val="0"/>
          <w:marRight w:val="0"/>
          <w:marTop w:val="0"/>
          <w:marBottom w:val="0"/>
          <w:divBdr>
            <w:top w:val="none" w:sz="0" w:space="0" w:color="auto"/>
            <w:left w:val="none" w:sz="0" w:space="0" w:color="auto"/>
            <w:bottom w:val="none" w:sz="0" w:space="0" w:color="auto"/>
            <w:right w:val="none" w:sz="0" w:space="0" w:color="auto"/>
          </w:divBdr>
          <w:divsChild>
            <w:div w:id="1619868668">
              <w:marLeft w:val="0"/>
              <w:marRight w:val="0"/>
              <w:marTop w:val="0"/>
              <w:marBottom w:val="0"/>
              <w:divBdr>
                <w:top w:val="none" w:sz="0" w:space="0" w:color="auto"/>
                <w:left w:val="none" w:sz="0" w:space="0" w:color="auto"/>
                <w:bottom w:val="none" w:sz="0" w:space="0" w:color="auto"/>
                <w:right w:val="none" w:sz="0" w:space="0" w:color="auto"/>
              </w:divBdr>
              <w:divsChild>
                <w:div w:id="15562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627086">
      <w:bodyDiv w:val="1"/>
      <w:marLeft w:val="0"/>
      <w:marRight w:val="0"/>
      <w:marTop w:val="0"/>
      <w:marBottom w:val="0"/>
      <w:divBdr>
        <w:top w:val="none" w:sz="0" w:space="0" w:color="auto"/>
        <w:left w:val="none" w:sz="0" w:space="0" w:color="auto"/>
        <w:bottom w:val="none" w:sz="0" w:space="0" w:color="auto"/>
        <w:right w:val="none" w:sz="0" w:space="0" w:color="auto"/>
      </w:divBdr>
    </w:div>
    <w:div w:id="718823228">
      <w:bodyDiv w:val="1"/>
      <w:marLeft w:val="0"/>
      <w:marRight w:val="0"/>
      <w:marTop w:val="0"/>
      <w:marBottom w:val="0"/>
      <w:divBdr>
        <w:top w:val="none" w:sz="0" w:space="0" w:color="auto"/>
        <w:left w:val="none" w:sz="0" w:space="0" w:color="auto"/>
        <w:bottom w:val="none" w:sz="0" w:space="0" w:color="auto"/>
        <w:right w:val="none" w:sz="0" w:space="0" w:color="auto"/>
      </w:divBdr>
    </w:div>
    <w:div w:id="722751155">
      <w:bodyDiv w:val="1"/>
      <w:marLeft w:val="0"/>
      <w:marRight w:val="0"/>
      <w:marTop w:val="0"/>
      <w:marBottom w:val="0"/>
      <w:divBdr>
        <w:top w:val="none" w:sz="0" w:space="0" w:color="auto"/>
        <w:left w:val="none" w:sz="0" w:space="0" w:color="auto"/>
        <w:bottom w:val="none" w:sz="0" w:space="0" w:color="auto"/>
        <w:right w:val="none" w:sz="0" w:space="0" w:color="auto"/>
      </w:divBdr>
    </w:div>
    <w:div w:id="750005001">
      <w:bodyDiv w:val="1"/>
      <w:marLeft w:val="0"/>
      <w:marRight w:val="0"/>
      <w:marTop w:val="0"/>
      <w:marBottom w:val="0"/>
      <w:divBdr>
        <w:top w:val="none" w:sz="0" w:space="0" w:color="auto"/>
        <w:left w:val="none" w:sz="0" w:space="0" w:color="auto"/>
        <w:bottom w:val="none" w:sz="0" w:space="0" w:color="auto"/>
        <w:right w:val="none" w:sz="0" w:space="0" w:color="auto"/>
      </w:divBdr>
      <w:divsChild>
        <w:div w:id="921765836">
          <w:marLeft w:val="0"/>
          <w:marRight w:val="0"/>
          <w:marTop w:val="0"/>
          <w:marBottom w:val="0"/>
          <w:divBdr>
            <w:top w:val="none" w:sz="0" w:space="0" w:color="auto"/>
            <w:left w:val="none" w:sz="0" w:space="0" w:color="auto"/>
            <w:bottom w:val="none" w:sz="0" w:space="0" w:color="auto"/>
            <w:right w:val="none" w:sz="0" w:space="0" w:color="auto"/>
          </w:divBdr>
          <w:divsChild>
            <w:div w:id="1709254830">
              <w:marLeft w:val="0"/>
              <w:marRight w:val="0"/>
              <w:marTop w:val="0"/>
              <w:marBottom w:val="0"/>
              <w:divBdr>
                <w:top w:val="none" w:sz="0" w:space="0" w:color="auto"/>
                <w:left w:val="none" w:sz="0" w:space="0" w:color="auto"/>
                <w:bottom w:val="none" w:sz="0" w:space="0" w:color="auto"/>
                <w:right w:val="none" w:sz="0" w:space="0" w:color="auto"/>
              </w:divBdr>
              <w:divsChild>
                <w:div w:id="254556497">
                  <w:marLeft w:val="0"/>
                  <w:marRight w:val="0"/>
                  <w:marTop w:val="0"/>
                  <w:marBottom w:val="0"/>
                  <w:divBdr>
                    <w:top w:val="none" w:sz="0" w:space="0" w:color="auto"/>
                    <w:left w:val="none" w:sz="0" w:space="0" w:color="auto"/>
                    <w:bottom w:val="none" w:sz="0" w:space="0" w:color="auto"/>
                    <w:right w:val="none" w:sz="0" w:space="0" w:color="auto"/>
                  </w:divBdr>
                  <w:divsChild>
                    <w:div w:id="11305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323301">
      <w:bodyDiv w:val="1"/>
      <w:marLeft w:val="0"/>
      <w:marRight w:val="0"/>
      <w:marTop w:val="0"/>
      <w:marBottom w:val="0"/>
      <w:divBdr>
        <w:top w:val="none" w:sz="0" w:space="0" w:color="auto"/>
        <w:left w:val="none" w:sz="0" w:space="0" w:color="auto"/>
        <w:bottom w:val="none" w:sz="0" w:space="0" w:color="auto"/>
        <w:right w:val="none" w:sz="0" w:space="0" w:color="auto"/>
      </w:divBdr>
      <w:divsChild>
        <w:div w:id="2134135585">
          <w:marLeft w:val="0"/>
          <w:marRight w:val="0"/>
          <w:marTop w:val="0"/>
          <w:marBottom w:val="0"/>
          <w:divBdr>
            <w:top w:val="none" w:sz="0" w:space="0" w:color="auto"/>
            <w:left w:val="none" w:sz="0" w:space="0" w:color="auto"/>
            <w:bottom w:val="none" w:sz="0" w:space="0" w:color="auto"/>
            <w:right w:val="none" w:sz="0" w:space="0" w:color="auto"/>
          </w:divBdr>
          <w:divsChild>
            <w:div w:id="618606742">
              <w:marLeft w:val="0"/>
              <w:marRight w:val="0"/>
              <w:marTop w:val="0"/>
              <w:marBottom w:val="0"/>
              <w:divBdr>
                <w:top w:val="none" w:sz="0" w:space="0" w:color="auto"/>
                <w:left w:val="none" w:sz="0" w:space="0" w:color="auto"/>
                <w:bottom w:val="none" w:sz="0" w:space="0" w:color="auto"/>
                <w:right w:val="none" w:sz="0" w:space="0" w:color="auto"/>
              </w:divBdr>
              <w:divsChild>
                <w:div w:id="64828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700831">
      <w:bodyDiv w:val="1"/>
      <w:marLeft w:val="0"/>
      <w:marRight w:val="0"/>
      <w:marTop w:val="0"/>
      <w:marBottom w:val="0"/>
      <w:divBdr>
        <w:top w:val="none" w:sz="0" w:space="0" w:color="auto"/>
        <w:left w:val="none" w:sz="0" w:space="0" w:color="auto"/>
        <w:bottom w:val="none" w:sz="0" w:space="0" w:color="auto"/>
        <w:right w:val="none" w:sz="0" w:space="0" w:color="auto"/>
      </w:divBdr>
      <w:divsChild>
        <w:div w:id="557201923">
          <w:marLeft w:val="0"/>
          <w:marRight w:val="0"/>
          <w:marTop w:val="0"/>
          <w:marBottom w:val="0"/>
          <w:divBdr>
            <w:top w:val="none" w:sz="0" w:space="0" w:color="auto"/>
            <w:left w:val="none" w:sz="0" w:space="0" w:color="auto"/>
            <w:bottom w:val="none" w:sz="0" w:space="0" w:color="auto"/>
            <w:right w:val="none" w:sz="0" w:space="0" w:color="auto"/>
          </w:divBdr>
          <w:divsChild>
            <w:div w:id="1025326515">
              <w:marLeft w:val="0"/>
              <w:marRight w:val="0"/>
              <w:marTop w:val="0"/>
              <w:marBottom w:val="0"/>
              <w:divBdr>
                <w:top w:val="none" w:sz="0" w:space="0" w:color="auto"/>
                <w:left w:val="none" w:sz="0" w:space="0" w:color="auto"/>
                <w:bottom w:val="none" w:sz="0" w:space="0" w:color="auto"/>
                <w:right w:val="none" w:sz="0" w:space="0" w:color="auto"/>
              </w:divBdr>
              <w:divsChild>
                <w:div w:id="16202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8510">
      <w:bodyDiv w:val="1"/>
      <w:marLeft w:val="0"/>
      <w:marRight w:val="0"/>
      <w:marTop w:val="0"/>
      <w:marBottom w:val="0"/>
      <w:divBdr>
        <w:top w:val="none" w:sz="0" w:space="0" w:color="auto"/>
        <w:left w:val="none" w:sz="0" w:space="0" w:color="auto"/>
        <w:bottom w:val="none" w:sz="0" w:space="0" w:color="auto"/>
        <w:right w:val="none" w:sz="0" w:space="0" w:color="auto"/>
      </w:divBdr>
    </w:div>
    <w:div w:id="827019156">
      <w:bodyDiv w:val="1"/>
      <w:marLeft w:val="0"/>
      <w:marRight w:val="0"/>
      <w:marTop w:val="0"/>
      <w:marBottom w:val="0"/>
      <w:divBdr>
        <w:top w:val="none" w:sz="0" w:space="0" w:color="auto"/>
        <w:left w:val="none" w:sz="0" w:space="0" w:color="auto"/>
        <w:bottom w:val="none" w:sz="0" w:space="0" w:color="auto"/>
        <w:right w:val="none" w:sz="0" w:space="0" w:color="auto"/>
      </w:divBdr>
    </w:div>
    <w:div w:id="852577378">
      <w:bodyDiv w:val="1"/>
      <w:marLeft w:val="0"/>
      <w:marRight w:val="0"/>
      <w:marTop w:val="0"/>
      <w:marBottom w:val="0"/>
      <w:divBdr>
        <w:top w:val="none" w:sz="0" w:space="0" w:color="auto"/>
        <w:left w:val="none" w:sz="0" w:space="0" w:color="auto"/>
        <w:bottom w:val="none" w:sz="0" w:space="0" w:color="auto"/>
        <w:right w:val="none" w:sz="0" w:space="0" w:color="auto"/>
      </w:divBdr>
      <w:divsChild>
        <w:div w:id="682325305">
          <w:marLeft w:val="0"/>
          <w:marRight w:val="0"/>
          <w:marTop w:val="0"/>
          <w:marBottom w:val="0"/>
          <w:divBdr>
            <w:top w:val="none" w:sz="0" w:space="0" w:color="auto"/>
            <w:left w:val="none" w:sz="0" w:space="0" w:color="auto"/>
            <w:bottom w:val="none" w:sz="0" w:space="0" w:color="auto"/>
            <w:right w:val="none" w:sz="0" w:space="0" w:color="auto"/>
          </w:divBdr>
          <w:divsChild>
            <w:div w:id="1494642740">
              <w:marLeft w:val="0"/>
              <w:marRight w:val="0"/>
              <w:marTop w:val="0"/>
              <w:marBottom w:val="0"/>
              <w:divBdr>
                <w:top w:val="none" w:sz="0" w:space="0" w:color="auto"/>
                <w:left w:val="none" w:sz="0" w:space="0" w:color="auto"/>
                <w:bottom w:val="none" w:sz="0" w:space="0" w:color="auto"/>
                <w:right w:val="none" w:sz="0" w:space="0" w:color="auto"/>
              </w:divBdr>
              <w:divsChild>
                <w:div w:id="145729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99027">
      <w:bodyDiv w:val="1"/>
      <w:marLeft w:val="0"/>
      <w:marRight w:val="0"/>
      <w:marTop w:val="0"/>
      <w:marBottom w:val="0"/>
      <w:divBdr>
        <w:top w:val="none" w:sz="0" w:space="0" w:color="auto"/>
        <w:left w:val="none" w:sz="0" w:space="0" w:color="auto"/>
        <w:bottom w:val="none" w:sz="0" w:space="0" w:color="auto"/>
        <w:right w:val="none" w:sz="0" w:space="0" w:color="auto"/>
      </w:divBdr>
    </w:div>
    <w:div w:id="864829256">
      <w:bodyDiv w:val="1"/>
      <w:marLeft w:val="0"/>
      <w:marRight w:val="0"/>
      <w:marTop w:val="0"/>
      <w:marBottom w:val="0"/>
      <w:divBdr>
        <w:top w:val="none" w:sz="0" w:space="0" w:color="auto"/>
        <w:left w:val="none" w:sz="0" w:space="0" w:color="auto"/>
        <w:bottom w:val="none" w:sz="0" w:space="0" w:color="auto"/>
        <w:right w:val="none" w:sz="0" w:space="0" w:color="auto"/>
      </w:divBdr>
      <w:divsChild>
        <w:div w:id="1875459421">
          <w:marLeft w:val="0"/>
          <w:marRight w:val="0"/>
          <w:marTop w:val="0"/>
          <w:marBottom w:val="0"/>
          <w:divBdr>
            <w:top w:val="none" w:sz="0" w:space="0" w:color="auto"/>
            <w:left w:val="none" w:sz="0" w:space="0" w:color="auto"/>
            <w:bottom w:val="none" w:sz="0" w:space="0" w:color="auto"/>
            <w:right w:val="none" w:sz="0" w:space="0" w:color="auto"/>
          </w:divBdr>
          <w:divsChild>
            <w:div w:id="56124412">
              <w:marLeft w:val="0"/>
              <w:marRight w:val="0"/>
              <w:marTop w:val="0"/>
              <w:marBottom w:val="0"/>
              <w:divBdr>
                <w:top w:val="none" w:sz="0" w:space="0" w:color="auto"/>
                <w:left w:val="none" w:sz="0" w:space="0" w:color="auto"/>
                <w:bottom w:val="none" w:sz="0" w:space="0" w:color="auto"/>
                <w:right w:val="none" w:sz="0" w:space="0" w:color="auto"/>
              </w:divBdr>
              <w:divsChild>
                <w:div w:id="9438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10086">
      <w:bodyDiv w:val="1"/>
      <w:marLeft w:val="0"/>
      <w:marRight w:val="0"/>
      <w:marTop w:val="0"/>
      <w:marBottom w:val="0"/>
      <w:divBdr>
        <w:top w:val="none" w:sz="0" w:space="0" w:color="auto"/>
        <w:left w:val="none" w:sz="0" w:space="0" w:color="auto"/>
        <w:bottom w:val="none" w:sz="0" w:space="0" w:color="auto"/>
        <w:right w:val="none" w:sz="0" w:space="0" w:color="auto"/>
      </w:divBdr>
    </w:div>
    <w:div w:id="874348404">
      <w:bodyDiv w:val="1"/>
      <w:marLeft w:val="0"/>
      <w:marRight w:val="0"/>
      <w:marTop w:val="0"/>
      <w:marBottom w:val="0"/>
      <w:divBdr>
        <w:top w:val="none" w:sz="0" w:space="0" w:color="auto"/>
        <w:left w:val="none" w:sz="0" w:space="0" w:color="auto"/>
        <w:bottom w:val="none" w:sz="0" w:space="0" w:color="auto"/>
        <w:right w:val="none" w:sz="0" w:space="0" w:color="auto"/>
      </w:divBdr>
    </w:div>
    <w:div w:id="882906797">
      <w:bodyDiv w:val="1"/>
      <w:marLeft w:val="0"/>
      <w:marRight w:val="0"/>
      <w:marTop w:val="0"/>
      <w:marBottom w:val="0"/>
      <w:divBdr>
        <w:top w:val="none" w:sz="0" w:space="0" w:color="auto"/>
        <w:left w:val="none" w:sz="0" w:space="0" w:color="auto"/>
        <w:bottom w:val="none" w:sz="0" w:space="0" w:color="auto"/>
        <w:right w:val="none" w:sz="0" w:space="0" w:color="auto"/>
      </w:divBdr>
    </w:div>
    <w:div w:id="883834860">
      <w:bodyDiv w:val="1"/>
      <w:marLeft w:val="0"/>
      <w:marRight w:val="0"/>
      <w:marTop w:val="0"/>
      <w:marBottom w:val="0"/>
      <w:divBdr>
        <w:top w:val="none" w:sz="0" w:space="0" w:color="auto"/>
        <w:left w:val="none" w:sz="0" w:space="0" w:color="auto"/>
        <w:bottom w:val="none" w:sz="0" w:space="0" w:color="auto"/>
        <w:right w:val="none" w:sz="0" w:space="0" w:color="auto"/>
      </w:divBdr>
    </w:div>
    <w:div w:id="883909501">
      <w:bodyDiv w:val="1"/>
      <w:marLeft w:val="0"/>
      <w:marRight w:val="0"/>
      <w:marTop w:val="0"/>
      <w:marBottom w:val="0"/>
      <w:divBdr>
        <w:top w:val="none" w:sz="0" w:space="0" w:color="auto"/>
        <w:left w:val="none" w:sz="0" w:space="0" w:color="auto"/>
        <w:bottom w:val="none" w:sz="0" w:space="0" w:color="auto"/>
        <w:right w:val="none" w:sz="0" w:space="0" w:color="auto"/>
      </w:divBdr>
      <w:divsChild>
        <w:div w:id="267936292">
          <w:marLeft w:val="0"/>
          <w:marRight w:val="0"/>
          <w:marTop w:val="0"/>
          <w:marBottom w:val="0"/>
          <w:divBdr>
            <w:top w:val="none" w:sz="0" w:space="0" w:color="auto"/>
            <w:left w:val="none" w:sz="0" w:space="0" w:color="auto"/>
            <w:bottom w:val="none" w:sz="0" w:space="0" w:color="auto"/>
            <w:right w:val="none" w:sz="0" w:space="0" w:color="auto"/>
          </w:divBdr>
          <w:divsChild>
            <w:div w:id="1381976780">
              <w:marLeft w:val="0"/>
              <w:marRight w:val="0"/>
              <w:marTop w:val="0"/>
              <w:marBottom w:val="0"/>
              <w:divBdr>
                <w:top w:val="none" w:sz="0" w:space="0" w:color="auto"/>
                <w:left w:val="none" w:sz="0" w:space="0" w:color="auto"/>
                <w:bottom w:val="none" w:sz="0" w:space="0" w:color="auto"/>
                <w:right w:val="none" w:sz="0" w:space="0" w:color="auto"/>
              </w:divBdr>
              <w:divsChild>
                <w:div w:id="18945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493109">
      <w:bodyDiv w:val="1"/>
      <w:marLeft w:val="0"/>
      <w:marRight w:val="0"/>
      <w:marTop w:val="0"/>
      <w:marBottom w:val="0"/>
      <w:divBdr>
        <w:top w:val="none" w:sz="0" w:space="0" w:color="auto"/>
        <w:left w:val="none" w:sz="0" w:space="0" w:color="auto"/>
        <w:bottom w:val="none" w:sz="0" w:space="0" w:color="auto"/>
        <w:right w:val="none" w:sz="0" w:space="0" w:color="auto"/>
      </w:divBdr>
    </w:div>
    <w:div w:id="907230469">
      <w:bodyDiv w:val="1"/>
      <w:marLeft w:val="0"/>
      <w:marRight w:val="0"/>
      <w:marTop w:val="0"/>
      <w:marBottom w:val="0"/>
      <w:divBdr>
        <w:top w:val="none" w:sz="0" w:space="0" w:color="auto"/>
        <w:left w:val="none" w:sz="0" w:space="0" w:color="auto"/>
        <w:bottom w:val="none" w:sz="0" w:space="0" w:color="auto"/>
        <w:right w:val="none" w:sz="0" w:space="0" w:color="auto"/>
      </w:divBdr>
    </w:div>
    <w:div w:id="937828855">
      <w:bodyDiv w:val="1"/>
      <w:marLeft w:val="0"/>
      <w:marRight w:val="0"/>
      <w:marTop w:val="0"/>
      <w:marBottom w:val="0"/>
      <w:divBdr>
        <w:top w:val="none" w:sz="0" w:space="0" w:color="auto"/>
        <w:left w:val="none" w:sz="0" w:space="0" w:color="auto"/>
        <w:bottom w:val="none" w:sz="0" w:space="0" w:color="auto"/>
        <w:right w:val="none" w:sz="0" w:space="0" w:color="auto"/>
      </w:divBdr>
    </w:div>
    <w:div w:id="987052322">
      <w:bodyDiv w:val="1"/>
      <w:marLeft w:val="0"/>
      <w:marRight w:val="0"/>
      <w:marTop w:val="0"/>
      <w:marBottom w:val="0"/>
      <w:divBdr>
        <w:top w:val="none" w:sz="0" w:space="0" w:color="auto"/>
        <w:left w:val="none" w:sz="0" w:space="0" w:color="auto"/>
        <w:bottom w:val="none" w:sz="0" w:space="0" w:color="auto"/>
        <w:right w:val="none" w:sz="0" w:space="0" w:color="auto"/>
      </w:divBdr>
      <w:divsChild>
        <w:div w:id="1969318888">
          <w:marLeft w:val="0"/>
          <w:marRight w:val="0"/>
          <w:marTop w:val="0"/>
          <w:marBottom w:val="0"/>
          <w:divBdr>
            <w:top w:val="none" w:sz="0" w:space="0" w:color="auto"/>
            <w:left w:val="none" w:sz="0" w:space="0" w:color="auto"/>
            <w:bottom w:val="none" w:sz="0" w:space="0" w:color="auto"/>
            <w:right w:val="none" w:sz="0" w:space="0" w:color="auto"/>
          </w:divBdr>
          <w:divsChild>
            <w:div w:id="231276888">
              <w:marLeft w:val="0"/>
              <w:marRight w:val="0"/>
              <w:marTop w:val="0"/>
              <w:marBottom w:val="0"/>
              <w:divBdr>
                <w:top w:val="none" w:sz="0" w:space="0" w:color="auto"/>
                <w:left w:val="none" w:sz="0" w:space="0" w:color="auto"/>
                <w:bottom w:val="none" w:sz="0" w:space="0" w:color="auto"/>
                <w:right w:val="none" w:sz="0" w:space="0" w:color="auto"/>
              </w:divBdr>
              <w:divsChild>
                <w:div w:id="1906722955">
                  <w:marLeft w:val="0"/>
                  <w:marRight w:val="0"/>
                  <w:marTop w:val="0"/>
                  <w:marBottom w:val="0"/>
                  <w:divBdr>
                    <w:top w:val="none" w:sz="0" w:space="0" w:color="auto"/>
                    <w:left w:val="none" w:sz="0" w:space="0" w:color="auto"/>
                    <w:bottom w:val="none" w:sz="0" w:space="0" w:color="auto"/>
                    <w:right w:val="none" w:sz="0" w:space="0" w:color="auto"/>
                  </w:divBdr>
                </w:div>
              </w:divsChild>
            </w:div>
            <w:div w:id="569121851">
              <w:marLeft w:val="0"/>
              <w:marRight w:val="0"/>
              <w:marTop w:val="0"/>
              <w:marBottom w:val="0"/>
              <w:divBdr>
                <w:top w:val="none" w:sz="0" w:space="0" w:color="auto"/>
                <w:left w:val="none" w:sz="0" w:space="0" w:color="auto"/>
                <w:bottom w:val="none" w:sz="0" w:space="0" w:color="auto"/>
                <w:right w:val="none" w:sz="0" w:space="0" w:color="auto"/>
              </w:divBdr>
              <w:divsChild>
                <w:div w:id="177817689">
                  <w:marLeft w:val="0"/>
                  <w:marRight w:val="0"/>
                  <w:marTop w:val="0"/>
                  <w:marBottom w:val="0"/>
                  <w:divBdr>
                    <w:top w:val="none" w:sz="0" w:space="0" w:color="auto"/>
                    <w:left w:val="none" w:sz="0" w:space="0" w:color="auto"/>
                    <w:bottom w:val="none" w:sz="0" w:space="0" w:color="auto"/>
                    <w:right w:val="none" w:sz="0" w:space="0" w:color="auto"/>
                  </w:divBdr>
                </w:div>
              </w:divsChild>
            </w:div>
            <w:div w:id="2053069026">
              <w:marLeft w:val="0"/>
              <w:marRight w:val="0"/>
              <w:marTop w:val="0"/>
              <w:marBottom w:val="0"/>
              <w:divBdr>
                <w:top w:val="none" w:sz="0" w:space="0" w:color="auto"/>
                <w:left w:val="none" w:sz="0" w:space="0" w:color="auto"/>
                <w:bottom w:val="none" w:sz="0" w:space="0" w:color="auto"/>
                <w:right w:val="none" w:sz="0" w:space="0" w:color="auto"/>
              </w:divBdr>
              <w:divsChild>
                <w:div w:id="29911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53304">
      <w:bodyDiv w:val="1"/>
      <w:marLeft w:val="0"/>
      <w:marRight w:val="0"/>
      <w:marTop w:val="0"/>
      <w:marBottom w:val="0"/>
      <w:divBdr>
        <w:top w:val="none" w:sz="0" w:space="0" w:color="auto"/>
        <w:left w:val="none" w:sz="0" w:space="0" w:color="auto"/>
        <w:bottom w:val="none" w:sz="0" w:space="0" w:color="auto"/>
        <w:right w:val="none" w:sz="0" w:space="0" w:color="auto"/>
      </w:divBdr>
    </w:div>
    <w:div w:id="1059281572">
      <w:bodyDiv w:val="1"/>
      <w:marLeft w:val="0"/>
      <w:marRight w:val="0"/>
      <w:marTop w:val="0"/>
      <w:marBottom w:val="0"/>
      <w:divBdr>
        <w:top w:val="none" w:sz="0" w:space="0" w:color="auto"/>
        <w:left w:val="none" w:sz="0" w:space="0" w:color="auto"/>
        <w:bottom w:val="none" w:sz="0" w:space="0" w:color="auto"/>
        <w:right w:val="none" w:sz="0" w:space="0" w:color="auto"/>
      </w:divBdr>
    </w:div>
    <w:div w:id="1072123977">
      <w:bodyDiv w:val="1"/>
      <w:marLeft w:val="0"/>
      <w:marRight w:val="0"/>
      <w:marTop w:val="0"/>
      <w:marBottom w:val="0"/>
      <w:divBdr>
        <w:top w:val="none" w:sz="0" w:space="0" w:color="auto"/>
        <w:left w:val="none" w:sz="0" w:space="0" w:color="auto"/>
        <w:bottom w:val="none" w:sz="0" w:space="0" w:color="auto"/>
        <w:right w:val="none" w:sz="0" w:space="0" w:color="auto"/>
      </w:divBdr>
    </w:div>
    <w:div w:id="1101996702">
      <w:bodyDiv w:val="1"/>
      <w:marLeft w:val="0"/>
      <w:marRight w:val="0"/>
      <w:marTop w:val="0"/>
      <w:marBottom w:val="0"/>
      <w:divBdr>
        <w:top w:val="none" w:sz="0" w:space="0" w:color="auto"/>
        <w:left w:val="none" w:sz="0" w:space="0" w:color="auto"/>
        <w:bottom w:val="none" w:sz="0" w:space="0" w:color="auto"/>
        <w:right w:val="none" w:sz="0" w:space="0" w:color="auto"/>
      </w:divBdr>
      <w:divsChild>
        <w:div w:id="510336821">
          <w:marLeft w:val="0"/>
          <w:marRight w:val="0"/>
          <w:marTop w:val="0"/>
          <w:marBottom w:val="0"/>
          <w:divBdr>
            <w:top w:val="none" w:sz="0" w:space="0" w:color="auto"/>
            <w:left w:val="none" w:sz="0" w:space="0" w:color="auto"/>
            <w:bottom w:val="none" w:sz="0" w:space="0" w:color="auto"/>
            <w:right w:val="none" w:sz="0" w:space="0" w:color="auto"/>
          </w:divBdr>
          <w:divsChild>
            <w:div w:id="188226396">
              <w:marLeft w:val="0"/>
              <w:marRight w:val="0"/>
              <w:marTop w:val="0"/>
              <w:marBottom w:val="0"/>
              <w:divBdr>
                <w:top w:val="none" w:sz="0" w:space="0" w:color="auto"/>
                <w:left w:val="none" w:sz="0" w:space="0" w:color="auto"/>
                <w:bottom w:val="none" w:sz="0" w:space="0" w:color="auto"/>
                <w:right w:val="none" w:sz="0" w:space="0" w:color="auto"/>
              </w:divBdr>
              <w:divsChild>
                <w:div w:id="15789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28289">
      <w:bodyDiv w:val="1"/>
      <w:marLeft w:val="0"/>
      <w:marRight w:val="0"/>
      <w:marTop w:val="0"/>
      <w:marBottom w:val="0"/>
      <w:divBdr>
        <w:top w:val="none" w:sz="0" w:space="0" w:color="auto"/>
        <w:left w:val="none" w:sz="0" w:space="0" w:color="auto"/>
        <w:bottom w:val="none" w:sz="0" w:space="0" w:color="auto"/>
        <w:right w:val="none" w:sz="0" w:space="0" w:color="auto"/>
      </w:divBdr>
    </w:div>
    <w:div w:id="1134756820">
      <w:bodyDiv w:val="1"/>
      <w:marLeft w:val="0"/>
      <w:marRight w:val="0"/>
      <w:marTop w:val="0"/>
      <w:marBottom w:val="0"/>
      <w:divBdr>
        <w:top w:val="none" w:sz="0" w:space="0" w:color="auto"/>
        <w:left w:val="none" w:sz="0" w:space="0" w:color="auto"/>
        <w:bottom w:val="none" w:sz="0" w:space="0" w:color="auto"/>
        <w:right w:val="none" w:sz="0" w:space="0" w:color="auto"/>
      </w:divBdr>
    </w:div>
    <w:div w:id="1137718425">
      <w:bodyDiv w:val="1"/>
      <w:marLeft w:val="0"/>
      <w:marRight w:val="0"/>
      <w:marTop w:val="0"/>
      <w:marBottom w:val="0"/>
      <w:divBdr>
        <w:top w:val="none" w:sz="0" w:space="0" w:color="auto"/>
        <w:left w:val="none" w:sz="0" w:space="0" w:color="auto"/>
        <w:bottom w:val="none" w:sz="0" w:space="0" w:color="auto"/>
        <w:right w:val="none" w:sz="0" w:space="0" w:color="auto"/>
      </w:divBdr>
      <w:divsChild>
        <w:div w:id="371419866">
          <w:marLeft w:val="0"/>
          <w:marRight w:val="0"/>
          <w:marTop w:val="0"/>
          <w:marBottom w:val="0"/>
          <w:divBdr>
            <w:top w:val="none" w:sz="0" w:space="0" w:color="auto"/>
            <w:left w:val="none" w:sz="0" w:space="0" w:color="auto"/>
            <w:bottom w:val="none" w:sz="0" w:space="0" w:color="auto"/>
            <w:right w:val="none" w:sz="0" w:space="0" w:color="auto"/>
          </w:divBdr>
          <w:divsChild>
            <w:div w:id="797797824">
              <w:marLeft w:val="0"/>
              <w:marRight w:val="0"/>
              <w:marTop w:val="0"/>
              <w:marBottom w:val="0"/>
              <w:divBdr>
                <w:top w:val="none" w:sz="0" w:space="0" w:color="auto"/>
                <w:left w:val="none" w:sz="0" w:space="0" w:color="auto"/>
                <w:bottom w:val="none" w:sz="0" w:space="0" w:color="auto"/>
                <w:right w:val="none" w:sz="0" w:space="0" w:color="auto"/>
              </w:divBdr>
              <w:divsChild>
                <w:div w:id="790897417">
                  <w:marLeft w:val="0"/>
                  <w:marRight w:val="0"/>
                  <w:marTop w:val="0"/>
                  <w:marBottom w:val="0"/>
                  <w:divBdr>
                    <w:top w:val="none" w:sz="0" w:space="0" w:color="auto"/>
                    <w:left w:val="none" w:sz="0" w:space="0" w:color="auto"/>
                    <w:bottom w:val="none" w:sz="0" w:space="0" w:color="auto"/>
                    <w:right w:val="none" w:sz="0" w:space="0" w:color="auto"/>
                  </w:divBdr>
                  <w:divsChild>
                    <w:div w:id="18586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334495">
      <w:bodyDiv w:val="1"/>
      <w:marLeft w:val="0"/>
      <w:marRight w:val="0"/>
      <w:marTop w:val="0"/>
      <w:marBottom w:val="0"/>
      <w:divBdr>
        <w:top w:val="none" w:sz="0" w:space="0" w:color="auto"/>
        <w:left w:val="none" w:sz="0" w:space="0" w:color="auto"/>
        <w:bottom w:val="none" w:sz="0" w:space="0" w:color="auto"/>
        <w:right w:val="none" w:sz="0" w:space="0" w:color="auto"/>
      </w:divBdr>
      <w:divsChild>
        <w:div w:id="1902255134">
          <w:marLeft w:val="0"/>
          <w:marRight w:val="0"/>
          <w:marTop w:val="0"/>
          <w:marBottom w:val="0"/>
          <w:divBdr>
            <w:top w:val="none" w:sz="0" w:space="0" w:color="auto"/>
            <w:left w:val="none" w:sz="0" w:space="0" w:color="auto"/>
            <w:bottom w:val="none" w:sz="0" w:space="0" w:color="auto"/>
            <w:right w:val="none" w:sz="0" w:space="0" w:color="auto"/>
          </w:divBdr>
          <w:divsChild>
            <w:div w:id="510026979">
              <w:marLeft w:val="0"/>
              <w:marRight w:val="0"/>
              <w:marTop w:val="0"/>
              <w:marBottom w:val="0"/>
              <w:divBdr>
                <w:top w:val="none" w:sz="0" w:space="0" w:color="auto"/>
                <w:left w:val="none" w:sz="0" w:space="0" w:color="auto"/>
                <w:bottom w:val="none" w:sz="0" w:space="0" w:color="auto"/>
                <w:right w:val="none" w:sz="0" w:space="0" w:color="auto"/>
              </w:divBdr>
              <w:divsChild>
                <w:div w:id="752433720">
                  <w:marLeft w:val="0"/>
                  <w:marRight w:val="0"/>
                  <w:marTop w:val="0"/>
                  <w:marBottom w:val="0"/>
                  <w:divBdr>
                    <w:top w:val="none" w:sz="0" w:space="0" w:color="auto"/>
                    <w:left w:val="none" w:sz="0" w:space="0" w:color="auto"/>
                    <w:bottom w:val="none" w:sz="0" w:space="0" w:color="auto"/>
                    <w:right w:val="none" w:sz="0" w:space="0" w:color="auto"/>
                  </w:divBdr>
                  <w:divsChild>
                    <w:div w:id="10265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745573">
      <w:bodyDiv w:val="1"/>
      <w:marLeft w:val="0"/>
      <w:marRight w:val="0"/>
      <w:marTop w:val="0"/>
      <w:marBottom w:val="0"/>
      <w:divBdr>
        <w:top w:val="none" w:sz="0" w:space="0" w:color="auto"/>
        <w:left w:val="none" w:sz="0" w:space="0" w:color="auto"/>
        <w:bottom w:val="none" w:sz="0" w:space="0" w:color="auto"/>
        <w:right w:val="none" w:sz="0" w:space="0" w:color="auto"/>
      </w:divBdr>
    </w:div>
    <w:div w:id="1219975835">
      <w:bodyDiv w:val="1"/>
      <w:marLeft w:val="0"/>
      <w:marRight w:val="0"/>
      <w:marTop w:val="0"/>
      <w:marBottom w:val="0"/>
      <w:divBdr>
        <w:top w:val="none" w:sz="0" w:space="0" w:color="auto"/>
        <w:left w:val="none" w:sz="0" w:space="0" w:color="auto"/>
        <w:bottom w:val="none" w:sz="0" w:space="0" w:color="auto"/>
        <w:right w:val="none" w:sz="0" w:space="0" w:color="auto"/>
      </w:divBdr>
    </w:div>
    <w:div w:id="1251506281">
      <w:bodyDiv w:val="1"/>
      <w:marLeft w:val="0"/>
      <w:marRight w:val="0"/>
      <w:marTop w:val="0"/>
      <w:marBottom w:val="0"/>
      <w:divBdr>
        <w:top w:val="none" w:sz="0" w:space="0" w:color="auto"/>
        <w:left w:val="none" w:sz="0" w:space="0" w:color="auto"/>
        <w:bottom w:val="none" w:sz="0" w:space="0" w:color="auto"/>
        <w:right w:val="none" w:sz="0" w:space="0" w:color="auto"/>
      </w:divBdr>
      <w:divsChild>
        <w:div w:id="1527519899">
          <w:marLeft w:val="0"/>
          <w:marRight w:val="0"/>
          <w:marTop w:val="0"/>
          <w:marBottom w:val="0"/>
          <w:divBdr>
            <w:top w:val="none" w:sz="0" w:space="0" w:color="auto"/>
            <w:left w:val="none" w:sz="0" w:space="0" w:color="auto"/>
            <w:bottom w:val="none" w:sz="0" w:space="0" w:color="auto"/>
            <w:right w:val="none" w:sz="0" w:space="0" w:color="auto"/>
          </w:divBdr>
        </w:div>
      </w:divsChild>
    </w:div>
    <w:div w:id="1254968628">
      <w:bodyDiv w:val="1"/>
      <w:marLeft w:val="0"/>
      <w:marRight w:val="0"/>
      <w:marTop w:val="0"/>
      <w:marBottom w:val="0"/>
      <w:divBdr>
        <w:top w:val="none" w:sz="0" w:space="0" w:color="auto"/>
        <w:left w:val="none" w:sz="0" w:space="0" w:color="auto"/>
        <w:bottom w:val="none" w:sz="0" w:space="0" w:color="auto"/>
        <w:right w:val="none" w:sz="0" w:space="0" w:color="auto"/>
      </w:divBdr>
    </w:div>
    <w:div w:id="1270233267">
      <w:bodyDiv w:val="1"/>
      <w:marLeft w:val="0"/>
      <w:marRight w:val="0"/>
      <w:marTop w:val="0"/>
      <w:marBottom w:val="0"/>
      <w:divBdr>
        <w:top w:val="none" w:sz="0" w:space="0" w:color="auto"/>
        <w:left w:val="none" w:sz="0" w:space="0" w:color="auto"/>
        <w:bottom w:val="none" w:sz="0" w:space="0" w:color="auto"/>
        <w:right w:val="none" w:sz="0" w:space="0" w:color="auto"/>
      </w:divBdr>
    </w:div>
    <w:div w:id="1281379701">
      <w:bodyDiv w:val="1"/>
      <w:marLeft w:val="0"/>
      <w:marRight w:val="0"/>
      <w:marTop w:val="0"/>
      <w:marBottom w:val="0"/>
      <w:divBdr>
        <w:top w:val="none" w:sz="0" w:space="0" w:color="auto"/>
        <w:left w:val="none" w:sz="0" w:space="0" w:color="auto"/>
        <w:bottom w:val="none" w:sz="0" w:space="0" w:color="auto"/>
        <w:right w:val="none" w:sz="0" w:space="0" w:color="auto"/>
      </w:divBdr>
    </w:div>
    <w:div w:id="1295058468">
      <w:bodyDiv w:val="1"/>
      <w:marLeft w:val="0"/>
      <w:marRight w:val="0"/>
      <w:marTop w:val="0"/>
      <w:marBottom w:val="0"/>
      <w:divBdr>
        <w:top w:val="none" w:sz="0" w:space="0" w:color="auto"/>
        <w:left w:val="none" w:sz="0" w:space="0" w:color="auto"/>
        <w:bottom w:val="none" w:sz="0" w:space="0" w:color="auto"/>
        <w:right w:val="none" w:sz="0" w:space="0" w:color="auto"/>
      </w:divBdr>
    </w:div>
    <w:div w:id="1295286159">
      <w:bodyDiv w:val="1"/>
      <w:marLeft w:val="0"/>
      <w:marRight w:val="0"/>
      <w:marTop w:val="0"/>
      <w:marBottom w:val="0"/>
      <w:divBdr>
        <w:top w:val="none" w:sz="0" w:space="0" w:color="auto"/>
        <w:left w:val="none" w:sz="0" w:space="0" w:color="auto"/>
        <w:bottom w:val="none" w:sz="0" w:space="0" w:color="auto"/>
        <w:right w:val="none" w:sz="0" w:space="0" w:color="auto"/>
      </w:divBdr>
    </w:div>
    <w:div w:id="1360397553">
      <w:bodyDiv w:val="1"/>
      <w:marLeft w:val="0"/>
      <w:marRight w:val="0"/>
      <w:marTop w:val="0"/>
      <w:marBottom w:val="0"/>
      <w:divBdr>
        <w:top w:val="none" w:sz="0" w:space="0" w:color="auto"/>
        <w:left w:val="none" w:sz="0" w:space="0" w:color="auto"/>
        <w:bottom w:val="none" w:sz="0" w:space="0" w:color="auto"/>
        <w:right w:val="none" w:sz="0" w:space="0" w:color="auto"/>
      </w:divBdr>
    </w:div>
    <w:div w:id="1363089295">
      <w:bodyDiv w:val="1"/>
      <w:marLeft w:val="0"/>
      <w:marRight w:val="0"/>
      <w:marTop w:val="0"/>
      <w:marBottom w:val="0"/>
      <w:divBdr>
        <w:top w:val="none" w:sz="0" w:space="0" w:color="auto"/>
        <w:left w:val="none" w:sz="0" w:space="0" w:color="auto"/>
        <w:bottom w:val="none" w:sz="0" w:space="0" w:color="auto"/>
        <w:right w:val="none" w:sz="0" w:space="0" w:color="auto"/>
      </w:divBdr>
    </w:div>
    <w:div w:id="1384862991">
      <w:bodyDiv w:val="1"/>
      <w:marLeft w:val="0"/>
      <w:marRight w:val="0"/>
      <w:marTop w:val="0"/>
      <w:marBottom w:val="0"/>
      <w:divBdr>
        <w:top w:val="none" w:sz="0" w:space="0" w:color="auto"/>
        <w:left w:val="none" w:sz="0" w:space="0" w:color="auto"/>
        <w:bottom w:val="none" w:sz="0" w:space="0" w:color="auto"/>
        <w:right w:val="none" w:sz="0" w:space="0" w:color="auto"/>
      </w:divBdr>
    </w:div>
    <w:div w:id="1423261726">
      <w:bodyDiv w:val="1"/>
      <w:marLeft w:val="0"/>
      <w:marRight w:val="0"/>
      <w:marTop w:val="0"/>
      <w:marBottom w:val="0"/>
      <w:divBdr>
        <w:top w:val="none" w:sz="0" w:space="0" w:color="auto"/>
        <w:left w:val="none" w:sz="0" w:space="0" w:color="auto"/>
        <w:bottom w:val="none" w:sz="0" w:space="0" w:color="auto"/>
        <w:right w:val="none" w:sz="0" w:space="0" w:color="auto"/>
      </w:divBdr>
    </w:div>
    <w:div w:id="1447655922">
      <w:bodyDiv w:val="1"/>
      <w:marLeft w:val="0"/>
      <w:marRight w:val="0"/>
      <w:marTop w:val="0"/>
      <w:marBottom w:val="0"/>
      <w:divBdr>
        <w:top w:val="none" w:sz="0" w:space="0" w:color="auto"/>
        <w:left w:val="none" w:sz="0" w:space="0" w:color="auto"/>
        <w:bottom w:val="none" w:sz="0" w:space="0" w:color="auto"/>
        <w:right w:val="none" w:sz="0" w:space="0" w:color="auto"/>
      </w:divBdr>
    </w:div>
    <w:div w:id="1448349761">
      <w:bodyDiv w:val="1"/>
      <w:marLeft w:val="0"/>
      <w:marRight w:val="0"/>
      <w:marTop w:val="0"/>
      <w:marBottom w:val="0"/>
      <w:divBdr>
        <w:top w:val="none" w:sz="0" w:space="0" w:color="auto"/>
        <w:left w:val="none" w:sz="0" w:space="0" w:color="auto"/>
        <w:bottom w:val="none" w:sz="0" w:space="0" w:color="auto"/>
        <w:right w:val="none" w:sz="0" w:space="0" w:color="auto"/>
      </w:divBdr>
    </w:div>
    <w:div w:id="1474638230">
      <w:bodyDiv w:val="1"/>
      <w:marLeft w:val="0"/>
      <w:marRight w:val="0"/>
      <w:marTop w:val="0"/>
      <w:marBottom w:val="0"/>
      <w:divBdr>
        <w:top w:val="none" w:sz="0" w:space="0" w:color="auto"/>
        <w:left w:val="none" w:sz="0" w:space="0" w:color="auto"/>
        <w:bottom w:val="none" w:sz="0" w:space="0" w:color="auto"/>
        <w:right w:val="none" w:sz="0" w:space="0" w:color="auto"/>
      </w:divBdr>
    </w:div>
    <w:div w:id="1539969928">
      <w:bodyDiv w:val="1"/>
      <w:marLeft w:val="0"/>
      <w:marRight w:val="0"/>
      <w:marTop w:val="0"/>
      <w:marBottom w:val="0"/>
      <w:divBdr>
        <w:top w:val="none" w:sz="0" w:space="0" w:color="auto"/>
        <w:left w:val="none" w:sz="0" w:space="0" w:color="auto"/>
        <w:bottom w:val="none" w:sz="0" w:space="0" w:color="auto"/>
        <w:right w:val="none" w:sz="0" w:space="0" w:color="auto"/>
      </w:divBdr>
      <w:divsChild>
        <w:div w:id="555514407">
          <w:marLeft w:val="0"/>
          <w:marRight w:val="0"/>
          <w:marTop w:val="0"/>
          <w:marBottom w:val="0"/>
          <w:divBdr>
            <w:top w:val="none" w:sz="0" w:space="0" w:color="auto"/>
            <w:left w:val="none" w:sz="0" w:space="0" w:color="auto"/>
            <w:bottom w:val="none" w:sz="0" w:space="0" w:color="auto"/>
            <w:right w:val="none" w:sz="0" w:space="0" w:color="auto"/>
          </w:divBdr>
          <w:divsChild>
            <w:div w:id="602341417">
              <w:marLeft w:val="0"/>
              <w:marRight w:val="0"/>
              <w:marTop w:val="0"/>
              <w:marBottom w:val="0"/>
              <w:divBdr>
                <w:top w:val="none" w:sz="0" w:space="0" w:color="auto"/>
                <w:left w:val="none" w:sz="0" w:space="0" w:color="auto"/>
                <w:bottom w:val="none" w:sz="0" w:space="0" w:color="auto"/>
                <w:right w:val="none" w:sz="0" w:space="0" w:color="auto"/>
              </w:divBdr>
              <w:divsChild>
                <w:div w:id="104545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63728">
      <w:bodyDiv w:val="1"/>
      <w:marLeft w:val="0"/>
      <w:marRight w:val="0"/>
      <w:marTop w:val="0"/>
      <w:marBottom w:val="0"/>
      <w:divBdr>
        <w:top w:val="none" w:sz="0" w:space="0" w:color="auto"/>
        <w:left w:val="none" w:sz="0" w:space="0" w:color="auto"/>
        <w:bottom w:val="none" w:sz="0" w:space="0" w:color="auto"/>
        <w:right w:val="none" w:sz="0" w:space="0" w:color="auto"/>
      </w:divBdr>
    </w:div>
    <w:div w:id="1567453948">
      <w:bodyDiv w:val="1"/>
      <w:marLeft w:val="0"/>
      <w:marRight w:val="0"/>
      <w:marTop w:val="0"/>
      <w:marBottom w:val="0"/>
      <w:divBdr>
        <w:top w:val="none" w:sz="0" w:space="0" w:color="auto"/>
        <w:left w:val="none" w:sz="0" w:space="0" w:color="auto"/>
        <w:bottom w:val="none" w:sz="0" w:space="0" w:color="auto"/>
        <w:right w:val="none" w:sz="0" w:space="0" w:color="auto"/>
      </w:divBdr>
    </w:div>
    <w:div w:id="1575698301">
      <w:bodyDiv w:val="1"/>
      <w:marLeft w:val="0"/>
      <w:marRight w:val="0"/>
      <w:marTop w:val="0"/>
      <w:marBottom w:val="0"/>
      <w:divBdr>
        <w:top w:val="none" w:sz="0" w:space="0" w:color="auto"/>
        <w:left w:val="none" w:sz="0" w:space="0" w:color="auto"/>
        <w:bottom w:val="none" w:sz="0" w:space="0" w:color="auto"/>
        <w:right w:val="none" w:sz="0" w:space="0" w:color="auto"/>
      </w:divBdr>
    </w:div>
    <w:div w:id="1590310380">
      <w:bodyDiv w:val="1"/>
      <w:marLeft w:val="0"/>
      <w:marRight w:val="0"/>
      <w:marTop w:val="0"/>
      <w:marBottom w:val="0"/>
      <w:divBdr>
        <w:top w:val="none" w:sz="0" w:space="0" w:color="auto"/>
        <w:left w:val="none" w:sz="0" w:space="0" w:color="auto"/>
        <w:bottom w:val="none" w:sz="0" w:space="0" w:color="auto"/>
        <w:right w:val="none" w:sz="0" w:space="0" w:color="auto"/>
      </w:divBdr>
    </w:div>
    <w:div w:id="1610315470">
      <w:bodyDiv w:val="1"/>
      <w:marLeft w:val="0"/>
      <w:marRight w:val="0"/>
      <w:marTop w:val="0"/>
      <w:marBottom w:val="0"/>
      <w:divBdr>
        <w:top w:val="none" w:sz="0" w:space="0" w:color="auto"/>
        <w:left w:val="none" w:sz="0" w:space="0" w:color="auto"/>
        <w:bottom w:val="none" w:sz="0" w:space="0" w:color="auto"/>
        <w:right w:val="none" w:sz="0" w:space="0" w:color="auto"/>
      </w:divBdr>
      <w:divsChild>
        <w:div w:id="862402446">
          <w:marLeft w:val="0"/>
          <w:marRight w:val="0"/>
          <w:marTop w:val="0"/>
          <w:marBottom w:val="0"/>
          <w:divBdr>
            <w:top w:val="none" w:sz="0" w:space="0" w:color="auto"/>
            <w:left w:val="none" w:sz="0" w:space="0" w:color="auto"/>
            <w:bottom w:val="none" w:sz="0" w:space="0" w:color="auto"/>
            <w:right w:val="none" w:sz="0" w:space="0" w:color="auto"/>
          </w:divBdr>
          <w:divsChild>
            <w:div w:id="129397296">
              <w:marLeft w:val="0"/>
              <w:marRight w:val="0"/>
              <w:marTop w:val="0"/>
              <w:marBottom w:val="0"/>
              <w:divBdr>
                <w:top w:val="none" w:sz="0" w:space="0" w:color="auto"/>
                <w:left w:val="none" w:sz="0" w:space="0" w:color="auto"/>
                <w:bottom w:val="none" w:sz="0" w:space="0" w:color="auto"/>
                <w:right w:val="none" w:sz="0" w:space="0" w:color="auto"/>
              </w:divBdr>
              <w:divsChild>
                <w:div w:id="16462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14246">
      <w:bodyDiv w:val="1"/>
      <w:marLeft w:val="0"/>
      <w:marRight w:val="0"/>
      <w:marTop w:val="0"/>
      <w:marBottom w:val="0"/>
      <w:divBdr>
        <w:top w:val="none" w:sz="0" w:space="0" w:color="auto"/>
        <w:left w:val="none" w:sz="0" w:space="0" w:color="auto"/>
        <w:bottom w:val="none" w:sz="0" w:space="0" w:color="auto"/>
        <w:right w:val="none" w:sz="0" w:space="0" w:color="auto"/>
      </w:divBdr>
      <w:divsChild>
        <w:div w:id="544366011">
          <w:marLeft w:val="0"/>
          <w:marRight w:val="0"/>
          <w:marTop w:val="0"/>
          <w:marBottom w:val="0"/>
          <w:divBdr>
            <w:top w:val="none" w:sz="0" w:space="0" w:color="auto"/>
            <w:left w:val="none" w:sz="0" w:space="0" w:color="auto"/>
            <w:bottom w:val="none" w:sz="0" w:space="0" w:color="auto"/>
            <w:right w:val="none" w:sz="0" w:space="0" w:color="auto"/>
          </w:divBdr>
          <w:divsChild>
            <w:div w:id="53436237">
              <w:marLeft w:val="0"/>
              <w:marRight w:val="0"/>
              <w:marTop w:val="0"/>
              <w:marBottom w:val="0"/>
              <w:divBdr>
                <w:top w:val="none" w:sz="0" w:space="0" w:color="auto"/>
                <w:left w:val="none" w:sz="0" w:space="0" w:color="auto"/>
                <w:bottom w:val="none" w:sz="0" w:space="0" w:color="auto"/>
                <w:right w:val="none" w:sz="0" w:space="0" w:color="auto"/>
              </w:divBdr>
              <w:divsChild>
                <w:div w:id="1330717902">
                  <w:marLeft w:val="0"/>
                  <w:marRight w:val="0"/>
                  <w:marTop w:val="0"/>
                  <w:marBottom w:val="0"/>
                  <w:divBdr>
                    <w:top w:val="none" w:sz="0" w:space="0" w:color="auto"/>
                    <w:left w:val="none" w:sz="0" w:space="0" w:color="auto"/>
                    <w:bottom w:val="none" w:sz="0" w:space="0" w:color="auto"/>
                    <w:right w:val="none" w:sz="0" w:space="0" w:color="auto"/>
                  </w:divBdr>
                  <w:divsChild>
                    <w:div w:id="123963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78391">
      <w:bodyDiv w:val="1"/>
      <w:marLeft w:val="0"/>
      <w:marRight w:val="0"/>
      <w:marTop w:val="0"/>
      <w:marBottom w:val="0"/>
      <w:divBdr>
        <w:top w:val="none" w:sz="0" w:space="0" w:color="auto"/>
        <w:left w:val="none" w:sz="0" w:space="0" w:color="auto"/>
        <w:bottom w:val="none" w:sz="0" w:space="0" w:color="auto"/>
        <w:right w:val="none" w:sz="0" w:space="0" w:color="auto"/>
      </w:divBdr>
      <w:divsChild>
        <w:div w:id="1273364883">
          <w:marLeft w:val="0"/>
          <w:marRight w:val="0"/>
          <w:marTop w:val="0"/>
          <w:marBottom w:val="0"/>
          <w:divBdr>
            <w:top w:val="none" w:sz="0" w:space="0" w:color="auto"/>
            <w:left w:val="none" w:sz="0" w:space="0" w:color="auto"/>
            <w:bottom w:val="none" w:sz="0" w:space="0" w:color="auto"/>
            <w:right w:val="none" w:sz="0" w:space="0" w:color="auto"/>
          </w:divBdr>
          <w:divsChild>
            <w:div w:id="1010983805">
              <w:marLeft w:val="0"/>
              <w:marRight w:val="0"/>
              <w:marTop w:val="0"/>
              <w:marBottom w:val="0"/>
              <w:divBdr>
                <w:top w:val="none" w:sz="0" w:space="0" w:color="auto"/>
                <w:left w:val="none" w:sz="0" w:space="0" w:color="auto"/>
                <w:bottom w:val="none" w:sz="0" w:space="0" w:color="auto"/>
                <w:right w:val="none" w:sz="0" w:space="0" w:color="auto"/>
              </w:divBdr>
              <w:divsChild>
                <w:div w:id="167603476">
                  <w:marLeft w:val="0"/>
                  <w:marRight w:val="0"/>
                  <w:marTop w:val="0"/>
                  <w:marBottom w:val="0"/>
                  <w:divBdr>
                    <w:top w:val="none" w:sz="0" w:space="0" w:color="auto"/>
                    <w:left w:val="none" w:sz="0" w:space="0" w:color="auto"/>
                    <w:bottom w:val="none" w:sz="0" w:space="0" w:color="auto"/>
                    <w:right w:val="none" w:sz="0" w:space="0" w:color="auto"/>
                  </w:divBdr>
                  <w:divsChild>
                    <w:div w:id="185121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188963">
      <w:bodyDiv w:val="1"/>
      <w:marLeft w:val="0"/>
      <w:marRight w:val="0"/>
      <w:marTop w:val="0"/>
      <w:marBottom w:val="0"/>
      <w:divBdr>
        <w:top w:val="none" w:sz="0" w:space="0" w:color="auto"/>
        <w:left w:val="none" w:sz="0" w:space="0" w:color="auto"/>
        <w:bottom w:val="none" w:sz="0" w:space="0" w:color="auto"/>
        <w:right w:val="none" w:sz="0" w:space="0" w:color="auto"/>
      </w:divBdr>
    </w:div>
    <w:div w:id="1691299710">
      <w:bodyDiv w:val="1"/>
      <w:marLeft w:val="0"/>
      <w:marRight w:val="0"/>
      <w:marTop w:val="0"/>
      <w:marBottom w:val="0"/>
      <w:divBdr>
        <w:top w:val="none" w:sz="0" w:space="0" w:color="auto"/>
        <w:left w:val="none" w:sz="0" w:space="0" w:color="auto"/>
        <w:bottom w:val="none" w:sz="0" w:space="0" w:color="auto"/>
        <w:right w:val="none" w:sz="0" w:space="0" w:color="auto"/>
      </w:divBdr>
      <w:divsChild>
        <w:div w:id="923610414">
          <w:marLeft w:val="0"/>
          <w:marRight w:val="0"/>
          <w:marTop w:val="0"/>
          <w:marBottom w:val="0"/>
          <w:divBdr>
            <w:top w:val="none" w:sz="0" w:space="0" w:color="auto"/>
            <w:left w:val="none" w:sz="0" w:space="0" w:color="auto"/>
            <w:bottom w:val="none" w:sz="0" w:space="0" w:color="auto"/>
            <w:right w:val="none" w:sz="0" w:space="0" w:color="auto"/>
          </w:divBdr>
          <w:divsChild>
            <w:div w:id="1737049915">
              <w:marLeft w:val="0"/>
              <w:marRight w:val="0"/>
              <w:marTop w:val="0"/>
              <w:marBottom w:val="0"/>
              <w:divBdr>
                <w:top w:val="none" w:sz="0" w:space="0" w:color="auto"/>
                <w:left w:val="none" w:sz="0" w:space="0" w:color="auto"/>
                <w:bottom w:val="none" w:sz="0" w:space="0" w:color="auto"/>
                <w:right w:val="none" w:sz="0" w:space="0" w:color="auto"/>
              </w:divBdr>
              <w:divsChild>
                <w:div w:id="124187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1259">
      <w:bodyDiv w:val="1"/>
      <w:marLeft w:val="0"/>
      <w:marRight w:val="0"/>
      <w:marTop w:val="0"/>
      <w:marBottom w:val="0"/>
      <w:divBdr>
        <w:top w:val="none" w:sz="0" w:space="0" w:color="auto"/>
        <w:left w:val="none" w:sz="0" w:space="0" w:color="auto"/>
        <w:bottom w:val="none" w:sz="0" w:space="0" w:color="auto"/>
        <w:right w:val="none" w:sz="0" w:space="0" w:color="auto"/>
      </w:divBdr>
    </w:div>
    <w:div w:id="1732264296">
      <w:bodyDiv w:val="1"/>
      <w:marLeft w:val="0"/>
      <w:marRight w:val="0"/>
      <w:marTop w:val="0"/>
      <w:marBottom w:val="0"/>
      <w:divBdr>
        <w:top w:val="none" w:sz="0" w:space="0" w:color="auto"/>
        <w:left w:val="none" w:sz="0" w:space="0" w:color="auto"/>
        <w:bottom w:val="none" w:sz="0" w:space="0" w:color="auto"/>
        <w:right w:val="none" w:sz="0" w:space="0" w:color="auto"/>
      </w:divBdr>
    </w:div>
    <w:div w:id="1737237815">
      <w:bodyDiv w:val="1"/>
      <w:marLeft w:val="0"/>
      <w:marRight w:val="0"/>
      <w:marTop w:val="0"/>
      <w:marBottom w:val="0"/>
      <w:divBdr>
        <w:top w:val="none" w:sz="0" w:space="0" w:color="auto"/>
        <w:left w:val="none" w:sz="0" w:space="0" w:color="auto"/>
        <w:bottom w:val="none" w:sz="0" w:space="0" w:color="auto"/>
        <w:right w:val="none" w:sz="0" w:space="0" w:color="auto"/>
      </w:divBdr>
    </w:div>
    <w:div w:id="1738822929">
      <w:bodyDiv w:val="1"/>
      <w:marLeft w:val="0"/>
      <w:marRight w:val="0"/>
      <w:marTop w:val="0"/>
      <w:marBottom w:val="0"/>
      <w:divBdr>
        <w:top w:val="none" w:sz="0" w:space="0" w:color="auto"/>
        <w:left w:val="none" w:sz="0" w:space="0" w:color="auto"/>
        <w:bottom w:val="none" w:sz="0" w:space="0" w:color="auto"/>
        <w:right w:val="none" w:sz="0" w:space="0" w:color="auto"/>
      </w:divBdr>
    </w:div>
    <w:div w:id="1742436551">
      <w:bodyDiv w:val="1"/>
      <w:marLeft w:val="0"/>
      <w:marRight w:val="0"/>
      <w:marTop w:val="0"/>
      <w:marBottom w:val="0"/>
      <w:divBdr>
        <w:top w:val="none" w:sz="0" w:space="0" w:color="auto"/>
        <w:left w:val="none" w:sz="0" w:space="0" w:color="auto"/>
        <w:bottom w:val="none" w:sz="0" w:space="0" w:color="auto"/>
        <w:right w:val="none" w:sz="0" w:space="0" w:color="auto"/>
      </w:divBdr>
      <w:divsChild>
        <w:div w:id="199052030">
          <w:marLeft w:val="0"/>
          <w:marRight w:val="0"/>
          <w:marTop w:val="0"/>
          <w:marBottom w:val="0"/>
          <w:divBdr>
            <w:top w:val="none" w:sz="0" w:space="0" w:color="auto"/>
            <w:left w:val="none" w:sz="0" w:space="0" w:color="auto"/>
            <w:bottom w:val="none" w:sz="0" w:space="0" w:color="auto"/>
            <w:right w:val="none" w:sz="0" w:space="0" w:color="auto"/>
          </w:divBdr>
        </w:div>
      </w:divsChild>
    </w:div>
    <w:div w:id="1747922770">
      <w:bodyDiv w:val="1"/>
      <w:marLeft w:val="0"/>
      <w:marRight w:val="0"/>
      <w:marTop w:val="0"/>
      <w:marBottom w:val="0"/>
      <w:divBdr>
        <w:top w:val="none" w:sz="0" w:space="0" w:color="auto"/>
        <w:left w:val="none" w:sz="0" w:space="0" w:color="auto"/>
        <w:bottom w:val="none" w:sz="0" w:space="0" w:color="auto"/>
        <w:right w:val="none" w:sz="0" w:space="0" w:color="auto"/>
      </w:divBdr>
    </w:div>
    <w:div w:id="1748186276">
      <w:bodyDiv w:val="1"/>
      <w:marLeft w:val="0"/>
      <w:marRight w:val="0"/>
      <w:marTop w:val="0"/>
      <w:marBottom w:val="0"/>
      <w:divBdr>
        <w:top w:val="none" w:sz="0" w:space="0" w:color="auto"/>
        <w:left w:val="none" w:sz="0" w:space="0" w:color="auto"/>
        <w:bottom w:val="none" w:sz="0" w:space="0" w:color="auto"/>
        <w:right w:val="none" w:sz="0" w:space="0" w:color="auto"/>
      </w:divBdr>
    </w:div>
    <w:div w:id="1775130286">
      <w:bodyDiv w:val="1"/>
      <w:marLeft w:val="0"/>
      <w:marRight w:val="0"/>
      <w:marTop w:val="0"/>
      <w:marBottom w:val="0"/>
      <w:divBdr>
        <w:top w:val="none" w:sz="0" w:space="0" w:color="auto"/>
        <w:left w:val="none" w:sz="0" w:space="0" w:color="auto"/>
        <w:bottom w:val="none" w:sz="0" w:space="0" w:color="auto"/>
        <w:right w:val="none" w:sz="0" w:space="0" w:color="auto"/>
      </w:divBdr>
    </w:div>
    <w:div w:id="1799104362">
      <w:bodyDiv w:val="1"/>
      <w:marLeft w:val="0"/>
      <w:marRight w:val="0"/>
      <w:marTop w:val="0"/>
      <w:marBottom w:val="0"/>
      <w:divBdr>
        <w:top w:val="none" w:sz="0" w:space="0" w:color="auto"/>
        <w:left w:val="none" w:sz="0" w:space="0" w:color="auto"/>
        <w:bottom w:val="none" w:sz="0" w:space="0" w:color="auto"/>
        <w:right w:val="none" w:sz="0" w:space="0" w:color="auto"/>
      </w:divBdr>
      <w:divsChild>
        <w:div w:id="1302274423">
          <w:marLeft w:val="0"/>
          <w:marRight w:val="0"/>
          <w:marTop w:val="0"/>
          <w:marBottom w:val="0"/>
          <w:divBdr>
            <w:top w:val="none" w:sz="0" w:space="0" w:color="auto"/>
            <w:left w:val="none" w:sz="0" w:space="0" w:color="auto"/>
            <w:bottom w:val="none" w:sz="0" w:space="0" w:color="auto"/>
            <w:right w:val="none" w:sz="0" w:space="0" w:color="auto"/>
          </w:divBdr>
          <w:divsChild>
            <w:div w:id="1375037039">
              <w:marLeft w:val="0"/>
              <w:marRight w:val="0"/>
              <w:marTop w:val="0"/>
              <w:marBottom w:val="0"/>
              <w:divBdr>
                <w:top w:val="none" w:sz="0" w:space="0" w:color="auto"/>
                <w:left w:val="none" w:sz="0" w:space="0" w:color="auto"/>
                <w:bottom w:val="none" w:sz="0" w:space="0" w:color="auto"/>
                <w:right w:val="none" w:sz="0" w:space="0" w:color="auto"/>
              </w:divBdr>
              <w:divsChild>
                <w:div w:id="176314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81302">
      <w:bodyDiv w:val="1"/>
      <w:marLeft w:val="0"/>
      <w:marRight w:val="0"/>
      <w:marTop w:val="0"/>
      <w:marBottom w:val="0"/>
      <w:divBdr>
        <w:top w:val="none" w:sz="0" w:space="0" w:color="auto"/>
        <w:left w:val="none" w:sz="0" w:space="0" w:color="auto"/>
        <w:bottom w:val="none" w:sz="0" w:space="0" w:color="auto"/>
        <w:right w:val="none" w:sz="0" w:space="0" w:color="auto"/>
      </w:divBdr>
    </w:div>
    <w:div w:id="1848903591">
      <w:bodyDiv w:val="1"/>
      <w:marLeft w:val="0"/>
      <w:marRight w:val="0"/>
      <w:marTop w:val="0"/>
      <w:marBottom w:val="0"/>
      <w:divBdr>
        <w:top w:val="none" w:sz="0" w:space="0" w:color="auto"/>
        <w:left w:val="none" w:sz="0" w:space="0" w:color="auto"/>
        <w:bottom w:val="none" w:sz="0" w:space="0" w:color="auto"/>
        <w:right w:val="none" w:sz="0" w:space="0" w:color="auto"/>
      </w:divBdr>
    </w:div>
    <w:div w:id="1877810257">
      <w:bodyDiv w:val="1"/>
      <w:marLeft w:val="0"/>
      <w:marRight w:val="0"/>
      <w:marTop w:val="0"/>
      <w:marBottom w:val="0"/>
      <w:divBdr>
        <w:top w:val="none" w:sz="0" w:space="0" w:color="auto"/>
        <w:left w:val="none" w:sz="0" w:space="0" w:color="auto"/>
        <w:bottom w:val="none" w:sz="0" w:space="0" w:color="auto"/>
        <w:right w:val="none" w:sz="0" w:space="0" w:color="auto"/>
      </w:divBdr>
    </w:div>
    <w:div w:id="1880123046">
      <w:bodyDiv w:val="1"/>
      <w:marLeft w:val="0"/>
      <w:marRight w:val="0"/>
      <w:marTop w:val="0"/>
      <w:marBottom w:val="0"/>
      <w:divBdr>
        <w:top w:val="none" w:sz="0" w:space="0" w:color="auto"/>
        <w:left w:val="none" w:sz="0" w:space="0" w:color="auto"/>
        <w:bottom w:val="none" w:sz="0" w:space="0" w:color="auto"/>
        <w:right w:val="none" w:sz="0" w:space="0" w:color="auto"/>
      </w:divBdr>
    </w:div>
    <w:div w:id="1890342450">
      <w:bodyDiv w:val="1"/>
      <w:marLeft w:val="0"/>
      <w:marRight w:val="0"/>
      <w:marTop w:val="0"/>
      <w:marBottom w:val="0"/>
      <w:divBdr>
        <w:top w:val="none" w:sz="0" w:space="0" w:color="auto"/>
        <w:left w:val="none" w:sz="0" w:space="0" w:color="auto"/>
        <w:bottom w:val="none" w:sz="0" w:space="0" w:color="auto"/>
        <w:right w:val="none" w:sz="0" w:space="0" w:color="auto"/>
      </w:divBdr>
    </w:div>
    <w:div w:id="1928420723">
      <w:bodyDiv w:val="1"/>
      <w:marLeft w:val="0"/>
      <w:marRight w:val="0"/>
      <w:marTop w:val="0"/>
      <w:marBottom w:val="0"/>
      <w:divBdr>
        <w:top w:val="none" w:sz="0" w:space="0" w:color="auto"/>
        <w:left w:val="none" w:sz="0" w:space="0" w:color="auto"/>
        <w:bottom w:val="none" w:sz="0" w:space="0" w:color="auto"/>
        <w:right w:val="none" w:sz="0" w:space="0" w:color="auto"/>
      </w:divBdr>
    </w:div>
    <w:div w:id="1935087190">
      <w:bodyDiv w:val="1"/>
      <w:marLeft w:val="0"/>
      <w:marRight w:val="0"/>
      <w:marTop w:val="0"/>
      <w:marBottom w:val="0"/>
      <w:divBdr>
        <w:top w:val="none" w:sz="0" w:space="0" w:color="auto"/>
        <w:left w:val="none" w:sz="0" w:space="0" w:color="auto"/>
        <w:bottom w:val="none" w:sz="0" w:space="0" w:color="auto"/>
        <w:right w:val="none" w:sz="0" w:space="0" w:color="auto"/>
      </w:divBdr>
      <w:divsChild>
        <w:div w:id="132988575">
          <w:marLeft w:val="0"/>
          <w:marRight w:val="0"/>
          <w:marTop w:val="0"/>
          <w:marBottom w:val="0"/>
          <w:divBdr>
            <w:top w:val="none" w:sz="0" w:space="0" w:color="auto"/>
            <w:left w:val="none" w:sz="0" w:space="0" w:color="auto"/>
            <w:bottom w:val="none" w:sz="0" w:space="0" w:color="auto"/>
            <w:right w:val="none" w:sz="0" w:space="0" w:color="auto"/>
          </w:divBdr>
          <w:divsChild>
            <w:div w:id="429787881">
              <w:marLeft w:val="0"/>
              <w:marRight w:val="0"/>
              <w:marTop w:val="0"/>
              <w:marBottom w:val="0"/>
              <w:divBdr>
                <w:top w:val="none" w:sz="0" w:space="0" w:color="auto"/>
                <w:left w:val="none" w:sz="0" w:space="0" w:color="auto"/>
                <w:bottom w:val="none" w:sz="0" w:space="0" w:color="auto"/>
                <w:right w:val="none" w:sz="0" w:space="0" w:color="auto"/>
              </w:divBdr>
              <w:divsChild>
                <w:div w:id="197343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559700">
      <w:bodyDiv w:val="1"/>
      <w:marLeft w:val="0"/>
      <w:marRight w:val="0"/>
      <w:marTop w:val="0"/>
      <w:marBottom w:val="0"/>
      <w:divBdr>
        <w:top w:val="none" w:sz="0" w:space="0" w:color="auto"/>
        <w:left w:val="none" w:sz="0" w:space="0" w:color="auto"/>
        <w:bottom w:val="none" w:sz="0" w:space="0" w:color="auto"/>
        <w:right w:val="none" w:sz="0" w:space="0" w:color="auto"/>
      </w:divBdr>
      <w:divsChild>
        <w:div w:id="1534802028">
          <w:marLeft w:val="0"/>
          <w:marRight w:val="0"/>
          <w:marTop w:val="0"/>
          <w:marBottom w:val="0"/>
          <w:divBdr>
            <w:top w:val="none" w:sz="0" w:space="0" w:color="auto"/>
            <w:left w:val="none" w:sz="0" w:space="0" w:color="auto"/>
            <w:bottom w:val="none" w:sz="0" w:space="0" w:color="auto"/>
            <w:right w:val="none" w:sz="0" w:space="0" w:color="auto"/>
          </w:divBdr>
        </w:div>
      </w:divsChild>
    </w:div>
    <w:div w:id="1955018394">
      <w:bodyDiv w:val="1"/>
      <w:marLeft w:val="0"/>
      <w:marRight w:val="0"/>
      <w:marTop w:val="0"/>
      <w:marBottom w:val="0"/>
      <w:divBdr>
        <w:top w:val="none" w:sz="0" w:space="0" w:color="auto"/>
        <w:left w:val="none" w:sz="0" w:space="0" w:color="auto"/>
        <w:bottom w:val="none" w:sz="0" w:space="0" w:color="auto"/>
        <w:right w:val="none" w:sz="0" w:space="0" w:color="auto"/>
      </w:divBdr>
      <w:divsChild>
        <w:div w:id="1152404384">
          <w:marLeft w:val="0"/>
          <w:marRight w:val="0"/>
          <w:marTop w:val="0"/>
          <w:marBottom w:val="0"/>
          <w:divBdr>
            <w:top w:val="none" w:sz="0" w:space="0" w:color="auto"/>
            <w:left w:val="none" w:sz="0" w:space="0" w:color="auto"/>
            <w:bottom w:val="none" w:sz="0" w:space="0" w:color="auto"/>
            <w:right w:val="none" w:sz="0" w:space="0" w:color="auto"/>
          </w:divBdr>
        </w:div>
      </w:divsChild>
    </w:div>
    <w:div w:id="1979652700">
      <w:bodyDiv w:val="1"/>
      <w:marLeft w:val="0"/>
      <w:marRight w:val="0"/>
      <w:marTop w:val="0"/>
      <w:marBottom w:val="0"/>
      <w:divBdr>
        <w:top w:val="none" w:sz="0" w:space="0" w:color="auto"/>
        <w:left w:val="none" w:sz="0" w:space="0" w:color="auto"/>
        <w:bottom w:val="none" w:sz="0" w:space="0" w:color="auto"/>
        <w:right w:val="none" w:sz="0" w:space="0" w:color="auto"/>
      </w:divBdr>
    </w:div>
    <w:div w:id="2028481521">
      <w:bodyDiv w:val="1"/>
      <w:marLeft w:val="0"/>
      <w:marRight w:val="0"/>
      <w:marTop w:val="0"/>
      <w:marBottom w:val="0"/>
      <w:divBdr>
        <w:top w:val="none" w:sz="0" w:space="0" w:color="auto"/>
        <w:left w:val="none" w:sz="0" w:space="0" w:color="auto"/>
        <w:bottom w:val="none" w:sz="0" w:space="0" w:color="auto"/>
        <w:right w:val="none" w:sz="0" w:space="0" w:color="auto"/>
      </w:divBdr>
      <w:divsChild>
        <w:div w:id="1290360077">
          <w:marLeft w:val="0"/>
          <w:marRight w:val="0"/>
          <w:marTop w:val="0"/>
          <w:marBottom w:val="0"/>
          <w:divBdr>
            <w:top w:val="none" w:sz="0" w:space="0" w:color="auto"/>
            <w:left w:val="none" w:sz="0" w:space="0" w:color="auto"/>
            <w:bottom w:val="none" w:sz="0" w:space="0" w:color="auto"/>
            <w:right w:val="none" w:sz="0" w:space="0" w:color="auto"/>
          </w:divBdr>
          <w:divsChild>
            <w:div w:id="216087838">
              <w:marLeft w:val="0"/>
              <w:marRight w:val="0"/>
              <w:marTop w:val="0"/>
              <w:marBottom w:val="0"/>
              <w:divBdr>
                <w:top w:val="none" w:sz="0" w:space="0" w:color="auto"/>
                <w:left w:val="none" w:sz="0" w:space="0" w:color="auto"/>
                <w:bottom w:val="none" w:sz="0" w:space="0" w:color="auto"/>
                <w:right w:val="none" w:sz="0" w:space="0" w:color="auto"/>
              </w:divBdr>
              <w:divsChild>
                <w:div w:id="108974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32187">
      <w:bodyDiv w:val="1"/>
      <w:marLeft w:val="0"/>
      <w:marRight w:val="0"/>
      <w:marTop w:val="0"/>
      <w:marBottom w:val="0"/>
      <w:divBdr>
        <w:top w:val="none" w:sz="0" w:space="0" w:color="auto"/>
        <w:left w:val="none" w:sz="0" w:space="0" w:color="auto"/>
        <w:bottom w:val="none" w:sz="0" w:space="0" w:color="auto"/>
        <w:right w:val="none" w:sz="0" w:space="0" w:color="auto"/>
      </w:divBdr>
    </w:div>
    <w:div w:id="2078893148">
      <w:bodyDiv w:val="1"/>
      <w:marLeft w:val="0"/>
      <w:marRight w:val="0"/>
      <w:marTop w:val="0"/>
      <w:marBottom w:val="0"/>
      <w:divBdr>
        <w:top w:val="none" w:sz="0" w:space="0" w:color="auto"/>
        <w:left w:val="none" w:sz="0" w:space="0" w:color="auto"/>
        <w:bottom w:val="none" w:sz="0" w:space="0" w:color="auto"/>
        <w:right w:val="none" w:sz="0" w:space="0" w:color="auto"/>
      </w:divBdr>
    </w:div>
    <w:div w:id="2111703953">
      <w:bodyDiv w:val="1"/>
      <w:marLeft w:val="0"/>
      <w:marRight w:val="0"/>
      <w:marTop w:val="0"/>
      <w:marBottom w:val="0"/>
      <w:divBdr>
        <w:top w:val="none" w:sz="0" w:space="0" w:color="auto"/>
        <w:left w:val="none" w:sz="0" w:space="0" w:color="auto"/>
        <w:bottom w:val="none" w:sz="0" w:space="0" w:color="auto"/>
        <w:right w:val="none" w:sz="0" w:space="0" w:color="auto"/>
      </w:divBdr>
      <w:divsChild>
        <w:div w:id="1530875045">
          <w:marLeft w:val="0"/>
          <w:marRight w:val="0"/>
          <w:marTop w:val="0"/>
          <w:marBottom w:val="0"/>
          <w:divBdr>
            <w:top w:val="none" w:sz="0" w:space="0" w:color="auto"/>
            <w:left w:val="none" w:sz="0" w:space="0" w:color="auto"/>
            <w:bottom w:val="none" w:sz="0" w:space="0" w:color="auto"/>
            <w:right w:val="none" w:sz="0" w:space="0" w:color="auto"/>
          </w:divBdr>
          <w:divsChild>
            <w:div w:id="1147892583">
              <w:marLeft w:val="0"/>
              <w:marRight w:val="0"/>
              <w:marTop w:val="0"/>
              <w:marBottom w:val="0"/>
              <w:divBdr>
                <w:top w:val="none" w:sz="0" w:space="0" w:color="auto"/>
                <w:left w:val="none" w:sz="0" w:space="0" w:color="auto"/>
                <w:bottom w:val="none" w:sz="0" w:space="0" w:color="auto"/>
                <w:right w:val="none" w:sz="0" w:space="0" w:color="auto"/>
              </w:divBdr>
              <w:divsChild>
                <w:div w:id="53492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60510">
      <w:bodyDiv w:val="1"/>
      <w:marLeft w:val="0"/>
      <w:marRight w:val="0"/>
      <w:marTop w:val="0"/>
      <w:marBottom w:val="0"/>
      <w:divBdr>
        <w:top w:val="none" w:sz="0" w:space="0" w:color="auto"/>
        <w:left w:val="none" w:sz="0" w:space="0" w:color="auto"/>
        <w:bottom w:val="none" w:sz="0" w:space="0" w:color="auto"/>
        <w:right w:val="none" w:sz="0" w:space="0" w:color="auto"/>
      </w:divBdr>
      <w:divsChild>
        <w:div w:id="945188475">
          <w:marLeft w:val="0"/>
          <w:marRight w:val="0"/>
          <w:marTop w:val="0"/>
          <w:marBottom w:val="0"/>
          <w:divBdr>
            <w:top w:val="none" w:sz="0" w:space="0" w:color="auto"/>
            <w:left w:val="none" w:sz="0" w:space="0" w:color="auto"/>
            <w:bottom w:val="none" w:sz="0" w:space="0" w:color="auto"/>
            <w:right w:val="none" w:sz="0" w:space="0" w:color="auto"/>
          </w:divBdr>
        </w:div>
      </w:divsChild>
    </w:div>
    <w:div w:id="2118018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community.secop.gov.co/Public/TEndering/OpportunityDetail/Index?noticeUID=CO1.NTC.1243270&amp;isFromPublicArea=True&amp;isModal=true&amp;asPopupView=true" TargetMode="External"/><Relationship Id="rId39" Type="http://schemas.openxmlformats.org/officeDocument/2006/relationships/fontTable" Target="fontTable.xml"/><Relationship Id="rId21" Type="http://schemas.openxmlformats.org/officeDocument/2006/relationships/hyperlink" Target="https://community.secop.gov.co/Public/TEndering/OpportunityDetail/Index?noticeUID=CO1.NTC.4211653&amp;isFromPublicArea=True&amp;isModal=true&amp;asPopupView=true" TargetMode="External"/><Relationship Id="rId34"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www.colombiacompraeficiente.gov.co/"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ommunity.secop.gov.co/Public/TEndering/OpportunityDetail/Index?noticeUID=CO1.NTC.8387888&amp;isFromPublicArea=True&amp;isModal=true&amp;asPopupView=true" TargetMode="External"/><Relationship Id="rId32" Type="http://schemas.openxmlformats.org/officeDocument/2006/relationships/image" Target="media/image11.png"/><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view.officeapps.live.com/op/view.aspx?src=https%3A%2F%2Fwww.dane.gov.co%2Ffiles%2Foperaciones%2FIPC%2Ffeb2026%2Fanex-IPC-feb2026.xlsx&amp;wdOrigin=BROWSELINK" TargetMode="External"/><Relationship Id="rId23" Type="http://schemas.openxmlformats.org/officeDocument/2006/relationships/hyperlink" Target="https://community.secop.gov.co/Public/TEndering/OpportunityDetail/Index?noticeUID=CO1.NTC.2390721&amp;isFromPublicArea=True&amp;isModal=true&amp;asPopupView=true" TargetMode="External"/><Relationship Id="rId28" Type="http://schemas.openxmlformats.org/officeDocument/2006/relationships/hyperlink" Target="https://community.secop.gov.co/Public/TEndering/OpportunityDetail/Index?noticeUID=CO1.NTC.2343166&amp;isFromPublicArea=True&amp;isModal=true&amp;asPopupView=true" TargetMode="External"/><Relationship Id="rId36"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colombiacompra.gov.co/"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hyperlink" Target="https://community.secop.gov.co/Public/TEndering/OpportunityDetail/Index?noticeUID=CO1.NTC.2390464&amp;isFromPublicArea=True&amp;isModal=true&amp;asPopupView=true" TargetMode="External"/><Relationship Id="rId27" Type="http://schemas.openxmlformats.org/officeDocument/2006/relationships/hyperlink" Target="https://community.secop.gov.co/Public/TEndering/OpportunityDetail/Index?noticeUID=CO1.NTC.7237494&amp;isFromPublicArea=True&amp;isModal=true&amp;asPopupView=true" TargetMode="External"/><Relationship Id="rId30" Type="http://schemas.openxmlformats.org/officeDocument/2006/relationships/image" Target="media/image9.png"/><Relationship Id="rId35" Type="http://schemas.openxmlformats.org/officeDocument/2006/relationships/header" Target="header1.xml"/><Relationship Id="rId8" Type="http://schemas.openxmlformats.org/officeDocument/2006/relationships/hyperlink" Target="https://www.colombiacompra.gov.co/sites/cce_public/files/cce_documentos/cce-eicp-gi-18._gees_v.2_2.pdf" TargetMode="External"/><Relationship Id="rId3" Type="http://schemas.openxmlformats.org/officeDocument/2006/relationships/styles" Target="styles.xml"/><Relationship Id="rId12" Type="http://schemas.openxmlformats.org/officeDocument/2006/relationships/hyperlink" Target="https://www.dane.gov.co/files/operaciones/IPC/feb2026/bol-IPC-feb2026.pdf" TargetMode="External"/><Relationship Id="rId17" Type="http://schemas.openxmlformats.org/officeDocument/2006/relationships/hyperlink" Target="https://www.dane.gov.co/files/operaciones/IPC/feb2026/press-IPC-feb2026.pdf" TargetMode="External"/><Relationship Id="rId25" Type="http://schemas.openxmlformats.org/officeDocument/2006/relationships/hyperlink" Target="https://community.secop.gov.co/Public/TEndering/OpportunityDetail/Index?noticeUID=CO1.NTC.1233243&amp;isFromPublicArea=True&amp;isModal=true&amp;asPopupView=true" TargetMode="External"/><Relationship Id="rId33" Type="http://schemas.openxmlformats.org/officeDocument/2006/relationships/hyperlink" Target="https://www.colombiacompra.gov.co/analisis-de-datos-de-compra-publica/visualizaciones-compra-publica/herramienta-de-visualizacion-para-el-analisis-de-la-demanda-y-de-la-oferta" TargetMode="External"/><Relationship Id="rId3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4.emf"/></Relationships>
</file>

<file path=word/_rels/header2.xml.rels><?xml version="1.0" encoding="UTF-8" standalone="yes"?>
<Relationships xmlns="http://schemas.openxmlformats.org/package/2006/relationships"><Relationship Id="rId1" Type="http://schemas.openxmlformats.org/officeDocument/2006/relationships/image" Target="media/image1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5D9D3468509B4DB8977804B3CDAE7B"/>
        <w:category>
          <w:name w:val="General"/>
          <w:gallery w:val="placeholder"/>
        </w:category>
        <w:types>
          <w:type w:val="bbPlcHdr"/>
        </w:types>
        <w:behaviors>
          <w:behavior w:val="content"/>
        </w:behaviors>
        <w:guid w:val="{A209E035-502C-E843-B261-DA543C2E23A4}"/>
      </w:docPartPr>
      <w:docPartBody>
        <w:p w:rsidR="00187AC3" w:rsidRDefault="00187AC3" w:rsidP="00187AC3">
          <w:pPr>
            <w:pStyle w:val="215D9D3468509B4DB8977804B3CDAE7B"/>
          </w:pPr>
          <w:r w:rsidRPr="00563D9A">
            <w:rPr>
              <w:rFonts w:cs="Arial"/>
              <w:color w:val="ED7D31" w:themeColor="accent2"/>
            </w:rPr>
            <w:t>(10%) (podrá ser mayor)</w:t>
          </w:r>
        </w:p>
      </w:docPartBody>
    </w:docPart>
    <w:docPart>
      <w:docPartPr>
        <w:name w:val="2A322A0813B52E46A132C12B825DCDA5"/>
        <w:category>
          <w:name w:val="General"/>
          <w:gallery w:val="placeholder"/>
        </w:category>
        <w:types>
          <w:type w:val="bbPlcHdr"/>
        </w:types>
        <w:behaviors>
          <w:behavior w:val="content"/>
        </w:behaviors>
        <w:guid w:val="{51EAB71C-C847-704C-9DF3-F00E0E904575}"/>
      </w:docPartPr>
      <w:docPartBody>
        <w:p w:rsidR="00187AC3" w:rsidRDefault="00187AC3" w:rsidP="00187AC3">
          <w:pPr>
            <w:pStyle w:val="2A322A0813B52E46A132C12B825DCDA5"/>
          </w:pPr>
          <w:r w:rsidRPr="00563D9A">
            <w:rPr>
              <w:rFonts w:cs="Arial"/>
              <w:color w:val="ED7D31" w:themeColor="accent2"/>
            </w:rPr>
            <w:t>(podrá ser mayor)</w:t>
          </w:r>
        </w:p>
      </w:docPartBody>
    </w:docPart>
    <w:docPart>
      <w:docPartPr>
        <w:name w:val="E82D1B589F359243859D98DEB1846D34"/>
        <w:category>
          <w:name w:val="General"/>
          <w:gallery w:val="placeholder"/>
        </w:category>
        <w:types>
          <w:type w:val="bbPlcHdr"/>
        </w:types>
        <w:behaviors>
          <w:behavior w:val="content"/>
        </w:behaviors>
        <w:guid w:val="{88DCCE8F-B557-584C-B0C6-8DCA6AEF76D5}"/>
      </w:docPartPr>
      <w:docPartBody>
        <w:p w:rsidR="00187AC3" w:rsidRDefault="00187AC3" w:rsidP="00187AC3">
          <w:pPr>
            <w:pStyle w:val="E82D1B589F359243859D98DEB1846D34"/>
          </w:pPr>
          <w:r w:rsidRPr="0026548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318DC"/>
    <w:rsid w:val="0004157A"/>
    <w:rsid w:val="000467AD"/>
    <w:rsid w:val="000531CF"/>
    <w:rsid w:val="000533F7"/>
    <w:rsid w:val="000838FD"/>
    <w:rsid w:val="000E3951"/>
    <w:rsid w:val="000F0A52"/>
    <w:rsid w:val="00112C0D"/>
    <w:rsid w:val="00134049"/>
    <w:rsid w:val="00160621"/>
    <w:rsid w:val="001778A4"/>
    <w:rsid w:val="00186133"/>
    <w:rsid w:val="00187AC3"/>
    <w:rsid w:val="00190F30"/>
    <w:rsid w:val="001B69F7"/>
    <w:rsid w:val="001F45FF"/>
    <w:rsid w:val="00207703"/>
    <w:rsid w:val="002132F3"/>
    <w:rsid w:val="00243187"/>
    <w:rsid w:val="00247232"/>
    <w:rsid w:val="00247391"/>
    <w:rsid w:val="00276B03"/>
    <w:rsid w:val="00296324"/>
    <w:rsid w:val="002B3719"/>
    <w:rsid w:val="002D2ABB"/>
    <w:rsid w:val="003029E0"/>
    <w:rsid w:val="003526EF"/>
    <w:rsid w:val="00363524"/>
    <w:rsid w:val="00367691"/>
    <w:rsid w:val="003C0B7F"/>
    <w:rsid w:val="004810DF"/>
    <w:rsid w:val="00481956"/>
    <w:rsid w:val="004950AA"/>
    <w:rsid w:val="004D4ECC"/>
    <w:rsid w:val="00500D0A"/>
    <w:rsid w:val="005301A0"/>
    <w:rsid w:val="00566971"/>
    <w:rsid w:val="00581A6E"/>
    <w:rsid w:val="0058530F"/>
    <w:rsid w:val="005A2D9B"/>
    <w:rsid w:val="005B5F98"/>
    <w:rsid w:val="005C447F"/>
    <w:rsid w:val="005D0858"/>
    <w:rsid w:val="005D20A3"/>
    <w:rsid w:val="005E0C06"/>
    <w:rsid w:val="005E7ED1"/>
    <w:rsid w:val="005F535D"/>
    <w:rsid w:val="00610E04"/>
    <w:rsid w:val="00644068"/>
    <w:rsid w:val="00655AD5"/>
    <w:rsid w:val="0066491B"/>
    <w:rsid w:val="00673446"/>
    <w:rsid w:val="00690057"/>
    <w:rsid w:val="006A5B4A"/>
    <w:rsid w:val="006C475F"/>
    <w:rsid w:val="00704F0B"/>
    <w:rsid w:val="00711141"/>
    <w:rsid w:val="0073673A"/>
    <w:rsid w:val="007367B5"/>
    <w:rsid w:val="00757549"/>
    <w:rsid w:val="008005AE"/>
    <w:rsid w:val="0081344E"/>
    <w:rsid w:val="0082611C"/>
    <w:rsid w:val="0083193C"/>
    <w:rsid w:val="008376AC"/>
    <w:rsid w:val="00892442"/>
    <w:rsid w:val="00895513"/>
    <w:rsid w:val="008A755C"/>
    <w:rsid w:val="008B0B91"/>
    <w:rsid w:val="008C7EF6"/>
    <w:rsid w:val="008F22C9"/>
    <w:rsid w:val="0092725E"/>
    <w:rsid w:val="0094721A"/>
    <w:rsid w:val="0098797E"/>
    <w:rsid w:val="009B2D41"/>
    <w:rsid w:val="009C7A80"/>
    <w:rsid w:val="009D1DB0"/>
    <w:rsid w:val="00A45A3E"/>
    <w:rsid w:val="00A658AF"/>
    <w:rsid w:val="00A73021"/>
    <w:rsid w:val="00A76D00"/>
    <w:rsid w:val="00A837B7"/>
    <w:rsid w:val="00AA2F58"/>
    <w:rsid w:val="00AB7B05"/>
    <w:rsid w:val="00AC1EA8"/>
    <w:rsid w:val="00AD2F77"/>
    <w:rsid w:val="00AF6311"/>
    <w:rsid w:val="00B53452"/>
    <w:rsid w:val="00B85B11"/>
    <w:rsid w:val="00BB58B8"/>
    <w:rsid w:val="00BD1989"/>
    <w:rsid w:val="00BF2972"/>
    <w:rsid w:val="00C01FB7"/>
    <w:rsid w:val="00C328E9"/>
    <w:rsid w:val="00C4055D"/>
    <w:rsid w:val="00C46E53"/>
    <w:rsid w:val="00C6003F"/>
    <w:rsid w:val="00C625BB"/>
    <w:rsid w:val="00C6326A"/>
    <w:rsid w:val="00C757F5"/>
    <w:rsid w:val="00C77DE9"/>
    <w:rsid w:val="00C92B22"/>
    <w:rsid w:val="00D17A79"/>
    <w:rsid w:val="00D75731"/>
    <w:rsid w:val="00D935B2"/>
    <w:rsid w:val="00DA2BD6"/>
    <w:rsid w:val="00DB0DAF"/>
    <w:rsid w:val="00DE1D5B"/>
    <w:rsid w:val="00DE2C97"/>
    <w:rsid w:val="00DE4BD9"/>
    <w:rsid w:val="00DF4CB1"/>
    <w:rsid w:val="00E03F17"/>
    <w:rsid w:val="00E204D4"/>
    <w:rsid w:val="00E34F8A"/>
    <w:rsid w:val="00E56801"/>
    <w:rsid w:val="00E83338"/>
    <w:rsid w:val="00EA4D3A"/>
    <w:rsid w:val="00EA6425"/>
    <w:rsid w:val="00EB2B3F"/>
    <w:rsid w:val="00EE775B"/>
    <w:rsid w:val="00EF4C1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15D9D3468509B4DB8977804B3CDAE7B">
    <w:name w:val="215D9D3468509B4DB8977804B3CDAE7B"/>
    <w:rsid w:val="00187AC3"/>
    <w:rPr>
      <w:lang w:val="es-ES_tradnl" w:eastAsia="es-ES_tradnl"/>
    </w:rPr>
  </w:style>
  <w:style w:type="paragraph" w:customStyle="1" w:styleId="2A322A0813B52E46A132C12B825DCDA5">
    <w:name w:val="2A322A0813B52E46A132C12B825DCDA5"/>
    <w:rsid w:val="00187AC3"/>
    <w:rPr>
      <w:lang w:val="es-ES_tradnl" w:eastAsia="es-ES_tradnl"/>
    </w:rPr>
  </w:style>
  <w:style w:type="character" w:styleId="Textodelmarcadordeposicin">
    <w:name w:val="Placeholder Text"/>
    <w:basedOn w:val="Fuentedeprrafopredeter"/>
    <w:uiPriority w:val="99"/>
    <w:semiHidden/>
    <w:rsid w:val="008F22C9"/>
    <w:rPr>
      <w:color w:val="808080"/>
    </w:rPr>
  </w:style>
  <w:style w:type="paragraph" w:customStyle="1" w:styleId="E82D1B589F359243859D98DEB1846D34">
    <w:name w:val="E82D1B589F359243859D98DEB1846D34"/>
    <w:rsid w:val="00187AC3"/>
    <w:rPr>
      <w:lang w:val="es-ES_tradnl" w:eastAsia="es-ES_tradn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E993E-9A17-478A-94F4-4C4335CA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17</Pages>
  <Words>5157</Words>
  <Characters>28366</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Paola Andrea Contreras Celis</cp:lastModifiedBy>
  <cp:revision>74</cp:revision>
  <cp:lastPrinted>2020-03-03T19:51:00Z</cp:lastPrinted>
  <dcterms:created xsi:type="dcterms:W3CDTF">2026-03-09T13:45:00Z</dcterms:created>
  <dcterms:modified xsi:type="dcterms:W3CDTF">2026-03-18T21:55:00Z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2024-12-19T16:29:29Z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565d8047-6831-4ecd-98d7-3d9fc202ac19</vt:lpwstr>
  </property>
  <property fmtid="{D5CDD505-2E9C-101B-9397-08002B2CF9AE}" pid="8" name="MSIP_Label_fc111285-cafa-4fc9-8a9a-bd902089b24f_ContentBits">
    <vt:lpwstr>0</vt:lpwstr>
  </property>
</Properties>
</file>