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C6B35" w:rsidR="003F6BAA" w:rsidP="65D10910" w:rsidRDefault="004F242B" w14:paraId="5AA8CF66" w14:textId="73227A03">
      <w:pPr>
        <w:spacing w:after="0" w:line="276" w:lineRule="auto"/>
        <w:jc w:val="center"/>
        <w:rPr>
          <w:rFonts w:cs="Calibri"/>
          <w:b/>
          <w:bCs/>
        </w:rPr>
      </w:pPr>
      <w:r w:rsidRPr="006C6B35">
        <w:rPr>
          <w:rFonts w:cs="Calibri"/>
          <w:b/>
          <w:bCs/>
        </w:rPr>
        <w:t xml:space="preserve">INDICADORES </w:t>
      </w:r>
      <w:r w:rsidRPr="006C6B35" w:rsidR="003F6BAA">
        <w:rPr>
          <w:rFonts w:cs="Calibri"/>
          <w:b/>
          <w:bCs/>
        </w:rPr>
        <w:t>FINANCIEROS</w:t>
      </w:r>
      <w:r w:rsidRPr="006C6B35" w:rsidR="00DA750E">
        <w:rPr>
          <w:rFonts w:cs="Calibri"/>
          <w:b/>
          <w:bCs/>
        </w:rPr>
        <w:t xml:space="preserve"> PROCESO</w:t>
      </w:r>
      <w:r w:rsidRPr="006C6B35" w:rsidR="003F6BAA">
        <w:rPr>
          <w:rFonts w:cs="Calibri"/>
          <w:b/>
          <w:bCs/>
        </w:rPr>
        <w:t xml:space="preserve"> </w:t>
      </w:r>
    </w:p>
    <w:p w:rsidRPr="006C6B35" w:rsidR="00530E02" w:rsidP="65D10910" w:rsidRDefault="00530E02" w14:paraId="0CAFC359" w14:textId="77777777">
      <w:pPr>
        <w:spacing w:after="0" w:line="276" w:lineRule="auto"/>
        <w:jc w:val="center"/>
        <w:rPr>
          <w:rFonts w:cs="Calibri"/>
          <w:b/>
          <w:bCs/>
        </w:rPr>
      </w:pPr>
    </w:p>
    <w:p w:rsidR="009B3436" w:rsidP="776A7E24" w:rsidRDefault="00953A23" w14:paraId="2759CF60" w14:textId="6CDAF204">
      <w:pPr>
        <w:spacing w:after="0" w:line="276" w:lineRule="auto"/>
        <w:jc w:val="center"/>
        <w:rPr>
          <w:rFonts w:cs="Calibri"/>
          <w:b/>
          <w:bCs/>
        </w:rPr>
      </w:pPr>
      <w:r w:rsidRPr="4E1AD4DC">
        <w:rPr>
          <w:rFonts w:cs="Calibri"/>
          <w:b/>
          <w:bCs/>
        </w:rPr>
        <w:t>OBJETO DE CONTRATACION</w:t>
      </w:r>
      <w:r w:rsidRPr="4E1AD4DC" w:rsidR="004D32AB">
        <w:rPr>
          <w:rFonts w:cs="Calibri"/>
          <w:b/>
          <w:bCs/>
        </w:rPr>
        <w:t>:</w:t>
      </w:r>
    </w:p>
    <w:p w:rsidRPr="006C6B35" w:rsidR="009843E4" w:rsidP="4E1AD4DC" w:rsidRDefault="7193CC53" w14:paraId="3EF2627F" w14:textId="23798CD8">
      <w:pPr>
        <w:spacing w:after="0" w:line="276" w:lineRule="auto"/>
        <w:jc w:val="center"/>
        <w:rPr>
          <w:rFonts w:cs="Calibri"/>
        </w:rPr>
      </w:pPr>
      <w:r w:rsidRPr="4E1AD4DC">
        <w:rPr>
          <w:rFonts w:cs="Calibri"/>
          <w:color w:val="000000" w:themeColor="text1"/>
          <w:lang w:val="es-ES"/>
        </w:rPr>
        <w:t>CONTRATAR EL SERVICIO DE INTERMEDIACIÓN DE SEGUROS Y ASESORÍA PARA EL MANEJO INTEGRAL DEL PROGRAMA DE SEGUROS DE LA ENTIDAD</w:t>
      </w:r>
    </w:p>
    <w:p w:rsidR="4E1AD4DC" w:rsidP="4E1AD4DC" w:rsidRDefault="4E1AD4DC" w14:paraId="276542BD" w14:textId="1994687B">
      <w:pPr>
        <w:spacing w:after="0" w:line="276" w:lineRule="auto"/>
        <w:jc w:val="center"/>
        <w:rPr>
          <w:rFonts w:cs="Calibri"/>
          <w:color w:val="000000" w:themeColor="text1"/>
          <w:lang w:val="es-ES"/>
        </w:rPr>
      </w:pPr>
    </w:p>
    <w:p w:rsidRPr="0038457D" w:rsidR="0038457D" w:rsidP="0038457D" w:rsidRDefault="000227BA" w14:paraId="64FF4D58" w14:textId="5BF0075A">
      <w:pPr>
        <w:spacing w:after="0" w:line="276" w:lineRule="auto"/>
        <w:jc w:val="center"/>
        <w:rPr>
          <w:rFonts w:cs="Calibri"/>
          <w:b/>
          <w:bCs/>
        </w:rPr>
      </w:pPr>
      <w:r w:rsidRPr="00EE23C8">
        <w:rPr>
          <w:rFonts w:cs="Calibri"/>
          <w:b/>
          <w:bCs/>
        </w:rPr>
        <w:t>CODIGO CIIU</w:t>
      </w:r>
      <w:r w:rsidRPr="00EE23C8" w:rsidR="007419E5">
        <w:rPr>
          <w:rFonts w:cs="Calibri"/>
          <w:b/>
          <w:bCs/>
        </w:rPr>
        <w:t>:</w:t>
      </w:r>
      <w:r w:rsidRPr="00EE23C8" w:rsidR="0038457D">
        <w:rPr>
          <w:rFonts w:cs="Calibri"/>
          <w:b/>
          <w:bCs/>
        </w:rPr>
        <w:t xml:space="preserve"> </w:t>
      </w:r>
      <w:r w:rsidR="00EE23C8">
        <w:rPr>
          <w:rFonts w:cs="Calibri"/>
          <w:b/>
          <w:bCs/>
        </w:rPr>
        <w:t xml:space="preserve"> K</w:t>
      </w:r>
      <w:commentRangeStart w:id="0"/>
      <w:r w:rsidRPr="0038457D" w:rsidR="0038457D">
        <w:rPr>
          <w:rFonts w:cs="Calibri"/>
          <w:b/>
          <w:bCs/>
        </w:rPr>
        <w:t>6621</w:t>
      </w:r>
      <w:commentRangeEnd w:id="0"/>
      <w:r w:rsidRPr="0038457D" w:rsidR="00FC57C3">
        <w:rPr>
          <w:rStyle w:val="Refdecomentario"/>
          <w:rFonts w:cs="Calibri"/>
          <w:b/>
          <w:bCs/>
          <w:sz w:val="22"/>
          <w:szCs w:val="22"/>
        </w:rPr>
        <w:commentReference w:id="0"/>
      </w:r>
      <w:r w:rsidRPr="0038457D" w:rsidR="0038457D">
        <w:rPr>
          <w:rFonts w:cs="Calibri"/>
          <w:b/>
          <w:bCs/>
        </w:rPr>
        <w:t xml:space="preserve"> </w:t>
      </w:r>
    </w:p>
    <w:p w:rsidRPr="006C6B35" w:rsidR="000227BA" w:rsidP="31476D83" w:rsidRDefault="000227BA" w14:paraId="722B6AAF" w14:textId="03A985B8">
      <w:pPr>
        <w:spacing w:after="0" w:line="276" w:lineRule="auto"/>
        <w:jc w:val="center"/>
        <w:rPr>
          <w:rFonts w:cs="Calibri"/>
          <w:b/>
          <w:bCs/>
        </w:rPr>
      </w:pPr>
    </w:p>
    <w:p w:rsidRPr="006C6B35" w:rsidR="00FD3A13" w:rsidP="31476D83" w:rsidRDefault="00FD3A13" w14:paraId="5F9DC6FB" w14:textId="77777777">
      <w:pPr>
        <w:spacing w:after="0" w:line="276" w:lineRule="auto"/>
        <w:jc w:val="center"/>
        <w:rPr>
          <w:rFonts w:cs="Calibri"/>
          <w:b/>
          <w:bCs/>
        </w:rPr>
      </w:pPr>
    </w:p>
    <w:p w:rsidRPr="006C6B35" w:rsidR="004F498B" w:rsidP="00AC00A0" w:rsidRDefault="004F498B" w14:paraId="62A52E34" w14:textId="77777777">
      <w:pPr>
        <w:spacing w:after="0" w:line="276" w:lineRule="auto"/>
        <w:rPr>
          <w:rFonts w:eastAsia="Arial" w:cs="Calibri"/>
          <w:b/>
          <w:spacing w:val="4"/>
        </w:rPr>
      </w:pPr>
      <w:r w:rsidRPr="006C6B35">
        <w:rPr>
          <w:rFonts w:eastAsia="Arial" w:cs="Calibri"/>
          <w:b/>
          <w:spacing w:val="4"/>
        </w:rPr>
        <w:t>Capacidad Financiera</w:t>
      </w:r>
    </w:p>
    <w:p w:rsidRPr="006C6B35" w:rsidR="00A6355F" w:rsidP="00AC00A0" w:rsidRDefault="00A6355F" w14:paraId="75EA5AA7" w14:textId="77777777">
      <w:pPr>
        <w:spacing w:after="0" w:line="276" w:lineRule="auto"/>
        <w:rPr>
          <w:rFonts w:eastAsia="Arial" w:cs="Calibri"/>
          <w:b/>
          <w:spacing w:val="4"/>
        </w:rPr>
      </w:pPr>
    </w:p>
    <w:p w:rsidRPr="006C6B35" w:rsidR="00D801D7" w:rsidP="00AC00A0" w:rsidRDefault="00D801D7" w14:paraId="7F774BA0" w14:textId="3BDA4EC4">
      <w:pPr>
        <w:widowControl w:val="0"/>
        <w:autoSpaceDE w:val="0"/>
        <w:autoSpaceDN w:val="0"/>
        <w:spacing w:after="0" w:line="276" w:lineRule="auto"/>
        <w:jc w:val="both"/>
        <w:rPr>
          <w:rFonts w:eastAsia="Arial" w:cs="Calibri"/>
          <w:bCs/>
          <w:color w:val="000000"/>
          <w:lang w:eastAsia="es-CO" w:bidi="es-CO"/>
        </w:rPr>
      </w:pPr>
      <w:bookmarkStart w:name="_Hlk96611111" w:id="1"/>
      <w:r w:rsidRPr="006C6B35">
        <w:rPr>
          <w:rFonts w:eastAsia="Arial" w:cs="Calibri"/>
          <w:bCs/>
          <w:color w:val="000000"/>
          <w:lang w:eastAsia="es-CO" w:bidi="es-CO"/>
        </w:rPr>
        <w:t xml:space="preserve">La capacidad financiera de los proponentes será determinada con base en los indicadores financieros </w:t>
      </w:r>
      <w:r w:rsidR="006A3F13">
        <w:rPr>
          <w:rFonts w:eastAsia="Arial" w:cs="Calibri"/>
          <w:bCs/>
          <w:color w:val="000000"/>
          <w:lang w:eastAsia="es-CO" w:bidi="es-CO"/>
        </w:rPr>
        <w:t xml:space="preserve">y </w:t>
      </w:r>
      <w:r w:rsidR="00AF0D25">
        <w:rPr>
          <w:rFonts w:eastAsia="Arial" w:cs="Calibri"/>
          <w:bCs/>
          <w:color w:val="000000"/>
          <w:lang w:eastAsia="es-CO" w:bidi="es-CO"/>
        </w:rPr>
        <w:t xml:space="preserve">organizacional </w:t>
      </w:r>
      <w:r w:rsidRPr="006C6B35">
        <w:rPr>
          <w:rFonts w:eastAsia="Arial" w:cs="Calibri"/>
          <w:bCs/>
          <w:color w:val="000000"/>
          <w:lang w:eastAsia="es-CO" w:bidi="es-CO"/>
        </w:rPr>
        <w:t xml:space="preserve">requeridos por el SENA, calculados según los datos financieros del año inmediatamente anterior en el Registro Único de Proponentes, es decir, estados financieros con corte a 31 de diciembre de </w:t>
      </w:r>
      <w:r w:rsidRPr="00D2027B" w:rsidR="00FF3679">
        <w:rPr>
          <w:rFonts w:eastAsia="Arial" w:cs="Calibri"/>
          <w:bCs/>
          <w:color w:val="000000"/>
          <w:lang w:eastAsia="es-CO" w:bidi="es-CO"/>
        </w:rPr>
        <w:t>202</w:t>
      </w:r>
      <w:r w:rsidR="00D02D75">
        <w:rPr>
          <w:rFonts w:eastAsia="Arial" w:cs="Calibri"/>
          <w:bCs/>
          <w:color w:val="000000"/>
          <w:lang w:eastAsia="es-CO" w:bidi="es-CO"/>
        </w:rPr>
        <w:t>5</w:t>
      </w:r>
      <w:r w:rsidR="001B7390">
        <w:rPr>
          <w:rFonts w:eastAsia="Arial" w:cs="Calibri"/>
          <w:bCs/>
          <w:color w:val="000000"/>
          <w:lang w:eastAsia="es-CO" w:bidi="es-CO"/>
        </w:rPr>
        <w:t xml:space="preserve"> </w:t>
      </w:r>
      <w:r w:rsidRPr="006C6B35">
        <w:rPr>
          <w:rFonts w:eastAsia="Arial" w:cs="Calibri"/>
          <w:bCs/>
          <w:color w:val="000000"/>
          <w:lang w:eastAsia="es-CO" w:bidi="es-CO"/>
        </w:rPr>
        <w:t xml:space="preserve">registrados en el RUP. </w:t>
      </w:r>
    </w:p>
    <w:p w:rsidRPr="006C6B35" w:rsidR="004F498B" w:rsidP="00AC00A0" w:rsidRDefault="004F498B" w14:paraId="53AF30E3" w14:textId="77777777">
      <w:pPr>
        <w:spacing w:after="0" w:line="276" w:lineRule="auto"/>
        <w:jc w:val="both"/>
        <w:rPr>
          <w:rFonts w:eastAsia="Arial" w:cs="Calibri"/>
          <w:bCs/>
          <w:color w:val="000000"/>
          <w:lang w:eastAsia="es-CO" w:bidi="es-CO"/>
        </w:rPr>
      </w:pPr>
    </w:p>
    <w:p w:rsidRPr="006C6B35" w:rsidR="001964D9" w:rsidP="00AC00A0" w:rsidRDefault="001964D9" w14:paraId="02F3556D" w14:textId="69E36031">
      <w:pPr>
        <w:spacing w:after="0" w:line="276" w:lineRule="auto"/>
        <w:jc w:val="both"/>
        <w:rPr>
          <w:rFonts w:eastAsia="Arial" w:cs="Calibri"/>
          <w:bCs/>
          <w:color w:val="000000"/>
          <w:lang w:eastAsia="es-CO" w:bidi="es-CO"/>
        </w:rPr>
      </w:pPr>
      <w:r w:rsidRPr="006C6B35">
        <w:rPr>
          <w:rFonts w:eastAsia="Arial" w:cs="Calibri"/>
          <w:bCs/>
          <w:color w:val="000000"/>
          <w:lang w:eastAsia="es-CO" w:bidi="es-CO"/>
        </w:rPr>
        <w:t xml:space="preserve">En consonancia con lo anterior, en todo caso, el Registro Único de Proponentes deberá encontrarse en firme </w:t>
      </w:r>
      <w:r w:rsidRPr="006C6B35" w:rsidR="00115B0C">
        <w:rPr>
          <w:rFonts w:eastAsia="Arial" w:cs="Calibri"/>
          <w:bCs/>
          <w:color w:val="000000"/>
          <w:lang w:eastAsia="es-CO" w:bidi="es-CO"/>
        </w:rPr>
        <w:t xml:space="preserve">hasta antes </w:t>
      </w:r>
      <w:r w:rsidR="0073526A">
        <w:rPr>
          <w:rFonts w:eastAsia="Arial" w:cs="Calibri"/>
          <w:bCs/>
          <w:color w:val="000000"/>
          <w:lang w:eastAsia="es-CO" w:bidi="es-CO"/>
        </w:rPr>
        <w:t>del cierre del proceso</w:t>
      </w:r>
      <w:r w:rsidRPr="006C6B35">
        <w:rPr>
          <w:rFonts w:eastAsia="Arial" w:cs="Calibri"/>
          <w:bCs/>
          <w:color w:val="000000"/>
          <w:lang w:eastAsia="es-CO" w:bidi="es-CO"/>
        </w:rPr>
        <w:t>. Si la firmeza no alcanza a adquirirse en este plazo, la oferta será rechazada por no haberse acreditado dicho requisito en el plazo perentorio establecido</w:t>
      </w:r>
      <w:bookmarkEnd w:id="1"/>
      <w:r w:rsidRPr="006C6B35">
        <w:rPr>
          <w:rFonts w:eastAsia="Arial" w:cs="Calibri"/>
          <w:bCs/>
          <w:color w:val="000000"/>
          <w:lang w:eastAsia="es-CO" w:bidi="es-CO"/>
        </w:rPr>
        <w:t>.</w:t>
      </w:r>
      <w:r w:rsidRPr="006C6B35" w:rsidR="000C56E8">
        <w:rPr>
          <w:rFonts w:eastAsia="Arial" w:cs="Calibri"/>
          <w:bCs/>
          <w:color w:val="000000"/>
          <w:lang w:eastAsia="es-CO" w:bidi="es-CO"/>
        </w:rPr>
        <w:t xml:space="preserve"> </w:t>
      </w:r>
    </w:p>
    <w:p w:rsidRPr="006C6B35" w:rsidR="005A1B15" w:rsidP="005A1B15" w:rsidRDefault="005A1B15" w14:paraId="6BB3A4E4" w14:textId="77777777">
      <w:pPr>
        <w:spacing w:after="0" w:line="276" w:lineRule="auto"/>
        <w:jc w:val="both"/>
        <w:rPr>
          <w:rFonts w:eastAsia="Arial" w:cs="Calibri"/>
          <w:bCs/>
          <w:color w:val="000000"/>
          <w:lang w:eastAsia="es-CO" w:bidi="es-CO"/>
        </w:rPr>
      </w:pPr>
    </w:p>
    <w:p w:rsidR="00AE6D1C" w:rsidP="00AE6D1C" w:rsidRDefault="005A1B15" w14:paraId="4F57A7FE" w14:textId="2120A964">
      <w:pPr>
        <w:spacing w:after="0" w:line="276" w:lineRule="auto"/>
        <w:ind w:right="49"/>
        <w:jc w:val="both"/>
        <w:rPr>
          <w:rFonts w:cs="Calibri"/>
          <w:i/>
          <w:iCs/>
        </w:rPr>
      </w:pPr>
      <w:r w:rsidRPr="006C6B35">
        <w:rPr>
          <w:rFonts w:cs="Calibri"/>
          <w:b/>
          <w:bCs/>
        </w:rPr>
        <w:t>Nota 1</w:t>
      </w:r>
      <w:r w:rsidRPr="006C6B35">
        <w:rPr>
          <w:rFonts w:cs="Calibri"/>
        </w:rPr>
        <w:t xml:space="preserve">: </w:t>
      </w:r>
      <w:r w:rsidRPr="006C6B35" w:rsidR="00922C26">
        <w:rPr>
          <w:rFonts w:cs="Calibri"/>
        </w:rPr>
        <w:t xml:space="preserve">Respecto a la renovación y firmeza del RUP, se debe tener en cuenta lo </w:t>
      </w:r>
      <w:r w:rsidRPr="006C6B35" w:rsidR="00BF5E87">
        <w:rPr>
          <w:rFonts w:cs="Calibri"/>
        </w:rPr>
        <w:t>enunciado en el numeral 1.2.3</w:t>
      </w:r>
      <w:r w:rsidRPr="006C6B35" w:rsidR="005441E1">
        <w:rPr>
          <w:rFonts w:cs="Calibri"/>
        </w:rPr>
        <w:t xml:space="preserve"> de la Circular Externa Única Agencia Nacional de Contratación Pública Colombia Compra Eficiente 2023</w:t>
      </w:r>
      <w:r w:rsidRPr="006C6B35" w:rsidR="00AE6D1C">
        <w:rPr>
          <w:rFonts w:cs="Calibri"/>
        </w:rPr>
        <w:t>, el cual indica lo siguiente: “</w:t>
      </w:r>
      <w:r w:rsidRPr="006C6B35" w:rsidR="00AE6D1C">
        <w:rPr>
          <w:rFonts w:cs="Calibri"/>
          <w:i/>
          <w:iCs/>
        </w:rPr>
        <w:t>El artículo 2.2.1.1.1.5.1. del Decreto Reglamentario 1082 de 2015 establece que las</w:t>
      </w:r>
      <w:r w:rsidR="006C6B35">
        <w:rPr>
          <w:rFonts w:cs="Calibri"/>
          <w:i/>
          <w:iCs/>
        </w:rPr>
        <w:t xml:space="preserve"> </w:t>
      </w:r>
      <w:r w:rsidRPr="006C6B35" w:rsidR="00AE6D1C">
        <w:rPr>
          <w:rFonts w:cs="Calibri"/>
          <w:i/>
          <w:iCs/>
        </w:rPr>
        <w:t>personas inscritas en el RUP deben presentar la información para renovar su registro a más tardar el quinto día hábil del mes de abril de cada año, pues de lo contrario cesan los efectos del RUP.</w:t>
      </w:r>
    </w:p>
    <w:p w:rsidRPr="006C6B35" w:rsidR="006C6B35" w:rsidP="00AE6D1C" w:rsidRDefault="006C6B35" w14:paraId="2DC667E0" w14:textId="77777777">
      <w:pPr>
        <w:spacing w:after="0" w:line="276" w:lineRule="auto"/>
        <w:ind w:right="49"/>
        <w:jc w:val="both"/>
        <w:rPr>
          <w:rFonts w:cs="Calibri"/>
          <w:i/>
          <w:iCs/>
        </w:rPr>
      </w:pPr>
    </w:p>
    <w:p w:rsidRPr="006C6B35" w:rsidR="00271782" w:rsidP="00271782" w:rsidRDefault="00AE6D1C" w14:paraId="64EBB99E" w14:textId="273F9CB8">
      <w:pPr>
        <w:spacing w:after="0" w:line="276" w:lineRule="auto"/>
        <w:ind w:right="49"/>
        <w:jc w:val="both"/>
        <w:rPr>
          <w:rFonts w:cs="Calibri"/>
          <w:i/>
          <w:iCs/>
        </w:rPr>
      </w:pPr>
      <w:r w:rsidRPr="006C6B35">
        <w:rPr>
          <w:rFonts w:cs="Calibri"/>
          <w:i/>
          <w:iCs/>
        </w:rPr>
        <w:t>Al cierre del procedimiento de selección, es decir, hasta el plazo para presentar ofertas, el RUP debe encontrarse vigente, esto es, que el proponente haya</w:t>
      </w:r>
      <w:r w:rsidRPr="006C6B35" w:rsidR="00271782">
        <w:rPr>
          <w:rFonts w:cs="Calibri"/>
          <w:i/>
          <w:iCs/>
        </w:rPr>
        <w:t xml:space="preserve"> presentado la información para renovar el registro en el término anteriormente establecido.</w:t>
      </w:r>
    </w:p>
    <w:p w:rsidRPr="006C6B35" w:rsidR="00271782" w:rsidP="00271782" w:rsidRDefault="00271782" w14:paraId="79D362F1" w14:textId="77777777">
      <w:pPr>
        <w:spacing w:after="0" w:line="276" w:lineRule="auto"/>
        <w:ind w:right="49"/>
        <w:jc w:val="both"/>
        <w:rPr>
          <w:rFonts w:cs="Calibri"/>
          <w:i/>
          <w:iCs/>
        </w:rPr>
      </w:pPr>
    </w:p>
    <w:p w:rsidRPr="006C6B35" w:rsidR="005A1B15" w:rsidP="00271782" w:rsidRDefault="00271782" w14:paraId="597E8A0F" w14:textId="5BF98CA9">
      <w:pPr>
        <w:spacing w:after="0" w:line="276" w:lineRule="auto"/>
        <w:ind w:right="49"/>
        <w:jc w:val="both"/>
        <w:rPr>
          <w:rFonts w:cs="Calibri"/>
          <w:i/>
          <w:iCs/>
        </w:rPr>
      </w:pPr>
      <w:r w:rsidRPr="006C6B35">
        <w:rPr>
          <w:rFonts w:cs="Calibri"/>
          <w:i/>
          <w:iCs/>
        </w:rPr>
        <w:t>Tratándose del trámite de renovación, la persona que haya presentado la información para renovar su registro a más tardar el quinto día hábil del mes de abril, cumpliendo con el requisito exigido en el artículo 2.2.1.1.1.5.1. del Decreto Reglamentario 1082 de 2015, puede participar en los procedimientos de selección,</w:t>
      </w:r>
      <w:r w:rsidR="006C6B35">
        <w:rPr>
          <w:rFonts w:cs="Calibri"/>
          <w:i/>
          <w:iCs/>
        </w:rPr>
        <w:t xml:space="preserve"> </w:t>
      </w:r>
      <w:r w:rsidRPr="006C6B35">
        <w:rPr>
          <w:rFonts w:cs="Calibri"/>
          <w:i/>
          <w:iCs/>
        </w:rPr>
        <w:t>debiéndose tener en cuenta la información antigua, esto es, la información que estuviera en firme antes del cierre del proceso. Así, en el periodo comprendido entre el momento de la solicitud de renovación y el momento en que adquiera firmeza la información renovada, debe emplearse la información del RUP que está</w:t>
      </w:r>
      <w:r w:rsidR="006C6B35">
        <w:rPr>
          <w:rFonts w:cs="Calibri"/>
          <w:i/>
          <w:iCs/>
        </w:rPr>
        <w:t xml:space="preserve"> </w:t>
      </w:r>
      <w:r w:rsidRPr="006C6B35">
        <w:rPr>
          <w:rFonts w:cs="Calibri"/>
          <w:i/>
          <w:iCs/>
        </w:rPr>
        <w:t>en firme antes de iniciar el trámite de renovación, cuyos efectos no habrían cesado y se encontraría vigente. En todo caso, la evaluación de las ofertas se realizará con la información del RUP en firme antes del cierre del proceso.</w:t>
      </w:r>
      <w:r w:rsidRPr="006C6B35" w:rsidR="00473E3B">
        <w:rPr>
          <w:rFonts w:cs="Calibri"/>
          <w:i/>
          <w:iCs/>
        </w:rPr>
        <w:t xml:space="preserve"> </w:t>
      </w:r>
      <w:r w:rsidRPr="006C6B35">
        <w:rPr>
          <w:rFonts w:cs="Calibri"/>
          <w:i/>
          <w:iCs/>
        </w:rPr>
        <w:t>Para verificar que los efectos del RUP no han cesado, en los eventos que el</w:t>
      </w:r>
      <w:r w:rsidRPr="006C6B35" w:rsidR="009466F9">
        <w:rPr>
          <w:rFonts w:cs="Calibri"/>
          <w:i/>
          <w:iCs/>
        </w:rPr>
        <w:t xml:space="preserve"> </w:t>
      </w:r>
      <w:r w:rsidRPr="006C6B35">
        <w:rPr>
          <w:rFonts w:cs="Calibri"/>
          <w:i/>
          <w:iCs/>
        </w:rPr>
        <w:t>proponente presentó la información para renovar su registro, es necesario que el</w:t>
      </w:r>
      <w:r w:rsidRPr="006C6B35" w:rsidR="009466F9">
        <w:rPr>
          <w:rFonts w:cs="Calibri"/>
          <w:i/>
          <w:iCs/>
        </w:rPr>
        <w:t xml:space="preserve"> </w:t>
      </w:r>
      <w:r w:rsidRPr="006C6B35">
        <w:rPr>
          <w:rFonts w:cs="Calibri"/>
          <w:i/>
          <w:iCs/>
        </w:rPr>
        <w:t xml:space="preserve">certificado contenga la anotación de que </w:t>
      </w:r>
      <w:r w:rsidRPr="006C6B35">
        <w:rPr>
          <w:rFonts w:cs="Calibri"/>
          <w:i/>
          <w:iCs/>
        </w:rPr>
        <w:t>el inscrito, a más tardar el quinto día</w:t>
      </w:r>
      <w:r w:rsidRPr="006C6B35" w:rsidR="009466F9">
        <w:rPr>
          <w:rFonts w:cs="Calibri"/>
          <w:i/>
          <w:iCs/>
        </w:rPr>
        <w:t xml:space="preserve"> </w:t>
      </w:r>
      <w:r w:rsidRPr="006C6B35">
        <w:rPr>
          <w:rFonts w:cs="Calibri"/>
          <w:i/>
          <w:iCs/>
        </w:rPr>
        <w:t>hábil de abril de cada año, radicó ante la cámara de comercio los documentos</w:t>
      </w:r>
      <w:r w:rsidRPr="006C6B35" w:rsidR="009466F9">
        <w:rPr>
          <w:rFonts w:cs="Calibri"/>
          <w:i/>
          <w:iCs/>
        </w:rPr>
        <w:t xml:space="preserve"> </w:t>
      </w:r>
      <w:r w:rsidRPr="006C6B35">
        <w:rPr>
          <w:rFonts w:cs="Calibri"/>
          <w:i/>
          <w:iCs/>
        </w:rPr>
        <w:t>para su renovación. En todo caso, si tal circunstancia no estuviese inscrita en el</w:t>
      </w:r>
      <w:r w:rsidRPr="006C6B35" w:rsidR="009466F9">
        <w:rPr>
          <w:rFonts w:cs="Calibri"/>
          <w:i/>
          <w:iCs/>
        </w:rPr>
        <w:t xml:space="preserve"> </w:t>
      </w:r>
      <w:r w:rsidRPr="006C6B35">
        <w:rPr>
          <w:rFonts w:cs="Calibri"/>
          <w:i/>
          <w:iCs/>
        </w:rPr>
        <w:t>certificado, podrá acreditarse mediante el medio documental expedido por la</w:t>
      </w:r>
      <w:r w:rsidRPr="006C6B35" w:rsidR="009466F9">
        <w:rPr>
          <w:rFonts w:cs="Calibri"/>
          <w:i/>
          <w:iCs/>
        </w:rPr>
        <w:t xml:space="preserve"> </w:t>
      </w:r>
      <w:r w:rsidRPr="006C6B35">
        <w:rPr>
          <w:rFonts w:cs="Calibri"/>
          <w:i/>
          <w:iCs/>
        </w:rPr>
        <w:t>cámara de comercio correspondiente. De este modo, al no existir tarifa legal que</w:t>
      </w:r>
      <w:r w:rsidRPr="006C6B35" w:rsidR="00473E3B">
        <w:rPr>
          <w:rFonts w:cs="Calibri"/>
          <w:i/>
          <w:iCs/>
        </w:rPr>
        <w:t xml:space="preserve"> </w:t>
      </w:r>
      <w:r w:rsidRPr="006C6B35">
        <w:rPr>
          <w:rFonts w:cs="Calibri"/>
          <w:i/>
          <w:iCs/>
        </w:rPr>
        <w:t>permita establecer la forma de acreditar el trámite de renovación, la entidad</w:t>
      </w:r>
      <w:r w:rsidRPr="006C6B35" w:rsidR="009466F9">
        <w:rPr>
          <w:rFonts w:cs="Calibri"/>
          <w:i/>
          <w:iCs/>
        </w:rPr>
        <w:t xml:space="preserve"> </w:t>
      </w:r>
      <w:r w:rsidRPr="006C6B35">
        <w:rPr>
          <w:rFonts w:cs="Calibri"/>
          <w:i/>
          <w:iCs/>
        </w:rPr>
        <w:t>estatal debe verificar que el documento aportado por el proponente ofrezca</w:t>
      </w:r>
      <w:r w:rsidRPr="006C6B35" w:rsidR="009466F9">
        <w:rPr>
          <w:rFonts w:cs="Calibri"/>
          <w:i/>
          <w:iCs/>
        </w:rPr>
        <w:t xml:space="preserve"> </w:t>
      </w:r>
      <w:r w:rsidRPr="006C6B35">
        <w:rPr>
          <w:rFonts w:cs="Calibri"/>
          <w:i/>
          <w:iCs/>
        </w:rPr>
        <w:t>certeza sobre el estado del trámite.</w:t>
      </w:r>
      <w:r w:rsidRPr="006C6B35" w:rsidR="00473E3B">
        <w:rPr>
          <w:rFonts w:cs="Calibri"/>
          <w:i/>
          <w:iCs/>
        </w:rPr>
        <w:t xml:space="preserve"> </w:t>
      </w:r>
      <w:r w:rsidRPr="006C6B35">
        <w:rPr>
          <w:rFonts w:cs="Calibri"/>
          <w:i/>
          <w:iCs/>
        </w:rPr>
        <w:t>La firmeza del acto de inscripción, renovación y actualización del RUP debe</w:t>
      </w:r>
      <w:r w:rsidRPr="006C6B35" w:rsidR="009466F9">
        <w:rPr>
          <w:rFonts w:cs="Calibri"/>
          <w:i/>
          <w:iCs/>
        </w:rPr>
        <w:t xml:space="preserve"> </w:t>
      </w:r>
      <w:r w:rsidRPr="006C6B35">
        <w:rPr>
          <w:rFonts w:cs="Calibri"/>
          <w:i/>
          <w:iCs/>
        </w:rPr>
        <w:t>armonizarse con las prescripciones establecidas para la generalidad de los actos</w:t>
      </w:r>
      <w:r w:rsidRPr="006C6B35" w:rsidR="009466F9">
        <w:rPr>
          <w:rFonts w:cs="Calibri"/>
          <w:i/>
          <w:iCs/>
        </w:rPr>
        <w:t xml:space="preserve"> </w:t>
      </w:r>
      <w:r w:rsidRPr="006C6B35">
        <w:rPr>
          <w:rFonts w:cs="Calibri"/>
          <w:i/>
          <w:iCs/>
        </w:rPr>
        <w:t>administrativos, esto es, de acuerdo con el artículo 87 de la Ley 1437 de 2011.</w:t>
      </w:r>
      <w:r w:rsidRPr="006C6B35" w:rsidR="00473E3B">
        <w:rPr>
          <w:rFonts w:cs="Calibri"/>
          <w:i/>
          <w:iCs/>
        </w:rPr>
        <w:t xml:space="preserve"> </w:t>
      </w:r>
      <w:r w:rsidRPr="006C6B35">
        <w:rPr>
          <w:rFonts w:cs="Calibri"/>
          <w:i/>
          <w:iCs/>
        </w:rPr>
        <w:t>Conforme con lo anterior, la persona natural o jurídica podrá presentarse a los</w:t>
      </w:r>
      <w:r w:rsidRPr="006C6B35" w:rsidR="00667517">
        <w:rPr>
          <w:rFonts w:cs="Calibri"/>
          <w:i/>
          <w:iCs/>
        </w:rPr>
        <w:t xml:space="preserve"> </w:t>
      </w:r>
      <w:r w:rsidRPr="006C6B35">
        <w:rPr>
          <w:rFonts w:cs="Calibri"/>
          <w:i/>
          <w:iCs/>
        </w:rPr>
        <w:t>procedimientos de selección cuanto el acto administrativo que realiza la</w:t>
      </w:r>
      <w:r w:rsidRPr="006C6B35" w:rsidR="00667517">
        <w:rPr>
          <w:rFonts w:cs="Calibri"/>
          <w:i/>
          <w:iCs/>
        </w:rPr>
        <w:t xml:space="preserve"> </w:t>
      </w:r>
      <w:r w:rsidRPr="006C6B35">
        <w:rPr>
          <w:rFonts w:cs="Calibri"/>
          <w:i/>
          <w:iCs/>
        </w:rPr>
        <w:t>inscripción del RUP se encuentra en firme, porque es un requisito para las personas</w:t>
      </w:r>
      <w:r w:rsidRPr="006C6B35" w:rsidR="00667517">
        <w:rPr>
          <w:rFonts w:cs="Calibri"/>
          <w:i/>
          <w:iCs/>
        </w:rPr>
        <w:t xml:space="preserve"> </w:t>
      </w:r>
      <w:r w:rsidRPr="006C6B35">
        <w:rPr>
          <w:rFonts w:cs="Calibri"/>
          <w:i/>
          <w:iCs/>
        </w:rPr>
        <w:t>naturales o jurídicas nacionales o extranjeras domiciliadas o con sucursal en</w:t>
      </w:r>
      <w:r w:rsidRPr="006C6B35" w:rsidR="00667517">
        <w:rPr>
          <w:rFonts w:cs="Calibri"/>
          <w:i/>
          <w:iCs/>
        </w:rPr>
        <w:t xml:space="preserve"> </w:t>
      </w:r>
      <w:r w:rsidRPr="006C6B35">
        <w:rPr>
          <w:rFonts w:cs="Calibri"/>
          <w:i/>
          <w:iCs/>
        </w:rPr>
        <w:t>Colombia, que aspiran celebrar contratos con las entidades estatales, estar</w:t>
      </w:r>
      <w:r w:rsidRPr="006C6B35" w:rsidR="00667517">
        <w:rPr>
          <w:rFonts w:cs="Calibri"/>
          <w:i/>
          <w:iCs/>
        </w:rPr>
        <w:t xml:space="preserve"> </w:t>
      </w:r>
      <w:r w:rsidRPr="006C6B35">
        <w:rPr>
          <w:rFonts w:cs="Calibri"/>
          <w:i/>
          <w:iCs/>
        </w:rPr>
        <w:t>inscritas en él, salvo las excepciones establecidas en la ley</w:t>
      </w:r>
      <w:r w:rsidRPr="006C6B35" w:rsidR="00667517">
        <w:rPr>
          <w:rFonts w:cs="Calibri"/>
          <w:i/>
          <w:iCs/>
        </w:rPr>
        <w:t>.”</w:t>
      </w:r>
    </w:p>
    <w:p w:rsidRPr="006C6B35" w:rsidR="005A1B15" w:rsidP="00B14D6D" w:rsidRDefault="005A1B15" w14:paraId="29041FCE" w14:textId="77777777">
      <w:pPr>
        <w:spacing w:after="0" w:line="276" w:lineRule="auto"/>
        <w:jc w:val="both"/>
        <w:rPr>
          <w:rFonts w:eastAsia="Arial" w:cs="Calibri"/>
          <w:bCs/>
          <w:color w:val="000000"/>
          <w:lang w:eastAsia="es-CO" w:bidi="es-CO"/>
        </w:rPr>
      </w:pPr>
    </w:p>
    <w:p w:rsidRPr="006C6B35" w:rsidR="003D5E91" w:rsidP="00AC00A0" w:rsidRDefault="003D5E91" w14:paraId="25FFE9BC" w14:textId="1FA4B02A">
      <w:pPr>
        <w:spacing w:after="0" w:line="276" w:lineRule="auto"/>
        <w:jc w:val="both"/>
        <w:rPr>
          <w:rFonts w:eastAsia="Times New Roman" w:cs="Calibri"/>
          <w:bCs/>
          <w:lang w:val="es-ES" w:eastAsia="es-ES"/>
        </w:rPr>
      </w:pPr>
      <w:r w:rsidRPr="006C6B35">
        <w:rPr>
          <w:rFonts w:eastAsia="Arial" w:cs="Calibri"/>
          <w:b/>
          <w:color w:val="000000"/>
          <w:lang w:eastAsia="es-CO" w:bidi="es-CO"/>
        </w:rPr>
        <w:t xml:space="preserve">Nota </w:t>
      </w:r>
      <w:r w:rsidRPr="006C6B35" w:rsidR="005A1B15">
        <w:rPr>
          <w:rFonts w:eastAsia="Arial" w:cs="Calibri"/>
          <w:b/>
          <w:color w:val="000000"/>
          <w:lang w:eastAsia="es-CO" w:bidi="es-CO"/>
        </w:rPr>
        <w:t>2</w:t>
      </w:r>
      <w:r w:rsidRPr="006C6B35">
        <w:rPr>
          <w:rFonts w:eastAsia="Arial" w:cs="Calibri"/>
          <w:b/>
          <w:color w:val="000000"/>
          <w:lang w:eastAsia="es-CO" w:bidi="es-CO"/>
        </w:rPr>
        <w:t>:</w:t>
      </w:r>
      <w:r w:rsidRPr="006C6B35">
        <w:rPr>
          <w:rFonts w:eastAsia="Arial" w:cs="Calibri"/>
          <w:bCs/>
          <w:color w:val="000000"/>
          <w:lang w:eastAsia="es-CO" w:bidi="es-CO"/>
        </w:rPr>
        <w:t xml:space="preserve"> En caso de consorcios o uniones temporales, se deberá anexar a la propuesta el Registro Único de Proponentes de cada uno de los miembros del consorcio o de la unión temporal. La información financiera se realizará respecto de aquella información que se encuentre vigente y en firme por cada uno de sus miembros, en observancia de las consideraciones ya expuestas</w:t>
      </w:r>
      <w:r w:rsidRPr="006C6B35" w:rsidR="009C7828">
        <w:rPr>
          <w:rFonts w:eastAsia="Arial" w:cs="Calibri"/>
          <w:bCs/>
          <w:color w:val="000000"/>
          <w:lang w:eastAsia="es-CO" w:bidi="es-CO"/>
        </w:rPr>
        <w:t>.</w:t>
      </w:r>
    </w:p>
    <w:p w:rsidRPr="006C6B35" w:rsidR="003D5E91" w:rsidP="00AC00A0" w:rsidRDefault="003D5E91" w14:paraId="65B68D63" w14:textId="77777777">
      <w:pPr>
        <w:spacing w:after="0" w:line="276" w:lineRule="auto"/>
        <w:ind w:left="720"/>
        <w:jc w:val="both"/>
        <w:rPr>
          <w:rFonts w:eastAsia="Times New Roman" w:cs="Calibri"/>
          <w:bCs/>
          <w:lang w:val="es-ES" w:eastAsia="es-ES"/>
        </w:rPr>
      </w:pPr>
    </w:p>
    <w:p w:rsidRPr="006C6B35" w:rsidR="003D5E91" w:rsidP="00AC00A0" w:rsidRDefault="003D5E91" w14:paraId="275B02BB" w14:textId="3D82FAE7">
      <w:pPr>
        <w:spacing w:after="0" w:line="276" w:lineRule="auto"/>
        <w:ind w:right="49"/>
        <w:jc w:val="both"/>
        <w:rPr>
          <w:rFonts w:cs="Calibri"/>
        </w:rPr>
      </w:pPr>
      <w:r w:rsidRPr="006C6B35">
        <w:rPr>
          <w:rFonts w:cs="Calibri"/>
          <w:b/>
        </w:rPr>
        <w:t xml:space="preserve">Nota </w:t>
      </w:r>
      <w:r w:rsidRPr="006C6B35" w:rsidR="005A1B15">
        <w:rPr>
          <w:rFonts w:cs="Calibri"/>
          <w:b/>
        </w:rPr>
        <w:t>3</w:t>
      </w:r>
      <w:r w:rsidRPr="006C6B35">
        <w:rPr>
          <w:rFonts w:cs="Calibri"/>
          <w:b/>
        </w:rPr>
        <w:t xml:space="preserve">: </w:t>
      </w:r>
      <w:r w:rsidRPr="006C6B35">
        <w:rPr>
          <w:rFonts w:cs="Calibri"/>
        </w:rPr>
        <w:t xml:space="preserve">En caso de empresas cuya fecha de constitución sea posterior al 31 de diciembre </w:t>
      </w:r>
      <w:r w:rsidRPr="0078586F">
        <w:rPr>
          <w:rFonts w:cs="Calibri"/>
        </w:rPr>
        <w:t xml:space="preserve">de </w:t>
      </w:r>
      <w:r w:rsidRPr="00D2027B" w:rsidR="006A57DA">
        <w:rPr>
          <w:rFonts w:cs="Calibri"/>
        </w:rPr>
        <w:t>202</w:t>
      </w:r>
      <w:r w:rsidRPr="00D2027B" w:rsidR="007C6FC0">
        <w:rPr>
          <w:rFonts w:cs="Calibri"/>
        </w:rPr>
        <w:t>4</w:t>
      </w:r>
      <w:r w:rsidRPr="0078586F">
        <w:rPr>
          <w:rFonts w:cs="Calibri"/>
        </w:rPr>
        <w:t>,</w:t>
      </w:r>
      <w:r w:rsidRPr="006C6B35">
        <w:rPr>
          <w:rFonts w:cs="Calibri"/>
          <w:spacing w:val="-3"/>
        </w:rPr>
        <w:t xml:space="preserve"> </w:t>
      </w:r>
      <w:r w:rsidRPr="006C6B35">
        <w:rPr>
          <w:rFonts w:cs="Calibri"/>
        </w:rPr>
        <w:t>los</w:t>
      </w:r>
      <w:r w:rsidRPr="006C6B35">
        <w:rPr>
          <w:rFonts w:cs="Calibri"/>
          <w:spacing w:val="-2"/>
        </w:rPr>
        <w:t xml:space="preserve"> </w:t>
      </w:r>
      <w:r w:rsidRPr="006C6B35">
        <w:rPr>
          <w:rFonts w:cs="Calibri"/>
        </w:rPr>
        <w:t>estados</w:t>
      </w:r>
      <w:r w:rsidRPr="006C6B35">
        <w:rPr>
          <w:rFonts w:cs="Calibri"/>
          <w:spacing w:val="-9"/>
        </w:rPr>
        <w:t xml:space="preserve"> </w:t>
      </w:r>
      <w:r w:rsidRPr="006C6B35">
        <w:rPr>
          <w:rFonts w:cs="Calibri"/>
        </w:rPr>
        <w:t>financieros</w:t>
      </w:r>
      <w:r w:rsidRPr="006C6B35">
        <w:rPr>
          <w:rFonts w:cs="Calibri"/>
          <w:spacing w:val="-6"/>
        </w:rPr>
        <w:t xml:space="preserve"> </w:t>
      </w:r>
      <w:r w:rsidRPr="006C6B35">
        <w:rPr>
          <w:rFonts w:cs="Calibri"/>
        </w:rPr>
        <w:t>se</w:t>
      </w:r>
      <w:r w:rsidRPr="006C6B35">
        <w:rPr>
          <w:rFonts w:cs="Calibri"/>
          <w:spacing w:val="-5"/>
        </w:rPr>
        <w:t xml:space="preserve"> </w:t>
      </w:r>
      <w:r w:rsidRPr="006C6B35">
        <w:rPr>
          <w:rFonts w:cs="Calibri"/>
        </w:rPr>
        <w:t>verificarán</w:t>
      </w:r>
      <w:r w:rsidRPr="006C6B35">
        <w:rPr>
          <w:rFonts w:cs="Calibri"/>
          <w:spacing w:val="-7"/>
        </w:rPr>
        <w:t xml:space="preserve"> </w:t>
      </w:r>
      <w:r w:rsidRPr="006C6B35">
        <w:rPr>
          <w:rFonts w:cs="Calibri"/>
        </w:rPr>
        <w:t>así:</w:t>
      </w:r>
      <w:r w:rsidRPr="006C6B35">
        <w:rPr>
          <w:rFonts w:cs="Calibri"/>
          <w:spacing w:val="-6"/>
        </w:rPr>
        <w:t xml:space="preserve"> </w:t>
      </w:r>
      <w:r w:rsidRPr="006C6B35">
        <w:rPr>
          <w:rFonts w:cs="Calibri"/>
        </w:rPr>
        <w:t>“</w:t>
      </w:r>
      <w:r w:rsidRPr="006C6B35">
        <w:rPr>
          <w:rFonts w:cs="Calibri"/>
          <w:i/>
        </w:rPr>
        <w:t>Si</w:t>
      </w:r>
      <w:r w:rsidRPr="006C6B35">
        <w:rPr>
          <w:rFonts w:cs="Calibri"/>
          <w:i/>
          <w:spacing w:val="-5"/>
        </w:rPr>
        <w:t xml:space="preserve"> </w:t>
      </w:r>
      <w:r w:rsidRPr="006C6B35">
        <w:rPr>
          <w:rFonts w:cs="Calibri"/>
          <w:i/>
        </w:rPr>
        <w:t>el</w:t>
      </w:r>
      <w:r w:rsidRPr="006C6B35">
        <w:rPr>
          <w:rFonts w:cs="Calibri"/>
          <w:i/>
          <w:spacing w:val="-3"/>
        </w:rPr>
        <w:t xml:space="preserve"> </w:t>
      </w:r>
      <w:r w:rsidRPr="006C6B35">
        <w:rPr>
          <w:rFonts w:cs="Calibri"/>
          <w:i/>
        </w:rPr>
        <w:t>interesado</w:t>
      </w:r>
      <w:r w:rsidRPr="006C6B35">
        <w:rPr>
          <w:rFonts w:cs="Calibri"/>
          <w:i/>
          <w:spacing w:val="-7"/>
        </w:rPr>
        <w:t xml:space="preserve"> </w:t>
      </w:r>
      <w:r w:rsidRPr="006C6B35">
        <w:rPr>
          <w:rFonts w:cs="Calibri"/>
          <w:i/>
        </w:rPr>
        <w:t>no</w:t>
      </w:r>
      <w:r w:rsidRPr="006C6B35">
        <w:rPr>
          <w:rFonts w:cs="Calibri"/>
          <w:i/>
          <w:spacing w:val="-7"/>
        </w:rPr>
        <w:t xml:space="preserve"> </w:t>
      </w:r>
      <w:r w:rsidRPr="006C6B35">
        <w:rPr>
          <w:rFonts w:cs="Calibri"/>
          <w:i/>
        </w:rPr>
        <w:t>tiene</w:t>
      </w:r>
      <w:r w:rsidRPr="006C6B35">
        <w:rPr>
          <w:rFonts w:cs="Calibri"/>
          <w:i/>
          <w:spacing w:val="-9"/>
        </w:rPr>
        <w:t xml:space="preserve"> </w:t>
      </w:r>
      <w:r w:rsidRPr="006C6B35">
        <w:rPr>
          <w:rFonts w:cs="Calibri"/>
          <w:i/>
        </w:rPr>
        <w:t>antigüedad</w:t>
      </w:r>
      <w:r w:rsidRPr="006C6B35">
        <w:rPr>
          <w:rFonts w:cs="Calibri"/>
          <w:i/>
          <w:spacing w:val="-2"/>
        </w:rPr>
        <w:t xml:space="preserve"> </w:t>
      </w:r>
      <w:r w:rsidRPr="006C6B35">
        <w:rPr>
          <w:rFonts w:cs="Calibri"/>
          <w:i/>
        </w:rPr>
        <w:t xml:space="preserve">suficiente para tener estados financieros auditados a 31 de diciembre, debe inscribirse con estados financieros de corte trimestral, suscritos por el representante legal y el auditor o contador o estados financieros de apertura.” </w:t>
      </w:r>
      <w:r w:rsidRPr="006C6B35" w:rsidR="00D26591">
        <w:rPr>
          <w:rFonts w:cs="Calibri"/>
        </w:rPr>
        <w:t>De acuerdo con el</w:t>
      </w:r>
      <w:r w:rsidRPr="006C6B35">
        <w:rPr>
          <w:rFonts w:cs="Calibri"/>
        </w:rPr>
        <w:t xml:space="preserve"> Decreto 1082 de 2015 reportados en el Certificado de Clasificación de la Cámara de Comercio</w:t>
      </w:r>
      <w:r w:rsidRPr="006C6B35">
        <w:rPr>
          <w:rFonts w:cs="Calibri"/>
          <w:spacing w:val="-16"/>
        </w:rPr>
        <w:t xml:space="preserve"> </w:t>
      </w:r>
      <w:r w:rsidRPr="006C6B35">
        <w:rPr>
          <w:rFonts w:cs="Calibri"/>
        </w:rPr>
        <w:t>RUP.</w:t>
      </w:r>
    </w:p>
    <w:p w:rsidRPr="006C6B35" w:rsidR="00F8338D" w:rsidP="00AC00A0" w:rsidRDefault="00F8338D" w14:paraId="1B5FBDFF" w14:textId="77777777">
      <w:pPr>
        <w:spacing w:after="0" w:line="276" w:lineRule="auto"/>
        <w:ind w:right="49"/>
        <w:jc w:val="both"/>
        <w:rPr>
          <w:rFonts w:cs="Calibri"/>
        </w:rPr>
      </w:pPr>
    </w:p>
    <w:p w:rsidRPr="006C6B35" w:rsidR="00FD2776" w:rsidP="00FD2776" w:rsidRDefault="00FD2776" w14:paraId="4E1F9DE1" w14:textId="0F16433D">
      <w:pPr>
        <w:spacing w:after="0" w:line="276" w:lineRule="auto"/>
        <w:ind w:right="49"/>
        <w:jc w:val="both"/>
        <w:rPr>
          <w:rFonts w:cs="Calibri"/>
        </w:rPr>
      </w:pPr>
      <w:r w:rsidRPr="006C6B35">
        <w:rPr>
          <w:rFonts w:cs="Calibri"/>
        </w:rPr>
        <w:t xml:space="preserve">Para Sociedades constituidas en el año </w:t>
      </w:r>
      <w:r w:rsidRPr="006C6B35" w:rsidR="00F8338D">
        <w:rPr>
          <w:rFonts w:cs="Calibri"/>
        </w:rPr>
        <w:t>202</w:t>
      </w:r>
      <w:r w:rsidR="00DE5016">
        <w:rPr>
          <w:rFonts w:cs="Calibri"/>
        </w:rPr>
        <w:t>5</w:t>
      </w:r>
      <w:r w:rsidRPr="006C6B35">
        <w:rPr>
          <w:rFonts w:cs="Calibri"/>
        </w:rPr>
        <w:t>, la evaluación financiera y organizacional de las propuestas, se efectuará a partir de la información contenida en el Registro Único de Proponentes (RUP), vigente y en firme de acuerdo con lo establecido en el</w:t>
      </w:r>
      <w:r w:rsidRPr="006C6B35" w:rsidR="009C7828">
        <w:rPr>
          <w:rFonts w:cs="Calibri"/>
        </w:rPr>
        <w:t xml:space="preserve"> Artículo</w:t>
      </w:r>
      <w:r w:rsidRPr="006C6B35">
        <w:rPr>
          <w:rFonts w:cs="Calibri"/>
        </w:rPr>
        <w:t xml:space="preserve"> 2.2.1.1.1.5.2 numeral 1.3 del Decreto 1082 de 2015.</w:t>
      </w:r>
    </w:p>
    <w:p w:rsidRPr="006C6B35" w:rsidR="00B158DB" w:rsidP="78403A78" w:rsidRDefault="00B158DB" w14:paraId="22B39E4B" w14:textId="77777777">
      <w:pPr>
        <w:spacing w:after="0" w:line="276" w:lineRule="auto"/>
        <w:jc w:val="both"/>
        <w:rPr>
          <w:rFonts w:eastAsia="Arial" w:cs="Calibri"/>
          <w:color w:val="000000" w:themeColor="text1"/>
          <w:lang w:eastAsia="es-CO" w:bidi="es-CO"/>
        </w:rPr>
      </w:pPr>
    </w:p>
    <w:p w:rsidRPr="006C6B35" w:rsidR="003D5E91" w:rsidP="00AC00A0" w:rsidRDefault="003D5E91" w14:paraId="31D473E6" w14:textId="77777777">
      <w:pPr>
        <w:spacing w:after="0" w:line="276" w:lineRule="auto"/>
        <w:jc w:val="both"/>
        <w:rPr>
          <w:rFonts w:eastAsia="Arial" w:cs="Calibri"/>
          <w:bCs/>
          <w:color w:val="000000"/>
          <w:lang w:eastAsia="es-CO" w:bidi="es-CO"/>
        </w:rPr>
      </w:pPr>
      <w:r w:rsidRPr="006C6B35">
        <w:rPr>
          <w:rFonts w:eastAsia="Arial" w:cs="Calibri"/>
          <w:bCs/>
          <w:color w:val="000000"/>
          <w:lang w:eastAsia="es-CO" w:bidi="es-CO"/>
        </w:rPr>
        <w:t>Para definir el nivel adecuado y proporcional los indicadores financieros, se tuvieron en cuenta los siguientes criterios:</w:t>
      </w:r>
    </w:p>
    <w:p w:rsidRPr="006C6B35" w:rsidR="008B5010" w:rsidP="00AC00A0" w:rsidRDefault="008B5010" w14:paraId="3E6F17CB" w14:textId="77777777">
      <w:pPr>
        <w:spacing w:after="0" w:line="276" w:lineRule="auto"/>
        <w:jc w:val="both"/>
        <w:rPr>
          <w:rFonts w:eastAsia="Arial" w:cs="Calibri"/>
          <w:bCs/>
          <w:color w:val="000000"/>
          <w:lang w:eastAsia="es-CO" w:bidi="es-CO"/>
        </w:rPr>
      </w:pPr>
    </w:p>
    <w:p w:rsidRPr="006C6B35" w:rsidR="003D5E91" w:rsidP="00AC00A0" w:rsidRDefault="003D5E91" w14:paraId="46F0AD66" w14:textId="77777777">
      <w:pPr>
        <w:numPr>
          <w:ilvl w:val="3"/>
          <w:numId w:val="16"/>
        </w:numPr>
        <w:pBdr>
          <w:top w:val="nil"/>
          <w:left w:val="nil"/>
          <w:bottom w:val="nil"/>
          <w:right w:val="nil"/>
          <w:between w:val="nil"/>
        </w:pBdr>
        <w:spacing w:after="0" w:line="276" w:lineRule="auto"/>
        <w:ind w:left="317"/>
        <w:jc w:val="both"/>
        <w:rPr>
          <w:rFonts w:eastAsia="Arial" w:cs="Calibri"/>
          <w:bCs/>
          <w:color w:val="000000"/>
          <w:lang w:eastAsia="es-CO" w:bidi="es-CO"/>
        </w:rPr>
      </w:pPr>
      <w:r w:rsidRPr="006C6B35">
        <w:rPr>
          <w:rFonts w:eastAsia="Arial" w:cs="Calibri"/>
          <w:bCs/>
          <w:color w:val="000000"/>
          <w:lang w:eastAsia="es-CO" w:bidi="es-CO"/>
        </w:rPr>
        <w:t>Condiciones financieras de empresas del sector y Presupuesto del proceso.</w:t>
      </w:r>
    </w:p>
    <w:p w:rsidRPr="006C6B35" w:rsidR="003D5E91" w:rsidP="00AC00A0" w:rsidRDefault="003D5E91" w14:paraId="1A38F60D" w14:textId="20B2A3FB">
      <w:pPr>
        <w:numPr>
          <w:ilvl w:val="3"/>
          <w:numId w:val="16"/>
        </w:numPr>
        <w:pBdr>
          <w:top w:val="nil"/>
          <w:left w:val="nil"/>
          <w:bottom w:val="nil"/>
          <w:right w:val="nil"/>
          <w:between w:val="nil"/>
        </w:pBdr>
        <w:spacing w:after="0" w:line="276" w:lineRule="auto"/>
        <w:ind w:left="317"/>
        <w:jc w:val="both"/>
        <w:rPr>
          <w:rFonts w:eastAsia="Arial" w:cs="Calibri"/>
          <w:bCs/>
          <w:color w:val="000000"/>
          <w:lang w:eastAsia="es-CO" w:bidi="es-CO"/>
        </w:rPr>
      </w:pPr>
      <w:r w:rsidRPr="006C6B35">
        <w:rPr>
          <w:rFonts w:eastAsia="Arial" w:cs="Calibri"/>
          <w:bCs/>
          <w:color w:val="000000"/>
          <w:lang w:eastAsia="es-CO" w:bidi="es-CO"/>
        </w:rPr>
        <w:t xml:space="preserve">Las </w:t>
      </w:r>
      <w:r w:rsidRPr="006C6B35" w:rsidR="00D26591">
        <w:rPr>
          <w:rFonts w:eastAsia="Arial" w:cs="Calibri"/>
          <w:bCs/>
          <w:color w:val="000000"/>
          <w:lang w:eastAsia="es-CO" w:bidi="es-CO"/>
        </w:rPr>
        <w:t>condiciones y el comportamiento financieros</w:t>
      </w:r>
      <w:r w:rsidRPr="006C6B35">
        <w:rPr>
          <w:rFonts w:eastAsia="Arial" w:cs="Calibri"/>
          <w:bCs/>
          <w:color w:val="000000"/>
          <w:lang w:eastAsia="es-CO" w:bidi="es-CO"/>
        </w:rPr>
        <w:t xml:space="preserve"> del sector se evaluaron a través de la muestra de empresas del sector, tomadas del Portal de Información Empresarial - PIE, publicado por la Superintendencia de Sociedades, con corte al 31 de diciembre de </w:t>
      </w:r>
      <w:r w:rsidRPr="00D2027B" w:rsidR="006E64BD">
        <w:rPr>
          <w:rFonts w:eastAsia="Arial" w:cs="Calibri"/>
          <w:bCs/>
          <w:color w:val="000000"/>
          <w:lang w:eastAsia="es-CO" w:bidi="es-CO"/>
        </w:rPr>
        <w:t>202</w:t>
      </w:r>
      <w:r w:rsidRPr="0078586F" w:rsidR="00D401F1">
        <w:rPr>
          <w:rFonts w:eastAsia="Arial" w:cs="Calibri"/>
          <w:bCs/>
          <w:color w:val="000000"/>
          <w:lang w:eastAsia="es-CO" w:bidi="es-CO"/>
        </w:rPr>
        <w:t>4</w:t>
      </w:r>
      <w:r w:rsidRPr="006C6B35">
        <w:rPr>
          <w:rFonts w:eastAsia="Arial" w:cs="Calibri"/>
          <w:bCs/>
          <w:color w:val="000000"/>
          <w:lang w:eastAsia="es-CO" w:bidi="es-CO"/>
        </w:rPr>
        <w:t>.</w:t>
      </w:r>
    </w:p>
    <w:p w:rsidR="006C6B35" w:rsidP="00AC00A0" w:rsidRDefault="006C6B35" w14:paraId="66155381" w14:textId="77777777">
      <w:pPr>
        <w:spacing w:after="0" w:line="276" w:lineRule="auto"/>
        <w:jc w:val="both"/>
        <w:rPr>
          <w:rFonts w:eastAsia="Cambria" w:cs="Calibri"/>
          <w:b/>
          <w:lang w:val="es-ES_tradnl" w:eastAsia="es-CO"/>
        </w:rPr>
      </w:pPr>
    </w:p>
    <w:p w:rsidRPr="006C6B35" w:rsidR="00DA002A" w:rsidP="00AC00A0" w:rsidRDefault="00DA002A" w14:paraId="4DF12134" w14:textId="146AF3BD">
      <w:pPr>
        <w:spacing w:after="0" w:line="276" w:lineRule="auto"/>
        <w:jc w:val="both"/>
        <w:rPr>
          <w:rFonts w:eastAsia="Times New Roman" w:cs="Calibri"/>
          <w:bCs/>
          <w:lang w:val="es-ES" w:eastAsia="es-ES"/>
        </w:rPr>
      </w:pPr>
      <w:r w:rsidRPr="006C6B35">
        <w:rPr>
          <w:rFonts w:eastAsia="Cambria" w:cs="Calibri"/>
          <w:b/>
          <w:lang w:val="es-ES_tradnl" w:eastAsia="es-CO"/>
        </w:rPr>
        <w:t>TARJETA PROFESIONAL Y CERTIFICADO DE ANTECEDENTES DISCIPLINARIOS</w:t>
      </w:r>
    </w:p>
    <w:p w:rsidRPr="006C6B35" w:rsidR="00DA002A" w:rsidP="00AC00A0" w:rsidRDefault="00DA002A" w14:paraId="36939F42" w14:textId="77777777">
      <w:pPr>
        <w:spacing w:after="0" w:line="276" w:lineRule="auto"/>
        <w:jc w:val="both"/>
        <w:rPr>
          <w:rFonts w:eastAsia="Times New Roman" w:cs="Calibri"/>
          <w:bCs/>
          <w:lang w:val="es-ES" w:eastAsia="es-ES"/>
        </w:rPr>
      </w:pPr>
    </w:p>
    <w:p w:rsidRPr="006C6B35" w:rsidR="00DA002A" w:rsidP="00AC00A0" w:rsidRDefault="00DA002A" w14:paraId="585178DF" w14:textId="369E8543">
      <w:pPr>
        <w:widowControl w:val="0"/>
        <w:spacing w:after="0" w:line="276" w:lineRule="auto"/>
        <w:jc w:val="both"/>
        <w:rPr>
          <w:rFonts w:eastAsia="Arial" w:cs="Calibri"/>
          <w:bCs/>
          <w:color w:val="000000"/>
          <w:lang w:eastAsia="es-CO" w:bidi="es-CO"/>
        </w:rPr>
      </w:pPr>
      <w:r w:rsidRPr="006C6B35">
        <w:rPr>
          <w:rFonts w:eastAsia="Arial" w:cs="Calibri"/>
          <w:bCs/>
          <w:color w:val="000000"/>
          <w:lang w:eastAsia="es-CO" w:bidi="es-CO"/>
        </w:rPr>
        <w:t xml:space="preserve">El proponente acompañará su oferta con fotocopia clara y legible de la Tarjeta Profesional y </w:t>
      </w:r>
      <w:r w:rsidRPr="006C6B35">
        <w:rPr>
          <w:rFonts w:eastAsia="Arial" w:cs="Calibri"/>
          <w:bCs/>
          <w:color w:val="000000"/>
          <w:lang w:eastAsia="es-CO" w:bidi="es-CO"/>
        </w:rPr>
        <w:t>Certificado de Antecedentes Disciplinarios expedido por la Junta Central de Contadores, vigente a la fecha de cierre del presente proceso, correspondiente al contador público</w:t>
      </w:r>
      <w:r w:rsidR="00BA5E58">
        <w:rPr>
          <w:rFonts w:eastAsia="Arial" w:cs="Calibri"/>
          <w:bCs/>
          <w:color w:val="000000"/>
          <w:lang w:eastAsia="es-CO" w:bidi="es-CO"/>
        </w:rPr>
        <w:t xml:space="preserve"> y Revisor fiscal</w:t>
      </w:r>
      <w:r w:rsidRPr="006C6B35">
        <w:rPr>
          <w:rFonts w:eastAsia="Arial" w:cs="Calibri"/>
          <w:bCs/>
          <w:color w:val="000000"/>
          <w:lang w:eastAsia="es-CO" w:bidi="es-CO"/>
        </w:rPr>
        <w:t xml:space="preserve"> que emite la certificación</w:t>
      </w:r>
      <w:r w:rsidR="00BA5E58">
        <w:rPr>
          <w:rFonts w:eastAsia="Arial" w:cs="Calibri"/>
          <w:bCs/>
          <w:color w:val="000000"/>
          <w:lang w:eastAsia="es-CO" w:bidi="es-CO"/>
        </w:rPr>
        <w:t>, según aplique.</w:t>
      </w:r>
    </w:p>
    <w:p w:rsidRPr="006C6B35" w:rsidR="00DA002A" w:rsidP="00AC00A0" w:rsidRDefault="00DA002A" w14:paraId="4896F14E" w14:textId="77777777">
      <w:pPr>
        <w:spacing w:after="0" w:line="276" w:lineRule="auto"/>
        <w:rPr>
          <w:rFonts w:eastAsia="Arial" w:cs="Calibri"/>
          <w:bCs/>
          <w:color w:val="000000"/>
          <w:lang w:eastAsia="es-CO" w:bidi="es-CO"/>
        </w:rPr>
      </w:pPr>
    </w:p>
    <w:p w:rsidRPr="006C6B35" w:rsidR="00DA002A" w:rsidP="00AC00A0" w:rsidRDefault="00DA002A" w14:paraId="61B4258F" w14:textId="77777777">
      <w:pPr>
        <w:spacing w:after="0" w:line="276" w:lineRule="auto"/>
        <w:jc w:val="both"/>
        <w:rPr>
          <w:rFonts w:eastAsia="Arial" w:cs="Calibri"/>
          <w:bCs/>
          <w:color w:val="000000"/>
          <w:lang w:eastAsia="es-CO" w:bidi="es-CO"/>
        </w:rPr>
      </w:pPr>
      <w:r w:rsidRPr="006C6B35">
        <w:rPr>
          <w:rFonts w:eastAsia="Arial" w:cs="Calibri"/>
          <w:bCs/>
          <w:color w:val="000000"/>
          <w:lang w:eastAsia="es-CO" w:bidi="es-CO"/>
        </w:rPr>
        <w:t>La capacidad financiera será objeto de verificación de cumplimiento como requisito habilitante para la participación en el proceso de selección y no otorgará puntaje.</w:t>
      </w:r>
    </w:p>
    <w:p w:rsidRPr="006C6B35" w:rsidR="00DA002A" w:rsidP="00AC00A0" w:rsidRDefault="00DA002A" w14:paraId="5711D230" w14:textId="77777777">
      <w:pPr>
        <w:spacing w:after="0" w:line="276" w:lineRule="auto"/>
        <w:jc w:val="both"/>
        <w:rPr>
          <w:rFonts w:eastAsia="Arial" w:cs="Calibri"/>
          <w:bCs/>
          <w:color w:val="000000"/>
          <w:lang w:eastAsia="es-CO" w:bidi="es-CO"/>
        </w:rPr>
      </w:pPr>
    </w:p>
    <w:p w:rsidRPr="006C6B35" w:rsidR="00DA002A" w:rsidP="00AC00A0" w:rsidRDefault="00DA002A" w14:paraId="61B96336" w14:textId="77777777">
      <w:pPr>
        <w:spacing w:after="0" w:line="276" w:lineRule="auto"/>
        <w:jc w:val="both"/>
        <w:rPr>
          <w:rFonts w:eastAsia="Arial" w:cs="Calibri"/>
          <w:bCs/>
          <w:color w:val="000000"/>
          <w:lang w:eastAsia="es-CO" w:bidi="es-CO"/>
        </w:rPr>
      </w:pPr>
      <w:r w:rsidRPr="006C6B35">
        <w:rPr>
          <w:rFonts w:eastAsia="Arial" w:cs="Calibri"/>
          <w:bCs/>
          <w:color w:val="000000"/>
          <w:lang w:eastAsia="es-CO" w:bidi="es-CO"/>
        </w:rPr>
        <w:t xml:space="preserve">El SENA advierte que la información financiera acreditada se realiza con los efectos previstos en el artículo 43 de la Ley 222 de 1995, que al tenor reza: “Responsabilidad penal. Sin perjuicio de lo dispuesto en otras normas, serán sancionados con prisión de uno a seis años, quienes a sabiendas: </w:t>
      </w:r>
    </w:p>
    <w:p w:rsidRPr="006C6B35" w:rsidR="00F07438" w:rsidP="00AC00A0" w:rsidRDefault="00F07438" w14:paraId="66D2A369" w14:textId="77777777">
      <w:pPr>
        <w:spacing w:after="0" w:line="276" w:lineRule="auto"/>
        <w:jc w:val="both"/>
        <w:rPr>
          <w:rFonts w:eastAsia="Arial" w:cs="Calibri"/>
          <w:bCs/>
          <w:color w:val="000000"/>
          <w:lang w:eastAsia="es-CO" w:bidi="es-CO"/>
        </w:rPr>
      </w:pPr>
    </w:p>
    <w:p w:rsidRPr="006C6B35" w:rsidR="00DA002A" w:rsidP="00AC00A0" w:rsidRDefault="00DA002A" w14:paraId="201FFE6A" w14:textId="77777777">
      <w:pPr>
        <w:numPr>
          <w:ilvl w:val="0"/>
          <w:numId w:val="17"/>
        </w:numPr>
        <w:pBdr>
          <w:top w:val="nil"/>
          <w:left w:val="nil"/>
          <w:bottom w:val="nil"/>
          <w:right w:val="nil"/>
          <w:between w:val="nil"/>
        </w:pBdr>
        <w:spacing w:after="0" w:line="276" w:lineRule="auto"/>
        <w:ind w:left="317"/>
        <w:jc w:val="both"/>
        <w:rPr>
          <w:rFonts w:eastAsia="Arial" w:cs="Calibri"/>
          <w:bCs/>
          <w:color w:val="000000"/>
          <w:lang w:eastAsia="es-CO" w:bidi="es-CO"/>
        </w:rPr>
      </w:pPr>
      <w:r w:rsidRPr="006C6B35">
        <w:rPr>
          <w:rFonts w:eastAsia="Arial" w:cs="Calibri"/>
          <w:bCs/>
          <w:color w:val="000000"/>
          <w:lang w:eastAsia="es-CO" w:bidi="es-CO"/>
        </w:rPr>
        <w:t xml:space="preserve">Suministren datos a las autoridades o expidan constancias o certificaciones contrarias a la realidad. </w:t>
      </w:r>
    </w:p>
    <w:p w:rsidRPr="006C6B35" w:rsidR="00DA002A" w:rsidP="00AC00A0" w:rsidRDefault="00DA002A" w14:paraId="066FDC49" w14:textId="77777777">
      <w:pPr>
        <w:numPr>
          <w:ilvl w:val="0"/>
          <w:numId w:val="17"/>
        </w:numPr>
        <w:pBdr>
          <w:top w:val="nil"/>
          <w:left w:val="nil"/>
          <w:bottom w:val="nil"/>
          <w:right w:val="nil"/>
          <w:between w:val="nil"/>
        </w:pBdr>
        <w:spacing w:after="0" w:line="276" w:lineRule="auto"/>
        <w:ind w:left="317"/>
        <w:jc w:val="both"/>
        <w:rPr>
          <w:rFonts w:eastAsia="Arial" w:cs="Calibri"/>
          <w:bCs/>
          <w:color w:val="000000"/>
          <w:lang w:eastAsia="es-CO" w:bidi="es-CO"/>
        </w:rPr>
      </w:pPr>
      <w:r w:rsidRPr="006C6B35">
        <w:rPr>
          <w:rFonts w:eastAsia="Arial" w:cs="Calibri"/>
          <w:bCs/>
          <w:color w:val="000000"/>
          <w:lang w:eastAsia="es-CO" w:bidi="es-CO"/>
        </w:rPr>
        <w:t>Ordenen, toleren, hagan o encubran falsedades en los estados financieros o en sus notas.”</w:t>
      </w:r>
    </w:p>
    <w:p w:rsidRPr="006C6B35" w:rsidR="00DA002A" w:rsidP="00AC00A0" w:rsidRDefault="00DA002A" w14:paraId="0C62A3B4" w14:textId="77777777">
      <w:pPr>
        <w:pBdr>
          <w:top w:val="nil"/>
          <w:left w:val="nil"/>
          <w:bottom w:val="nil"/>
          <w:right w:val="nil"/>
          <w:between w:val="nil"/>
        </w:pBdr>
        <w:spacing w:after="0" w:line="276" w:lineRule="auto"/>
        <w:ind w:left="317"/>
        <w:jc w:val="both"/>
        <w:rPr>
          <w:rFonts w:eastAsia="Arial" w:cs="Calibri"/>
          <w:bCs/>
          <w:color w:val="000000"/>
          <w:lang w:eastAsia="es-CO" w:bidi="es-CO"/>
        </w:rPr>
      </w:pPr>
    </w:p>
    <w:p w:rsidRPr="006C6B35" w:rsidR="00DA002A" w:rsidP="00AC00A0" w:rsidRDefault="00DA002A" w14:paraId="3F2EF94C" w14:textId="77777777">
      <w:pPr>
        <w:tabs>
          <w:tab w:val="left" w:pos="576"/>
        </w:tabs>
        <w:spacing w:after="0" w:line="276" w:lineRule="auto"/>
        <w:jc w:val="both"/>
        <w:rPr>
          <w:rFonts w:eastAsia="Arial" w:cs="Calibri"/>
          <w:bCs/>
          <w:color w:val="000000"/>
          <w:lang w:eastAsia="es-CO" w:bidi="es-CO"/>
        </w:rPr>
      </w:pPr>
      <w:r w:rsidRPr="006C6B35">
        <w:rPr>
          <w:rFonts w:eastAsia="Arial" w:cs="Calibri"/>
          <w:bCs/>
          <w:color w:val="000000"/>
          <w:lang w:eastAsia="es-CO" w:bidi="es-CO"/>
        </w:rPr>
        <w:t>La entidad se reserva el derecho de solicitar de manera adicional los documentos de carácter financiero que requiera para realizar la constatación de la información consignada en el RUP, la cual deberá ajustarse a las Normas de Contabilidad Generalmente Aceptadas en Colombia.</w:t>
      </w:r>
    </w:p>
    <w:p w:rsidRPr="006C6B35" w:rsidR="00DA002A" w:rsidP="00AC00A0" w:rsidRDefault="00DA002A" w14:paraId="081EA856" w14:textId="77777777">
      <w:pPr>
        <w:spacing w:after="0" w:line="276" w:lineRule="auto"/>
        <w:jc w:val="both"/>
        <w:rPr>
          <w:rFonts w:eastAsia="Times New Roman" w:cs="Calibri"/>
          <w:bCs/>
          <w:lang w:val="es-ES" w:eastAsia="es-ES"/>
        </w:rPr>
      </w:pPr>
    </w:p>
    <w:p w:rsidRPr="006C6B35" w:rsidR="00DA002A" w:rsidP="00AC00A0" w:rsidRDefault="00DA002A" w14:paraId="1B2CA8E9" w14:textId="77777777">
      <w:pPr>
        <w:tabs>
          <w:tab w:val="left" w:pos="576"/>
        </w:tabs>
        <w:spacing w:after="0" w:line="276" w:lineRule="auto"/>
        <w:jc w:val="both"/>
        <w:rPr>
          <w:rFonts w:eastAsia="Arial" w:cs="Calibri"/>
          <w:bCs/>
          <w:color w:val="000000"/>
          <w:lang w:eastAsia="es-CO" w:bidi="es-CO"/>
        </w:rPr>
      </w:pPr>
      <w:r w:rsidRPr="006C6B35">
        <w:rPr>
          <w:rFonts w:eastAsia="Arial" w:cs="Calibri"/>
          <w:b/>
          <w:bCs/>
          <w:color w:val="000000"/>
          <w:lang w:eastAsia="es-CO" w:bidi="es-CO"/>
        </w:rPr>
        <w:t>CAPACIDAD FINANCIERA</w:t>
      </w:r>
      <w:r w:rsidRPr="006C6B35">
        <w:rPr>
          <w:rFonts w:eastAsia="Arial" w:cs="Calibri"/>
          <w:bCs/>
          <w:color w:val="000000"/>
          <w:lang w:eastAsia="es-CO" w:bidi="es-CO"/>
        </w:rPr>
        <w:t>:</w:t>
      </w:r>
    </w:p>
    <w:p w:rsidRPr="006C6B35" w:rsidR="00DA002A" w:rsidP="00AC00A0" w:rsidRDefault="00DA002A" w14:paraId="1B58B8EE" w14:textId="77777777">
      <w:pPr>
        <w:tabs>
          <w:tab w:val="left" w:pos="576"/>
        </w:tabs>
        <w:spacing w:after="0" w:line="276" w:lineRule="auto"/>
        <w:jc w:val="both"/>
        <w:rPr>
          <w:rFonts w:eastAsia="Arial" w:cs="Calibri"/>
          <w:bCs/>
          <w:color w:val="000000"/>
          <w:lang w:eastAsia="es-CO" w:bidi="es-CO"/>
        </w:rPr>
      </w:pPr>
    </w:p>
    <w:p w:rsidRPr="006C6B35" w:rsidR="004F498B" w:rsidP="00AC00A0" w:rsidRDefault="00DA002A" w14:paraId="35BB4479" w14:textId="641E42DD">
      <w:pPr>
        <w:spacing w:after="0" w:line="276" w:lineRule="auto"/>
        <w:jc w:val="both"/>
        <w:rPr>
          <w:rFonts w:eastAsia="Times New Roman" w:cs="Calibri"/>
          <w:bCs/>
          <w:lang w:val="es-ES" w:eastAsia="es-ES"/>
        </w:rPr>
      </w:pPr>
      <w:r w:rsidRPr="006C6B35">
        <w:rPr>
          <w:rFonts w:eastAsia="Arial" w:cs="Calibri"/>
          <w:color w:val="000000" w:themeColor="text1"/>
          <w:lang w:eastAsia="es-CO" w:bidi="es-CO"/>
        </w:rPr>
        <w:t xml:space="preserve">La verificación del cumplimiento de los índices </w:t>
      </w:r>
      <w:r w:rsidRPr="006C6B35" w:rsidR="00D26591">
        <w:rPr>
          <w:rFonts w:eastAsia="Arial" w:cs="Calibri"/>
          <w:color w:val="000000" w:themeColor="text1"/>
          <w:lang w:eastAsia="es-CO" w:bidi="es-CO"/>
        </w:rPr>
        <w:t>financieros</w:t>
      </w:r>
      <w:r w:rsidRPr="006C6B35">
        <w:rPr>
          <w:rFonts w:eastAsia="Arial" w:cs="Calibri"/>
          <w:color w:val="000000" w:themeColor="text1"/>
          <w:lang w:eastAsia="es-CO" w:bidi="es-CO"/>
        </w:rPr>
        <w:t xml:space="preserve"> se efectuará mediante la obtención de los Indicadores Índice de Liquidez, índice de Endeudamiento, Razón de Cobertura de </w:t>
      </w:r>
      <w:r w:rsidRPr="006C6B35" w:rsidR="00C15784">
        <w:rPr>
          <w:rFonts w:eastAsia="Arial" w:cs="Calibri"/>
          <w:color w:val="000000" w:themeColor="text1"/>
          <w:lang w:eastAsia="es-CO" w:bidi="es-CO"/>
        </w:rPr>
        <w:t>Intereses.</w:t>
      </w:r>
      <w:r w:rsidRPr="006C6B35">
        <w:rPr>
          <w:rFonts w:eastAsia="Arial" w:cs="Calibri"/>
          <w:color w:val="000000" w:themeColor="text1"/>
          <w:lang w:eastAsia="es-CO" w:bidi="es-CO"/>
        </w:rPr>
        <w:t xml:space="preserve"> El resultado determinará la habilitación o no de la propuesta, es decir, para el proceso de selección de los proponentes, se debe tener en cuenta el cumplimiento de la totalidad de los índices financieros, con fundamento en lo dispuesto en el </w:t>
      </w:r>
      <w:r w:rsidRPr="006C6B35" w:rsidR="009C7828">
        <w:rPr>
          <w:rFonts w:eastAsia="Arial" w:cs="Calibri"/>
          <w:color w:val="000000" w:themeColor="text1"/>
          <w:lang w:eastAsia="es-CO" w:bidi="es-CO"/>
        </w:rPr>
        <w:t>A</w:t>
      </w:r>
      <w:r w:rsidRPr="006C6B35">
        <w:rPr>
          <w:rFonts w:eastAsia="Arial" w:cs="Calibri"/>
          <w:color w:val="000000" w:themeColor="text1"/>
          <w:lang w:eastAsia="es-CO" w:bidi="es-CO"/>
        </w:rPr>
        <w:t>rtículo 2.2.1.1.1.5.3. Del Decreto 1082 de 2015 y la Guía para la Elaboración del Estudios del Sector de Colombia Compra Eficiente</w:t>
      </w:r>
      <w:r w:rsidRPr="006C6B35" w:rsidR="00D10B6F">
        <w:rPr>
          <w:rFonts w:eastAsia="Arial" w:cs="Calibri"/>
          <w:color w:val="000000" w:themeColor="text1"/>
          <w:lang w:eastAsia="es-CO" w:bidi="es-CO"/>
        </w:rPr>
        <w:t>.</w:t>
      </w:r>
    </w:p>
    <w:p w:rsidRPr="006C6B35" w:rsidR="00F07438" w:rsidP="00AC00A0" w:rsidRDefault="00F07438" w14:paraId="50260F97" w14:textId="77777777">
      <w:pPr>
        <w:tabs>
          <w:tab w:val="left" w:pos="576"/>
        </w:tabs>
        <w:spacing w:after="0" w:line="276" w:lineRule="auto"/>
        <w:jc w:val="both"/>
        <w:rPr>
          <w:rFonts w:eastAsia="Arial" w:cs="Calibri"/>
          <w:bCs/>
          <w:color w:val="000000"/>
          <w:lang w:val="es-ES" w:eastAsia="es-CO" w:bidi="es-CO"/>
        </w:rPr>
      </w:pPr>
    </w:p>
    <w:p w:rsidRPr="006C6B35" w:rsidR="00DA002A" w:rsidP="00AC00A0" w:rsidRDefault="00DA002A" w14:paraId="599D90B3" w14:textId="77777777">
      <w:pPr>
        <w:spacing w:after="0" w:line="276" w:lineRule="auto"/>
        <w:jc w:val="both"/>
        <w:rPr>
          <w:rFonts w:eastAsia="Times New Roman" w:cs="Calibri"/>
          <w:b/>
          <w:bCs/>
          <w:lang w:val="es-ES" w:eastAsia="es-ES"/>
        </w:rPr>
      </w:pPr>
      <w:r w:rsidRPr="006C6B35">
        <w:rPr>
          <w:rFonts w:eastAsia="Arial" w:cs="Calibri"/>
          <w:b/>
          <w:bCs/>
          <w:color w:val="000000"/>
          <w:lang w:eastAsia="es-CO" w:bidi="es-CO"/>
        </w:rPr>
        <w:t>REQUERIMIENTO</w:t>
      </w:r>
      <w:r w:rsidRPr="006C6B35">
        <w:rPr>
          <w:rFonts w:eastAsia="Arial" w:cs="Calibri"/>
          <w:b/>
          <w:color w:val="000000"/>
          <w:lang w:eastAsia="es-CO" w:bidi="es-CO"/>
        </w:rPr>
        <w:t xml:space="preserve"> PARA NACIONALES</w:t>
      </w:r>
    </w:p>
    <w:p w:rsidRPr="006C6B35" w:rsidR="00DA002A" w:rsidP="00AC00A0" w:rsidRDefault="00DA002A" w14:paraId="0CC4FD18" w14:textId="77777777">
      <w:pPr>
        <w:spacing w:after="0" w:line="276" w:lineRule="auto"/>
        <w:jc w:val="both"/>
        <w:rPr>
          <w:rFonts w:eastAsia="Times New Roman" w:cs="Calibri"/>
          <w:b/>
          <w:bCs/>
          <w:lang w:val="es-ES" w:eastAsia="es-ES"/>
        </w:rPr>
      </w:pPr>
    </w:p>
    <w:p w:rsidRPr="006C6B35" w:rsidR="00DA002A" w:rsidP="00AC00A0" w:rsidRDefault="00DA002A" w14:paraId="58728C8B" w14:textId="77777777">
      <w:pPr>
        <w:numPr>
          <w:ilvl w:val="0"/>
          <w:numId w:val="15"/>
        </w:numPr>
        <w:spacing w:after="0" w:line="276" w:lineRule="auto"/>
        <w:jc w:val="both"/>
        <w:rPr>
          <w:rFonts w:eastAsia="Times New Roman" w:cs="Calibri"/>
          <w:b/>
          <w:bCs/>
          <w:lang w:val="es-ES" w:eastAsia="es-ES"/>
        </w:rPr>
      </w:pPr>
      <w:r w:rsidRPr="006C6B35">
        <w:rPr>
          <w:rFonts w:eastAsia="Times New Roman" w:cs="Calibri"/>
          <w:b/>
          <w:bCs/>
          <w:lang w:val="es-ES" w:eastAsia="es-ES"/>
        </w:rPr>
        <w:t xml:space="preserve">INDICADORES DE CAPACIDAD FINANCIERA </w:t>
      </w:r>
    </w:p>
    <w:p w:rsidRPr="006C6B35" w:rsidR="00DA002A" w:rsidP="00AC00A0" w:rsidRDefault="00DA002A" w14:paraId="3D86980C" w14:textId="77777777">
      <w:pPr>
        <w:tabs>
          <w:tab w:val="left" w:pos="851"/>
        </w:tabs>
        <w:spacing w:after="0" w:line="276" w:lineRule="auto"/>
        <w:contextualSpacing/>
        <w:rPr>
          <w:rFonts w:cs="Calibri"/>
          <w:b/>
        </w:rPr>
      </w:pPr>
    </w:p>
    <w:p w:rsidRPr="006C6B35" w:rsidR="00DA002A" w:rsidP="00AC00A0" w:rsidRDefault="00DA002A" w14:paraId="6F83DF3F" w14:textId="77777777">
      <w:pPr>
        <w:tabs>
          <w:tab w:val="left" w:pos="851"/>
        </w:tabs>
        <w:spacing w:after="0" w:line="276" w:lineRule="auto"/>
        <w:ind w:left="709"/>
        <w:contextualSpacing/>
        <w:rPr>
          <w:rFonts w:cs="Calibri"/>
          <w:b/>
        </w:rPr>
      </w:pPr>
      <w:r w:rsidRPr="006C6B35">
        <w:rPr>
          <w:rFonts w:cs="Calibri"/>
          <w:b/>
        </w:rPr>
        <w:t>Liquidez</w:t>
      </w:r>
    </w:p>
    <w:p w:rsidRPr="006C6B35" w:rsidR="00DA002A" w:rsidP="00AC00A0" w:rsidRDefault="00DA002A" w14:paraId="31185A64" w14:textId="77777777">
      <w:pPr>
        <w:spacing w:after="0" w:line="276" w:lineRule="auto"/>
        <w:jc w:val="both"/>
        <w:rPr>
          <w:rFonts w:cs="Calibri"/>
          <w:b/>
          <w:bCs/>
        </w:rPr>
      </w:pPr>
    </w:p>
    <w:p w:rsidRPr="006C6B35" w:rsidR="00DA002A" w:rsidP="00AC00A0" w:rsidRDefault="00DA002A" w14:paraId="0E507464" w14:textId="77777777">
      <w:pPr>
        <w:spacing w:after="0" w:line="276" w:lineRule="auto"/>
        <w:jc w:val="both"/>
        <w:rPr>
          <w:rFonts w:eastAsia="Times New Roman" w:cs="Calibri"/>
          <w:bCs/>
          <w:lang w:val="es-ES" w:eastAsia="es-ES"/>
        </w:rPr>
      </w:pPr>
      <w:r w:rsidRPr="1B397D9F">
        <w:rPr>
          <w:rFonts w:eastAsia="Times New Roman" w:cs="Calibri"/>
          <w:lang w:val="es-ES" w:eastAsia="es-ES"/>
        </w:rPr>
        <w:t>Refleja la capacidad que tiene el proponente de convertir sus activos en dinero para atender sus obligaciones de corto plazo.</w:t>
      </w:r>
    </w:p>
    <w:p w:rsidR="1B397D9F" w:rsidP="1B397D9F" w:rsidRDefault="1B397D9F" w14:paraId="301A13B0" w14:textId="627B8274">
      <w:pPr>
        <w:spacing w:after="0" w:line="276" w:lineRule="auto"/>
      </w:pPr>
    </w:p>
    <w:p w:rsidRPr="006C6B35" w:rsidR="00DA002A" w:rsidP="4E1AD4DC" w:rsidRDefault="002134ED" w14:paraId="3E0F0280" w14:textId="60C307E1">
      <w:pPr>
        <w:spacing w:after="0" w:line="276" w:lineRule="auto"/>
        <w:rPr>
          <w:rFonts w:eastAsia="Times New Roman" w:cs="Calibri"/>
          <w:lang w:val="es-ES" w:eastAsia="es-ES"/>
        </w:rPr>
      </w:pPr>
      <m:oMathPara>
        <m:oMath>
          <m:r>
            <m:rPr>
              <m:sty m:val="bi"/>
            </m:rPr>
            <w:rPr>
              <w:rFonts w:ascii="Cambria Math" w:hAnsi="Cambria Math" w:cs="Arial"/>
            </w:rPr>
            <m:t>Liquidez=</m:t>
          </m:r>
          <m:f>
            <m:fPr>
              <m:ctrlPr>
                <w:rPr>
                  <w:rFonts w:ascii="Cambria Math" w:hAnsi="Cambria Math" w:cs="Arial"/>
                  <w:b/>
                  <w:i/>
                </w:rPr>
              </m:ctrlPr>
            </m:fPr>
            <m:num>
              <m:r>
                <m:rPr>
                  <m:sty m:val="bi"/>
                </m:rPr>
                <w:rPr>
                  <w:rFonts w:ascii="Cambria Math" w:hAnsi="Cambria Math" w:cs="Arial"/>
                </w:rPr>
                <m:t>Activo corriente</m:t>
              </m:r>
            </m:num>
            <m:den>
              <m:r>
                <m:rPr>
                  <m:sty m:val="bi"/>
                </m:rPr>
                <w:rPr>
                  <w:rFonts w:ascii="Cambria Math" w:hAnsi="Cambria Math" w:cs="Arial"/>
                </w:rPr>
                <m:t>Pasivo Corriente</m:t>
              </m:r>
            </m:den>
          </m:f>
        </m:oMath>
      </m:oMathPara>
    </w:p>
    <w:p w:rsidRPr="006C6B35" w:rsidR="00DA002A" w:rsidP="65D10910" w:rsidRDefault="00DA002A" w14:paraId="60DFC6E8" w14:textId="77777777">
      <w:pPr>
        <w:spacing w:after="0" w:line="276" w:lineRule="auto"/>
        <w:rPr>
          <w:rFonts w:eastAsia="Times New Roman" w:cs="Calibri"/>
          <w:lang w:val="es-ES" w:eastAsia="es-ES"/>
        </w:rPr>
      </w:pPr>
    </w:p>
    <w:p w:rsidRPr="006C6B35" w:rsidR="00DA002A" w:rsidP="00AC00A0" w:rsidRDefault="00DA002A" w14:paraId="03DEAD64" w14:textId="0C98ACC6">
      <w:pPr>
        <w:spacing w:after="0" w:line="276" w:lineRule="auto"/>
        <w:jc w:val="both"/>
        <w:rPr>
          <w:rFonts w:eastAsia="Times New Roman" w:cs="Calibri"/>
          <w:b/>
          <w:bCs/>
          <w:lang w:val="es-ES" w:eastAsia="es-ES"/>
        </w:rPr>
      </w:pPr>
      <w:r w:rsidRPr="4E1AD4DC">
        <w:rPr>
          <w:rFonts w:eastAsia="Times New Roman" w:cs="Calibri"/>
          <w:lang w:val="es-ES" w:eastAsia="es-ES"/>
        </w:rPr>
        <w:t xml:space="preserve">El nivel de liquidez debe ser </w:t>
      </w:r>
      <w:r w:rsidRPr="4E1AD4DC">
        <w:rPr>
          <w:rFonts w:eastAsia="Times New Roman" w:cs="Calibri"/>
          <w:b/>
          <w:bCs/>
          <w:lang w:val="es-ES" w:eastAsia="es-ES"/>
        </w:rPr>
        <w:t xml:space="preserve">Igual o mayor a </w:t>
      </w:r>
      <w:r w:rsidRPr="4E1AD4DC" w:rsidR="2C9465E1">
        <w:rPr>
          <w:rFonts w:eastAsia="Times New Roman" w:cs="Calibri"/>
          <w:b/>
          <w:bCs/>
          <w:lang w:val="es-ES" w:eastAsia="es-ES"/>
        </w:rPr>
        <w:t>2</w:t>
      </w:r>
      <w:r w:rsidRPr="4E1AD4DC" w:rsidR="617AD6F7">
        <w:rPr>
          <w:rFonts w:eastAsia="Times New Roman" w:cs="Calibri"/>
          <w:b/>
          <w:bCs/>
          <w:lang w:val="es-ES" w:eastAsia="es-ES"/>
        </w:rPr>
        <w:t>.</w:t>
      </w:r>
      <w:r w:rsidRPr="4E1AD4DC" w:rsidR="2C9465E1">
        <w:rPr>
          <w:rFonts w:eastAsia="Times New Roman" w:cs="Calibri"/>
          <w:b/>
          <w:bCs/>
          <w:lang w:val="es-ES" w:eastAsia="es-ES"/>
        </w:rPr>
        <w:t>50</w:t>
      </w:r>
      <w:r w:rsidRPr="4E1AD4DC" w:rsidR="00045F00">
        <w:rPr>
          <w:rFonts w:eastAsia="Times New Roman" w:cs="Calibri"/>
          <w:b/>
          <w:bCs/>
          <w:lang w:val="es-ES" w:eastAsia="es-ES"/>
        </w:rPr>
        <w:t xml:space="preserve"> </w:t>
      </w:r>
      <w:r w:rsidRPr="4E1AD4DC">
        <w:rPr>
          <w:rFonts w:eastAsia="Times New Roman" w:cs="Calibri"/>
          <w:b/>
          <w:bCs/>
          <w:lang w:val="es-ES" w:eastAsia="es-ES"/>
        </w:rPr>
        <w:t>(</w:t>
      </w:r>
      <w:r w:rsidRPr="4E1AD4DC" w:rsidR="110B8623">
        <w:rPr>
          <w:rFonts w:eastAsia="Times New Roman" w:cs="Calibri"/>
          <w:b/>
          <w:bCs/>
          <w:lang w:val="es-ES" w:eastAsia="es-ES"/>
        </w:rPr>
        <w:t>Dos punto cincuenta</w:t>
      </w:r>
      <w:r w:rsidRPr="4E1AD4DC" w:rsidR="0050463E">
        <w:rPr>
          <w:rFonts w:eastAsia="Times New Roman" w:cs="Calibri"/>
          <w:b/>
          <w:bCs/>
          <w:lang w:val="es-ES" w:eastAsia="es-ES"/>
        </w:rPr>
        <w:t>)</w:t>
      </w:r>
      <w:r w:rsidRPr="4E1AD4DC">
        <w:rPr>
          <w:rFonts w:eastAsia="Times New Roman" w:cs="Calibri"/>
          <w:b/>
          <w:bCs/>
          <w:lang w:val="es-ES" w:eastAsia="es-ES"/>
        </w:rPr>
        <w:t>.</w:t>
      </w:r>
    </w:p>
    <w:p w:rsidRPr="006C6B35" w:rsidR="00DA002A" w:rsidP="00AC00A0" w:rsidRDefault="00DA002A" w14:paraId="10AE9984" w14:textId="77777777">
      <w:pPr>
        <w:spacing w:after="0" w:line="276" w:lineRule="auto"/>
        <w:jc w:val="both"/>
        <w:rPr>
          <w:rFonts w:eastAsia="Times New Roman" w:cs="Calibri"/>
          <w:bCs/>
          <w:lang w:val="es-ES" w:eastAsia="es-ES"/>
        </w:rPr>
      </w:pPr>
    </w:p>
    <w:p w:rsidRPr="006C6B35" w:rsidR="00DA002A" w:rsidP="00AC00A0" w:rsidRDefault="00DA002A" w14:paraId="15441BAC" w14:textId="77777777">
      <w:pPr>
        <w:spacing w:after="0" w:line="276" w:lineRule="auto"/>
        <w:jc w:val="both"/>
        <w:rPr>
          <w:rFonts w:cs="Calibri"/>
          <w:bCs/>
        </w:rPr>
      </w:pPr>
      <w:r w:rsidRPr="4E1AD4DC">
        <w:rPr>
          <w:rFonts w:cs="Calibri"/>
        </w:rPr>
        <w:t>Para el caso de Consorcios, uniones temporales o sociedades futuras la formula será la siguiente:</w:t>
      </w:r>
    </w:p>
    <w:p w:rsidR="4E1AD4DC" w:rsidP="4E1AD4DC" w:rsidRDefault="4E1AD4DC" w14:paraId="485C6463" w14:textId="713BB765">
      <w:pPr>
        <w:spacing w:after="0" w:line="276" w:lineRule="auto"/>
        <w:jc w:val="both"/>
        <w:rPr>
          <w:rFonts w:cs="Calibri"/>
        </w:rPr>
      </w:pPr>
    </w:p>
    <w:p w:rsidRPr="006C6B35" w:rsidR="00DA002A" w:rsidP="4E1AD4DC" w:rsidRDefault="36B8474A" w14:paraId="70E64A3B" w14:textId="1B9EBCCB">
      <w:pPr>
        <w:spacing w:after="0"/>
        <w:jc w:val="both"/>
        <w:rPr>
          <w:rFonts w:cs="Calibri"/>
          <w:color w:val="000000" w:themeColor="text1"/>
        </w:rPr>
      </w:pPr>
      <w:r>
        <w:rPr>
          <w:noProof/>
        </w:rPr>
        <w:drawing>
          <wp:inline distT="0" distB="0" distL="0" distR="0" wp14:anchorId="37B0A3E9" wp14:editId="4769E57D">
            <wp:extent cx="3971925" cy="314325"/>
            <wp:effectExtent l="0" t="0" r="0" b="0"/>
            <wp:docPr id="781682826" name="Imagen 78168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3971925" cy="314325"/>
                    </a:xfrm>
                    <a:prstGeom prst="rect">
                      <a:avLst/>
                    </a:prstGeom>
                  </pic:spPr>
                </pic:pic>
              </a:graphicData>
            </a:graphic>
          </wp:inline>
        </w:drawing>
      </w:r>
    </w:p>
    <w:p w:rsidRPr="006C6B35" w:rsidR="00DA002A" w:rsidP="00AC00A0" w:rsidRDefault="00DA002A" w14:paraId="4DBAB4D7" w14:textId="77777777">
      <w:pPr>
        <w:spacing w:after="0" w:line="276" w:lineRule="auto"/>
        <w:jc w:val="center"/>
        <w:rPr>
          <w:rFonts w:cs="Calibri"/>
          <w:bCs/>
        </w:rPr>
      </w:pPr>
    </w:p>
    <w:p w:rsidRPr="006C6B35" w:rsidR="00DA002A" w:rsidP="00AC00A0" w:rsidRDefault="00DA002A" w14:paraId="0EB87C3E" w14:textId="77777777">
      <w:pPr>
        <w:numPr>
          <w:ilvl w:val="0"/>
          <w:numId w:val="6"/>
        </w:numPr>
        <w:spacing w:after="0" w:line="276" w:lineRule="auto"/>
        <w:jc w:val="both"/>
        <w:rPr>
          <w:rFonts w:cs="Calibri"/>
          <w:bCs/>
        </w:rPr>
      </w:pPr>
      <w:r w:rsidRPr="006C6B35">
        <w:rPr>
          <w:rFonts w:cs="Calibri"/>
          <w:bCs/>
        </w:rPr>
        <w:t>AC:</w:t>
      </w:r>
      <w:r w:rsidRPr="006C6B35">
        <w:rPr>
          <w:rFonts w:cs="Calibri"/>
          <w:bCs/>
        </w:rPr>
        <w:tab/>
      </w:r>
      <w:r w:rsidRPr="006C6B35">
        <w:rPr>
          <w:rFonts w:cs="Calibri"/>
          <w:bCs/>
        </w:rPr>
        <w:t xml:space="preserve">Activo corriente de cada integrante </w:t>
      </w:r>
    </w:p>
    <w:p w:rsidRPr="006C6B35" w:rsidR="00DA002A" w:rsidP="00AC00A0" w:rsidRDefault="00DA002A" w14:paraId="56830BB9" w14:textId="77777777">
      <w:pPr>
        <w:numPr>
          <w:ilvl w:val="0"/>
          <w:numId w:val="6"/>
        </w:numPr>
        <w:spacing w:after="0" w:line="276" w:lineRule="auto"/>
        <w:jc w:val="both"/>
        <w:rPr>
          <w:rFonts w:cs="Calibri"/>
          <w:bCs/>
        </w:rPr>
      </w:pPr>
      <w:r w:rsidRPr="006C6B35">
        <w:rPr>
          <w:rFonts w:cs="Calibri"/>
          <w:bCs/>
        </w:rPr>
        <w:t>PC:</w:t>
      </w:r>
      <w:r w:rsidRPr="006C6B35">
        <w:rPr>
          <w:rFonts w:cs="Calibri"/>
          <w:bCs/>
        </w:rPr>
        <w:tab/>
      </w:r>
      <w:r w:rsidRPr="006C6B35">
        <w:rPr>
          <w:rFonts w:cs="Calibri"/>
          <w:bCs/>
        </w:rPr>
        <w:t xml:space="preserve">Pasivo corriente de cada integrante </w:t>
      </w:r>
    </w:p>
    <w:p w:rsidRPr="006C6B35" w:rsidR="0053489D" w:rsidP="00AC00A0" w:rsidRDefault="0053489D" w14:paraId="61EBC79C" w14:textId="77777777">
      <w:pPr>
        <w:spacing w:after="0" w:line="276" w:lineRule="auto"/>
        <w:contextualSpacing/>
        <w:jc w:val="both"/>
        <w:rPr>
          <w:rFonts w:cs="Calibri"/>
          <w:bCs/>
        </w:rPr>
      </w:pPr>
    </w:p>
    <w:p w:rsidRPr="006C6B35" w:rsidR="00DA002A" w:rsidP="00AC00A0" w:rsidRDefault="00DA002A" w14:paraId="5F6CEA5C" w14:textId="77777777">
      <w:pPr>
        <w:spacing w:after="0" w:line="276" w:lineRule="auto"/>
        <w:contextualSpacing/>
        <w:jc w:val="both"/>
        <w:rPr>
          <w:rFonts w:cs="Calibri"/>
          <w:b/>
          <w:bCs/>
          <w:u w:val="single"/>
        </w:rPr>
      </w:pPr>
      <w:r w:rsidRPr="006C6B35">
        <w:rPr>
          <w:rFonts w:cs="Calibri"/>
          <w:b/>
          <w:bCs/>
          <w:u w:val="single"/>
        </w:rPr>
        <w:t xml:space="preserve">Nota: Para efectos de los cálculos del Indicador financiero se utilizará la herramienta de EXCEL </w:t>
      </w:r>
    </w:p>
    <w:p w:rsidRPr="006C6B35" w:rsidR="00DA002A" w:rsidP="00AC00A0" w:rsidRDefault="00DA002A" w14:paraId="7067A243" w14:textId="77777777">
      <w:pPr>
        <w:spacing w:after="0" w:line="276" w:lineRule="auto"/>
        <w:contextualSpacing/>
        <w:jc w:val="both"/>
        <w:rPr>
          <w:rFonts w:cs="Calibri"/>
          <w:bCs/>
        </w:rPr>
      </w:pPr>
    </w:p>
    <w:p w:rsidRPr="006C6B35" w:rsidR="00DA002A" w:rsidP="3AD4FA3D" w:rsidRDefault="00DA002A" w14:paraId="52C8D22F" w14:textId="49AB5382">
      <w:pPr>
        <w:spacing w:after="0" w:line="276" w:lineRule="auto"/>
        <w:contextualSpacing w:val="1"/>
        <w:jc w:val="both"/>
        <w:rPr>
          <w:rFonts w:cs="Calibri"/>
        </w:rPr>
      </w:pPr>
      <w:r w:rsidRPr="3AD4FA3D" w:rsidR="00DA002A">
        <w:rPr>
          <w:rFonts w:cs="Calibri"/>
        </w:rPr>
        <w:t xml:space="preserve">Si el proponente no supera el nivel de liquidez mínimo establecido en el presente Pliego de Condiciones la oferta será </w:t>
      </w:r>
      <w:r w:rsidRPr="3AD4FA3D" w:rsidR="00DA002A">
        <w:rPr>
          <w:rFonts w:cs="Calibri"/>
          <w:b w:val="1"/>
          <w:bCs w:val="1"/>
        </w:rPr>
        <w:t>N</w:t>
      </w:r>
      <w:r w:rsidRPr="3AD4FA3D" w:rsidR="085C69E8">
        <w:rPr>
          <w:rFonts w:cs="Calibri"/>
          <w:b w:val="1"/>
          <w:bCs w:val="1"/>
        </w:rPr>
        <w:t xml:space="preserve">O </w:t>
      </w:r>
      <w:r w:rsidRPr="3AD4FA3D" w:rsidR="00DA002A">
        <w:rPr>
          <w:rFonts w:cs="Calibri"/>
          <w:b w:val="1"/>
          <w:bCs w:val="1"/>
        </w:rPr>
        <w:t>HABILITADA</w:t>
      </w:r>
      <w:r w:rsidRPr="3AD4FA3D" w:rsidR="00DA002A">
        <w:rPr>
          <w:rFonts w:cs="Calibri"/>
        </w:rPr>
        <w:t>.</w:t>
      </w:r>
    </w:p>
    <w:p w:rsidRPr="006C6B35" w:rsidR="00A930FE" w:rsidP="00AC00A0" w:rsidRDefault="00A930FE" w14:paraId="77604DF8" w14:textId="77777777">
      <w:pPr>
        <w:spacing w:after="0" w:line="276" w:lineRule="auto"/>
        <w:contextualSpacing/>
        <w:jc w:val="both"/>
        <w:rPr>
          <w:rFonts w:cs="Calibri"/>
          <w:b/>
          <w:lang w:eastAsia="es-CO"/>
        </w:rPr>
      </w:pPr>
    </w:p>
    <w:p w:rsidRPr="006C6B35" w:rsidR="00DA002A" w:rsidP="00AC00A0" w:rsidRDefault="00DA002A" w14:paraId="57A2058A" w14:textId="77777777">
      <w:pPr>
        <w:tabs>
          <w:tab w:val="left" w:pos="851"/>
        </w:tabs>
        <w:spacing w:after="0" w:line="276" w:lineRule="auto"/>
        <w:ind w:left="709"/>
        <w:contextualSpacing/>
        <w:rPr>
          <w:rFonts w:cs="Calibri"/>
          <w:b/>
        </w:rPr>
      </w:pPr>
      <w:r w:rsidRPr="006C6B35">
        <w:rPr>
          <w:rFonts w:eastAsia="Arial" w:cs="Calibri"/>
          <w:b/>
        </w:rPr>
        <w:t>Endeudami</w:t>
      </w:r>
      <w:r w:rsidRPr="006C6B35">
        <w:rPr>
          <w:rFonts w:eastAsia="Arial" w:cs="Calibri"/>
          <w:b/>
          <w:spacing w:val="-1"/>
        </w:rPr>
        <w:t>e</w:t>
      </w:r>
      <w:r w:rsidRPr="006C6B35">
        <w:rPr>
          <w:rFonts w:eastAsia="Arial" w:cs="Calibri"/>
          <w:b/>
        </w:rPr>
        <w:t>nto</w:t>
      </w:r>
    </w:p>
    <w:p w:rsidRPr="006C6B35" w:rsidR="00DA002A" w:rsidP="00AC00A0" w:rsidRDefault="00DA002A" w14:paraId="7DBB5C91" w14:textId="77777777">
      <w:pPr>
        <w:spacing w:after="0" w:line="276" w:lineRule="auto"/>
        <w:rPr>
          <w:rFonts w:cs="Calibri"/>
        </w:rPr>
      </w:pPr>
    </w:p>
    <w:p w:rsidRPr="006C6B35" w:rsidR="00DA002A" w:rsidP="00AC00A0" w:rsidRDefault="00DA002A" w14:paraId="17DB13ED" w14:textId="77777777">
      <w:pPr>
        <w:spacing w:after="0" w:line="276" w:lineRule="auto"/>
        <w:jc w:val="both"/>
        <w:rPr>
          <w:rFonts w:eastAsia="Times New Roman" w:cs="Calibri"/>
          <w:lang w:eastAsia="es-CO"/>
        </w:rPr>
      </w:pPr>
      <w:r w:rsidRPr="4E1AD4DC">
        <w:rPr>
          <w:rFonts w:eastAsia="Times New Roman" w:cs="Calibri"/>
          <w:lang w:eastAsia="es-CO"/>
        </w:rPr>
        <w:t>Refleja el grado de participación de los pasivos totales en los activos totales del proponente.</w:t>
      </w:r>
    </w:p>
    <w:p w:rsidR="4E1AD4DC" w:rsidP="4E1AD4DC" w:rsidRDefault="4E1AD4DC" w14:paraId="04346507" w14:textId="3B7BCE14">
      <w:pPr>
        <w:spacing w:after="0" w:line="276" w:lineRule="auto"/>
        <w:jc w:val="both"/>
      </w:pPr>
    </w:p>
    <w:p w:rsidRPr="006C6B35" w:rsidR="00DA002A" w:rsidP="4E1AD4DC" w:rsidRDefault="002134ED" w14:paraId="47E849F0" w14:textId="4C3A5141">
      <w:pPr>
        <w:spacing w:after="0" w:line="276" w:lineRule="auto"/>
        <w:jc w:val="both"/>
        <w:rPr>
          <w:rFonts w:eastAsia="Times New Roman" w:cs="Calibri"/>
          <w:lang w:eastAsia="es-CO"/>
        </w:rPr>
      </w:pPr>
      <m:oMathPara>
        <m:oMath>
          <m:r>
            <m:rPr>
              <m:sty m:val="bi"/>
            </m:rPr>
            <w:rPr>
              <w:rFonts w:ascii="Cambria Math" w:hAnsi="Cambria Math" w:cs="Arial"/>
            </w:rPr>
            <m:t>Endeudamiento=</m:t>
          </m:r>
          <m:f>
            <m:fPr>
              <m:ctrlPr>
                <w:rPr>
                  <w:rFonts w:ascii="Cambria Math" w:hAnsi="Cambria Math" w:cs="Arial"/>
                  <w:b/>
                  <w:i/>
                </w:rPr>
              </m:ctrlPr>
            </m:fPr>
            <m:num>
              <m:r>
                <m:rPr>
                  <m:sty m:val="bi"/>
                </m:rPr>
                <w:rPr>
                  <w:rFonts w:ascii="Cambria Math" w:hAnsi="Cambria Math" w:cs="Arial"/>
                </w:rPr>
                <m:t>Pasivo Total</m:t>
              </m:r>
            </m:num>
            <m:den>
              <m:r>
                <m:rPr>
                  <m:sty m:val="bi"/>
                </m:rPr>
                <w:rPr>
                  <w:rFonts w:ascii="Cambria Math" w:hAnsi="Cambria Math" w:cs="Arial"/>
                </w:rPr>
                <m:t>Activo Total</m:t>
              </m:r>
            </m:den>
          </m:f>
        </m:oMath>
      </m:oMathPara>
    </w:p>
    <w:p w:rsidRPr="006C6B35" w:rsidR="00DA002A" w:rsidP="00AC00A0" w:rsidRDefault="00DA002A" w14:paraId="3569567A" w14:textId="77777777">
      <w:pPr>
        <w:spacing w:after="0" w:line="276" w:lineRule="auto"/>
        <w:jc w:val="both"/>
        <w:rPr>
          <w:rFonts w:eastAsia="Times New Roman" w:cs="Calibri"/>
          <w:lang w:eastAsia="es-CO"/>
        </w:rPr>
      </w:pPr>
    </w:p>
    <w:p w:rsidRPr="006C6B35" w:rsidR="00DA002A" w:rsidP="65D10910" w:rsidRDefault="00DA002A" w14:paraId="25275B71" w14:textId="2B1FB45E">
      <w:pPr>
        <w:spacing w:after="0" w:line="276" w:lineRule="auto"/>
        <w:jc w:val="both"/>
        <w:rPr>
          <w:rFonts w:eastAsia="Times New Roman" w:cs="Calibri"/>
          <w:b/>
          <w:bCs/>
          <w:lang w:eastAsia="es-CO"/>
        </w:rPr>
      </w:pPr>
      <w:r w:rsidRPr="4E1AD4DC">
        <w:rPr>
          <w:rFonts w:eastAsia="Times New Roman" w:cs="Calibri"/>
          <w:lang w:eastAsia="es-CO"/>
        </w:rPr>
        <w:t xml:space="preserve">El nivel de endeudamiento debe ser </w:t>
      </w:r>
      <w:r w:rsidRPr="4E1AD4DC">
        <w:rPr>
          <w:rFonts w:eastAsia="Times New Roman" w:cs="Calibri"/>
          <w:b/>
          <w:bCs/>
          <w:lang w:eastAsia="es-CO"/>
        </w:rPr>
        <w:t xml:space="preserve">Igual o menor al </w:t>
      </w:r>
      <w:r w:rsidRPr="4E1AD4DC" w:rsidR="61F6F9BD">
        <w:rPr>
          <w:rFonts w:eastAsia="Times New Roman" w:cs="Calibri"/>
          <w:b/>
          <w:bCs/>
          <w:lang w:eastAsia="es-CO"/>
        </w:rPr>
        <w:t>40</w:t>
      </w:r>
      <w:r w:rsidRPr="4E1AD4DC">
        <w:rPr>
          <w:rFonts w:eastAsia="Times New Roman" w:cs="Calibri"/>
          <w:b/>
          <w:bCs/>
          <w:lang w:eastAsia="es-CO"/>
        </w:rPr>
        <w:t>% (</w:t>
      </w:r>
      <w:r w:rsidRPr="4E1AD4DC" w:rsidR="2BA0ED98">
        <w:rPr>
          <w:rFonts w:eastAsia="Times New Roman" w:cs="Calibri"/>
          <w:b/>
          <w:bCs/>
          <w:lang w:eastAsia="es-CO"/>
        </w:rPr>
        <w:t>Cuarenta</w:t>
      </w:r>
      <w:r w:rsidRPr="4E1AD4DC" w:rsidR="00407FF1">
        <w:rPr>
          <w:rFonts w:eastAsia="Times New Roman" w:cs="Calibri"/>
          <w:b/>
          <w:bCs/>
          <w:lang w:eastAsia="es-CO"/>
        </w:rPr>
        <w:t xml:space="preserve"> po</w:t>
      </w:r>
      <w:r w:rsidRPr="4E1AD4DC" w:rsidR="000E29BA">
        <w:rPr>
          <w:rFonts w:eastAsia="Times New Roman" w:cs="Calibri"/>
          <w:b/>
          <w:bCs/>
          <w:lang w:eastAsia="es-CO"/>
        </w:rPr>
        <w:t xml:space="preserve">r </w:t>
      </w:r>
      <w:r w:rsidRPr="4E1AD4DC" w:rsidR="00DD76AE">
        <w:rPr>
          <w:rFonts w:eastAsia="Times New Roman" w:cs="Calibri"/>
          <w:b/>
          <w:bCs/>
          <w:lang w:eastAsia="es-CO"/>
        </w:rPr>
        <w:t>ciento</w:t>
      </w:r>
      <w:r w:rsidRPr="4E1AD4DC">
        <w:rPr>
          <w:rFonts w:eastAsia="Times New Roman" w:cs="Calibri"/>
          <w:b/>
          <w:bCs/>
          <w:lang w:eastAsia="es-CO"/>
        </w:rPr>
        <w:t>).</w:t>
      </w:r>
    </w:p>
    <w:p w:rsidRPr="006C6B35" w:rsidR="004040D9" w:rsidP="00AC00A0" w:rsidRDefault="004040D9" w14:paraId="61786AB0" w14:textId="77777777">
      <w:pPr>
        <w:spacing w:after="0" w:line="276" w:lineRule="auto"/>
        <w:jc w:val="both"/>
        <w:rPr>
          <w:rFonts w:eastAsia="Times New Roman" w:cs="Calibri"/>
          <w:lang w:eastAsia="es-CO"/>
        </w:rPr>
      </w:pPr>
    </w:p>
    <w:p w:rsidRPr="006C6B35" w:rsidR="00DA002A" w:rsidP="00AC00A0" w:rsidRDefault="00DA002A" w14:paraId="7C0042F3" w14:textId="77777777">
      <w:pPr>
        <w:spacing w:after="0" w:line="276" w:lineRule="auto"/>
        <w:jc w:val="both"/>
        <w:rPr>
          <w:rFonts w:cs="Calibri"/>
          <w:lang w:eastAsia="es-CO"/>
        </w:rPr>
      </w:pPr>
      <w:r w:rsidRPr="4E1AD4DC">
        <w:rPr>
          <w:rFonts w:cs="Calibri"/>
          <w:lang w:eastAsia="es-CO"/>
        </w:rPr>
        <w:t>Para el caso de Consorcios, uniones temporales o sociedades futuras la formula será la siguiente:</w:t>
      </w:r>
    </w:p>
    <w:p w:rsidR="4E1AD4DC" w:rsidP="4E1AD4DC" w:rsidRDefault="4E1AD4DC" w14:paraId="70E6998B" w14:textId="425B3402">
      <w:pPr>
        <w:spacing w:after="0" w:line="276" w:lineRule="auto"/>
        <w:jc w:val="both"/>
        <w:rPr>
          <w:rFonts w:cs="Calibri"/>
          <w:lang w:eastAsia="es-CO"/>
        </w:rPr>
      </w:pPr>
    </w:p>
    <w:p w:rsidRPr="006C6B35" w:rsidR="00A4F33C" w:rsidP="4E1AD4DC" w:rsidRDefault="00A4F33C" w14:paraId="6207D72E" w14:textId="11D548D1">
      <w:pPr>
        <w:spacing w:after="0" w:line="276" w:lineRule="auto"/>
        <w:jc w:val="both"/>
        <w:rPr>
          <w:rFonts w:cs="Calibri"/>
          <w:color w:val="000000" w:themeColor="text1"/>
        </w:rPr>
      </w:pPr>
      <w:r>
        <w:rPr>
          <w:noProof/>
        </w:rPr>
        <w:drawing>
          <wp:inline distT="0" distB="0" distL="0" distR="0" wp14:anchorId="53B5ADDA" wp14:editId="491F4FEE">
            <wp:extent cx="3943350" cy="314325"/>
            <wp:effectExtent l="0" t="0" r="0" b="0"/>
            <wp:docPr id="2106224621" name="Imagen 2106224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3943350" cy="314325"/>
                    </a:xfrm>
                    <a:prstGeom prst="rect">
                      <a:avLst/>
                    </a:prstGeom>
                  </pic:spPr>
                </pic:pic>
              </a:graphicData>
            </a:graphic>
          </wp:inline>
        </w:drawing>
      </w:r>
    </w:p>
    <w:p w:rsidRPr="006C6B35" w:rsidR="00DA002A" w:rsidP="00AC00A0" w:rsidRDefault="00DA002A" w14:paraId="1D3B0EBE" w14:textId="77777777">
      <w:pPr>
        <w:spacing w:after="0" w:line="276" w:lineRule="auto"/>
        <w:jc w:val="both"/>
        <w:rPr>
          <w:rFonts w:cs="Calibri"/>
          <w:lang w:eastAsia="es-CO"/>
        </w:rPr>
      </w:pPr>
    </w:p>
    <w:p w:rsidRPr="006C6B35" w:rsidR="00DA002A" w:rsidP="00AC00A0" w:rsidRDefault="00DA002A" w14:paraId="7DB15381" w14:textId="77777777">
      <w:pPr>
        <w:numPr>
          <w:ilvl w:val="0"/>
          <w:numId w:val="7"/>
        </w:numPr>
        <w:spacing w:after="0" w:line="276" w:lineRule="auto"/>
        <w:jc w:val="both"/>
        <w:rPr>
          <w:rFonts w:cs="Calibri"/>
          <w:lang w:eastAsia="es-CO"/>
        </w:rPr>
      </w:pPr>
      <w:r w:rsidRPr="006C6B35">
        <w:rPr>
          <w:rFonts w:cs="Calibri"/>
          <w:lang w:eastAsia="es-CO"/>
        </w:rPr>
        <w:t xml:space="preserve">PT: </w:t>
      </w:r>
      <w:r w:rsidRPr="006C6B35">
        <w:rPr>
          <w:rFonts w:cs="Calibri"/>
          <w:lang w:eastAsia="es-CO"/>
        </w:rPr>
        <w:tab/>
      </w:r>
      <w:r w:rsidRPr="006C6B35">
        <w:rPr>
          <w:rFonts w:cs="Calibri"/>
          <w:lang w:eastAsia="es-CO"/>
        </w:rPr>
        <w:t>Pasivo total de cada integrante</w:t>
      </w:r>
    </w:p>
    <w:p w:rsidRPr="006C6B35" w:rsidR="00DA002A" w:rsidP="00AC00A0" w:rsidRDefault="00DA002A" w14:paraId="16DD7CD1" w14:textId="77777777">
      <w:pPr>
        <w:numPr>
          <w:ilvl w:val="0"/>
          <w:numId w:val="7"/>
        </w:numPr>
        <w:spacing w:after="0" w:line="276" w:lineRule="auto"/>
        <w:jc w:val="both"/>
        <w:rPr>
          <w:rFonts w:cs="Calibri"/>
          <w:lang w:eastAsia="es-CO"/>
        </w:rPr>
      </w:pPr>
      <w:r w:rsidRPr="006C6B35">
        <w:rPr>
          <w:rFonts w:cs="Calibri"/>
          <w:lang w:eastAsia="es-CO"/>
        </w:rPr>
        <w:t xml:space="preserve">AT: </w:t>
      </w:r>
      <w:r w:rsidRPr="006C6B35">
        <w:rPr>
          <w:rFonts w:cs="Calibri"/>
          <w:lang w:eastAsia="es-CO"/>
        </w:rPr>
        <w:tab/>
      </w:r>
      <w:r w:rsidRPr="006C6B35">
        <w:rPr>
          <w:rFonts w:cs="Calibri"/>
          <w:lang w:eastAsia="es-CO"/>
        </w:rPr>
        <w:t>Activo total de cada integrante</w:t>
      </w:r>
    </w:p>
    <w:p w:rsidRPr="006C6B35" w:rsidR="00ED1D0B" w:rsidP="00AC00A0" w:rsidRDefault="00ED1D0B" w14:paraId="60596FA5" w14:textId="77777777">
      <w:pPr>
        <w:spacing w:after="0" w:line="276" w:lineRule="auto"/>
        <w:contextualSpacing/>
        <w:jc w:val="both"/>
        <w:rPr>
          <w:rFonts w:cs="Calibri"/>
          <w:lang w:eastAsia="es-CO"/>
        </w:rPr>
      </w:pPr>
    </w:p>
    <w:p w:rsidRPr="006C6B35" w:rsidR="00DA002A" w:rsidP="00AC00A0" w:rsidRDefault="00DA002A" w14:paraId="02C58601" w14:textId="77777777">
      <w:pPr>
        <w:spacing w:after="0" w:line="276" w:lineRule="auto"/>
        <w:contextualSpacing/>
        <w:jc w:val="both"/>
        <w:rPr>
          <w:rFonts w:cs="Calibri"/>
          <w:b/>
          <w:bCs/>
          <w:u w:val="single"/>
        </w:rPr>
      </w:pPr>
      <w:r w:rsidRPr="006C6B35">
        <w:rPr>
          <w:rFonts w:cs="Calibri"/>
          <w:b/>
          <w:bCs/>
          <w:u w:val="single"/>
        </w:rPr>
        <w:t xml:space="preserve">Nota: Para efectos de los cálculos del Indicador financiero se utilizará la herramienta de EXCEL </w:t>
      </w:r>
    </w:p>
    <w:p w:rsidRPr="006C6B35" w:rsidR="00DA002A" w:rsidP="00AC00A0" w:rsidRDefault="00DA002A" w14:paraId="6EB27BD9" w14:textId="77777777">
      <w:pPr>
        <w:spacing w:after="0" w:line="276" w:lineRule="auto"/>
        <w:contextualSpacing/>
        <w:jc w:val="both"/>
        <w:rPr>
          <w:rFonts w:cs="Calibri"/>
          <w:lang w:eastAsia="es-CO"/>
        </w:rPr>
      </w:pPr>
    </w:p>
    <w:p w:rsidRPr="006C6B35" w:rsidR="00DA002A" w:rsidP="3AD4FA3D" w:rsidRDefault="00DA002A" w14:paraId="2EB1D841" w14:textId="47DDB41C">
      <w:pPr>
        <w:pStyle w:val="Normal"/>
        <w:spacing w:after="0" w:line="276" w:lineRule="auto"/>
        <w:contextualSpacing w:val="1"/>
        <w:jc w:val="both"/>
        <w:rPr>
          <w:rFonts w:cs="Calibri"/>
          <w:lang w:eastAsia="es-CO"/>
        </w:rPr>
      </w:pPr>
      <w:r w:rsidRPr="3AD4FA3D" w:rsidR="00DA002A">
        <w:rPr>
          <w:rFonts w:cs="Calibri"/>
          <w:lang w:eastAsia="es-CO"/>
        </w:rPr>
        <w:t xml:space="preserve">Si el proponente sobrepasa el nivel de endeudamiento máximo establecido en el presente Pliego de Condiciones la oferta será </w:t>
      </w:r>
      <w:r w:rsidRPr="3AD4FA3D" w:rsidR="78152490">
        <w:rPr>
          <w:rFonts w:cs="Calibri"/>
          <w:b w:val="1"/>
          <w:bCs w:val="1"/>
        </w:rPr>
        <w:t xml:space="preserve"> NO HABILITADA</w:t>
      </w:r>
      <w:r w:rsidRPr="3AD4FA3D" w:rsidR="00DA002A">
        <w:rPr>
          <w:rFonts w:cs="Calibri"/>
          <w:lang w:eastAsia="es-CO"/>
        </w:rPr>
        <w:t>.</w:t>
      </w:r>
    </w:p>
    <w:p w:rsidRPr="006C6B35" w:rsidR="78403A78" w:rsidP="78403A78" w:rsidRDefault="78403A78" w14:paraId="3043D958" w14:textId="025B1521">
      <w:pPr>
        <w:tabs>
          <w:tab w:val="left" w:pos="851"/>
        </w:tabs>
        <w:spacing w:after="0" w:line="276" w:lineRule="auto"/>
        <w:ind w:left="709"/>
        <w:contextualSpacing/>
        <w:rPr>
          <w:rFonts w:cs="Calibri"/>
          <w:b/>
          <w:bCs/>
          <w:lang w:eastAsia="es-CO"/>
        </w:rPr>
      </w:pPr>
    </w:p>
    <w:p w:rsidRPr="006C6B35" w:rsidR="00DA002A" w:rsidP="00AC00A0" w:rsidRDefault="00DA002A" w14:paraId="6B4D8182" w14:textId="77777777">
      <w:pPr>
        <w:tabs>
          <w:tab w:val="left" w:pos="851"/>
        </w:tabs>
        <w:spacing w:after="0" w:line="276" w:lineRule="auto"/>
        <w:ind w:left="709"/>
        <w:contextualSpacing/>
        <w:rPr>
          <w:rFonts w:cs="Calibri"/>
          <w:b/>
          <w:lang w:eastAsia="es-CO"/>
        </w:rPr>
      </w:pPr>
      <w:r w:rsidRPr="006C6B35">
        <w:rPr>
          <w:rFonts w:cs="Calibri"/>
          <w:b/>
          <w:lang w:eastAsia="es-CO"/>
        </w:rPr>
        <w:t>Razón Cobertura de Intereses</w:t>
      </w:r>
    </w:p>
    <w:p w:rsidRPr="006C6B35" w:rsidR="00DA002A" w:rsidP="00AC00A0" w:rsidRDefault="00DA002A" w14:paraId="176E488C" w14:textId="77777777">
      <w:pPr>
        <w:autoSpaceDE w:val="0"/>
        <w:autoSpaceDN w:val="0"/>
        <w:adjustRightInd w:val="0"/>
        <w:spacing w:after="0" w:line="276" w:lineRule="auto"/>
        <w:jc w:val="both"/>
        <w:rPr>
          <w:rFonts w:cs="Calibri"/>
          <w:lang w:eastAsia="es-CO"/>
        </w:rPr>
      </w:pPr>
    </w:p>
    <w:p w:rsidRPr="006C6B35" w:rsidR="00DA002A" w:rsidP="00AC00A0" w:rsidRDefault="00DA002A" w14:paraId="7CE1E11F" w14:textId="77777777">
      <w:pPr>
        <w:autoSpaceDE w:val="0"/>
        <w:autoSpaceDN w:val="0"/>
        <w:adjustRightInd w:val="0"/>
        <w:spacing w:after="0" w:line="276" w:lineRule="auto"/>
        <w:jc w:val="both"/>
        <w:rPr>
          <w:rFonts w:cs="Calibri"/>
          <w:lang w:eastAsia="es-CO"/>
        </w:rPr>
      </w:pPr>
      <w:r w:rsidRPr="1B397D9F">
        <w:rPr>
          <w:rFonts w:cs="Calibri"/>
          <w:lang w:eastAsia="es-CO"/>
        </w:rPr>
        <w:t>Refleja la capacidad del proponente de cumplir con sus obligaciones financieras. A mayor cobertura de intereses, menor es la probabilidad de que el proponente incumpla sus obligaciones financieras.</w:t>
      </w:r>
    </w:p>
    <w:p w:rsidR="1B397D9F" w:rsidP="1B397D9F" w:rsidRDefault="1B397D9F" w14:paraId="6C24A9C2" w14:textId="4B8BE7D2">
      <w:pPr>
        <w:spacing w:after="0" w:line="276" w:lineRule="auto"/>
      </w:pPr>
    </w:p>
    <w:p w:rsidRPr="006C6B35" w:rsidR="00DA002A" w:rsidP="4E1AD4DC" w:rsidRDefault="002134ED" w14:paraId="3E28E4CE" w14:textId="1ADC7352">
      <w:pPr>
        <w:spacing w:after="0" w:line="276" w:lineRule="auto"/>
        <w:rPr>
          <w:rFonts w:eastAsia="Times New Roman" w:cs="Calibri"/>
          <w:lang w:eastAsia="es-CO"/>
        </w:rPr>
      </w:pPr>
      <m:oMathPara>
        <m:oMath>
          <m:r>
            <m:rPr>
              <m:sty m:val="b"/>
            </m:rPr>
            <w:rPr>
              <w:rFonts w:ascii="Cambria Math" w:hAnsi="Cambria Math" w:cs="Arial"/>
            </w:rPr>
            <m:t>Cobertura de Intereses=(Utilidad Operacional)/(Gasto de Intereses)</m:t>
          </m:r>
        </m:oMath>
      </m:oMathPara>
    </w:p>
    <w:p w:rsidRPr="006C6B35" w:rsidR="00DA002A" w:rsidP="00AC00A0" w:rsidRDefault="00DA002A" w14:paraId="41DE7839" w14:textId="77777777">
      <w:pPr>
        <w:spacing w:after="0" w:line="276" w:lineRule="auto"/>
        <w:contextualSpacing/>
        <w:rPr>
          <w:rFonts w:eastAsia="Times New Roman" w:cs="Calibri"/>
          <w:lang w:eastAsia="es-CO"/>
        </w:rPr>
      </w:pPr>
    </w:p>
    <w:p w:rsidRPr="006C6B35" w:rsidR="00DA002A" w:rsidP="00AC00A0" w:rsidRDefault="00DA002A" w14:paraId="0EB6E94B" w14:textId="02D63056">
      <w:pPr>
        <w:spacing w:after="0" w:line="276" w:lineRule="auto"/>
        <w:jc w:val="both"/>
        <w:rPr>
          <w:rFonts w:eastAsia="Times New Roman" w:cs="Calibri"/>
          <w:lang w:eastAsia="es-CO"/>
        </w:rPr>
      </w:pPr>
      <w:r w:rsidRPr="05D59123">
        <w:rPr>
          <w:rFonts w:eastAsia="Times New Roman" w:cs="Calibri"/>
          <w:lang w:eastAsia="es-CO"/>
        </w:rPr>
        <w:t xml:space="preserve">La razón de cobertura de interés debe ser </w:t>
      </w:r>
      <w:r w:rsidRPr="05D59123">
        <w:rPr>
          <w:rFonts w:eastAsia="Times New Roman" w:cs="Calibri"/>
          <w:b/>
          <w:bCs/>
          <w:lang w:eastAsia="es-CO"/>
        </w:rPr>
        <w:t xml:space="preserve">igual o superior a </w:t>
      </w:r>
      <w:r w:rsidRPr="05D59123" w:rsidR="1A7F2152">
        <w:rPr>
          <w:rFonts w:eastAsia="Times New Roman" w:cs="Calibri"/>
          <w:b/>
          <w:bCs/>
          <w:lang w:eastAsia="es-CO"/>
        </w:rPr>
        <w:t>10</w:t>
      </w:r>
      <w:r w:rsidRPr="05D59123">
        <w:rPr>
          <w:rFonts w:eastAsia="Times New Roman" w:cs="Calibri"/>
          <w:b/>
          <w:bCs/>
          <w:lang w:eastAsia="es-CO"/>
        </w:rPr>
        <w:t xml:space="preserve"> (</w:t>
      </w:r>
      <w:r w:rsidRPr="05D59123" w:rsidR="75BB2520">
        <w:rPr>
          <w:rFonts w:eastAsia="Times New Roman" w:cs="Calibri"/>
          <w:b/>
          <w:bCs/>
          <w:lang w:eastAsia="es-CO"/>
        </w:rPr>
        <w:t xml:space="preserve">Diez </w:t>
      </w:r>
      <w:r w:rsidRPr="05D59123" w:rsidR="00CC0521">
        <w:rPr>
          <w:rFonts w:eastAsia="Times New Roman" w:cs="Calibri"/>
          <w:b/>
          <w:bCs/>
          <w:lang w:eastAsia="es-CO"/>
        </w:rPr>
        <w:t>)</w:t>
      </w:r>
      <w:r w:rsidRPr="05D59123">
        <w:rPr>
          <w:rFonts w:eastAsia="Times New Roman" w:cs="Calibri"/>
          <w:lang w:eastAsia="es-CO"/>
        </w:rPr>
        <w:t xml:space="preserve"> </w:t>
      </w:r>
    </w:p>
    <w:p w:rsidRPr="006C6B35" w:rsidR="00DA002A" w:rsidP="00AC00A0" w:rsidRDefault="00DA002A" w14:paraId="1A2099C5" w14:textId="77777777">
      <w:pPr>
        <w:spacing w:after="0" w:line="276" w:lineRule="auto"/>
        <w:contextualSpacing/>
        <w:jc w:val="center"/>
        <w:rPr>
          <w:rFonts w:eastAsia="Times New Roman" w:cs="Calibri"/>
          <w:lang w:eastAsia="es-CO"/>
        </w:rPr>
      </w:pPr>
    </w:p>
    <w:p w:rsidRPr="006C6B35" w:rsidR="00DA002A" w:rsidP="006C76E3" w:rsidRDefault="00DA002A" w14:paraId="6FB7E4E5" w14:textId="11354F4B">
      <w:pPr>
        <w:spacing w:after="0" w:line="276" w:lineRule="auto"/>
        <w:jc w:val="both"/>
        <w:rPr>
          <w:rFonts w:cs="Calibri"/>
          <w:lang w:eastAsia="es-CO"/>
        </w:rPr>
      </w:pPr>
      <w:r w:rsidRPr="006C6B35">
        <w:rPr>
          <w:rFonts w:cs="Calibri"/>
          <w:lang w:eastAsia="es-CO"/>
        </w:rPr>
        <w:t>Para el caso que el indicador “Razón de Cobertura de Intereses”, arroje como resultado “indeterminado”, será válido para la Entidad y por lo tanto será habilitado, siempre que la cuenta “gastos de intereses” sea valor cero (0)</w:t>
      </w:r>
      <w:r w:rsidR="00203D11">
        <w:rPr>
          <w:rFonts w:cs="Calibri"/>
          <w:lang w:eastAsia="es-CO"/>
        </w:rPr>
        <w:t xml:space="preserve"> y se obtenga utilidad operacional.</w:t>
      </w:r>
    </w:p>
    <w:p w:rsidRPr="006C6B35" w:rsidR="00ED1D0B" w:rsidP="00AC00A0" w:rsidRDefault="00ED1D0B" w14:paraId="3612C3FC" w14:textId="77777777">
      <w:pPr>
        <w:spacing w:after="0" w:line="276" w:lineRule="auto"/>
        <w:jc w:val="both"/>
        <w:rPr>
          <w:rFonts w:cs="Calibri"/>
          <w:lang w:eastAsia="es-CO"/>
        </w:rPr>
      </w:pPr>
    </w:p>
    <w:p w:rsidRPr="006C6B35" w:rsidR="00DA002A" w:rsidP="00AC00A0" w:rsidRDefault="00DA002A" w14:paraId="135C9B3E" w14:textId="77777777">
      <w:pPr>
        <w:spacing w:after="0" w:line="276" w:lineRule="auto"/>
        <w:jc w:val="both"/>
        <w:rPr>
          <w:rFonts w:cs="Calibri"/>
          <w:lang w:eastAsia="es-CO"/>
        </w:rPr>
      </w:pPr>
      <w:r w:rsidRPr="006C6B35">
        <w:rPr>
          <w:rFonts w:cs="Calibri"/>
          <w:lang w:eastAsia="es-CO"/>
        </w:rPr>
        <w:t>Para el caso de Consorcios, uniones temporales o sociedades futuras la formula será la siguiente:</w:t>
      </w:r>
    </w:p>
    <w:p w:rsidRPr="006C6B35" w:rsidR="00DA002A" w:rsidP="65D10910" w:rsidRDefault="00DA002A" w14:paraId="332D5937" w14:textId="7DFA242A">
      <w:pPr>
        <w:spacing w:after="0"/>
        <w:jc w:val="center"/>
        <w:rPr>
          <w:rFonts w:cs="Calibri"/>
          <w:color w:val="000000" w:themeColor="text1"/>
        </w:rPr>
      </w:pPr>
    </w:p>
    <w:p w:rsidRPr="006C6B35" w:rsidR="00DA002A" w:rsidP="65D10910" w:rsidRDefault="7EEFF184" w14:paraId="24CAB0CF" w14:textId="4A68267C">
      <w:pPr>
        <w:spacing w:after="0"/>
        <w:jc w:val="center"/>
        <w:rPr>
          <w:rFonts w:cs="Calibri"/>
          <w:color w:val="000000" w:themeColor="text1"/>
        </w:rPr>
      </w:pPr>
      <w:r w:rsidRPr="006C6B35">
        <w:rPr>
          <w:noProof/>
        </w:rPr>
        <w:drawing>
          <wp:inline distT="0" distB="0" distL="0" distR="0" wp14:anchorId="4D8A9012" wp14:editId="3C170953">
            <wp:extent cx="4819652" cy="419100"/>
            <wp:effectExtent l="0" t="0" r="0" b="0"/>
            <wp:docPr id="1396260430" name="Imagen 1396260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819652" cy="419100"/>
                    </a:xfrm>
                    <a:prstGeom prst="rect">
                      <a:avLst/>
                    </a:prstGeom>
                  </pic:spPr>
                </pic:pic>
              </a:graphicData>
            </a:graphic>
          </wp:inline>
        </w:drawing>
      </w:r>
    </w:p>
    <w:p w:rsidRPr="006C6B35" w:rsidR="00DA002A" w:rsidP="65D10910" w:rsidRDefault="00DA002A" w14:paraId="62BC479A" w14:textId="39C877A5">
      <w:pPr>
        <w:spacing w:after="0" w:line="276" w:lineRule="auto"/>
        <w:jc w:val="center"/>
        <w:rPr>
          <w:rFonts w:cs="Calibri"/>
          <w:lang w:eastAsia="es-CO"/>
        </w:rPr>
      </w:pPr>
    </w:p>
    <w:p w:rsidRPr="006C6B35" w:rsidR="00DA002A" w:rsidP="00AC00A0" w:rsidRDefault="00DA002A" w14:paraId="4FB839BF" w14:textId="77777777">
      <w:pPr>
        <w:numPr>
          <w:ilvl w:val="0"/>
          <w:numId w:val="7"/>
        </w:numPr>
        <w:spacing w:after="0" w:line="276" w:lineRule="auto"/>
        <w:jc w:val="both"/>
        <w:rPr>
          <w:rFonts w:cs="Calibri"/>
          <w:lang w:eastAsia="es-CO"/>
        </w:rPr>
      </w:pPr>
      <w:r w:rsidRPr="006C6B35">
        <w:rPr>
          <w:rFonts w:cs="Calibri"/>
          <w:lang w:eastAsia="es-CO"/>
        </w:rPr>
        <w:t xml:space="preserve">Uop: </w:t>
      </w:r>
      <w:r w:rsidRPr="006C6B35">
        <w:rPr>
          <w:rFonts w:cs="Calibri"/>
          <w:lang w:eastAsia="es-CO"/>
        </w:rPr>
        <w:tab/>
      </w:r>
      <w:r w:rsidRPr="006C6B35">
        <w:rPr>
          <w:rFonts w:cs="Calibri"/>
          <w:lang w:eastAsia="es-CO"/>
        </w:rPr>
        <w:t>Utilidad Operacional</w:t>
      </w:r>
    </w:p>
    <w:p w:rsidRPr="006C6B35" w:rsidR="00ED1D0B" w:rsidP="00ED1D0B" w:rsidRDefault="00DA002A" w14:paraId="4CEB1A4C" w14:textId="14E46893">
      <w:pPr>
        <w:numPr>
          <w:ilvl w:val="0"/>
          <w:numId w:val="7"/>
        </w:numPr>
        <w:spacing w:after="0" w:line="276" w:lineRule="auto"/>
        <w:jc w:val="both"/>
        <w:rPr>
          <w:rFonts w:cs="Calibri"/>
          <w:lang w:eastAsia="es-CO"/>
        </w:rPr>
      </w:pPr>
      <w:r w:rsidRPr="006C6B35">
        <w:rPr>
          <w:rFonts w:cs="Calibri"/>
          <w:lang w:eastAsia="es-CO"/>
        </w:rPr>
        <w:t xml:space="preserve">GI: </w:t>
      </w:r>
      <w:r w:rsidRPr="006C6B35">
        <w:rPr>
          <w:rFonts w:cs="Calibri"/>
          <w:lang w:eastAsia="es-CO"/>
        </w:rPr>
        <w:tab/>
      </w:r>
      <w:r w:rsidRPr="006C6B35">
        <w:rPr>
          <w:rFonts w:cs="Calibri"/>
          <w:lang w:eastAsia="es-CO"/>
        </w:rPr>
        <w:t>Gastos de intereses</w:t>
      </w:r>
    </w:p>
    <w:p w:rsidRPr="006C6B35" w:rsidR="00ED1D0B" w:rsidP="003A18A8" w:rsidRDefault="00ED1D0B" w14:paraId="75E7FAC5" w14:textId="77777777">
      <w:pPr>
        <w:spacing w:after="0" w:line="276" w:lineRule="auto"/>
        <w:contextualSpacing/>
        <w:rPr>
          <w:rFonts w:eastAsia="Times New Roman" w:cs="Calibri"/>
          <w:lang w:eastAsia="es-CO"/>
        </w:rPr>
      </w:pPr>
    </w:p>
    <w:p w:rsidRPr="006C6B35" w:rsidR="00DA002A" w:rsidP="00AC00A0" w:rsidRDefault="00DA002A" w14:paraId="75BED6A1" w14:textId="6D41FC45">
      <w:pPr>
        <w:spacing w:after="0" w:line="276" w:lineRule="auto"/>
        <w:jc w:val="both"/>
        <w:rPr>
          <w:rFonts w:cs="Calibri"/>
          <w:lang w:eastAsia="es-CO"/>
        </w:rPr>
      </w:pPr>
      <w:r w:rsidRPr="05D59123">
        <w:rPr>
          <w:rFonts w:cs="Calibri"/>
          <w:lang w:eastAsia="es-CO"/>
        </w:rPr>
        <w:t>Para el caso de consorcios y uniones temporales, el indicador “Razón de Cobertura de Intereses” cuando arroje como resultado “indeterminado” para algún integrante del consorcio o unión temporal, será válido para la Entidad y por lo tanto será habilitado, asignándole el mínimo exigido de</w:t>
      </w:r>
      <w:r w:rsidRPr="05D59123" w:rsidR="006C76E3">
        <w:rPr>
          <w:rFonts w:cs="Calibri"/>
          <w:lang w:eastAsia="es-CO"/>
        </w:rPr>
        <w:t xml:space="preserve"> </w:t>
      </w:r>
      <w:r w:rsidRPr="05D59123" w:rsidR="00203D11">
        <w:rPr>
          <w:rFonts w:eastAsia="Times New Roman" w:cs="Calibri"/>
          <w:b/>
          <w:bCs/>
          <w:lang w:eastAsia="es-CO"/>
        </w:rPr>
        <w:t xml:space="preserve">igual o superior a </w:t>
      </w:r>
      <w:r w:rsidRPr="05D59123" w:rsidR="4156B38B">
        <w:rPr>
          <w:rFonts w:eastAsia="Times New Roman" w:cs="Calibri"/>
          <w:b/>
          <w:bCs/>
          <w:lang w:eastAsia="es-CO"/>
        </w:rPr>
        <w:t xml:space="preserve">10 (Diez ) </w:t>
      </w:r>
      <w:r w:rsidRPr="05D59123">
        <w:rPr>
          <w:rFonts w:cs="Calibri"/>
          <w:lang w:eastAsia="es-CO"/>
        </w:rPr>
        <w:t>por su participación ponderada y su cálculo se realizará tomando la sumatoria ponderada de la Utilidad Operacional de cada participante en el consorcio o unión temporal, sobre la sumatoria del Gasto de Intereses ponderado, según porcentaje de participación en el consorcio o unión temporal de los participantes del mismo.</w:t>
      </w:r>
    </w:p>
    <w:p w:rsidRPr="006C6B35" w:rsidR="00F456AF" w:rsidP="00AC00A0" w:rsidRDefault="00F456AF" w14:paraId="353CD254" w14:textId="77777777">
      <w:pPr>
        <w:spacing w:after="0" w:line="276" w:lineRule="auto"/>
        <w:jc w:val="both"/>
        <w:rPr>
          <w:rFonts w:cs="Calibri"/>
          <w:lang w:eastAsia="es-CO"/>
        </w:rPr>
      </w:pPr>
    </w:p>
    <w:p w:rsidRPr="006C6B35" w:rsidR="00DA002A" w:rsidP="00AC00A0" w:rsidRDefault="00DA002A" w14:paraId="795DB375" w14:textId="77777777">
      <w:pPr>
        <w:spacing w:after="0" w:line="276" w:lineRule="auto"/>
        <w:contextualSpacing/>
        <w:jc w:val="both"/>
        <w:rPr>
          <w:rFonts w:cs="Calibri"/>
          <w:b/>
          <w:bCs/>
          <w:u w:val="single"/>
        </w:rPr>
      </w:pPr>
      <w:r w:rsidRPr="006C6B35">
        <w:rPr>
          <w:rFonts w:cs="Calibri"/>
          <w:b/>
          <w:bCs/>
          <w:u w:val="single"/>
        </w:rPr>
        <w:t xml:space="preserve">Nota: Para efectos de los cálculos del Indicador financiero se utilizará la herramienta de EXCEL </w:t>
      </w:r>
    </w:p>
    <w:p w:rsidRPr="006C6B35" w:rsidR="00DA002A" w:rsidP="00AC00A0" w:rsidRDefault="00DA002A" w14:paraId="1ABA92A2" w14:textId="77777777">
      <w:pPr>
        <w:spacing w:after="0" w:line="276" w:lineRule="auto"/>
        <w:contextualSpacing/>
        <w:jc w:val="both"/>
        <w:rPr>
          <w:rFonts w:cs="Calibri"/>
          <w:lang w:eastAsia="es-CO"/>
        </w:rPr>
      </w:pPr>
    </w:p>
    <w:p w:rsidR="00B05388" w:rsidP="3AD4FA3D" w:rsidRDefault="00DA002A" w14:paraId="5D9C8A76" w14:textId="58207F20">
      <w:pPr>
        <w:pStyle w:val="Normal"/>
        <w:spacing w:after="0" w:line="276" w:lineRule="auto"/>
        <w:contextualSpacing w:val="1"/>
        <w:jc w:val="both"/>
        <w:rPr>
          <w:rFonts w:cs="Calibri"/>
          <w:lang w:eastAsia="es-CO"/>
        </w:rPr>
      </w:pPr>
      <w:r w:rsidRPr="3AD4FA3D" w:rsidR="00DA002A">
        <w:rPr>
          <w:rFonts w:cs="Calibri"/>
          <w:lang w:eastAsia="es-CO"/>
        </w:rPr>
        <w:t xml:space="preserve">Si el proponente no supera el nivel de Cobertura de intereses mínimo establecido en el presente Pliego de Condiciones la oferta será </w:t>
      </w:r>
      <w:r w:rsidRPr="3AD4FA3D" w:rsidR="04A624A8">
        <w:rPr>
          <w:rFonts w:cs="Calibri"/>
          <w:b w:val="1"/>
          <w:bCs w:val="1"/>
        </w:rPr>
        <w:t xml:space="preserve"> NO HABILITADA</w:t>
      </w:r>
    </w:p>
    <w:p w:rsidR="00C057B2" w:rsidP="00AC00A0" w:rsidRDefault="00C057B2" w14:paraId="67FCF68F" w14:textId="77777777">
      <w:pPr>
        <w:spacing w:after="0" w:line="276" w:lineRule="auto"/>
        <w:contextualSpacing/>
        <w:jc w:val="both"/>
        <w:rPr>
          <w:rFonts w:eastAsia="Times New Roman" w:cs="Calibri"/>
          <w:b/>
          <w:lang w:eastAsia="es-CO"/>
        </w:rPr>
      </w:pPr>
    </w:p>
    <w:p w:rsidRPr="006C6B35" w:rsidR="006071F4" w:rsidP="006071F4" w:rsidRDefault="006071F4" w14:paraId="76266C13" w14:textId="77777777">
      <w:pPr>
        <w:tabs>
          <w:tab w:val="left" w:pos="851"/>
        </w:tabs>
        <w:spacing w:after="0" w:line="276" w:lineRule="auto"/>
        <w:ind w:left="709"/>
        <w:jc w:val="both"/>
        <w:rPr>
          <w:rFonts w:eastAsia="Times New Roman" w:cs="Calibri"/>
          <w:b/>
          <w:lang w:eastAsia="es-CO"/>
        </w:rPr>
      </w:pPr>
      <w:r w:rsidRPr="006C6B35">
        <w:rPr>
          <w:rFonts w:eastAsia="Times New Roman" w:cs="Calibri"/>
          <w:b/>
          <w:lang w:eastAsia="es-CO"/>
        </w:rPr>
        <w:t>Índice de Capital de Trabajo</w:t>
      </w:r>
    </w:p>
    <w:p w:rsidRPr="006C6B35" w:rsidR="006071F4" w:rsidP="006071F4" w:rsidRDefault="006071F4" w14:paraId="3B0D066B" w14:textId="77777777">
      <w:pPr>
        <w:spacing w:after="0" w:line="276" w:lineRule="auto"/>
        <w:jc w:val="both"/>
        <w:rPr>
          <w:rFonts w:eastAsia="Times New Roman" w:cs="Calibri"/>
          <w:b/>
          <w:lang w:eastAsia="es-CO"/>
        </w:rPr>
      </w:pPr>
    </w:p>
    <w:p w:rsidR="006071F4" w:rsidP="006071F4" w:rsidRDefault="006071F4" w14:paraId="7DBC17E6" w14:textId="77777777">
      <w:pPr>
        <w:spacing w:after="0" w:line="276" w:lineRule="auto"/>
        <w:jc w:val="both"/>
        <w:rPr>
          <w:rFonts w:eastAsia="Times New Roman" w:cs="Calibri"/>
          <w:lang w:eastAsia="es-CO"/>
        </w:rPr>
      </w:pPr>
      <w:r w:rsidRPr="006C6B35">
        <w:rPr>
          <w:rFonts w:eastAsia="Times New Roman" w:cs="Calibri"/>
          <w:lang w:eastAsia="es-CO"/>
        </w:rPr>
        <w:t>Refleja la capacidad financiera que tiene el proponente para responder en el corto plazo por las obligaciones contraídas en el corto plazo, mostrando su independencia financiera con relación al valor total del proceso de contratación.</w:t>
      </w:r>
    </w:p>
    <w:p w:rsidRPr="006C6B35" w:rsidR="006071F4" w:rsidP="006071F4" w:rsidRDefault="006071F4" w14:paraId="33EDDB60" w14:textId="77777777">
      <w:pPr>
        <w:spacing w:after="0" w:line="276" w:lineRule="auto"/>
        <w:jc w:val="both"/>
        <w:rPr>
          <w:rFonts w:eastAsia="Times New Roman" w:cs="Calibri"/>
          <w:lang w:eastAsia="es-CO"/>
        </w:rPr>
      </w:pPr>
    </w:p>
    <w:p w:rsidRPr="006C6B35" w:rsidR="006071F4" w:rsidP="006071F4" w:rsidRDefault="006071F4" w14:paraId="4705BF6D" w14:textId="77777777">
      <w:pPr>
        <w:spacing w:after="0" w:line="276" w:lineRule="auto"/>
        <w:rPr>
          <w:rFonts w:eastAsia="Times New Roman" w:cs="Calibri"/>
          <w:lang w:val="de-LI" w:eastAsia="es-CO"/>
        </w:rPr>
      </w:pPr>
      <w:r w:rsidRPr="047F70AE">
        <w:rPr>
          <w:rFonts w:eastAsia="Times New Roman" w:cs="Calibri"/>
          <w:b/>
          <w:bCs/>
          <w:color w:val="000000"/>
          <w:lang w:val="de-LI" w:eastAsia="es-CO"/>
        </w:rPr>
        <w:t>(Kw)</w:t>
      </w:r>
      <m:oMath>
        <m:r>
          <m:rPr>
            <m:sty m:val="bi"/>
          </m:rPr>
          <w:rPr>
            <w:rFonts w:ascii="Cambria Math" w:hAnsi="Cambria Math" w:cs="Arial"/>
            <w:color w:val="000000"/>
            <w:lang w:val="de-LI"/>
          </w:rPr>
          <m:t>Í</m:t>
        </m:r>
        <m:r>
          <m:rPr>
            <m:sty m:val="bi"/>
          </m:rPr>
          <w:rPr>
            <w:rFonts w:ascii="Cambria Math" w:hAnsi="Cambria Math" w:cs="Arial"/>
            <w:color w:val="000000"/>
            <w:lang w:val="es-ES_tradnl"/>
          </w:rPr>
          <m:t>ndice</m:t>
        </m:r>
        <m:r>
          <m:rPr>
            <m:sty m:val="bi"/>
          </m:rPr>
          <w:rPr>
            <w:rFonts w:ascii="Cambria Math" w:hAnsi="Cambria Math" w:cs="Arial"/>
            <w:color w:val="000000"/>
            <w:lang w:val="de-LI"/>
          </w:rPr>
          <m:t xml:space="preserve"> </m:t>
        </m:r>
        <m:r>
          <m:rPr>
            <m:sty m:val="bi"/>
          </m:rPr>
          <w:rPr>
            <w:rFonts w:ascii="Cambria Math" w:hAnsi="Cambria Math" w:cs="Arial"/>
            <w:color w:val="000000"/>
            <w:lang w:val="es-ES_tradnl"/>
          </w:rPr>
          <m:t>de</m:t>
        </m:r>
        <m:r>
          <m:rPr>
            <m:sty m:val="bi"/>
          </m:rPr>
          <w:rPr>
            <w:rFonts w:ascii="Cambria Math" w:hAnsi="Cambria Math" w:cs="Arial"/>
            <w:color w:val="000000"/>
            <w:lang w:val="de-LI"/>
          </w:rPr>
          <m:t xml:space="preserve"> </m:t>
        </m:r>
        <m:r>
          <m:rPr>
            <m:sty m:val="bi"/>
          </m:rPr>
          <w:rPr>
            <w:rFonts w:ascii="Cambria Math" w:hAnsi="Cambria Math" w:cs="Arial"/>
            <w:color w:val="000000"/>
            <w:lang w:val="es-ES_tradnl"/>
          </w:rPr>
          <m:t>Capital</m:t>
        </m:r>
        <m:r>
          <m:rPr>
            <m:sty m:val="bi"/>
          </m:rPr>
          <w:rPr>
            <w:rFonts w:ascii="Cambria Math" w:hAnsi="Cambria Math" w:cs="Arial"/>
            <w:color w:val="000000"/>
            <w:lang w:val="de-LI"/>
          </w:rPr>
          <m:t xml:space="preserve"> </m:t>
        </m:r>
        <m:r>
          <m:rPr>
            <m:sty m:val="bi"/>
          </m:rPr>
          <w:rPr>
            <w:rFonts w:ascii="Cambria Math" w:hAnsi="Cambria Math" w:cs="Arial"/>
            <w:color w:val="000000"/>
            <w:lang w:val="es-ES_tradnl"/>
          </w:rPr>
          <m:t>de</m:t>
        </m:r>
        <m:r>
          <m:rPr>
            <m:sty m:val="bi"/>
          </m:rPr>
          <w:rPr>
            <w:rFonts w:ascii="Cambria Math" w:hAnsi="Cambria Math" w:cs="Arial"/>
            <w:color w:val="000000"/>
            <w:lang w:val="de-LI"/>
          </w:rPr>
          <m:t xml:space="preserve"> </m:t>
        </m:r>
        <m:r>
          <m:rPr>
            <m:sty m:val="bi"/>
          </m:rPr>
          <w:rPr>
            <w:rFonts w:ascii="Cambria Math" w:hAnsi="Cambria Math" w:cs="Arial"/>
            <w:color w:val="000000"/>
            <w:lang w:val="es-ES_tradnl"/>
          </w:rPr>
          <m:t>trabajo</m:t>
        </m:r>
        <m:r>
          <m:rPr>
            <m:sty m:val="bi"/>
          </m:rPr>
          <w:rPr>
            <w:rFonts w:ascii="Cambria Math" w:hAnsi="Cambria Math" w:cs="Arial"/>
            <w:color w:val="000000"/>
            <w:lang w:val="de-LI"/>
          </w:rPr>
          <m:t xml:space="preserve">=  </m:t>
        </m:r>
        <m:f>
          <m:fPr>
            <m:ctrlPr>
              <w:rPr>
                <w:rFonts w:ascii="Cambria Math" w:hAnsi="Cambria Math" w:cs="Arial"/>
                <w:b/>
                <w:i/>
                <w:color w:val="000000"/>
                <w:lang w:val="es-ES_tradnl"/>
              </w:rPr>
            </m:ctrlPr>
          </m:fPr>
          <m:num>
            <m:d>
              <m:dPr>
                <m:ctrlPr>
                  <w:rPr>
                    <w:rFonts w:ascii="Cambria Math" w:hAnsi="Cambria Math" w:cs="Arial"/>
                    <w:b/>
                    <w:i/>
                    <w:color w:val="000000"/>
                    <w:lang w:val="es-ES_tradnl"/>
                  </w:rPr>
                </m:ctrlPr>
              </m:dPr>
              <m:e>
                <m:r>
                  <m:rPr>
                    <m:sty m:val="bi"/>
                  </m:rPr>
                  <w:rPr>
                    <w:rFonts w:ascii="Cambria Math" w:hAnsi="Cambria Math" w:cs="Arial"/>
                    <w:color w:val="000000"/>
                    <w:lang w:val="es-ES_tradnl"/>
                  </w:rPr>
                  <m:t>Activo</m:t>
                </m:r>
                <m:r>
                  <m:rPr>
                    <m:sty m:val="bi"/>
                  </m:rPr>
                  <w:rPr>
                    <w:rFonts w:ascii="Cambria Math" w:hAnsi="Cambria Math" w:cs="Arial"/>
                    <w:color w:val="000000"/>
                    <w:lang w:val="de-LI"/>
                  </w:rPr>
                  <m:t xml:space="preserve"> </m:t>
                </m:r>
                <m:r>
                  <m:rPr>
                    <m:sty m:val="bi"/>
                  </m:rPr>
                  <w:rPr>
                    <w:rFonts w:ascii="Cambria Math" w:hAnsi="Cambria Math" w:cs="Arial"/>
                    <w:color w:val="000000"/>
                    <w:lang w:val="es-ES_tradnl"/>
                  </w:rPr>
                  <m:t>Corriente</m:t>
                </m:r>
                <m:r>
                  <m:rPr>
                    <m:sty m:val="bi"/>
                  </m:rPr>
                  <w:rPr>
                    <w:rFonts w:ascii="Cambria Math" w:hAnsi="Cambria Math" w:cs="Arial"/>
                    <w:color w:val="000000"/>
                    <w:lang w:val="de-LI"/>
                  </w:rPr>
                  <m:t>-</m:t>
                </m:r>
                <m:r>
                  <m:rPr>
                    <m:sty m:val="bi"/>
                  </m:rPr>
                  <w:rPr>
                    <w:rFonts w:ascii="Cambria Math" w:hAnsi="Cambria Math" w:cs="Arial"/>
                    <w:color w:val="000000"/>
                    <w:lang w:val="es-ES_tradnl"/>
                  </w:rPr>
                  <m:t>Pasivo</m:t>
                </m:r>
                <m:r>
                  <m:rPr>
                    <m:sty m:val="bi"/>
                  </m:rPr>
                  <w:rPr>
                    <w:rFonts w:ascii="Cambria Math" w:hAnsi="Cambria Math" w:cs="Arial"/>
                    <w:color w:val="000000"/>
                    <w:lang w:val="de-LI"/>
                  </w:rPr>
                  <m:t xml:space="preserve"> </m:t>
                </m:r>
                <m:r>
                  <m:rPr>
                    <m:sty m:val="bi"/>
                  </m:rPr>
                  <w:rPr>
                    <w:rFonts w:ascii="Cambria Math" w:hAnsi="Cambria Math" w:cs="Arial"/>
                    <w:color w:val="000000"/>
                    <w:lang w:val="es-ES_tradnl"/>
                  </w:rPr>
                  <m:t>Corriente</m:t>
                </m:r>
              </m:e>
            </m:d>
            <m:r>
              <m:rPr>
                <m:sty m:val="bi"/>
              </m:rPr>
              <w:rPr>
                <w:rFonts w:ascii="Cambria Math" w:hAnsi="Cambria Math" w:cs="Arial"/>
                <w:color w:val="000000"/>
                <w:lang w:val="de-LI"/>
              </w:rPr>
              <m:t xml:space="preserve"> </m:t>
            </m:r>
          </m:num>
          <m:den>
            <m:d>
              <m:dPr>
                <m:ctrlPr>
                  <w:rPr>
                    <w:rFonts w:ascii="Cambria Math" w:hAnsi="Cambria Math" w:cs="Arial"/>
                    <w:b/>
                    <w:i/>
                    <w:color w:val="000000"/>
                    <w:lang w:val="es-ES_tradnl"/>
                  </w:rPr>
                </m:ctrlPr>
              </m:dPr>
              <m:e>
                <m:r>
                  <m:rPr>
                    <m:sty m:val="bi"/>
                  </m:rPr>
                  <w:rPr>
                    <w:rFonts w:ascii="Cambria Math" w:hAnsi="Cambria Math" w:cs="Arial"/>
                    <w:color w:val="000000"/>
                    <w:lang w:val="es-ES_tradnl"/>
                  </w:rPr>
                  <m:t>PO</m:t>
                </m:r>
              </m:e>
            </m:d>
            <m:r>
              <m:rPr>
                <m:sty m:val="bi"/>
              </m:rPr>
              <w:rPr>
                <w:rFonts w:ascii="Cambria Math" w:hAnsi="Cambria Math" w:cs="Arial"/>
                <w:color w:val="000000"/>
                <w:lang w:val="de-LI"/>
              </w:rPr>
              <m:t xml:space="preserve"> </m:t>
            </m:r>
          </m:den>
        </m:f>
      </m:oMath>
    </w:p>
    <w:p w:rsidRPr="006C6B35" w:rsidR="006071F4" w:rsidP="006071F4" w:rsidRDefault="006071F4" w14:paraId="428D925D" w14:textId="77777777">
      <w:pPr>
        <w:spacing w:after="0" w:line="276" w:lineRule="auto"/>
        <w:jc w:val="both"/>
        <w:rPr>
          <w:rFonts w:eastAsia="Times New Roman" w:cs="Calibri"/>
          <w:b/>
          <w:lang w:eastAsia="es-CO"/>
        </w:rPr>
      </w:pPr>
      <w:bookmarkStart w:name="_Hlk74758529" w:id="3"/>
      <w:r w:rsidRPr="006C6B35">
        <w:rPr>
          <w:rFonts w:eastAsia="Times New Roman" w:cs="Calibri"/>
          <w:lang w:eastAsia="es-CO"/>
        </w:rPr>
        <w:t xml:space="preserve">El índice de Capital de Trabajo debe ser </w:t>
      </w:r>
      <w:r w:rsidRPr="006C6B35">
        <w:rPr>
          <w:rFonts w:eastAsia="Times New Roman" w:cs="Calibri"/>
          <w:b/>
          <w:lang w:eastAsia="es-CO"/>
        </w:rPr>
        <w:t xml:space="preserve">igual o superior a </w:t>
      </w:r>
      <w:r>
        <w:rPr>
          <w:rFonts w:eastAsia="Times New Roman" w:cs="Calibri"/>
          <w:b/>
          <w:lang w:eastAsia="es-CO"/>
        </w:rPr>
        <w:t>1,00</w:t>
      </w:r>
      <w:r w:rsidRPr="006C6B35">
        <w:rPr>
          <w:rFonts w:eastAsia="Times New Roman" w:cs="Calibri"/>
          <w:b/>
          <w:lang w:eastAsia="es-CO"/>
        </w:rPr>
        <w:t xml:space="preserve"> (</w:t>
      </w:r>
      <w:r>
        <w:rPr>
          <w:rFonts w:eastAsia="Times New Roman" w:cs="Calibri"/>
          <w:b/>
          <w:lang w:eastAsia="es-CO"/>
        </w:rPr>
        <w:t>uno punto cero</w:t>
      </w:r>
      <w:r w:rsidRPr="006C6B35">
        <w:rPr>
          <w:rFonts w:eastAsia="Times New Roman" w:cs="Calibri"/>
          <w:b/>
          <w:lang w:eastAsia="es-CO"/>
        </w:rPr>
        <w:t xml:space="preserve">) </w:t>
      </w:r>
      <w:r w:rsidRPr="006C6B35">
        <w:rPr>
          <w:rFonts w:eastAsia="Times New Roman" w:cs="Calibri"/>
          <w:bCs/>
          <w:lang w:eastAsia="es-CO"/>
        </w:rPr>
        <w:t>veces</w:t>
      </w:r>
      <w:r w:rsidRPr="006C6B35">
        <w:rPr>
          <w:rFonts w:eastAsia="Times New Roman" w:cs="Calibri"/>
          <w:lang w:eastAsia="es-CO"/>
        </w:rPr>
        <w:t xml:space="preserve"> </w:t>
      </w:r>
      <w:r w:rsidRPr="003A0AC2">
        <w:rPr>
          <w:rFonts w:eastAsia="Times New Roman" w:cs="Calibri"/>
          <w:lang w:eastAsia="es-CO"/>
        </w:rPr>
        <w:t>de</w:t>
      </w:r>
      <w:r>
        <w:rPr>
          <w:rFonts w:eastAsia="Times New Roman" w:cs="Calibri"/>
          <w:lang w:eastAsia="es-CO"/>
        </w:rPr>
        <w:t xml:space="preserve"> </w:t>
      </w:r>
      <w:r w:rsidRPr="003A0AC2">
        <w:rPr>
          <w:rFonts w:eastAsia="Times New Roman" w:cs="Calibri"/>
          <w:lang w:eastAsia="es-CO"/>
        </w:rPr>
        <w:t>l</w:t>
      </w:r>
      <w:r>
        <w:rPr>
          <w:rFonts w:eastAsia="Times New Roman" w:cs="Calibri"/>
          <w:lang w:eastAsia="es-CO"/>
        </w:rPr>
        <w:t>a</w:t>
      </w:r>
      <w:r w:rsidRPr="003A0AC2">
        <w:rPr>
          <w:rFonts w:eastAsia="Times New Roman" w:cs="Calibri"/>
          <w:lang w:eastAsia="es-CO"/>
        </w:rPr>
        <w:t xml:space="preserve"> </w:t>
      </w:r>
      <w:r>
        <w:rPr>
          <w:rFonts w:eastAsia="Times New Roman" w:cs="Calibri"/>
          <w:lang w:eastAsia="es-CO"/>
        </w:rPr>
        <w:t xml:space="preserve">sumatoria del </w:t>
      </w:r>
      <w:r w:rsidRPr="003A0AC2">
        <w:rPr>
          <w:rFonts w:eastAsia="Times New Roman" w:cs="Calibri"/>
          <w:lang w:eastAsia="es-CO"/>
        </w:rPr>
        <w:t xml:space="preserve">presupuesto </w:t>
      </w:r>
      <w:r>
        <w:rPr>
          <w:rFonts w:eastAsia="Times New Roman" w:cs="Calibri"/>
          <w:lang w:eastAsia="es-CO"/>
        </w:rPr>
        <w:t>oficial del proceso.</w:t>
      </w:r>
    </w:p>
    <w:bookmarkEnd w:id="3"/>
    <w:p w:rsidRPr="006C6B35" w:rsidR="006071F4" w:rsidP="006071F4" w:rsidRDefault="006071F4" w14:paraId="4C34C47D" w14:textId="77777777">
      <w:pPr>
        <w:widowControl w:val="0"/>
        <w:autoSpaceDE w:val="0"/>
        <w:autoSpaceDN w:val="0"/>
        <w:spacing w:after="0" w:line="276" w:lineRule="auto"/>
        <w:jc w:val="both"/>
        <w:rPr>
          <w:rFonts w:eastAsia="Cambria" w:cs="Calibri"/>
          <w:b/>
          <w:lang w:eastAsia="es-CO"/>
        </w:rPr>
      </w:pPr>
    </w:p>
    <w:p w:rsidRPr="006C6B35" w:rsidR="006071F4" w:rsidP="006071F4" w:rsidRDefault="006071F4" w14:paraId="1F62CCEC" w14:textId="77777777">
      <w:pPr>
        <w:widowControl w:val="0"/>
        <w:autoSpaceDE w:val="0"/>
        <w:autoSpaceDN w:val="0"/>
        <w:spacing w:after="0" w:line="276" w:lineRule="auto"/>
        <w:jc w:val="both"/>
        <w:rPr>
          <w:rFonts w:eastAsia="Cambria" w:cs="Calibri"/>
          <w:b/>
          <w:lang w:val="es-ES_tradnl" w:eastAsia="es-CO"/>
        </w:rPr>
      </w:pPr>
      <w:r w:rsidRPr="006C6B35">
        <w:rPr>
          <w:rFonts w:eastAsia="Cambria" w:cs="Calibri"/>
          <w:b/>
          <w:lang w:val="es-ES_tradnl" w:eastAsia="es-CO"/>
        </w:rPr>
        <w:t>KW: Índice de Capital de Trabajo</w:t>
      </w:r>
    </w:p>
    <w:p w:rsidRPr="006C6B35" w:rsidR="006071F4" w:rsidP="006071F4" w:rsidRDefault="006071F4" w14:paraId="2C5C4796" w14:textId="77777777">
      <w:pPr>
        <w:widowControl w:val="0"/>
        <w:autoSpaceDE w:val="0"/>
        <w:autoSpaceDN w:val="0"/>
        <w:spacing w:after="0" w:line="276" w:lineRule="auto"/>
        <w:jc w:val="both"/>
        <w:rPr>
          <w:rFonts w:eastAsia="Cambria" w:cs="Calibri"/>
          <w:b/>
          <w:lang w:val="es-ES_tradnl" w:eastAsia="es-CO"/>
        </w:rPr>
      </w:pPr>
      <w:r w:rsidRPr="006C6B35">
        <w:rPr>
          <w:rFonts w:eastAsia="Cambria" w:cs="Calibri"/>
          <w:b/>
          <w:lang w:val="es-ES_tradnl" w:eastAsia="es-CO"/>
        </w:rPr>
        <w:t xml:space="preserve">PO: Presupuesto oficial </w:t>
      </w:r>
    </w:p>
    <w:p w:rsidRPr="006C6B35" w:rsidR="006071F4" w:rsidP="006071F4" w:rsidRDefault="006071F4" w14:paraId="6B3314C4" w14:textId="77777777">
      <w:pPr>
        <w:widowControl w:val="0"/>
        <w:autoSpaceDE w:val="0"/>
        <w:autoSpaceDN w:val="0"/>
        <w:spacing w:after="0" w:line="276" w:lineRule="auto"/>
        <w:jc w:val="both"/>
        <w:rPr>
          <w:rFonts w:eastAsia="Arial" w:cs="Calibri"/>
          <w:color w:val="000000"/>
          <w:lang w:val="es-ES_tradnl" w:eastAsia="es-CO" w:bidi="es-CO"/>
        </w:rPr>
      </w:pPr>
    </w:p>
    <w:p w:rsidRPr="006C6B35" w:rsidR="006071F4" w:rsidP="006071F4" w:rsidRDefault="006071F4" w14:paraId="21B083CA" w14:textId="77777777">
      <w:pPr>
        <w:spacing w:after="0" w:line="276" w:lineRule="auto"/>
        <w:contextualSpacing/>
        <w:jc w:val="both"/>
        <w:rPr>
          <w:rFonts w:eastAsia="Arial" w:cs="Calibri"/>
          <w:color w:val="000000"/>
          <w:lang w:eastAsia="es-CO" w:bidi="es-CO"/>
        </w:rPr>
      </w:pPr>
      <w:r w:rsidRPr="006C6B35">
        <w:rPr>
          <w:rFonts w:eastAsia="Arial" w:cs="Calibri"/>
          <w:color w:val="000000" w:themeColor="text1"/>
          <w:lang w:eastAsia="es-CO" w:bidi="es-CO"/>
        </w:rPr>
        <w:t xml:space="preserve">Para el caso de CONSORCIOS, UNIONES TEMPORALES O PROMESA DE SOCIEDAD FUTURA, el Índice de Capital de Trabajo será el resultado de la sumatoria de los índices de capital de trabajo de cada uno de los integrantes y este resultado deberá ser mayor o igual al </w:t>
      </w:r>
      <w:r>
        <w:rPr>
          <w:rFonts w:eastAsia="Times New Roman" w:cs="Calibri"/>
          <w:b/>
          <w:lang w:eastAsia="es-CO"/>
        </w:rPr>
        <w:t>1,00</w:t>
      </w:r>
      <w:r w:rsidRPr="006C6B35">
        <w:rPr>
          <w:rFonts w:eastAsia="Times New Roman" w:cs="Calibri"/>
          <w:b/>
          <w:lang w:eastAsia="es-CO"/>
        </w:rPr>
        <w:t xml:space="preserve"> (</w:t>
      </w:r>
      <w:r>
        <w:rPr>
          <w:rFonts w:eastAsia="Times New Roman" w:cs="Calibri"/>
          <w:b/>
          <w:lang w:eastAsia="es-CO"/>
        </w:rPr>
        <w:t>uno punto cero</w:t>
      </w:r>
      <w:r w:rsidRPr="006C6B35">
        <w:rPr>
          <w:rFonts w:eastAsia="Times New Roman" w:cs="Calibri"/>
          <w:b/>
          <w:lang w:eastAsia="es-CO"/>
        </w:rPr>
        <w:t xml:space="preserve">) </w:t>
      </w:r>
      <w:r w:rsidRPr="006C6B35">
        <w:rPr>
          <w:rFonts w:eastAsia="Times New Roman" w:cs="Calibri"/>
          <w:b/>
          <w:bCs/>
          <w:lang w:eastAsia="es-CO"/>
        </w:rPr>
        <w:t>veces</w:t>
      </w:r>
      <w:r w:rsidRPr="006C6B35">
        <w:rPr>
          <w:rFonts w:eastAsia="Times New Roman" w:cs="Calibri"/>
          <w:lang w:eastAsia="es-CO"/>
        </w:rPr>
        <w:t xml:space="preserve"> </w:t>
      </w:r>
      <w:r w:rsidRPr="006C6B35">
        <w:rPr>
          <w:rFonts w:eastAsia="Arial" w:cs="Calibri"/>
          <w:color w:val="000000" w:themeColor="text1"/>
          <w:lang w:eastAsia="es-CO" w:bidi="es-CO"/>
        </w:rPr>
        <w:t>del valor total de</w:t>
      </w:r>
      <w:r>
        <w:rPr>
          <w:rFonts w:eastAsia="Arial" w:cs="Calibri"/>
          <w:color w:val="000000" w:themeColor="text1"/>
          <w:lang w:eastAsia="es-CO" w:bidi="es-CO"/>
        </w:rPr>
        <w:t xml:space="preserve"> </w:t>
      </w:r>
      <w:r w:rsidRPr="006C6B35">
        <w:rPr>
          <w:rFonts w:eastAsia="Arial" w:cs="Calibri"/>
          <w:color w:val="000000" w:themeColor="text1"/>
          <w:lang w:eastAsia="es-CO" w:bidi="es-CO"/>
        </w:rPr>
        <w:t>l</w:t>
      </w:r>
      <w:r>
        <w:rPr>
          <w:rFonts w:eastAsia="Arial" w:cs="Calibri"/>
          <w:color w:val="000000" w:themeColor="text1"/>
          <w:lang w:eastAsia="es-CO" w:bidi="es-CO"/>
        </w:rPr>
        <w:t>a sumatoria del</w:t>
      </w:r>
      <w:r w:rsidRPr="006C6B35">
        <w:rPr>
          <w:rFonts w:eastAsia="Arial" w:cs="Calibri"/>
          <w:color w:val="000000" w:themeColor="text1"/>
          <w:lang w:eastAsia="es-CO" w:bidi="es-CO"/>
        </w:rPr>
        <w:t xml:space="preserve"> </w:t>
      </w:r>
      <w:r w:rsidRPr="008B02BE">
        <w:rPr>
          <w:rFonts w:eastAsia="Arial" w:cs="Calibri"/>
          <w:color w:val="000000" w:themeColor="text1"/>
          <w:lang w:eastAsia="es-CO" w:bidi="es-CO"/>
        </w:rPr>
        <w:t xml:space="preserve">presupuesto </w:t>
      </w:r>
      <w:r>
        <w:rPr>
          <w:rFonts w:eastAsia="Arial" w:cs="Calibri"/>
          <w:color w:val="000000" w:themeColor="text1"/>
          <w:lang w:eastAsia="es-CO" w:bidi="es-CO"/>
        </w:rPr>
        <w:t>oficial</w:t>
      </w:r>
      <w:r w:rsidRPr="008B02BE">
        <w:rPr>
          <w:rFonts w:eastAsia="Arial" w:cs="Calibri"/>
          <w:color w:val="000000" w:themeColor="text1"/>
          <w:lang w:eastAsia="es-CO" w:bidi="es-CO"/>
        </w:rPr>
        <w:t xml:space="preserve"> </w:t>
      </w:r>
      <w:r>
        <w:rPr>
          <w:rFonts w:eastAsia="Arial" w:cs="Calibri"/>
          <w:color w:val="000000" w:themeColor="text1"/>
          <w:lang w:eastAsia="es-CO" w:bidi="es-CO"/>
        </w:rPr>
        <w:t>del proceso.</w:t>
      </w:r>
    </w:p>
    <w:p w:rsidRPr="006C6B35" w:rsidR="006071F4" w:rsidP="006071F4" w:rsidRDefault="006071F4" w14:paraId="0BBC951B" w14:textId="77777777">
      <w:pPr>
        <w:spacing w:after="0" w:line="276" w:lineRule="auto"/>
        <w:contextualSpacing/>
        <w:jc w:val="both"/>
        <w:rPr>
          <w:rFonts w:cs="Calibri"/>
          <w:color w:val="000000" w:themeColor="text1"/>
        </w:rPr>
      </w:pPr>
    </w:p>
    <w:p w:rsidRPr="006C6B35" w:rsidR="006071F4" w:rsidP="006071F4" w:rsidRDefault="006071F4" w14:paraId="5CB0F38A" w14:textId="77777777">
      <w:pPr>
        <w:spacing w:after="0" w:line="276" w:lineRule="auto"/>
        <w:jc w:val="center"/>
        <w:rPr>
          <w:rFonts w:cs="Calibri"/>
          <w:b/>
          <w:bCs/>
          <w:color w:val="000000" w:themeColor="text1"/>
        </w:rPr>
      </w:pPr>
      <w:r w:rsidRPr="006C6B35">
        <w:rPr>
          <w:rFonts w:ascii="MathJax_Math-bold-italic" w:hAnsi="MathJax_Math-bold-italic" w:eastAsia="MathJax_Math-bold-italic" w:cs="MathJax_Math-bold-italic"/>
          <w:b/>
          <w:bCs/>
          <w:color w:val="000000" w:themeColor="text1"/>
        </w:rPr>
        <w:t>KW</w:t>
      </w:r>
      <w:r w:rsidRPr="006C6B35">
        <w:rPr>
          <w:rFonts w:ascii="MathJax_Main-bold" w:hAnsi="MathJax_Main-bold" w:eastAsia="MathJax_Main-bold" w:cs="MathJax_Main-bold"/>
          <w:b/>
          <w:bCs/>
          <w:color w:val="000000" w:themeColor="text1"/>
        </w:rPr>
        <w:t>UT</w:t>
      </w:r>
      <w:r w:rsidRPr="006C6B35">
        <w:rPr>
          <w:rFonts w:ascii="MathJax_Main" w:hAnsi="MathJax_Main" w:eastAsia="MathJax_Main" w:cs="MathJax_Main"/>
          <w:b/>
          <w:bCs/>
          <w:color w:val="000000" w:themeColor="text1"/>
        </w:rPr>
        <w:t>=  (</w:t>
      </w:r>
      <w:r w:rsidRPr="006C6B35">
        <w:rPr>
          <w:rFonts w:ascii="MathJax_Math-bold-italic" w:hAnsi="MathJax_Math-bold-italic" w:eastAsia="MathJax_Math-bold-italic" w:cs="MathJax_Math-bold-italic"/>
          <w:b/>
          <w:bCs/>
          <w:color w:val="000000" w:themeColor="text1"/>
        </w:rPr>
        <w:t>KW</w:t>
      </w:r>
      <w:r w:rsidRPr="006C6B35">
        <w:rPr>
          <w:rFonts w:ascii="MathJax_Main-bold" w:hAnsi="MathJax_Main-bold" w:eastAsia="MathJax_Main-bold" w:cs="MathJax_Main-bold"/>
          <w:b/>
          <w:bCs/>
          <w:color w:val="000000" w:themeColor="text1"/>
        </w:rPr>
        <w:t>1</w:t>
      </w:r>
      <w:r w:rsidRPr="006C6B35">
        <w:rPr>
          <w:rFonts w:ascii="MathJax_Main" w:hAnsi="MathJax_Main" w:eastAsia="MathJax_Main" w:cs="MathJax_Main"/>
          <w:b/>
          <w:bCs/>
          <w:color w:val="000000" w:themeColor="text1"/>
        </w:rPr>
        <w:t>+</w:t>
      </w:r>
      <w:r w:rsidRPr="006C6B35">
        <w:rPr>
          <w:rFonts w:ascii="MathJax_Math-bold-italic" w:hAnsi="MathJax_Math-bold-italic" w:eastAsia="MathJax_Math-bold-italic" w:cs="MathJax_Math-bold-italic"/>
          <w:b/>
          <w:bCs/>
          <w:color w:val="000000" w:themeColor="text1"/>
        </w:rPr>
        <w:t>KW</w:t>
      </w:r>
      <w:r w:rsidRPr="006C6B35">
        <w:rPr>
          <w:rFonts w:ascii="MathJax_Main-bold" w:hAnsi="MathJax_Main-bold" w:eastAsia="MathJax_Main-bold" w:cs="MathJax_Main-bold"/>
          <w:b/>
          <w:bCs/>
          <w:color w:val="000000" w:themeColor="text1"/>
        </w:rPr>
        <w:t>2</w:t>
      </w:r>
      <w:r w:rsidRPr="006C6B35">
        <w:rPr>
          <w:rFonts w:ascii="MathJax_Main" w:hAnsi="MathJax_Main" w:eastAsia="MathJax_Main" w:cs="MathJax_Main"/>
          <w:b/>
          <w:bCs/>
          <w:color w:val="000000" w:themeColor="text1"/>
        </w:rPr>
        <w:t>+…+</w:t>
      </w:r>
      <w:r w:rsidRPr="006C6B35">
        <w:rPr>
          <w:rFonts w:ascii="MathJax_Math-bold-italic" w:hAnsi="MathJax_Math-bold-italic" w:eastAsia="MathJax_Math-bold-italic" w:cs="MathJax_Math-bold-italic"/>
          <w:b/>
          <w:bCs/>
          <w:color w:val="000000" w:themeColor="text1"/>
        </w:rPr>
        <w:t>KW</w:t>
      </w:r>
      <w:r w:rsidRPr="006C6B35">
        <w:rPr>
          <w:rFonts w:ascii="MathJax_Main-bold" w:hAnsi="MathJax_Main-bold" w:eastAsia="MathJax_Main-bold" w:cs="MathJax_Main-bold"/>
          <w:b/>
          <w:bCs/>
          <w:color w:val="000000" w:themeColor="text1"/>
        </w:rPr>
        <w:t>n</w:t>
      </w:r>
      <w:r w:rsidRPr="006C6B35">
        <w:rPr>
          <w:rFonts w:ascii="MathJax_Main" w:hAnsi="MathJax_Main" w:eastAsia="MathJax_Main" w:cs="MathJax_Main"/>
          <w:b/>
          <w:bCs/>
          <w:color w:val="000000" w:themeColor="text1"/>
        </w:rPr>
        <w:t>)/PO</w:t>
      </w:r>
    </w:p>
    <w:p w:rsidRPr="006C6B35" w:rsidR="006071F4" w:rsidP="006071F4" w:rsidRDefault="006071F4" w14:paraId="0B7BE0F5" w14:textId="77777777">
      <w:pPr>
        <w:spacing w:after="0" w:line="276" w:lineRule="auto"/>
        <w:jc w:val="center"/>
        <w:rPr>
          <w:rFonts w:cs="Calibri"/>
          <w:color w:val="000000" w:themeColor="text1"/>
        </w:rPr>
      </w:pPr>
    </w:p>
    <w:p w:rsidRPr="006C6B35" w:rsidR="006071F4" w:rsidP="006071F4" w:rsidRDefault="006071F4" w14:paraId="2A71D918" w14:textId="77777777">
      <w:pPr>
        <w:spacing w:after="0" w:line="276" w:lineRule="auto"/>
        <w:rPr>
          <w:rFonts w:eastAsia="Cambria" w:cs="Calibri"/>
          <w:lang w:val="es-ES" w:eastAsia="es-CO"/>
        </w:rPr>
      </w:pPr>
      <w:r w:rsidRPr="006C6B35">
        <w:rPr>
          <w:rFonts w:cs="Calibri"/>
          <w:color w:val="000000" w:themeColor="text1"/>
        </w:rPr>
        <w:t xml:space="preserve"> </w:t>
      </w:r>
      <w:r w:rsidRPr="006C6B35">
        <w:rPr>
          <w:rFonts w:ascii="MathJax_Math-bold-italic" w:hAnsi="MathJax_Math-bold-italic" w:eastAsia="MathJax_Math-bold-italic" w:cs="MathJax_Math-bold-italic"/>
          <w:color w:val="000000" w:themeColor="text1"/>
        </w:rPr>
        <w:t>KW</w:t>
      </w:r>
      <w:r w:rsidRPr="006C6B35">
        <w:rPr>
          <w:rFonts w:ascii="MathJax_Main-bold" w:hAnsi="MathJax_Main-bold" w:eastAsia="MathJax_Main-bold" w:cs="MathJax_Main-bold"/>
          <w:color w:val="000000" w:themeColor="text1"/>
        </w:rPr>
        <w:t>UT</w:t>
      </w:r>
      <w:r w:rsidRPr="006C6B35">
        <w:rPr>
          <w:rFonts w:cs="Calibri"/>
          <w:color w:val="000000" w:themeColor="text1"/>
        </w:rPr>
        <w:t>= Capital de Trabajo de la Unión Temporal o Consorcio. (Calculado con base en la formula (KW)</w:t>
      </w:r>
    </w:p>
    <w:p w:rsidRPr="006C6B35" w:rsidR="006071F4" w:rsidP="006071F4" w:rsidRDefault="006071F4" w14:paraId="6CA22922" w14:textId="77777777">
      <w:pPr>
        <w:spacing w:after="0" w:line="276" w:lineRule="auto"/>
        <w:rPr>
          <w:rFonts w:eastAsia="Cambria" w:cs="Calibri"/>
          <w:lang w:val="es-ES" w:eastAsia="es-CO"/>
        </w:rPr>
      </w:pPr>
      <w:r w:rsidRPr="006C6B35">
        <w:rPr>
          <w:rFonts w:eastAsia="Cambria" w:cs="Calibri"/>
          <w:b/>
          <w:bCs/>
          <w:lang w:val="es-ES" w:eastAsia="es-CO"/>
        </w:rPr>
        <w:t>PO:</w:t>
      </w:r>
      <w:r w:rsidRPr="006C6B35">
        <w:rPr>
          <w:rFonts w:eastAsia="Cambria" w:cs="Calibri"/>
          <w:lang w:val="es-ES" w:eastAsia="es-CO"/>
        </w:rPr>
        <w:t xml:space="preserve"> Presupuesto oficial   </w:t>
      </w:r>
    </w:p>
    <w:p w:rsidRPr="006C6B35" w:rsidR="006071F4" w:rsidP="006071F4" w:rsidRDefault="006071F4" w14:paraId="2410FF21" w14:textId="77777777">
      <w:pPr>
        <w:spacing w:after="0" w:line="276" w:lineRule="auto"/>
        <w:jc w:val="both"/>
        <w:rPr>
          <w:rFonts w:cs="Calibri"/>
          <w:lang w:eastAsia="es-CO"/>
        </w:rPr>
      </w:pPr>
    </w:p>
    <w:p w:rsidRPr="006C6B35" w:rsidR="006071F4" w:rsidP="006071F4" w:rsidRDefault="006071F4" w14:paraId="3B185F8B" w14:textId="77777777">
      <w:pPr>
        <w:spacing w:after="0" w:line="276" w:lineRule="auto"/>
        <w:contextualSpacing/>
        <w:jc w:val="both"/>
        <w:rPr>
          <w:rFonts w:cs="Calibri"/>
          <w:b/>
          <w:bCs/>
          <w:u w:val="single"/>
        </w:rPr>
      </w:pPr>
      <w:r w:rsidRPr="006C6B35">
        <w:rPr>
          <w:rFonts w:cs="Calibri"/>
          <w:b/>
          <w:bCs/>
          <w:u w:val="single"/>
        </w:rPr>
        <w:t xml:space="preserve">Nota: Para efectos de los cálculos del Indicador financiero se utilizará la herramienta de EXCEL </w:t>
      </w:r>
    </w:p>
    <w:p w:rsidRPr="006C6B35" w:rsidR="006071F4" w:rsidP="006071F4" w:rsidRDefault="006071F4" w14:paraId="31162712" w14:textId="77777777">
      <w:pPr>
        <w:tabs>
          <w:tab w:val="left" w:pos="851"/>
        </w:tabs>
        <w:spacing w:after="0" w:line="276" w:lineRule="auto"/>
        <w:jc w:val="both"/>
        <w:rPr>
          <w:rFonts w:eastAsia="Times New Roman" w:cs="Calibri"/>
          <w:lang w:eastAsia="es-CO"/>
        </w:rPr>
      </w:pPr>
    </w:p>
    <w:p w:rsidRPr="006C6B35" w:rsidR="006071F4" w:rsidP="3AD4FA3D" w:rsidRDefault="006071F4" w14:paraId="39E5B3A2" w14:textId="4EA1671E">
      <w:pPr>
        <w:pStyle w:val="Normal"/>
        <w:tabs>
          <w:tab w:val="left" w:pos="851"/>
        </w:tabs>
        <w:spacing w:after="0" w:line="276" w:lineRule="auto"/>
        <w:jc w:val="both"/>
        <w:rPr>
          <w:rFonts w:eastAsia="Times New Roman" w:cs="Calibri"/>
          <w:b w:val="1"/>
          <w:bCs w:val="1"/>
          <w:lang w:eastAsia="es-CO"/>
        </w:rPr>
      </w:pPr>
      <w:r w:rsidRPr="3AD4FA3D" w:rsidR="006071F4">
        <w:rPr>
          <w:rFonts w:eastAsia="Times New Roman" w:cs="Calibri"/>
          <w:lang w:eastAsia="es-CO"/>
        </w:rPr>
        <w:t xml:space="preserve">Si el proponente no supera el nivel del índice de capital de trabajo mínimo establecido en el presente Pliego de Condiciones la oferta será </w:t>
      </w:r>
      <w:r w:rsidRPr="3AD4FA3D" w:rsidR="006071F4">
        <w:rPr>
          <w:rFonts w:eastAsia="Times New Roman" w:cs="Calibri"/>
          <w:b w:val="1"/>
          <w:bCs w:val="1"/>
          <w:lang w:eastAsia="es-CO"/>
        </w:rPr>
        <w:t>I</w:t>
      </w:r>
      <w:r w:rsidRPr="3AD4FA3D" w:rsidR="363F490E">
        <w:rPr>
          <w:rFonts w:cs="Calibri"/>
          <w:b w:val="1"/>
          <w:bCs w:val="1"/>
        </w:rPr>
        <w:t xml:space="preserve"> NO HABILITADA</w:t>
      </w:r>
      <w:r w:rsidRPr="3AD4FA3D" w:rsidR="006071F4">
        <w:rPr>
          <w:rFonts w:eastAsia="Times New Roman" w:cs="Calibri"/>
          <w:b w:val="1"/>
          <w:bCs w:val="1"/>
          <w:lang w:eastAsia="es-CO"/>
        </w:rPr>
        <w:t>.</w:t>
      </w:r>
    </w:p>
    <w:p w:rsidRPr="006C6B35" w:rsidR="006071F4" w:rsidP="006071F4" w:rsidRDefault="006071F4" w14:paraId="3C291C61" w14:textId="77777777">
      <w:pPr>
        <w:spacing w:after="0" w:line="276" w:lineRule="auto"/>
        <w:ind w:firstLine="708"/>
        <w:contextualSpacing/>
        <w:jc w:val="both"/>
        <w:rPr>
          <w:rFonts w:eastAsia="Times New Roman" w:cs="Calibri"/>
          <w:b/>
          <w:lang w:eastAsia="es-CO"/>
        </w:rPr>
      </w:pPr>
    </w:p>
    <w:p w:rsidRPr="006C6B35" w:rsidR="006071F4" w:rsidP="006071F4" w:rsidRDefault="006071F4" w14:paraId="10327681" w14:textId="77777777">
      <w:pPr>
        <w:spacing w:after="0" w:line="276" w:lineRule="auto"/>
        <w:ind w:firstLine="708"/>
        <w:contextualSpacing/>
        <w:jc w:val="both"/>
        <w:rPr>
          <w:rFonts w:eastAsia="Times New Roman" w:cs="Calibri"/>
          <w:b/>
          <w:lang w:eastAsia="es-CO"/>
        </w:rPr>
      </w:pPr>
      <w:r w:rsidRPr="006C6B35">
        <w:rPr>
          <w:rFonts w:eastAsia="Times New Roman" w:cs="Calibri"/>
          <w:b/>
          <w:lang w:eastAsia="es-CO"/>
        </w:rPr>
        <w:t>Índice de Patrimonio:</w:t>
      </w:r>
    </w:p>
    <w:p w:rsidRPr="006C6B35" w:rsidR="006071F4" w:rsidP="006071F4" w:rsidRDefault="006071F4" w14:paraId="7AF8EE5A" w14:textId="77777777">
      <w:pPr>
        <w:spacing w:after="0" w:line="276" w:lineRule="auto"/>
        <w:contextualSpacing/>
        <w:jc w:val="both"/>
        <w:rPr>
          <w:rFonts w:eastAsia="Times New Roman" w:cs="Calibri"/>
          <w:lang w:eastAsia="es-CO"/>
        </w:rPr>
      </w:pPr>
    </w:p>
    <w:p w:rsidRPr="006C6B35" w:rsidR="006071F4" w:rsidP="006071F4" w:rsidRDefault="006071F4" w14:paraId="3ADCFB71" w14:textId="77777777">
      <w:pPr>
        <w:spacing w:after="0" w:line="276" w:lineRule="auto"/>
        <w:contextualSpacing/>
        <w:jc w:val="both"/>
        <w:rPr>
          <w:rFonts w:eastAsia="Times New Roman" w:cs="Calibri"/>
          <w:lang w:eastAsia="es-CO"/>
        </w:rPr>
      </w:pPr>
      <w:r w:rsidRPr="047F70AE">
        <w:rPr>
          <w:rFonts w:eastAsia="Times New Roman" w:cs="Calibri"/>
          <w:lang w:eastAsia="es-CO"/>
        </w:rPr>
        <w:t>Mide la cantidad de recursos propios del proponente.</w:t>
      </w:r>
    </w:p>
    <w:p w:rsidR="006071F4" w:rsidP="006071F4" w:rsidRDefault="006071F4" w14:paraId="4AA6E48F" w14:textId="77777777">
      <w:pPr>
        <w:spacing w:after="0" w:line="276" w:lineRule="auto"/>
      </w:pPr>
    </w:p>
    <w:p w:rsidRPr="006C6B35" w:rsidR="006071F4" w:rsidP="006071F4" w:rsidRDefault="00000000" w14:paraId="7F9B18DD" w14:textId="77777777">
      <w:pPr>
        <w:spacing w:after="0" w:line="276" w:lineRule="auto"/>
        <w:rPr>
          <w:rFonts w:eastAsia="Times New Roman" w:cs="Calibri"/>
          <w:lang w:val="es-ES" w:eastAsia="es-CO"/>
        </w:rPr>
      </w:pPr>
      <m:oMathPara>
        <m:oMath>
          <m:d>
            <m:dPr>
              <m:ctrlPr>
                <w:rPr>
                  <w:rFonts w:ascii="Cambria Math" w:hAnsi="Cambria Math" w:cs="Arial"/>
                  <w:b/>
                  <w:i/>
                  <w:color w:val="000000"/>
                  <w:lang w:val="es-ES_tradnl"/>
                </w:rPr>
              </m:ctrlPr>
            </m:dPr>
            <m:e>
              <m:r>
                <m:rPr>
                  <m:sty m:val="bi"/>
                </m:rPr>
                <w:rPr>
                  <w:rFonts w:ascii="Cambria Math" w:hAnsi="Cambria Math" w:cs="Arial"/>
                  <w:color w:val="000000"/>
                  <w:lang w:val="es-ES_tradnl"/>
                </w:rPr>
                <m:t>P</m:t>
              </m:r>
            </m:e>
          </m:d>
          <m:r>
            <m:rPr>
              <m:sty m:val="bi"/>
            </m:rPr>
            <w:rPr>
              <w:rFonts w:ascii="Cambria Math" w:hAnsi="Cambria Math" w:cs="Arial"/>
              <w:color w:val="000000"/>
              <w:lang w:val="es-ES_tradnl"/>
            </w:rPr>
            <m:t xml:space="preserve">Índice de Patrimonio=  </m:t>
          </m:r>
          <m:f>
            <m:fPr>
              <m:ctrlPr>
                <w:rPr>
                  <w:rFonts w:ascii="Cambria Math" w:hAnsi="Cambria Math" w:cs="Arial"/>
                  <w:b/>
                  <w:i/>
                  <w:color w:val="000000"/>
                  <w:lang w:val="es-ES_tradnl"/>
                </w:rPr>
              </m:ctrlPr>
            </m:fPr>
            <m:num>
              <m:d>
                <m:dPr>
                  <m:ctrlPr>
                    <w:rPr>
                      <w:rFonts w:ascii="Cambria Math" w:hAnsi="Cambria Math" w:cs="Arial"/>
                      <w:b/>
                      <w:i/>
                      <w:color w:val="000000"/>
                      <w:lang w:val="es-ES_tradnl"/>
                    </w:rPr>
                  </m:ctrlPr>
                </m:dPr>
                <m:e>
                  <m:r>
                    <m:rPr>
                      <m:sty m:val="bi"/>
                    </m:rPr>
                    <w:rPr>
                      <w:rFonts w:ascii="Cambria Math" w:hAnsi="Cambria Math" w:cs="Arial"/>
                      <w:color w:val="000000"/>
                      <w:lang w:val="es-ES_tradnl"/>
                    </w:rPr>
                    <m:t>Activo Total -Pasivo Total</m:t>
                  </m:r>
                </m:e>
              </m:d>
              <m:r>
                <m:rPr>
                  <m:sty m:val="bi"/>
                </m:rPr>
                <w:rPr>
                  <w:rFonts w:ascii="Cambria Math" w:hAnsi="Cambria Math" w:cs="Arial"/>
                  <w:color w:val="000000"/>
                  <w:lang w:val="es-ES_tradnl"/>
                </w:rPr>
                <m:t xml:space="preserve"> </m:t>
              </m:r>
            </m:num>
            <m:den>
              <m:d>
                <m:dPr>
                  <m:ctrlPr>
                    <w:rPr>
                      <w:rFonts w:ascii="Cambria Math" w:hAnsi="Cambria Math" w:cs="Arial"/>
                      <w:b/>
                      <w:i/>
                      <w:color w:val="000000"/>
                      <w:lang w:val="es-ES_tradnl"/>
                    </w:rPr>
                  </m:ctrlPr>
                </m:dPr>
                <m:e>
                  <m:r>
                    <m:rPr>
                      <m:sty m:val="bi"/>
                    </m:rPr>
                    <w:rPr>
                      <w:rFonts w:ascii="Cambria Math" w:hAnsi="Cambria Math" w:cs="Arial"/>
                      <w:color w:val="000000"/>
                      <w:lang w:val="es-ES_tradnl"/>
                    </w:rPr>
                    <m:t>PO</m:t>
                  </m:r>
                </m:e>
              </m:d>
              <m:r>
                <m:rPr>
                  <m:sty m:val="bi"/>
                </m:rPr>
                <w:rPr>
                  <w:rFonts w:ascii="Cambria Math" w:hAnsi="Cambria Math" w:cs="Arial"/>
                  <w:color w:val="000000"/>
                  <w:lang w:val="es-ES_tradnl"/>
                </w:rPr>
                <m:t xml:space="preserve"> </m:t>
              </m:r>
            </m:den>
          </m:f>
        </m:oMath>
      </m:oMathPara>
    </w:p>
    <w:p w:rsidRPr="006C6B35" w:rsidR="006071F4" w:rsidP="006071F4" w:rsidRDefault="006071F4" w14:paraId="7C15CB18" w14:textId="77777777">
      <w:pPr>
        <w:spacing w:after="0" w:line="276" w:lineRule="auto"/>
        <w:contextualSpacing/>
        <w:jc w:val="both"/>
        <w:rPr>
          <w:rFonts w:eastAsia="Cambria" w:cs="Calibri"/>
          <w:b/>
          <w:lang w:val="es-ES_tradnl" w:eastAsia="es-CO"/>
        </w:rPr>
      </w:pPr>
      <w:r w:rsidRPr="006C6B35">
        <w:rPr>
          <w:rFonts w:eastAsia="Cambria" w:cs="Calibri"/>
          <w:b/>
          <w:lang w:val="es-ES_tradnl" w:eastAsia="es-CO"/>
        </w:rPr>
        <w:t xml:space="preserve">PO: Presupuesto oficial   </w:t>
      </w:r>
    </w:p>
    <w:p w:rsidRPr="006C6B35" w:rsidR="006071F4" w:rsidP="006071F4" w:rsidRDefault="006071F4" w14:paraId="6B1D5ED0" w14:textId="77777777">
      <w:pPr>
        <w:spacing w:after="0" w:line="276" w:lineRule="auto"/>
        <w:contextualSpacing/>
        <w:jc w:val="both"/>
        <w:rPr>
          <w:rFonts w:eastAsia="Cambria" w:cs="Calibri"/>
          <w:b/>
          <w:lang w:val="es-ES_tradnl" w:eastAsia="es-CO"/>
        </w:rPr>
      </w:pPr>
    </w:p>
    <w:p w:rsidRPr="006C6B35" w:rsidR="006071F4" w:rsidP="006071F4" w:rsidRDefault="006071F4" w14:paraId="60CB3E95" w14:textId="77777777">
      <w:pPr>
        <w:spacing w:after="0" w:line="276" w:lineRule="auto"/>
        <w:contextualSpacing/>
        <w:jc w:val="both"/>
        <w:rPr>
          <w:rFonts w:eastAsia="Times New Roman" w:cs="Calibri"/>
          <w:b/>
          <w:lang w:eastAsia="es-CO"/>
        </w:rPr>
      </w:pPr>
      <w:r w:rsidRPr="006C6B35">
        <w:rPr>
          <w:rFonts w:eastAsia="Times New Roman" w:cs="Calibri"/>
          <w:lang w:eastAsia="es-CO"/>
        </w:rPr>
        <w:t xml:space="preserve">El Índice de patrimonio, debe ser </w:t>
      </w:r>
      <w:r w:rsidRPr="006C6B35">
        <w:rPr>
          <w:rFonts w:eastAsia="Times New Roman" w:cs="Calibri"/>
          <w:b/>
          <w:lang w:eastAsia="es-CO"/>
        </w:rPr>
        <w:t>mayor o igual a</w:t>
      </w:r>
      <w:r>
        <w:rPr>
          <w:rFonts w:eastAsia="Times New Roman" w:cs="Calibri"/>
          <w:b/>
          <w:lang w:eastAsia="es-CO"/>
        </w:rPr>
        <w:t xml:space="preserve"> 1,00</w:t>
      </w:r>
      <w:r w:rsidRPr="006C6B35">
        <w:rPr>
          <w:rFonts w:eastAsia="Times New Roman" w:cs="Calibri"/>
          <w:b/>
          <w:lang w:eastAsia="es-CO"/>
        </w:rPr>
        <w:t xml:space="preserve"> (</w:t>
      </w:r>
      <w:r>
        <w:rPr>
          <w:rFonts w:eastAsia="Times New Roman" w:cs="Calibri"/>
          <w:b/>
          <w:lang w:eastAsia="es-CO"/>
        </w:rPr>
        <w:t>uno punto cero</w:t>
      </w:r>
      <w:r w:rsidRPr="006C6B35">
        <w:rPr>
          <w:rFonts w:eastAsia="Times New Roman" w:cs="Calibri"/>
          <w:b/>
          <w:lang w:eastAsia="es-CO"/>
        </w:rPr>
        <w:t xml:space="preserve">) </w:t>
      </w:r>
      <w:r w:rsidRPr="00AC42A4">
        <w:rPr>
          <w:rFonts w:eastAsia="Times New Roman" w:cs="Calibri"/>
          <w:bCs/>
          <w:lang w:eastAsia="es-CO"/>
        </w:rPr>
        <w:t>veces del valor total de la sumatoria del presupuesto oficial de la SEDE o SEDES para las cuales presente oferta</w:t>
      </w:r>
      <w:r>
        <w:rPr>
          <w:rFonts w:eastAsia="Times New Roman" w:cs="Calibri"/>
          <w:bCs/>
          <w:lang w:eastAsia="es-CO"/>
        </w:rPr>
        <w:t>.</w:t>
      </w:r>
    </w:p>
    <w:p w:rsidRPr="006C6B35" w:rsidR="006071F4" w:rsidP="006071F4" w:rsidRDefault="006071F4" w14:paraId="702CBF0E" w14:textId="77777777">
      <w:pPr>
        <w:spacing w:after="0" w:line="276" w:lineRule="auto"/>
        <w:contextualSpacing/>
        <w:jc w:val="both"/>
        <w:rPr>
          <w:rFonts w:eastAsia="Times New Roman" w:cs="Calibri"/>
          <w:b/>
          <w:lang w:eastAsia="es-CO"/>
        </w:rPr>
      </w:pPr>
    </w:p>
    <w:p w:rsidRPr="006C6B35" w:rsidR="006071F4" w:rsidP="006071F4" w:rsidRDefault="006071F4" w14:paraId="7FAA6F9F" w14:textId="77777777">
      <w:pPr>
        <w:spacing w:after="0" w:line="276" w:lineRule="auto"/>
        <w:contextualSpacing/>
        <w:jc w:val="both"/>
        <w:rPr>
          <w:rFonts w:eastAsia="Arial" w:cs="Calibri"/>
          <w:color w:val="000000"/>
          <w:lang w:eastAsia="es-CO" w:bidi="es-CO"/>
        </w:rPr>
      </w:pPr>
      <w:r w:rsidRPr="006C6B35">
        <w:rPr>
          <w:rFonts w:eastAsia="Arial" w:cs="Calibri"/>
          <w:color w:val="000000" w:themeColor="text1"/>
          <w:lang w:eastAsia="es-CO" w:bidi="es-CO"/>
        </w:rPr>
        <w:t xml:space="preserve">Para el caso de CONSORCIOS, UNIONES TEMPORALES O PROMESA DE SOCIEDAD FUTURA, el Índice de Patrimonio será el resultado de la sumatoria de los índices de Patrimonio de cada uno de los integrantes y este resultado deberá ser mayor o igual a </w:t>
      </w:r>
      <w:r>
        <w:rPr>
          <w:rFonts w:eastAsia="Times New Roman" w:cs="Calibri"/>
          <w:b/>
          <w:lang w:eastAsia="es-CO"/>
        </w:rPr>
        <w:t>1,00</w:t>
      </w:r>
      <w:r w:rsidRPr="006C6B35">
        <w:rPr>
          <w:rFonts w:eastAsia="Times New Roman" w:cs="Calibri"/>
          <w:b/>
          <w:lang w:eastAsia="es-CO"/>
        </w:rPr>
        <w:t xml:space="preserve"> (</w:t>
      </w:r>
      <w:r>
        <w:rPr>
          <w:rFonts w:eastAsia="Times New Roman" w:cs="Calibri"/>
          <w:b/>
          <w:lang w:eastAsia="es-CO"/>
        </w:rPr>
        <w:t>uno punto cero</w:t>
      </w:r>
      <w:r w:rsidRPr="006C6B35">
        <w:rPr>
          <w:rFonts w:eastAsia="Times New Roman" w:cs="Calibri"/>
          <w:b/>
          <w:lang w:eastAsia="es-CO"/>
        </w:rPr>
        <w:t xml:space="preserve">) </w:t>
      </w:r>
      <w:r w:rsidRPr="00AC42A4">
        <w:rPr>
          <w:rFonts w:eastAsia="Arial" w:cs="Calibri"/>
          <w:color w:val="000000" w:themeColor="text1"/>
          <w:lang w:eastAsia="es-CO" w:bidi="es-CO"/>
        </w:rPr>
        <w:t>veces del valor total de la sumatoria del presupuesto oficial de la SEDE o SEDES para las cuales presente oferta</w:t>
      </w:r>
    </w:p>
    <w:p w:rsidRPr="006C6B35" w:rsidR="006071F4" w:rsidP="006071F4" w:rsidRDefault="006071F4" w14:paraId="48892A8F" w14:textId="77777777">
      <w:pPr>
        <w:spacing w:after="0" w:line="276" w:lineRule="auto"/>
        <w:contextualSpacing/>
        <w:jc w:val="both"/>
        <w:rPr>
          <w:rFonts w:eastAsia="Arial" w:cs="Calibri"/>
          <w:color w:val="000000" w:themeColor="text1"/>
          <w:lang w:eastAsia="es-CO" w:bidi="es-CO"/>
        </w:rPr>
      </w:pPr>
    </w:p>
    <w:p w:rsidRPr="006C6B35" w:rsidR="006071F4" w:rsidP="006071F4" w:rsidRDefault="006071F4" w14:paraId="51329D45" w14:textId="77777777">
      <w:pPr>
        <w:spacing w:after="0" w:line="276" w:lineRule="auto"/>
        <w:ind w:left="708"/>
        <w:jc w:val="center"/>
        <w:rPr>
          <w:rFonts w:ascii="Times New Roman" w:hAnsi="Times New Roman" w:eastAsia="Times New Roman"/>
          <w:b/>
          <w:bCs/>
          <w:i/>
          <w:iCs/>
          <w:lang w:val="en-US" w:eastAsia="es-CO"/>
        </w:rPr>
      </w:pPr>
      <w:r w:rsidRPr="006C6B35">
        <w:rPr>
          <w:rFonts w:ascii="Times New Roman" w:hAnsi="Times New Roman" w:eastAsia="Times New Roman"/>
          <w:b/>
          <w:bCs/>
          <w:i/>
          <w:iCs/>
          <w:lang w:val="en-US" w:eastAsia="es-CO"/>
        </w:rPr>
        <w:t>(Put) = (P1+P2+P3…Pn) /PO</w:t>
      </w:r>
    </w:p>
    <w:p w:rsidRPr="006C6B35" w:rsidR="006071F4" w:rsidP="006071F4" w:rsidRDefault="006071F4" w14:paraId="1DC83A6F" w14:textId="77777777">
      <w:pPr>
        <w:spacing w:after="0" w:line="276" w:lineRule="auto"/>
        <w:ind w:left="708"/>
        <w:contextualSpacing/>
        <w:rPr>
          <w:rFonts w:eastAsia="Times New Roman" w:cs="Calibri"/>
          <w:i/>
          <w:iCs/>
          <w:lang w:val="en-US" w:eastAsia="es-CO"/>
        </w:rPr>
      </w:pPr>
    </w:p>
    <w:p w:rsidRPr="006C6B35" w:rsidR="006071F4" w:rsidP="006071F4" w:rsidRDefault="006071F4" w14:paraId="25766A0D" w14:textId="77777777">
      <w:pPr>
        <w:spacing w:after="0" w:line="276" w:lineRule="auto"/>
        <w:contextualSpacing/>
        <w:jc w:val="both"/>
        <w:rPr>
          <w:rFonts w:eastAsia="Arial" w:cs="Calibri"/>
          <w:color w:val="000000"/>
          <w:lang w:val="es-ES" w:eastAsia="es-CO" w:bidi="es-CO"/>
        </w:rPr>
      </w:pPr>
      <w:r w:rsidRPr="006C6B35">
        <w:rPr>
          <w:rFonts w:eastAsia="Arial" w:cs="Calibri"/>
          <w:color w:val="000000"/>
          <w:lang w:val="es-ES" w:eastAsia="es-CO" w:bidi="es-CO"/>
        </w:rPr>
        <w:t xml:space="preserve">Put: Índice de Patrimonio del Consorcio o Unión Temporal </w:t>
      </w:r>
    </w:p>
    <w:p w:rsidRPr="006C6B35" w:rsidR="006071F4" w:rsidP="006071F4" w:rsidRDefault="006071F4" w14:paraId="4ACF3144" w14:textId="77777777">
      <w:pPr>
        <w:spacing w:after="0" w:line="276" w:lineRule="auto"/>
        <w:contextualSpacing/>
        <w:jc w:val="both"/>
        <w:rPr>
          <w:rFonts w:eastAsia="Times New Roman" w:cs="Calibri"/>
          <w:lang w:eastAsia="es-CO"/>
        </w:rPr>
      </w:pPr>
      <w:r w:rsidRPr="006C6B35">
        <w:rPr>
          <w:rFonts w:eastAsia="Times New Roman" w:cs="Calibri"/>
          <w:lang w:eastAsia="es-CO"/>
        </w:rPr>
        <w:t xml:space="preserve">PO:   Presupuesto Oficial </w:t>
      </w:r>
    </w:p>
    <w:p w:rsidRPr="006C6B35" w:rsidR="006071F4" w:rsidP="006071F4" w:rsidRDefault="006071F4" w14:paraId="09A1CE8E" w14:textId="77777777">
      <w:pPr>
        <w:spacing w:after="0" w:line="276" w:lineRule="auto"/>
        <w:contextualSpacing/>
        <w:jc w:val="both"/>
        <w:rPr>
          <w:rFonts w:eastAsia="Times New Roman" w:cs="Calibri"/>
          <w:lang w:eastAsia="es-CO"/>
        </w:rPr>
      </w:pPr>
    </w:p>
    <w:p w:rsidRPr="006C6B35" w:rsidR="006071F4" w:rsidP="006071F4" w:rsidRDefault="006071F4" w14:paraId="1F7DD0B0" w14:textId="77777777">
      <w:pPr>
        <w:spacing w:after="0" w:line="276" w:lineRule="auto"/>
        <w:contextualSpacing/>
        <w:jc w:val="both"/>
        <w:rPr>
          <w:rFonts w:cs="Calibri"/>
          <w:b/>
          <w:bCs/>
          <w:u w:val="single"/>
        </w:rPr>
      </w:pPr>
      <w:r w:rsidRPr="006C6B35">
        <w:rPr>
          <w:rFonts w:cs="Calibri"/>
          <w:b/>
          <w:bCs/>
          <w:u w:val="single"/>
        </w:rPr>
        <w:t xml:space="preserve">Nota: Para efectos de los cálculos del Indicador financiero se utilizará la herramienta de EXCEL </w:t>
      </w:r>
    </w:p>
    <w:p w:rsidRPr="006C6B35" w:rsidR="006071F4" w:rsidP="006071F4" w:rsidRDefault="006071F4" w14:paraId="38BBC522" w14:textId="77777777">
      <w:pPr>
        <w:tabs>
          <w:tab w:val="left" w:pos="851"/>
        </w:tabs>
        <w:spacing w:after="0" w:line="276" w:lineRule="auto"/>
        <w:jc w:val="both"/>
        <w:rPr>
          <w:rFonts w:eastAsia="Arial" w:cs="Calibri"/>
          <w:lang w:eastAsia="es-CO"/>
        </w:rPr>
      </w:pPr>
    </w:p>
    <w:p w:rsidRPr="006C6B35" w:rsidR="006071F4" w:rsidP="3AD4FA3D" w:rsidRDefault="006071F4" w14:paraId="168670FC" w14:textId="6FD6B198">
      <w:pPr>
        <w:pStyle w:val="Normal"/>
        <w:tabs>
          <w:tab w:val="left" w:pos="851"/>
        </w:tabs>
        <w:spacing w:after="0" w:line="276" w:lineRule="auto"/>
        <w:jc w:val="both"/>
        <w:rPr>
          <w:rFonts w:cs="Calibri"/>
          <w:lang w:eastAsia="es-CO"/>
        </w:rPr>
      </w:pPr>
      <w:r w:rsidRPr="3AD4FA3D" w:rsidR="006071F4">
        <w:rPr>
          <w:rFonts w:eastAsia="Arial" w:cs="Calibri"/>
          <w:lang w:eastAsia="es-CO"/>
        </w:rPr>
        <w:t xml:space="preserve">Si el proponente presenta un indicador menor al exigido en el presente Pliego de Condiciones la oferta será </w:t>
      </w:r>
      <w:r w:rsidRPr="3AD4FA3D" w:rsidR="094896AA">
        <w:rPr>
          <w:rFonts w:cs="Calibri"/>
          <w:b w:val="1"/>
          <w:bCs w:val="1"/>
        </w:rPr>
        <w:t xml:space="preserve"> NO HABILITADA</w:t>
      </w:r>
    </w:p>
    <w:p w:rsidRPr="006C6B35" w:rsidR="00B05388" w:rsidP="00AC00A0" w:rsidRDefault="00B05388" w14:paraId="5E3607C6" w14:textId="77777777">
      <w:pPr>
        <w:spacing w:after="0" w:line="276" w:lineRule="auto"/>
        <w:contextualSpacing/>
        <w:jc w:val="both"/>
        <w:rPr>
          <w:rFonts w:cs="Calibri"/>
          <w:lang w:eastAsia="es-CO"/>
        </w:rPr>
      </w:pPr>
    </w:p>
    <w:p w:rsidRPr="006C6B35" w:rsidR="00B05388" w:rsidP="00C80B82" w:rsidRDefault="00B05388" w14:paraId="52E3531F" w14:textId="77777777">
      <w:pPr>
        <w:spacing w:after="0" w:line="276" w:lineRule="auto"/>
        <w:contextualSpacing/>
        <w:jc w:val="both"/>
        <w:rPr>
          <w:rFonts w:eastAsia="Times New Roman" w:cs="Calibri"/>
          <w:b/>
          <w:lang w:eastAsia="es-CO"/>
        </w:rPr>
      </w:pPr>
    </w:p>
    <w:p w:rsidRPr="006C6B35" w:rsidR="00DA002A" w:rsidP="00AC00A0" w:rsidRDefault="00DA002A" w14:paraId="769E0894" w14:textId="77777777">
      <w:pPr>
        <w:tabs>
          <w:tab w:val="left" w:pos="851"/>
        </w:tabs>
        <w:spacing w:after="0" w:line="276" w:lineRule="auto"/>
        <w:jc w:val="both"/>
        <w:rPr>
          <w:rFonts w:eastAsia="Arial" w:cs="Calibri"/>
          <w:lang w:eastAsia="es-CO"/>
        </w:rPr>
      </w:pPr>
      <w:r w:rsidRPr="006C6B35">
        <w:rPr>
          <w:rFonts w:eastAsia="Times New Roman" w:cs="Calibri"/>
          <w:b/>
          <w:lang w:eastAsia="es-CO"/>
        </w:rPr>
        <w:t xml:space="preserve">INDICADORES DE </w:t>
      </w:r>
      <w:r w:rsidRPr="006C6B35">
        <w:rPr>
          <w:rFonts w:eastAsia="Arial" w:cs="Calibri"/>
          <w:b/>
          <w:spacing w:val="4"/>
          <w:lang w:eastAsia="es-CO"/>
        </w:rPr>
        <w:t>CAPACIDAD ORGANIZACIONAL</w:t>
      </w:r>
    </w:p>
    <w:p w:rsidRPr="006C6B35" w:rsidR="00DA002A" w:rsidP="00AC00A0" w:rsidRDefault="00DA002A" w14:paraId="27BC0C27" w14:textId="77777777">
      <w:pPr>
        <w:spacing w:after="0" w:line="276" w:lineRule="auto"/>
        <w:jc w:val="both"/>
        <w:rPr>
          <w:rFonts w:cs="Calibri"/>
        </w:rPr>
      </w:pPr>
    </w:p>
    <w:p w:rsidRPr="006C6B35" w:rsidR="00DA002A" w:rsidP="00AC00A0" w:rsidRDefault="00DA002A" w14:paraId="742B0DB4" w14:textId="77777777">
      <w:pPr>
        <w:spacing w:after="0" w:line="276" w:lineRule="auto"/>
        <w:jc w:val="both"/>
        <w:rPr>
          <w:rFonts w:cs="Calibri"/>
          <w:lang w:eastAsia="es-CO"/>
        </w:rPr>
      </w:pPr>
      <w:r w:rsidRPr="006C6B35">
        <w:rPr>
          <w:rFonts w:cs="Calibri"/>
          <w:lang w:eastAsia="es-CO"/>
        </w:rPr>
        <w:t>La capacidad organizacional es la aptitud de un proponente para cumplir oportuna y cabalmente el objeto del contrato en función de su organización interna. Dado que la ley  no permite tener en cuenta certificaciones independientes sobre la organización de los proponentes como requisitos habilitantes 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rsidRPr="006C6B35" w:rsidR="00C35036" w:rsidP="00AC00A0" w:rsidRDefault="00C35036" w14:paraId="32B9B4EB" w14:textId="77777777">
      <w:pPr>
        <w:spacing w:after="0" w:line="276" w:lineRule="auto"/>
        <w:jc w:val="both"/>
        <w:rPr>
          <w:rFonts w:cs="Calibri"/>
          <w:lang w:eastAsia="es-CO"/>
        </w:rPr>
      </w:pPr>
    </w:p>
    <w:p w:rsidRPr="006C6B35" w:rsidR="00DA002A" w:rsidP="65D10910" w:rsidRDefault="00DA002A" w14:paraId="195E5F09" w14:textId="77777777">
      <w:pPr>
        <w:spacing w:after="0" w:line="276" w:lineRule="auto"/>
        <w:jc w:val="both"/>
        <w:rPr>
          <w:rFonts w:eastAsia="Arial" w:cs="Calibri"/>
          <w:b/>
          <w:bCs/>
        </w:rPr>
      </w:pPr>
      <w:r w:rsidRPr="006C6B35">
        <w:rPr>
          <w:rFonts w:cs="Calibri"/>
          <w:lang w:eastAsia="es-CO"/>
        </w:rPr>
        <w:tab/>
      </w:r>
      <w:r w:rsidRPr="006C6B35">
        <w:rPr>
          <w:rFonts w:eastAsia="Arial" w:cs="Calibri"/>
          <w:b/>
          <w:bCs/>
        </w:rPr>
        <w:t>Rentabilidad sobre patrimonio</w:t>
      </w:r>
    </w:p>
    <w:p w:rsidRPr="006C6B35" w:rsidR="00C35036" w:rsidP="00AC00A0" w:rsidRDefault="00C35036" w14:paraId="54709092" w14:textId="77777777">
      <w:pPr>
        <w:spacing w:after="0" w:line="276" w:lineRule="auto"/>
        <w:jc w:val="both"/>
        <w:rPr>
          <w:rFonts w:cs="Calibri"/>
          <w:lang w:eastAsia="es-CO"/>
        </w:rPr>
      </w:pPr>
    </w:p>
    <w:p w:rsidRPr="006C6B35" w:rsidR="00DA002A" w:rsidP="00AC00A0" w:rsidRDefault="00DA002A" w14:paraId="7D6702A2" w14:textId="69126B6D">
      <w:pPr>
        <w:autoSpaceDE w:val="0"/>
        <w:autoSpaceDN w:val="0"/>
        <w:adjustRightInd w:val="0"/>
        <w:spacing w:after="0" w:line="276" w:lineRule="auto"/>
        <w:jc w:val="both"/>
        <w:rPr>
          <w:rFonts w:eastAsia="Arial" w:cs="Calibri"/>
        </w:rPr>
      </w:pPr>
      <w:r w:rsidRPr="4E1AD4DC">
        <w:rPr>
          <w:rFonts w:eastAsia="Arial" w:cs="Calibri"/>
        </w:rPr>
        <w:t>Determina la capacidad de generación de utilidad operacional por cada peso Invertido en el patrimonio. A mayor rentabilidad sobre el patrimonio, mayor es la rentabilidad de los accionistas y mejor la capacidad organizacional del proponente, de acuerdo con la siguiente fórmula:</w:t>
      </w:r>
    </w:p>
    <w:p w:rsidR="4E1AD4DC" w:rsidP="4E1AD4DC" w:rsidRDefault="4E1AD4DC" w14:paraId="63C67862" w14:textId="15C7C71B">
      <w:pPr>
        <w:spacing w:after="0" w:line="276" w:lineRule="auto"/>
        <w:jc w:val="both"/>
      </w:pPr>
    </w:p>
    <w:p w:rsidRPr="006C6B35" w:rsidR="00DA002A" w:rsidP="4E1AD4DC" w:rsidRDefault="002134ED" w14:paraId="73DCF9A2" w14:textId="55E3DB5B">
      <w:pPr>
        <w:spacing w:after="0" w:line="276" w:lineRule="auto"/>
        <w:jc w:val="both"/>
        <w:rPr>
          <w:rFonts w:eastAsia="Arial" w:cs="Calibri"/>
          <w:lang w:eastAsia="es-ES"/>
        </w:rPr>
      </w:pPr>
      <m:oMathPara>
        <m:oMath>
          <m:r>
            <m:rPr>
              <m:sty m:val="b"/>
            </m:rPr>
            <w:rPr>
              <w:rFonts w:ascii="Cambria Math" w:hAnsi="Cambria Math" w:cs="Arial"/>
            </w:rPr>
            <m:t>Rentabilidad sobre Patrimonio =</m:t>
          </m:r>
          <m:f>
            <m:fPr>
              <m:ctrlPr>
                <w:rPr>
                  <w:rFonts w:ascii="Cambria Math" w:hAnsi="Cambria Math" w:cs="Arial"/>
                  <w:b/>
                </w:rPr>
              </m:ctrlPr>
            </m:fPr>
            <m:num>
              <m:r>
                <m:rPr>
                  <m:sty m:val="b"/>
                </m:rPr>
                <w:rPr>
                  <w:rFonts w:ascii="Cambria Math" w:hAnsi="Cambria Math" w:cs="Arial"/>
                </w:rPr>
                <m:t xml:space="preserve">Utilidad Operacional </m:t>
              </m:r>
            </m:num>
            <m:den>
              <m:r>
                <m:rPr>
                  <m:sty m:val="bi"/>
                </m:rPr>
                <w:rPr>
                  <w:rFonts w:ascii="Cambria Math" w:hAnsi="Cambria Math" w:cs="Arial"/>
                </w:rPr>
                <m:t>Patrimonio</m:t>
              </m:r>
              <m:r>
                <m:rPr>
                  <m:sty m:val="b"/>
                </m:rPr>
                <w:rPr>
                  <w:rFonts w:ascii="Cambria Math" w:hAnsi="Cambria Math" w:cs="Arial"/>
                </w:rPr>
                <m:t xml:space="preserve"> </m:t>
              </m:r>
            </m:den>
          </m:f>
        </m:oMath>
      </m:oMathPara>
    </w:p>
    <w:p w:rsidRPr="006C6B35" w:rsidR="00DA002A" w:rsidP="00AC00A0" w:rsidRDefault="00DA002A" w14:paraId="7F61B48F" w14:textId="77777777">
      <w:pPr>
        <w:autoSpaceDE w:val="0"/>
        <w:autoSpaceDN w:val="0"/>
        <w:adjustRightInd w:val="0"/>
        <w:spacing w:after="0" w:line="276" w:lineRule="auto"/>
        <w:jc w:val="center"/>
        <w:rPr>
          <w:rFonts w:eastAsia="Arial" w:cs="Calibri"/>
        </w:rPr>
      </w:pPr>
    </w:p>
    <w:p w:rsidRPr="006C6B35" w:rsidR="00DA002A" w:rsidP="65D10910" w:rsidRDefault="00DA002A" w14:paraId="6258C3C3" w14:textId="69DFEE2F">
      <w:pPr>
        <w:autoSpaceDE w:val="0"/>
        <w:autoSpaceDN w:val="0"/>
        <w:adjustRightInd w:val="0"/>
        <w:spacing w:after="0" w:line="276" w:lineRule="auto"/>
        <w:jc w:val="both"/>
        <w:rPr>
          <w:rFonts w:eastAsia="Arial" w:cs="Calibri"/>
          <w:b/>
          <w:bCs/>
        </w:rPr>
      </w:pPr>
      <w:r w:rsidRPr="006C6B35">
        <w:rPr>
          <w:rFonts w:eastAsia="Arial" w:cs="Calibri"/>
        </w:rPr>
        <w:t xml:space="preserve">El indicador debe ser </w:t>
      </w:r>
      <w:r w:rsidRPr="006C6B35">
        <w:rPr>
          <w:rFonts w:eastAsia="Arial" w:cs="Calibri"/>
          <w:b/>
          <w:bCs/>
        </w:rPr>
        <w:t xml:space="preserve">igual o superior a </w:t>
      </w:r>
      <w:r w:rsidRPr="00946190" w:rsidR="00946190">
        <w:rPr>
          <w:rFonts w:eastAsia="Arial" w:cs="Calibri"/>
          <w:b/>
          <w:bCs/>
        </w:rPr>
        <w:t>0.30 (cero punto treinta) </w:t>
      </w:r>
    </w:p>
    <w:p w:rsidRPr="006C6B35" w:rsidR="00BA5990" w:rsidP="00AC00A0" w:rsidRDefault="00BA5990" w14:paraId="025B0CC0" w14:textId="77777777">
      <w:pPr>
        <w:autoSpaceDE w:val="0"/>
        <w:autoSpaceDN w:val="0"/>
        <w:adjustRightInd w:val="0"/>
        <w:spacing w:after="0" w:line="276" w:lineRule="auto"/>
        <w:jc w:val="both"/>
        <w:rPr>
          <w:rFonts w:eastAsia="Arial" w:cs="Calibri"/>
          <w:b/>
        </w:rPr>
      </w:pPr>
    </w:p>
    <w:p w:rsidRPr="006C6B35" w:rsidR="00DA002A" w:rsidP="00AC00A0" w:rsidRDefault="00DA002A" w14:paraId="7A04CD5B" w14:textId="77777777">
      <w:pPr>
        <w:spacing w:after="0" w:line="276" w:lineRule="auto"/>
        <w:jc w:val="both"/>
        <w:rPr>
          <w:rFonts w:eastAsia="Arial" w:cs="Calibri"/>
        </w:rPr>
      </w:pPr>
      <w:r w:rsidRPr="006C6B35">
        <w:rPr>
          <w:rFonts w:eastAsia="Arial" w:cs="Calibri"/>
        </w:rPr>
        <w:t>Para el caso de Consorcios, uniones temporales o sociedades futuras la formula será la siguiente:</w:t>
      </w:r>
    </w:p>
    <w:p w:rsidRPr="006C6B35" w:rsidR="00DA002A" w:rsidP="65D10910" w:rsidRDefault="00DA002A" w14:paraId="5E226ABF" w14:textId="0FFCA880">
      <w:pPr>
        <w:autoSpaceDE w:val="0"/>
        <w:autoSpaceDN w:val="0"/>
        <w:adjustRightInd w:val="0"/>
        <w:spacing w:after="0" w:line="276" w:lineRule="auto"/>
        <w:jc w:val="both"/>
        <w:rPr>
          <w:rFonts w:eastAsia="Arial" w:cs="Calibri"/>
        </w:rPr>
      </w:pPr>
    </w:p>
    <w:p w:rsidRPr="006C6B35" w:rsidR="00DA002A" w:rsidP="65D10910" w:rsidRDefault="7AA9AE4B" w14:paraId="2AD7C469" w14:textId="3E90969A">
      <w:pPr>
        <w:autoSpaceDE w:val="0"/>
        <w:autoSpaceDN w:val="0"/>
        <w:adjustRightInd w:val="0"/>
        <w:spacing w:after="0" w:line="276" w:lineRule="auto"/>
        <w:jc w:val="center"/>
        <w:rPr>
          <w:rFonts w:cs="Calibri"/>
          <w:color w:val="000000" w:themeColor="text1"/>
        </w:rPr>
      </w:pPr>
      <w:r w:rsidRPr="006C6B35">
        <w:rPr>
          <w:noProof/>
        </w:rPr>
        <w:drawing>
          <wp:inline distT="0" distB="0" distL="0" distR="0" wp14:anchorId="7D56C8EA" wp14:editId="2FFC5DFA">
            <wp:extent cx="5429250" cy="361950"/>
            <wp:effectExtent l="0" t="0" r="0" b="0"/>
            <wp:docPr id="940563106" name="Imagen 94056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429250" cy="361950"/>
                    </a:xfrm>
                    <a:prstGeom prst="rect">
                      <a:avLst/>
                    </a:prstGeom>
                  </pic:spPr>
                </pic:pic>
              </a:graphicData>
            </a:graphic>
          </wp:inline>
        </w:drawing>
      </w:r>
    </w:p>
    <w:p w:rsidRPr="006C6B35" w:rsidR="00DA002A" w:rsidP="65D10910" w:rsidRDefault="00DA002A" w14:paraId="37FF3E76" w14:textId="0618D71D">
      <w:pPr>
        <w:autoSpaceDE w:val="0"/>
        <w:autoSpaceDN w:val="0"/>
        <w:adjustRightInd w:val="0"/>
        <w:spacing w:after="0" w:line="276" w:lineRule="auto"/>
        <w:jc w:val="center"/>
        <w:rPr>
          <w:rFonts w:cs="Calibri"/>
          <w:color w:val="000000" w:themeColor="text1"/>
        </w:rPr>
      </w:pPr>
    </w:p>
    <w:p w:rsidRPr="006C6B35" w:rsidR="00DA002A" w:rsidP="65D10910" w:rsidRDefault="1A5C011C" w14:paraId="49A56BA3" w14:textId="53287E78">
      <w:pPr>
        <w:pStyle w:val="Prrafodelista"/>
        <w:numPr>
          <w:ilvl w:val="0"/>
          <w:numId w:val="3"/>
        </w:numPr>
        <w:autoSpaceDE w:val="0"/>
        <w:autoSpaceDN w:val="0"/>
        <w:adjustRightInd w:val="0"/>
        <w:spacing w:after="0" w:line="276" w:lineRule="auto"/>
        <w:jc w:val="both"/>
        <w:rPr>
          <w:rFonts w:cs="Calibri"/>
          <w:color w:val="000000" w:themeColor="text1"/>
        </w:rPr>
      </w:pPr>
      <w:r w:rsidRPr="006C6B35">
        <w:rPr>
          <w:rFonts w:cs="Calibri"/>
          <w:color w:val="000000" w:themeColor="text1"/>
        </w:rPr>
        <w:t xml:space="preserve">Uop: </w:t>
      </w:r>
      <w:r w:rsidRPr="006C6B35" w:rsidR="00DA002A">
        <w:tab/>
      </w:r>
      <w:r w:rsidRPr="006C6B35">
        <w:rPr>
          <w:rFonts w:cs="Calibri"/>
          <w:color w:val="000000" w:themeColor="text1"/>
        </w:rPr>
        <w:t>Utilidad Operacional de cada integrante</w:t>
      </w:r>
    </w:p>
    <w:p w:rsidRPr="006C6B35" w:rsidR="00DA002A" w:rsidP="65D10910" w:rsidRDefault="1A5C011C" w14:paraId="04BEE8C0" w14:textId="44C67796">
      <w:pPr>
        <w:pStyle w:val="Prrafodelista"/>
        <w:numPr>
          <w:ilvl w:val="0"/>
          <w:numId w:val="3"/>
        </w:numPr>
        <w:autoSpaceDE w:val="0"/>
        <w:autoSpaceDN w:val="0"/>
        <w:adjustRightInd w:val="0"/>
        <w:spacing w:after="0" w:line="276" w:lineRule="auto"/>
        <w:jc w:val="both"/>
        <w:rPr>
          <w:rFonts w:cs="Calibri"/>
          <w:color w:val="000000" w:themeColor="text1"/>
        </w:rPr>
      </w:pPr>
      <w:r w:rsidRPr="006C6B35">
        <w:rPr>
          <w:rFonts w:cs="Calibri"/>
          <w:color w:val="000000" w:themeColor="text1"/>
        </w:rPr>
        <w:t xml:space="preserve">AT: </w:t>
      </w:r>
      <w:r w:rsidRPr="006C6B35" w:rsidR="00DA002A">
        <w:tab/>
      </w:r>
      <w:r w:rsidRPr="006C6B35">
        <w:rPr>
          <w:rFonts w:cs="Calibri"/>
          <w:color w:val="000000" w:themeColor="text1"/>
        </w:rPr>
        <w:t>Activo Total de cada integrante</w:t>
      </w:r>
    </w:p>
    <w:p w:rsidRPr="006C6B35" w:rsidR="00DA002A" w:rsidP="65D10910" w:rsidRDefault="1A5C011C" w14:paraId="548ADB8B" w14:textId="7CCEF0D3">
      <w:pPr>
        <w:pStyle w:val="Prrafodelista"/>
        <w:numPr>
          <w:ilvl w:val="0"/>
          <w:numId w:val="3"/>
        </w:numPr>
        <w:autoSpaceDE w:val="0"/>
        <w:autoSpaceDN w:val="0"/>
        <w:adjustRightInd w:val="0"/>
        <w:spacing w:after="0" w:line="276" w:lineRule="auto"/>
        <w:jc w:val="both"/>
        <w:rPr>
          <w:rFonts w:cs="Calibri"/>
          <w:color w:val="000000" w:themeColor="text1"/>
        </w:rPr>
      </w:pPr>
      <w:r w:rsidRPr="006C6B35">
        <w:rPr>
          <w:rFonts w:cs="Calibri"/>
          <w:color w:val="000000" w:themeColor="text1"/>
        </w:rPr>
        <w:t xml:space="preserve">PT: </w:t>
      </w:r>
      <w:r w:rsidRPr="006C6B35" w:rsidR="00DA002A">
        <w:tab/>
      </w:r>
      <w:r w:rsidRPr="006C6B35">
        <w:rPr>
          <w:rFonts w:cs="Calibri"/>
          <w:color w:val="000000" w:themeColor="text1"/>
        </w:rPr>
        <w:t>Pasivo Total de cada integrante</w:t>
      </w:r>
    </w:p>
    <w:p w:rsidRPr="006C6B35" w:rsidR="00DA002A" w:rsidP="65D10910" w:rsidRDefault="00DA002A" w14:paraId="327071E6" w14:textId="747D4E5E">
      <w:pPr>
        <w:autoSpaceDE w:val="0"/>
        <w:autoSpaceDN w:val="0"/>
        <w:adjustRightInd w:val="0"/>
        <w:spacing w:after="0" w:line="276" w:lineRule="auto"/>
        <w:ind w:left="720"/>
        <w:jc w:val="both"/>
        <w:rPr>
          <w:rFonts w:cs="Calibri"/>
          <w:color w:val="000000" w:themeColor="text1"/>
        </w:rPr>
      </w:pPr>
    </w:p>
    <w:p w:rsidRPr="006C6B35" w:rsidR="00DA002A" w:rsidP="00AC00A0" w:rsidRDefault="00DA002A" w14:paraId="4A56E084" w14:textId="77777777">
      <w:pPr>
        <w:spacing w:after="0" w:line="276" w:lineRule="auto"/>
        <w:contextualSpacing/>
        <w:jc w:val="both"/>
        <w:rPr>
          <w:rFonts w:cs="Calibri"/>
          <w:b/>
          <w:bCs/>
          <w:u w:val="single"/>
        </w:rPr>
      </w:pPr>
      <w:r w:rsidRPr="006C6B35">
        <w:rPr>
          <w:rFonts w:cs="Calibri"/>
          <w:b/>
          <w:bCs/>
          <w:u w:val="single"/>
        </w:rPr>
        <w:t xml:space="preserve">Nota: Para efectos de los cálculos del Indicador financiero se utilizará la herramienta de EXCEL </w:t>
      </w:r>
    </w:p>
    <w:p w:rsidRPr="006C6B35" w:rsidR="00DA002A" w:rsidP="00AC00A0" w:rsidRDefault="00DA002A" w14:paraId="01EFFCB3" w14:textId="77777777">
      <w:pPr>
        <w:spacing w:after="0" w:line="276" w:lineRule="auto"/>
        <w:jc w:val="both"/>
        <w:rPr>
          <w:rFonts w:eastAsia="Arial" w:cs="Calibri"/>
        </w:rPr>
      </w:pPr>
    </w:p>
    <w:p w:rsidRPr="006C6B35" w:rsidR="00180811" w:rsidP="3AD4FA3D" w:rsidRDefault="00DA002A" w14:paraId="4B85AE50" w14:textId="50B3022D">
      <w:pPr>
        <w:pStyle w:val="Normal"/>
        <w:spacing w:after="0" w:line="276" w:lineRule="auto"/>
        <w:jc w:val="both"/>
        <w:rPr>
          <w:rFonts w:cs="Calibri"/>
        </w:rPr>
      </w:pPr>
      <w:r w:rsidRPr="3AD4FA3D" w:rsidR="00DA002A">
        <w:rPr>
          <w:rFonts w:eastAsia="Arial" w:cs="Calibri"/>
        </w:rPr>
        <w:t xml:space="preserve">Si el proponente presenta un indicador menor al exigido en el presente Pliego de Condiciones la oferta será </w:t>
      </w:r>
      <w:r w:rsidRPr="3AD4FA3D" w:rsidR="7644B02F">
        <w:rPr>
          <w:rFonts w:cs="Calibri"/>
          <w:b w:val="1"/>
          <w:bCs w:val="1"/>
        </w:rPr>
        <w:t xml:space="preserve"> NO HABILITADA</w:t>
      </w:r>
    </w:p>
    <w:p w:rsidRPr="006C6B35" w:rsidR="00180811" w:rsidP="00AC00A0" w:rsidRDefault="00180811" w14:paraId="341BD7D1" w14:textId="77777777">
      <w:pPr>
        <w:spacing w:after="0" w:line="276" w:lineRule="auto"/>
        <w:jc w:val="both"/>
        <w:rPr>
          <w:rFonts w:eastAsia="Arial" w:cs="Calibri"/>
        </w:rPr>
      </w:pPr>
    </w:p>
    <w:p w:rsidRPr="006C6B35" w:rsidR="00DA002A" w:rsidP="65D10910" w:rsidRDefault="00DA002A" w14:paraId="7F4FA5C7" w14:textId="77777777">
      <w:pPr>
        <w:tabs>
          <w:tab w:val="left" w:pos="851"/>
        </w:tabs>
        <w:spacing w:after="0" w:line="276" w:lineRule="auto"/>
        <w:ind w:left="709"/>
        <w:rPr>
          <w:rFonts w:eastAsia="Arial" w:cs="Calibri"/>
          <w:b/>
          <w:bCs/>
        </w:rPr>
      </w:pPr>
      <w:bookmarkStart w:name="_Hlk110259217" w:id="4"/>
      <w:r w:rsidRPr="006C6B35">
        <w:rPr>
          <w:rFonts w:eastAsia="Arial" w:cs="Calibri"/>
          <w:b/>
          <w:bCs/>
        </w:rPr>
        <w:t>Rentabilidad sobre Activos</w:t>
      </w:r>
    </w:p>
    <w:p w:rsidRPr="006C6B35" w:rsidR="00DA002A" w:rsidP="00AC00A0" w:rsidRDefault="00DA002A" w14:paraId="2D97B5A3" w14:textId="77777777">
      <w:pPr>
        <w:tabs>
          <w:tab w:val="left" w:pos="851"/>
        </w:tabs>
        <w:spacing w:after="0" w:line="276" w:lineRule="auto"/>
        <w:ind w:left="709"/>
        <w:rPr>
          <w:rFonts w:eastAsia="Arial" w:cs="Calibri"/>
          <w:b/>
        </w:rPr>
      </w:pPr>
    </w:p>
    <w:p w:rsidRPr="006C6B35" w:rsidR="00DA002A" w:rsidP="00AC00A0" w:rsidRDefault="00DA002A" w14:paraId="301FE8E3" w14:textId="77777777">
      <w:pPr>
        <w:autoSpaceDE w:val="0"/>
        <w:autoSpaceDN w:val="0"/>
        <w:adjustRightInd w:val="0"/>
        <w:spacing w:after="0" w:line="276" w:lineRule="auto"/>
        <w:jc w:val="both"/>
        <w:rPr>
          <w:rFonts w:eastAsia="Arial" w:cs="Calibri"/>
        </w:rPr>
      </w:pPr>
      <w:r w:rsidRPr="4E1AD4DC">
        <w:rPr>
          <w:rFonts w:eastAsia="Arial" w:cs="Calibri"/>
        </w:rPr>
        <w:t xml:space="preserve">Determina la capacidad de generación de utilidad operacional por cada peso invertido en el activo. A mayor rentabilidad sobre activos, mayor es la rentabilidad del negocio y mejor la capacidad organizacional del proponente. </w:t>
      </w:r>
    </w:p>
    <w:p w:rsidR="4E1AD4DC" w:rsidP="4E1AD4DC" w:rsidRDefault="4E1AD4DC" w14:paraId="07866D64" w14:textId="3D749BFB">
      <w:pPr>
        <w:spacing w:after="0" w:line="276" w:lineRule="auto"/>
        <w:jc w:val="both"/>
      </w:pPr>
    </w:p>
    <w:p w:rsidRPr="006C6B35" w:rsidR="00DA002A" w:rsidP="4E1AD4DC" w:rsidRDefault="002134ED" w14:paraId="5336088E" w14:textId="6C3652A6">
      <w:pPr>
        <w:spacing w:after="0" w:line="276" w:lineRule="auto"/>
        <w:jc w:val="both"/>
        <w:rPr>
          <w:rFonts w:eastAsia="Arial" w:cs="Calibri"/>
          <w:lang w:eastAsia="es-ES"/>
        </w:rPr>
      </w:pPr>
      <m:oMathPara>
        <m:oMath>
          <m:r>
            <m:rPr>
              <m:sty m:val="b"/>
            </m:rPr>
            <w:rPr>
              <w:rFonts w:ascii="Cambria Math" w:hAnsi="Cambria Math" w:cs="Arial"/>
            </w:rPr>
            <w:lastRenderedPageBreak/>
            <m:t>Rentabilidad sobre Activos =</m:t>
          </m:r>
          <m:f>
            <m:fPr>
              <m:ctrlPr>
                <w:rPr>
                  <w:rFonts w:ascii="Cambria Math" w:hAnsi="Cambria Math" w:cs="Arial"/>
                  <w:b/>
                </w:rPr>
              </m:ctrlPr>
            </m:fPr>
            <m:num>
              <m:r>
                <m:rPr>
                  <m:sty m:val="b"/>
                </m:rPr>
                <w:rPr>
                  <w:rFonts w:ascii="Cambria Math" w:hAnsi="Cambria Math" w:cs="Arial"/>
                </w:rPr>
                <m:t xml:space="preserve">Utilidad Operacional </m:t>
              </m:r>
            </m:num>
            <m:den>
              <m:r>
                <m:rPr>
                  <m:sty m:val="bi"/>
                </m:rPr>
                <w:rPr>
                  <w:rFonts w:ascii="Cambria Math" w:hAnsi="Cambria Math" w:cs="Arial"/>
                </w:rPr>
                <m:t>Activo</m:t>
              </m:r>
              <m:r>
                <m:rPr>
                  <m:sty m:val="b"/>
                </m:rPr>
                <w:rPr>
                  <w:rFonts w:ascii="Cambria Math" w:hAnsi="Cambria Math" w:cs="Arial"/>
                </w:rPr>
                <m:t xml:space="preserve"> </m:t>
              </m:r>
              <m:r>
                <m:rPr>
                  <m:sty m:val="bi"/>
                </m:rPr>
                <w:rPr>
                  <w:rFonts w:ascii="Cambria Math" w:hAnsi="Cambria Math" w:cs="Arial"/>
                </w:rPr>
                <m:t>Total</m:t>
              </m:r>
              <m:r>
                <m:rPr>
                  <m:sty m:val="b"/>
                </m:rPr>
                <w:rPr>
                  <w:rFonts w:ascii="Cambria Math" w:hAnsi="Cambria Math" w:cs="Arial"/>
                </w:rPr>
                <m:t xml:space="preserve">  </m:t>
              </m:r>
            </m:den>
          </m:f>
        </m:oMath>
      </m:oMathPara>
    </w:p>
    <w:p w:rsidRPr="006C6B35" w:rsidR="00DA002A" w:rsidP="00AC00A0" w:rsidRDefault="00B95F86" w14:paraId="5AF32359" w14:textId="77777777">
      <w:pPr>
        <w:tabs>
          <w:tab w:val="left" w:pos="6015"/>
        </w:tabs>
        <w:autoSpaceDE w:val="0"/>
        <w:autoSpaceDN w:val="0"/>
        <w:adjustRightInd w:val="0"/>
        <w:spacing w:after="0" w:line="276" w:lineRule="auto"/>
        <w:contextualSpacing/>
        <w:jc w:val="both"/>
        <w:rPr>
          <w:rFonts w:eastAsia="Arial" w:cs="Calibri"/>
        </w:rPr>
      </w:pPr>
      <w:r w:rsidRPr="006C6B35">
        <w:rPr>
          <w:rFonts w:eastAsia="Arial" w:cs="Calibri"/>
        </w:rPr>
        <w:tab/>
      </w:r>
    </w:p>
    <w:p w:rsidR="00C8160C" w:rsidP="00AC00A0" w:rsidRDefault="00DA002A" w14:paraId="257CDD4F" w14:textId="4EC17F8D">
      <w:pPr>
        <w:autoSpaceDE w:val="0"/>
        <w:autoSpaceDN w:val="0"/>
        <w:adjustRightInd w:val="0"/>
        <w:spacing w:after="0" w:line="276" w:lineRule="auto"/>
        <w:jc w:val="both"/>
        <w:rPr>
          <w:rFonts w:eastAsia="Times New Roman" w:cs="Calibri"/>
          <w:b/>
          <w:lang w:eastAsia="es-CO"/>
        </w:rPr>
      </w:pPr>
      <w:r w:rsidRPr="006C6B35">
        <w:rPr>
          <w:rFonts w:eastAsia="Arial" w:cs="Calibri"/>
        </w:rPr>
        <w:t xml:space="preserve">El indicador debe ser </w:t>
      </w:r>
      <w:r w:rsidRPr="006C6B35">
        <w:rPr>
          <w:rFonts w:eastAsia="Arial" w:cs="Calibri"/>
          <w:b/>
          <w:bCs/>
        </w:rPr>
        <w:t>igual o superior a</w:t>
      </w:r>
      <w:r w:rsidR="00291D1F">
        <w:rPr>
          <w:rFonts w:eastAsia="Arial" w:cs="Calibri"/>
          <w:b/>
          <w:bCs/>
        </w:rPr>
        <w:t xml:space="preserve"> </w:t>
      </w:r>
      <w:r w:rsidRPr="00291D1F" w:rsidR="00291D1F">
        <w:rPr>
          <w:rFonts w:eastAsia="Arial" w:cs="Calibri"/>
          <w:b/>
          <w:bCs/>
        </w:rPr>
        <w:t>0.20 (Cero punto veinte)</w:t>
      </w:r>
      <w:r w:rsidRPr="006C6B35">
        <w:rPr>
          <w:rFonts w:eastAsia="Arial" w:cs="Calibri"/>
          <w:b/>
          <w:bCs/>
        </w:rPr>
        <w:t xml:space="preserve"> </w:t>
      </w:r>
    </w:p>
    <w:p w:rsidRPr="006C6B35" w:rsidR="00EA32C3" w:rsidP="00AC00A0" w:rsidRDefault="00EA32C3" w14:paraId="21D94CC2" w14:textId="77777777">
      <w:pPr>
        <w:autoSpaceDE w:val="0"/>
        <w:autoSpaceDN w:val="0"/>
        <w:adjustRightInd w:val="0"/>
        <w:spacing w:after="0" w:line="276" w:lineRule="auto"/>
        <w:jc w:val="both"/>
        <w:rPr>
          <w:rFonts w:eastAsia="Arial" w:cs="Calibri"/>
        </w:rPr>
      </w:pPr>
    </w:p>
    <w:bookmarkEnd w:id="4"/>
    <w:p w:rsidR="00DA002A" w:rsidP="65D10910" w:rsidRDefault="00DA002A" w14:paraId="532C9CF3" w14:textId="40F28C76">
      <w:pPr>
        <w:spacing w:after="0" w:line="276" w:lineRule="auto"/>
        <w:jc w:val="both"/>
        <w:rPr>
          <w:rFonts w:eastAsia="Arial" w:cs="Calibri"/>
        </w:rPr>
      </w:pPr>
      <w:r w:rsidRPr="006C6B35">
        <w:rPr>
          <w:rFonts w:eastAsia="Arial" w:cs="Calibri"/>
        </w:rPr>
        <w:t>Para el caso de Consorcios, uniones temporales o sociedades futuras la formula será la siguiente:</w:t>
      </w:r>
    </w:p>
    <w:p w:rsidRPr="006C6B35" w:rsidR="00FD1064" w:rsidP="65D10910" w:rsidRDefault="00FD1064" w14:paraId="340369A7" w14:textId="77777777">
      <w:pPr>
        <w:spacing w:after="0" w:line="276" w:lineRule="auto"/>
        <w:jc w:val="both"/>
        <w:rPr>
          <w:rFonts w:eastAsia="Arial" w:cs="Calibri"/>
        </w:rPr>
      </w:pPr>
    </w:p>
    <w:p w:rsidRPr="006C6B35" w:rsidR="1A5607CD" w:rsidP="65D10910" w:rsidRDefault="1A5607CD" w14:paraId="0824B644" w14:textId="3FB94284">
      <w:pPr>
        <w:spacing w:after="0" w:line="276" w:lineRule="auto"/>
        <w:jc w:val="center"/>
        <w:rPr>
          <w:rFonts w:cs="Calibri"/>
          <w:color w:val="000000" w:themeColor="text1"/>
        </w:rPr>
      </w:pPr>
      <w:r w:rsidRPr="006C6B35">
        <w:rPr>
          <w:noProof/>
        </w:rPr>
        <w:drawing>
          <wp:inline distT="0" distB="0" distL="0" distR="0" wp14:anchorId="711B4B77" wp14:editId="540DCA70">
            <wp:extent cx="4991102" cy="400050"/>
            <wp:effectExtent l="0" t="0" r="0" b="0"/>
            <wp:docPr id="1538256054" name="Imagen 1538256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991102" cy="400050"/>
                    </a:xfrm>
                    <a:prstGeom prst="rect">
                      <a:avLst/>
                    </a:prstGeom>
                  </pic:spPr>
                </pic:pic>
              </a:graphicData>
            </a:graphic>
          </wp:inline>
        </w:drawing>
      </w:r>
    </w:p>
    <w:p w:rsidRPr="006C6B35" w:rsidR="65D10910" w:rsidP="65D10910" w:rsidRDefault="65D10910" w14:paraId="00D98B68" w14:textId="4A01D60F">
      <w:pPr>
        <w:spacing w:after="0" w:line="276" w:lineRule="auto"/>
        <w:jc w:val="both"/>
        <w:rPr>
          <w:rFonts w:cs="Calibri"/>
          <w:color w:val="000000" w:themeColor="text1"/>
        </w:rPr>
      </w:pPr>
    </w:p>
    <w:p w:rsidRPr="006C6B35" w:rsidR="00DA002A" w:rsidP="00AC00A0" w:rsidRDefault="00DA002A" w14:paraId="7A94288A" w14:textId="77777777">
      <w:pPr>
        <w:spacing w:after="0" w:line="276" w:lineRule="auto"/>
        <w:contextualSpacing/>
        <w:jc w:val="both"/>
        <w:rPr>
          <w:rFonts w:cs="Calibri"/>
          <w:b/>
          <w:bCs/>
          <w:u w:val="single"/>
        </w:rPr>
      </w:pPr>
      <w:r w:rsidRPr="006C6B35">
        <w:rPr>
          <w:rFonts w:cs="Calibri"/>
          <w:b/>
          <w:bCs/>
          <w:u w:val="single"/>
        </w:rPr>
        <w:t xml:space="preserve">Nota: Para efectos de los cálculos del Indicador financiero se utilizará la herramienta de EXCEL </w:t>
      </w:r>
    </w:p>
    <w:p w:rsidRPr="006C6B35" w:rsidR="00DA002A" w:rsidP="00AC00A0" w:rsidRDefault="00DA002A" w14:paraId="20E43956" w14:textId="77777777">
      <w:pPr>
        <w:spacing w:after="0" w:line="276" w:lineRule="auto"/>
        <w:jc w:val="both"/>
        <w:rPr>
          <w:rFonts w:eastAsia="Arial" w:cs="Calibri"/>
        </w:rPr>
      </w:pPr>
    </w:p>
    <w:p w:rsidRPr="006C6B35" w:rsidR="00DA002A" w:rsidP="3AD4FA3D" w:rsidRDefault="00DA002A" w14:paraId="6E784DD0" w14:textId="10F3CFD5">
      <w:pPr>
        <w:pStyle w:val="Normal"/>
        <w:spacing w:after="0" w:line="276" w:lineRule="auto"/>
        <w:jc w:val="both"/>
        <w:rPr>
          <w:rFonts w:cs="Calibri"/>
        </w:rPr>
      </w:pPr>
      <w:r w:rsidRPr="3AD4FA3D" w:rsidR="00DA002A">
        <w:rPr>
          <w:rFonts w:eastAsia="Arial" w:cs="Calibri"/>
        </w:rPr>
        <w:t xml:space="preserve">Si el proponente presenta un indicador menor al exigido en el presente Pliego de Condiciones la oferta será </w:t>
      </w:r>
      <w:r w:rsidRPr="3AD4FA3D" w:rsidR="3D52E847">
        <w:rPr>
          <w:rFonts w:cs="Calibri"/>
          <w:b w:val="1"/>
          <w:bCs w:val="1"/>
        </w:rPr>
        <w:t xml:space="preserve"> NO HABILITADA</w:t>
      </w:r>
    </w:p>
    <w:p w:rsidRPr="006C6B35" w:rsidR="00C35036" w:rsidP="00AC00A0" w:rsidRDefault="00C35036" w14:paraId="184E1FE6" w14:textId="7CE0FB53">
      <w:pPr>
        <w:spacing w:after="0" w:line="276" w:lineRule="auto"/>
        <w:jc w:val="both"/>
        <w:rPr>
          <w:rFonts w:eastAsia="Arial" w:cs="Calibri"/>
        </w:rPr>
      </w:pPr>
    </w:p>
    <w:p w:rsidRPr="006C6B35" w:rsidR="00120D0D" w:rsidP="00120D0D" w:rsidRDefault="00120D0D" w14:paraId="653471E4" w14:textId="0919B8A1">
      <w:pPr>
        <w:tabs>
          <w:tab w:val="left" w:pos="851"/>
        </w:tabs>
        <w:spacing w:after="0" w:line="276" w:lineRule="auto"/>
        <w:jc w:val="both"/>
        <w:rPr>
          <w:rFonts w:eastAsia="Arial" w:cs="Calibri"/>
          <w:lang w:eastAsia="es-CO"/>
        </w:rPr>
      </w:pPr>
      <w:bookmarkStart w:name="_Hlk135380675" w:id="5"/>
      <w:r w:rsidRPr="006C6B35">
        <w:rPr>
          <w:rFonts w:eastAsia="Times New Roman" w:cs="Calibri"/>
          <w:b/>
          <w:lang w:eastAsia="es-CO"/>
        </w:rPr>
        <w:t xml:space="preserve">INDICADORES DIFERENCIALES DE </w:t>
      </w:r>
      <w:r w:rsidRPr="006C6B35">
        <w:rPr>
          <w:rFonts w:eastAsia="Arial" w:cs="Calibri"/>
          <w:b/>
          <w:spacing w:val="4"/>
          <w:lang w:eastAsia="es-CO"/>
        </w:rPr>
        <w:t>CAPACIDAD ORGANIZACIONAL PARA MIPYMES</w:t>
      </w:r>
    </w:p>
    <w:bookmarkEnd w:id="5"/>
    <w:p w:rsidRPr="006C6B35" w:rsidR="00120D0D" w:rsidP="00120D0D" w:rsidRDefault="00120D0D" w14:paraId="28021770" w14:textId="77777777">
      <w:pPr>
        <w:spacing w:after="0" w:line="276" w:lineRule="auto"/>
        <w:jc w:val="both"/>
        <w:rPr>
          <w:rFonts w:cs="Calibri"/>
        </w:rPr>
      </w:pPr>
    </w:p>
    <w:p w:rsidRPr="006C6B35" w:rsidR="00120D0D" w:rsidP="00120D0D" w:rsidRDefault="00120D0D" w14:paraId="7349F4D5" w14:textId="77777777">
      <w:pPr>
        <w:spacing w:after="0" w:line="276" w:lineRule="auto"/>
        <w:jc w:val="both"/>
        <w:rPr>
          <w:rFonts w:cs="Calibri"/>
          <w:lang w:eastAsia="es-CO"/>
        </w:rPr>
      </w:pPr>
      <w:r w:rsidRPr="006C6B35">
        <w:rPr>
          <w:rFonts w:cs="Calibri"/>
          <w:lang w:eastAsia="es-CO"/>
        </w:rPr>
        <w:t>La capacidad organizacional es la aptitud de un proponente para cumplir oportuna y cabalmente el objeto del contrato en función de su organización interna. Dado que la ley  no permite tener en cuenta certificaciones independientes sobre la organización de los proponentes como requisitos habilitantes 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rsidRPr="006C6B35" w:rsidR="00120D0D" w:rsidP="00120D0D" w:rsidRDefault="00120D0D" w14:paraId="774284B7" w14:textId="77777777">
      <w:pPr>
        <w:spacing w:after="0" w:line="276" w:lineRule="auto"/>
        <w:jc w:val="both"/>
        <w:rPr>
          <w:rFonts w:cs="Calibri"/>
          <w:lang w:eastAsia="es-CO"/>
        </w:rPr>
      </w:pPr>
    </w:p>
    <w:p w:rsidRPr="006C6B35" w:rsidR="00120D0D" w:rsidP="00120D0D" w:rsidRDefault="00120D0D" w14:paraId="4DEA4BB4" w14:textId="3DB68B22">
      <w:pPr>
        <w:spacing w:after="0" w:line="276" w:lineRule="auto"/>
        <w:jc w:val="both"/>
        <w:rPr>
          <w:rFonts w:eastAsia="Arial" w:cs="Calibri"/>
          <w:b/>
        </w:rPr>
      </w:pPr>
      <w:r w:rsidRPr="006C6B35">
        <w:rPr>
          <w:rFonts w:cs="Calibri"/>
          <w:lang w:eastAsia="es-CO"/>
        </w:rPr>
        <w:tab/>
      </w:r>
      <w:r w:rsidRPr="006C6B35">
        <w:rPr>
          <w:rFonts w:eastAsia="Arial" w:cs="Calibri"/>
          <w:b/>
        </w:rPr>
        <w:t>Rentabilidad sobre patrimonio</w:t>
      </w:r>
      <w:r w:rsidRPr="006C6B35" w:rsidR="00C40FA4">
        <w:rPr>
          <w:rFonts w:eastAsia="Arial" w:cs="Calibri"/>
          <w:b/>
        </w:rPr>
        <w:t xml:space="preserve"> para Mipymes</w:t>
      </w:r>
    </w:p>
    <w:p w:rsidRPr="006C6B35" w:rsidR="00120D0D" w:rsidP="00120D0D" w:rsidRDefault="00120D0D" w14:paraId="30670F89" w14:textId="77777777">
      <w:pPr>
        <w:spacing w:after="0" w:line="276" w:lineRule="auto"/>
        <w:jc w:val="both"/>
        <w:rPr>
          <w:rFonts w:cs="Calibri"/>
          <w:lang w:eastAsia="es-CO"/>
        </w:rPr>
      </w:pPr>
    </w:p>
    <w:p w:rsidRPr="006C6B35" w:rsidR="00120D0D" w:rsidP="00120D0D" w:rsidRDefault="19316E41" w14:paraId="7CCBB7C2" w14:textId="77777777">
      <w:pPr>
        <w:autoSpaceDE w:val="0"/>
        <w:autoSpaceDN w:val="0"/>
        <w:adjustRightInd w:val="0"/>
        <w:spacing w:after="0" w:line="276" w:lineRule="auto"/>
        <w:jc w:val="both"/>
        <w:rPr>
          <w:rFonts w:eastAsia="Arial" w:cs="Calibri"/>
        </w:rPr>
      </w:pPr>
      <w:r w:rsidRPr="4E1AD4DC">
        <w:rPr>
          <w:rFonts w:eastAsia="Arial" w:cs="Calibri"/>
        </w:rPr>
        <w:t>Determina la capacidad de generación de utilidad operacional por cada peso Invertido en el patrimonio. A mayor rentabilidad sobre el patrimonio, mayor es la rentabilidad de los accionistas y mejor la capacidad organizacional del proponente, de acuerdo con la siguiente fórmula:</w:t>
      </w:r>
    </w:p>
    <w:p w:rsidR="4E1AD4DC" w:rsidP="4E1AD4DC" w:rsidRDefault="4E1AD4DC" w14:paraId="305566A1" w14:textId="3927F87D">
      <w:pPr>
        <w:spacing w:after="0" w:line="276" w:lineRule="auto"/>
        <w:jc w:val="both"/>
      </w:pPr>
    </w:p>
    <w:p w:rsidRPr="006C6B35" w:rsidR="00120D0D" w:rsidP="4E1AD4DC" w:rsidRDefault="00120D0D" w14:paraId="22546788" w14:textId="77777777">
      <w:pPr>
        <w:spacing w:after="0" w:line="276" w:lineRule="auto"/>
        <w:jc w:val="both"/>
        <w:rPr>
          <w:rFonts w:eastAsia="Arial" w:cs="Calibri"/>
          <w:lang w:eastAsia="es-ES"/>
        </w:rPr>
      </w:pPr>
      <m:oMathPara>
        <m:oMath>
          <m:r>
            <m:rPr>
              <m:sty m:val="b"/>
            </m:rPr>
            <w:rPr>
              <w:rFonts w:ascii="Cambria Math" w:hAnsi="Cambria Math" w:cs="Arial"/>
            </w:rPr>
            <m:t>Rentabilidad sobre Patrimonio =</m:t>
          </m:r>
          <m:f>
            <m:fPr>
              <m:ctrlPr>
                <w:rPr>
                  <w:rFonts w:ascii="Cambria Math" w:hAnsi="Cambria Math" w:cs="Arial"/>
                  <w:b/>
                </w:rPr>
              </m:ctrlPr>
            </m:fPr>
            <m:num>
              <m:r>
                <m:rPr>
                  <m:sty m:val="b"/>
                </m:rPr>
                <w:rPr>
                  <w:rFonts w:ascii="Cambria Math" w:hAnsi="Cambria Math" w:cs="Arial"/>
                </w:rPr>
                <m:t xml:space="preserve">Utilidad Operacional </m:t>
              </m:r>
            </m:num>
            <m:den>
              <m:r>
                <m:rPr>
                  <m:sty m:val="bi"/>
                </m:rPr>
                <w:rPr>
                  <w:rFonts w:ascii="Cambria Math" w:hAnsi="Cambria Math" w:cs="Arial"/>
                </w:rPr>
                <m:t>Patrimonio</m:t>
              </m:r>
              <m:r>
                <m:rPr>
                  <m:sty m:val="b"/>
                </m:rPr>
                <w:rPr>
                  <w:rFonts w:ascii="Cambria Math" w:hAnsi="Cambria Math" w:cs="Arial"/>
                </w:rPr>
                <m:t xml:space="preserve"> </m:t>
              </m:r>
            </m:den>
          </m:f>
        </m:oMath>
      </m:oMathPara>
    </w:p>
    <w:p w:rsidRPr="006C6B35" w:rsidR="00120D0D" w:rsidP="00120D0D" w:rsidRDefault="00120D0D" w14:paraId="1B148475" w14:textId="77777777">
      <w:pPr>
        <w:autoSpaceDE w:val="0"/>
        <w:autoSpaceDN w:val="0"/>
        <w:adjustRightInd w:val="0"/>
        <w:spacing w:after="0" w:line="276" w:lineRule="auto"/>
        <w:jc w:val="center"/>
        <w:rPr>
          <w:rFonts w:eastAsia="Arial" w:cs="Calibri"/>
        </w:rPr>
      </w:pPr>
    </w:p>
    <w:p w:rsidRPr="006C6B35" w:rsidR="00120D0D" w:rsidP="088477E0" w:rsidRDefault="19316E41" w14:paraId="7D2A2AE2" w14:textId="5B5A26F0">
      <w:pPr>
        <w:autoSpaceDE w:val="0"/>
        <w:autoSpaceDN w:val="0"/>
        <w:adjustRightInd w:val="0"/>
        <w:spacing w:after="0" w:line="276" w:lineRule="auto"/>
        <w:jc w:val="both"/>
        <w:rPr>
          <w:rFonts w:eastAsia="Arial" w:cs="Calibri"/>
          <w:b/>
          <w:bCs/>
        </w:rPr>
      </w:pPr>
      <w:r w:rsidRPr="006C6B35">
        <w:rPr>
          <w:rFonts w:eastAsia="Arial" w:cs="Calibri"/>
        </w:rPr>
        <w:t xml:space="preserve">El indicador debe ser </w:t>
      </w:r>
      <w:r w:rsidRPr="006C6B35">
        <w:rPr>
          <w:rFonts w:eastAsia="Arial" w:cs="Calibri"/>
          <w:b/>
          <w:bCs/>
        </w:rPr>
        <w:t xml:space="preserve">igual o superior a </w:t>
      </w:r>
      <w:r w:rsidRPr="00946190" w:rsidR="00C13564">
        <w:rPr>
          <w:rFonts w:eastAsia="Arial" w:cs="Calibri"/>
          <w:b/>
          <w:bCs/>
        </w:rPr>
        <w:t>0.30 (cero punto treinta) </w:t>
      </w:r>
      <w:r w:rsidR="00C13564">
        <w:rPr>
          <w:rFonts w:eastAsia="Arial" w:cs="Calibri"/>
          <w:b/>
          <w:bCs/>
        </w:rPr>
        <w:t xml:space="preserve"> </w:t>
      </w:r>
    </w:p>
    <w:p w:rsidRPr="006C6B35" w:rsidR="00120D0D" w:rsidP="00120D0D" w:rsidRDefault="00120D0D" w14:paraId="55BC0AA6" w14:textId="77777777">
      <w:pPr>
        <w:autoSpaceDE w:val="0"/>
        <w:autoSpaceDN w:val="0"/>
        <w:adjustRightInd w:val="0"/>
        <w:spacing w:after="0" w:line="276" w:lineRule="auto"/>
        <w:jc w:val="both"/>
        <w:rPr>
          <w:rFonts w:eastAsia="Arial" w:cs="Calibri"/>
          <w:b/>
        </w:rPr>
      </w:pPr>
    </w:p>
    <w:p w:rsidRPr="006C6B35" w:rsidR="00120D0D" w:rsidP="00120D0D" w:rsidRDefault="00120D0D" w14:paraId="29F16789" w14:textId="77777777">
      <w:pPr>
        <w:spacing w:after="0" w:line="276" w:lineRule="auto"/>
        <w:jc w:val="both"/>
        <w:rPr>
          <w:rFonts w:eastAsia="Arial" w:cs="Calibri"/>
        </w:rPr>
      </w:pPr>
      <w:r w:rsidRPr="006C6B35">
        <w:rPr>
          <w:rFonts w:eastAsia="Arial" w:cs="Calibri"/>
        </w:rPr>
        <w:t>Para el caso de Consorcios, uniones temporales o sociedades futuras la formula será la siguiente:</w:t>
      </w:r>
    </w:p>
    <w:p w:rsidRPr="006C6B35" w:rsidR="65D10910" w:rsidP="65D10910" w:rsidRDefault="65D10910" w14:paraId="70015FA0" w14:textId="3CB6A7FD">
      <w:pPr>
        <w:spacing w:after="0" w:line="276" w:lineRule="auto"/>
        <w:jc w:val="both"/>
        <w:rPr>
          <w:rFonts w:cs="Calibri"/>
          <w:color w:val="000000" w:themeColor="text1"/>
          <w:lang w:val="es-ES"/>
        </w:rPr>
      </w:pPr>
    </w:p>
    <w:p w:rsidRPr="006C6B35" w:rsidR="5C046E04" w:rsidP="65D10910" w:rsidRDefault="5C046E04" w14:paraId="53DFF869" w14:textId="5DF5F97F">
      <w:pPr>
        <w:spacing w:after="0" w:line="276" w:lineRule="auto"/>
        <w:jc w:val="center"/>
        <w:rPr>
          <w:rFonts w:cs="Calibri"/>
          <w:color w:val="000000" w:themeColor="text1"/>
        </w:rPr>
      </w:pPr>
      <w:r w:rsidRPr="006C6B35">
        <w:rPr>
          <w:noProof/>
        </w:rPr>
        <w:drawing>
          <wp:inline distT="0" distB="0" distL="0" distR="0" wp14:anchorId="315244BA" wp14:editId="0D2E2698">
            <wp:extent cx="5429250" cy="361950"/>
            <wp:effectExtent l="0" t="0" r="0" b="0"/>
            <wp:docPr id="246627802" name="Imagen 246627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429250" cy="361950"/>
                    </a:xfrm>
                    <a:prstGeom prst="rect">
                      <a:avLst/>
                    </a:prstGeom>
                  </pic:spPr>
                </pic:pic>
              </a:graphicData>
            </a:graphic>
          </wp:inline>
        </w:drawing>
      </w:r>
    </w:p>
    <w:p w:rsidRPr="006C6B35" w:rsidR="65D10910" w:rsidP="65D10910" w:rsidRDefault="65D10910" w14:paraId="113527FB" w14:textId="2DFE617E">
      <w:pPr>
        <w:spacing w:after="0" w:line="276" w:lineRule="auto"/>
        <w:jc w:val="center"/>
        <w:rPr>
          <w:rFonts w:cs="Calibri"/>
          <w:color w:val="000000" w:themeColor="text1"/>
        </w:rPr>
      </w:pPr>
    </w:p>
    <w:p w:rsidRPr="006C6B35" w:rsidR="00120D0D" w:rsidP="00120D0D" w:rsidRDefault="00120D0D" w14:paraId="5BAF8F24" w14:textId="77777777">
      <w:pPr>
        <w:numPr>
          <w:ilvl w:val="0"/>
          <w:numId w:val="7"/>
        </w:numPr>
        <w:spacing w:after="0" w:line="276" w:lineRule="auto"/>
        <w:jc w:val="both"/>
        <w:rPr>
          <w:rFonts w:eastAsia="Arial" w:cs="Calibri"/>
        </w:rPr>
      </w:pPr>
      <w:r w:rsidRPr="006C6B35">
        <w:rPr>
          <w:rFonts w:eastAsia="Arial" w:cs="Calibri"/>
        </w:rPr>
        <w:t xml:space="preserve">Uop: </w:t>
      </w:r>
      <w:r w:rsidRPr="006C6B35">
        <w:tab/>
      </w:r>
      <w:r w:rsidRPr="006C6B35">
        <w:rPr>
          <w:rFonts w:eastAsia="Arial" w:cs="Calibri"/>
        </w:rPr>
        <w:t>Utilidad Operacional de cada integrante</w:t>
      </w:r>
    </w:p>
    <w:p w:rsidRPr="006C6B35" w:rsidR="00120D0D" w:rsidP="00120D0D" w:rsidRDefault="00120D0D" w14:paraId="79134BFD" w14:textId="77777777">
      <w:pPr>
        <w:numPr>
          <w:ilvl w:val="0"/>
          <w:numId w:val="7"/>
        </w:numPr>
        <w:spacing w:after="0" w:line="276" w:lineRule="auto"/>
        <w:jc w:val="both"/>
        <w:rPr>
          <w:rFonts w:eastAsia="Arial" w:cs="Calibri"/>
        </w:rPr>
      </w:pPr>
      <w:r w:rsidRPr="006C6B35">
        <w:rPr>
          <w:rFonts w:eastAsia="Arial" w:cs="Calibri"/>
        </w:rPr>
        <w:t xml:space="preserve">AT: </w:t>
      </w:r>
      <w:r w:rsidRPr="006C6B35">
        <w:tab/>
      </w:r>
      <w:r w:rsidRPr="006C6B35">
        <w:rPr>
          <w:rFonts w:eastAsia="Arial" w:cs="Calibri"/>
        </w:rPr>
        <w:t>Activo Total de cada integrante</w:t>
      </w:r>
    </w:p>
    <w:p w:rsidRPr="006C6B35" w:rsidR="00120D0D" w:rsidP="00120D0D" w:rsidRDefault="00120D0D" w14:paraId="74572909" w14:textId="77777777">
      <w:pPr>
        <w:numPr>
          <w:ilvl w:val="0"/>
          <w:numId w:val="7"/>
        </w:numPr>
        <w:spacing w:after="0" w:line="276" w:lineRule="auto"/>
        <w:jc w:val="both"/>
        <w:rPr>
          <w:rFonts w:eastAsia="Arial" w:cs="Calibri"/>
        </w:rPr>
      </w:pPr>
      <w:r w:rsidRPr="006C6B35">
        <w:rPr>
          <w:rFonts w:eastAsia="Arial" w:cs="Calibri"/>
        </w:rPr>
        <w:t xml:space="preserve">PT: </w:t>
      </w:r>
      <w:r w:rsidRPr="006C6B35">
        <w:tab/>
      </w:r>
      <w:r w:rsidRPr="006C6B35">
        <w:rPr>
          <w:rFonts w:eastAsia="Arial" w:cs="Calibri"/>
        </w:rPr>
        <w:t>Pasivo Total de cada integrante</w:t>
      </w:r>
    </w:p>
    <w:p w:rsidRPr="006C6B35" w:rsidR="00120D0D" w:rsidP="00120D0D" w:rsidRDefault="00120D0D" w14:paraId="4ECE2F7C" w14:textId="77777777">
      <w:pPr>
        <w:autoSpaceDE w:val="0"/>
        <w:autoSpaceDN w:val="0"/>
        <w:adjustRightInd w:val="0"/>
        <w:spacing w:after="0" w:line="276" w:lineRule="auto"/>
        <w:jc w:val="both"/>
        <w:rPr>
          <w:rFonts w:eastAsia="Arial" w:cs="Calibri"/>
        </w:rPr>
      </w:pPr>
    </w:p>
    <w:p w:rsidRPr="006C6B35" w:rsidR="00120D0D" w:rsidP="00120D0D" w:rsidRDefault="00120D0D" w14:paraId="57009391" w14:textId="77777777">
      <w:pPr>
        <w:spacing w:after="0" w:line="276" w:lineRule="auto"/>
        <w:contextualSpacing/>
        <w:jc w:val="both"/>
        <w:rPr>
          <w:rFonts w:cs="Calibri"/>
          <w:b/>
          <w:bCs/>
          <w:u w:val="single"/>
        </w:rPr>
      </w:pPr>
      <w:r w:rsidRPr="006C6B35">
        <w:rPr>
          <w:rFonts w:cs="Calibri"/>
          <w:b/>
          <w:bCs/>
          <w:u w:val="single"/>
        </w:rPr>
        <w:t xml:space="preserve">Nota: Para efectos de los cálculos del Indicador financiero se utilizará la herramienta de EXCEL </w:t>
      </w:r>
    </w:p>
    <w:p w:rsidRPr="006C6B35" w:rsidR="00120D0D" w:rsidP="00120D0D" w:rsidRDefault="00120D0D" w14:paraId="4C2A149E" w14:textId="77777777">
      <w:pPr>
        <w:spacing w:after="0" w:line="276" w:lineRule="auto"/>
        <w:jc w:val="both"/>
        <w:rPr>
          <w:rFonts w:eastAsia="Arial" w:cs="Calibri"/>
        </w:rPr>
      </w:pPr>
    </w:p>
    <w:p w:rsidRPr="006C6B35" w:rsidR="00120D0D" w:rsidP="3AD4FA3D" w:rsidRDefault="765FB081" w14:paraId="0565BD4E" w14:textId="329E8BEA">
      <w:pPr>
        <w:pStyle w:val="Normal"/>
        <w:spacing w:after="0" w:line="276" w:lineRule="auto"/>
        <w:jc w:val="both"/>
        <w:rPr>
          <w:rFonts w:eastAsia="Arial" w:cs="Calibri"/>
        </w:rPr>
      </w:pPr>
      <w:r w:rsidRPr="3AD4FA3D" w:rsidR="765FB081">
        <w:rPr>
          <w:rFonts w:eastAsia="Arial" w:cs="Calibri"/>
        </w:rPr>
        <w:t xml:space="preserve">Si el proponente presenta un indicador menor al exigido en el presente Pliego de Condiciones la oferta será </w:t>
      </w:r>
      <w:r w:rsidRPr="3AD4FA3D" w:rsidR="7451EE2E">
        <w:rPr>
          <w:rFonts w:cs="Calibri"/>
          <w:b w:val="1"/>
          <w:bCs w:val="1"/>
        </w:rPr>
        <w:t xml:space="preserve"> NO HABILITADA</w:t>
      </w:r>
      <w:r w:rsidRPr="3AD4FA3D" w:rsidR="765FB081">
        <w:rPr>
          <w:rFonts w:eastAsia="Arial" w:cs="Calibri"/>
        </w:rPr>
        <w:t>.</w:t>
      </w:r>
    </w:p>
    <w:p w:rsidRPr="006C6B35" w:rsidR="65D10910" w:rsidP="65D10910" w:rsidRDefault="65D10910" w14:paraId="5B39A91D" w14:textId="027917A3">
      <w:pPr>
        <w:tabs>
          <w:tab w:val="left" w:pos="851"/>
        </w:tabs>
        <w:spacing w:after="0" w:line="276" w:lineRule="auto"/>
        <w:ind w:left="709"/>
        <w:rPr>
          <w:rFonts w:eastAsia="Arial" w:cs="Calibri"/>
          <w:b/>
          <w:bCs/>
        </w:rPr>
      </w:pPr>
    </w:p>
    <w:p w:rsidRPr="006C6B35" w:rsidR="00120D0D" w:rsidP="00120D0D" w:rsidRDefault="00120D0D" w14:paraId="6E27391A" w14:textId="4FF60C57">
      <w:pPr>
        <w:tabs>
          <w:tab w:val="left" w:pos="851"/>
        </w:tabs>
        <w:spacing w:after="0" w:line="276" w:lineRule="auto"/>
        <w:ind w:left="709"/>
        <w:rPr>
          <w:rFonts w:eastAsia="Arial" w:cs="Calibri"/>
          <w:b/>
        </w:rPr>
      </w:pPr>
      <w:r w:rsidRPr="006C6B35">
        <w:rPr>
          <w:rFonts w:eastAsia="Arial" w:cs="Calibri"/>
          <w:b/>
        </w:rPr>
        <w:t>Rentabilidad sobre Activos</w:t>
      </w:r>
      <w:r w:rsidRPr="006C6B35" w:rsidR="00E2591F">
        <w:rPr>
          <w:rFonts w:eastAsia="Arial" w:cs="Calibri"/>
          <w:b/>
        </w:rPr>
        <w:t xml:space="preserve"> para Mipymes</w:t>
      </w:r>
    </w:p>
    <w:p w:rsidRPr="006C6B35" w:rsidR="00120D0D" w:rsidP="00120D0D" w:rsidRDefault="00120D0D" w14:paraId="71C69613" w14:textId="77777777">
      <w:pPr>
        <w:tabs>
          <w:tab w:val="left" w:pos="851"/>
        </w:tabs>
        <w:spacing w:after="0" w:line="276" w:lineRule="auto"/>
        <w:ind w:left="709"/>
        <w:rPr>
          <w:rFonts w:eastAsia="Arial" w:cs="Calibri"/>
          <w:b/>
        </w:rPr>
      </w:pPr>
    </w:p>
    <w:p w:rsidRPr="006C6B35" w:rsidR="00120D0D" w:rsidP="00120D0D" w:rsidRDefault="00120D0D" w14:paraId="6A784C03" w14:textId="77777777">
      <w:pPr>
        <w:autoSpaceDE w:val="0"/>
        <w:autoSpaceDN w:val="0"/>
        <w:adjustRightInd w:val="0"/>
        <w:spacing w:after="0" w:line="276" w:lineRule="auto"/>
        <w:jc w:val="both"/>
        <w:rPr>
          <w:rFonts w:eastAsia="Arial" w:cs="Calibri"/>
        </w:rPr>
      </w:pPr>
      <w:r w:rsidRPr="4E1AD4DC">
        <w:rPr>
          <w:rFonts w:eastAsia="Arial" w:cs="Calibri"/>
        </w:rPr>
        <w:t xml:space="preserve">Determina la capacidad de generación de utilidad operacional por cada peso invertido en el activo. A mayor rentabilidad sobre activos, mayor es la rentabilidad del negocio y mejor la capacidad organizacional del proponente. </w:t>
      </w:r>
    </w:p>
    <w:p w:rsidR="4E1AD4DC" w:rsidP="4E1AD4DC" w:rsidRDefault="4E1AD4DC" w14:paraId="49B2A49A" w14:textId="0192940B">
      <w:pPr>
        <w:spacing w:after="0" w:line="276" w:lineRule="auto"/>
        <w:jc w:val="both"/>
      </w:pPr>
    </w:p>
    <w:p w:rsidRPr="006C6B35" w:rsidR="00120D0D" w:rsidP="4E1AD4DC" w:rsidRDefault="00120D0D" w14:paraId="24090BB3" w14:textId="77777777">
      <w:pPr>
        <w:spacing w:after="0" w:line="276" w:lineRule="auto"/>
        <w:jc w:val="both"/>
        <w:rPr>
          <w:rFonts w:eastAsia="Arial" w:cs="Calibri"/>
          <w:lang w:eastAsia="es-ES"/>
        </w:rPr>
      </w:pPr>
      <m:oMathPara>
        <m:oMath>
          <m:r>
            <m:rPr>
              <m:sty m:val="b"/>
            </m:rPr>
            <w:rPr>
              <w:rFonts w:ascii="Cambria Math" w:hAnsi="Cambria Math" w:cs="Arial"/>
            </w:rPr>
            <m:t>Rentabilidad sobre Activos =</m:t>
          </m:r>
          <m:f>
            <m:fPr>
              <m:ctrlPr>
                <w:rPr>
                  <w:rFonts w:ascii="Cambria Math" w:hAnsi="Cambria Math" w:cs="Arial"/>
                  <w:b/>
                </w:rPr>
              </m:ctrlPr>
            </m:fPr>
            <m:num>
              <m:r>
                <m:rPr>
                  <m:sty m:val="b"/>
                </m:rPr>
                <w:rPr>
                  <w:rFonts w:ascii="Cambria Math" w:hAnsi="Cambria Math" w:cs="Arial"/>
                </w:rPr>
                <m:t xml:space="preserve">Utilidad Operacional </m:t>
              </m:r>
            </m:num>
            <m:den>
              <m:r>
                <m:rPr>
                  <m:sty m:val="bi"/>
                </m:rPr>
                <w:rPr>
                  <w:rFonts w:ascii="Cambria Math" w:hAnsi="Cambria Math" w:cs="Arial"/>
                </w:rPr>
                <m:t>Activo</m:t>
              </m:r>
              <m:r>
                <m:rPr>
                  <m:sty m:val="b"/>
                </m:rPr>
                <w:rPr>
                  <w:rFonts w:ascii="Cambria Math" w:hAnsi="Cambria Math" w:cs="Arial"/>
                </w:rPr>
                <m:t xml:space="preserve"> </m:t>
              </m:r>
              <m:r>
                <m:rPr>
                  <m:sty m:val="bi"/>
                </m:rPr>
                <w:rPr>
                  <w:rFonts w:ascii="Cambria Math" w:hAnsi="Cambria Math" w:cs="Arial"/>
                </w:rPr>
                <m:t>Total</m:t>
              </m:r>
              <m:r>
                <m:rPr>
                  <m:sty m:val="b"/>
                </m:rPr>
                <w:rPr>
                  <w:rFonts w:ascii="Cambria Math" w:hAnsi="Cambria Math" w:cs="Arial"/>
                </w:rPr>
                <m:t xml:space="preserve">  </m:t>
              </m:r>
            </m:den>
          </m:f>
        </m:oMath>
      </m:oMathPara>
    </w:p>
    <w:p w:rsidRPr="006C6B35" w:rsidR="00120D0D" w:rsidP="65D10910" w:rsidRDefault="00120D0D" w14:paraId="14F98E24" w14:textId="77777777">
      <w:pPr>
        <w:tabs>
          <w:tab w:val="left" w:pos="6015"/>
        </w:tabs>
        <w:autoSpaceDE w:val="0"/>
        <w:autoSpaceDN w:val="0"/>
        <w:adjustRightInd w:val="0"/>
        <w:spacing w:after="0" w:line="276" w:lineRule="auto"/>
        <w:contextualSpacing/>
        <w:jc w:val="both"/>
        <w:rPr>
          <w:rFonts w:eastAsia="Arial" w:cs="Calibri"/>
        </w:rPr>
      </w:pPr>
      <w:r w:rsidRPr="006C6B35">
        <w:rPr>
          <w:rFonts w:eastAsia="Arial" w:cs="Calibri"/>
        </w:rPr>
        <w:tab/>
      </w:r>
    </w:p>
    <w:p w:rsidRPr="006C6B35" w:rsidR="00120D0D" w:rsidP="088477E0" w:rsidRDefault="19316E41" w14:paraId="03FD1303" w14:textId="2C94B1E9">
      <w:pPr>
        <w:autoSpaceDE w:val="0"/>
        <w:autoSpaceDN w:val="0"/>
        <w:adjustRightInd w:val="0"/>
        <w:spacing w:after="0" w:line="276" w:lineRule="auto"/>
        <w:jc w:val="both"/>
        <w:rPr>
          <w:rFonts w:eastAsia="Arial" w:cs="Calibri"/>
          <w:b/>
          <w:bCs/>
        </w:rPr>
      </w:pPr>
      <w:r w:rsidRPr="006C6B35">
        <w:rPr>
          <w:rFonts w:eastAsia="Arial" w:cs="Calibri"/>
        </w:rPr>
        <w:t xml:space="preserve">El indicador debe ser </w:t>
      </w:r>
      <w:r w:rsidRPr="006C6B35">
        <w:rPr>
          <w:rFonts w:eastAsia="Arial" w:cs="Calibri"/>
          <w:b/>
          <w:bCs/>
        </w:rPr>
        <w:t>igual o superior a</w:t>
      </w:r>
      <w:r w:rsidR="00C13564">
        <w:rPr>
          <w:rFonts w:eastAsia="Arial" w:cs="Calibri"/>
          <w:b/>
          <w:bCs/>
        </w:rPr>
        <w:t xml:space="preserve"> </w:t>
      </w:r>
      <w:r w:rsidRPr="006C6B35" w:rsidR="00C13564">
        <w:rPr>
          <w:rFonts w:eastAsia="Arial" w:cs="Calibri"/>
          <w:b/>
          <w:bCs/>
        </w:rPr>
        <w:t>a</w:t>
      </w:r>
      <w:r w:rsidR="00C13564">
        <w:rPr>
          <w:rFonts w:eastAsia="Arial" w:cs="Calibri"/>
          <w:b/>
          <w:bCs/>
        </w:rPr>
        <w:t xml:space="preserve"> </w:t>
      </w:r>
      <w:r w:rsidRPr="00291D1F" w:rsidR="00C13564">
        <w:rPr>
          <w:rFonts w:eastAsia="Arial" w:cs="Calibri"/>
          <w:b/>
          <w:bCs/>
        </w:rPr>
        <w:t>0.20 (Cero punto veinte)</w:t>
      </w:r>
      <w:r w:rsidRPr="006C6B35" w:rsidR="00C13564">
        <w:rPr>
          <w:rFonts w:eastAsia="Arial" w:cs="Calibri"/>
          <w:b/>
          <w:bCs/>
        </w:rPr>
        <w:t xml:space="preserve"> </w:t>
      </w:r>
      <w:r w:rsidRPr="006C6B35">
        <w:rPr>
          <w:rFonts w:eastAsia="Arial" w:cs="Calibri"/>
          <w:b/>
          <w:bCs/>
        </w:rPr>
        <w:t xml:space="preserve"> </w:t>
      </w:r>
    </w:p>
    <w:p w:rsidRPr="006C6B35" w:rsidR="00120D0D" w:rsidP="00120D0D" w:rsidRDefault="00120D0D" w14:paraId="1ECF1656" w14:textId="77777777">
      <w:pPr>
        <w:autoSpaceDE w:val="0"/>
        <w:autoSpaceDN w:val="0"/>
        <w:adjustRightInd w:val="0"/>
        <w:spacing w:after="0" w:line="276" w:lineRule="auto"/>
        <w:jc w:val="both"/>
        <w:rPr>
          <w:rFonts w:eastAsia="Arial" w:cs="Calibri"/>
        </w:rPr>
      </w:pPr>
    </w:p>
    <w:p w:rsidRPr="006C6B35" w:rsidR="00120D0D" w:rsidP="65D10910" w:rsidRDefault="00120D0D" w14:paraId="21900E23" w14:textId="1F12CE78">
      <w:pPr>
        <w:autoSpaceDE w:val="0"/>
        <w:autoSpaceDN w:val="0"/>
        <w:adjustRightInd w:val="0"/>
        <w:spacing w:after="0" w:line="276" w:lineRule="auto"/>
        <w:jc w:val="both"/>
        <w:rPr>
          <w:rFonts w:eastAsia="Arial" w:cs="Calibri"/>
        </w:rPr>
      </w:pPr>
      <w:r w:rsidRPr="006C6B35">
        <w:rPr>
          <w:rFonts w:eastAsia="Arial" w:cs="Calibri"/>
        </w:rPr>
        <w:t>Para el caso de Consorcios, uniones temporales o sociedades futuras la formula será la siguiente:</w:t>
      </w:r>
    </w:p>
    <w:p w:rsidRPr="006C6B35" w:rsidR="00120D0D" w:rsidP="65D10910" w:rsidRDefault="00120D0D" w14:paraId="12E74A58" w14:textId="74433B3F">
      <w:pPr>
        <w:autoSpaceDE w:val="0"/>
        <w:autoSpaceDN w:val="0"/>
        <w:adjustRightInd w:val="0"/>
        <w:spacing w:after="0" w:line="276" w:lineRule="auto"/>
        <w:jc w:val="both"/>
        <w:rPr>
          <w:rFonts w:cs="Calibri"/>
          <w:color w:val="000000" w:themeColor="text1"/>
          <w:lang w:val="es-ES"/>
        </w:rPr>
      </w:pPr>
    </w:p>
    <w:p w:rsidRPr="006C6B35" w:rsidR="00120D0D" w:rsidP="65D10910" w:rsidRDefault="48E723BD" w14:paraId="5435A6CC" w14:textId="60D72A62">
      <w:pPr>
        <w:autoSpaceDE w:val="0"/>
        <w:autoSpaceDN w:val="0"/>
        <w:adjustRightInd w:val="0"/>
        <w:spacing w:after="0" w:line="276" w:lineRule="auto"/>
        <w:jc w:val="center"/>
        <w:rPr>
          <w:rFonts w:cs="Calibri"/>
          <w:color w:val="000000" w:themeColor="text1"/>
        </w:rPr>
      </w:pPr>
      <w:r w:rsidRPr="006C6B35">
        <w:rPr>
          <w:noProof/>
        </w:rPr>
        <w:drawing>
          <wp:inline distT="0" distB="0" distL="0" distR="0" wp14:anchorId="509B1E13" wp14:editId="37A6FCEA">
            <wp:extent cx="4991102" cy="400050"/>
            <wp:effectExtent l="0" t="0" r="0" b="0"/>
            <wp:docPr id="1598202095" name="Imagen 159820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991102" cy="400050"/>
                    </a:xfrm>
                    <a:prstGeom prst="rect">
                      <a:avLst/>
                    </a:prstGeom>
                  </pic:spPr>
                </pic:pic>
              </a:graphicData>
            </a:graphic>
          </wp:inline>
        </w:drawing>
      </w:r>
    </w:p>
    <w:p w:rsidRPr="006C6B35" w:rsidR="00120D0D" w:rsidP="65D10910" w:rsidRDefault="00120D0D" w14:paraId="2F356F28" w14:textId="35CBF785">
      <w:pPr>
        <w:autoSpaceDE w:val="0"/>
        <w:autoSpaceDN w:val="0"/>
        <w:adjustRightInd w:val="0"/>
        <w:spacing w:after="0" w:line="276" w:lineRule="auto"/>
        <w:jc w:val="both"/>
        <w:rPr>
          <w:rFonts w:cs="Calibri"/>
          <w:color w:val="000000" w:themeColor="text1"/>
        </w:rPr>
      </w:pPr>
    </w:p>
    <w:p w:rsidRPr="006C6B35" w:rsidR="00120D0D" w:rsidP="00120D0D" w:rsidRDefault="00120D0D" w14:paraId="2FF62740" w14:textId="77777777">
      <w:pPr>
        <w:spacing w:after="0" w:line="276" w:lineRule="auto"/>
        <w:contextualSpacing/>
        <w:jc w:val="both"/>
        <w:rPr>
          <w:rFonts w:cs="Calibri"/>
          <w:b/>
          <w:bCs/>
          <w:u w:val="single"/>
        </w:rPr>
      </w:pPr>
      <w:r w:rsidRPr="006C6B35">
        <w:rPr>
          <w:rFonts w:cs="Calibri"/>
          <w:b/>
          <w:bCs/>
          <w:u w:val="single"/>
        </w:rPr>
        <w:t xml:space="preserve">Nota: Para efectos de los cálculos del Indicador financiero se utilizará la herramienta de EXCEL </w:t>
      </w:r>
    </w:p>
    <w:p w:rsidRPr="006C6B35" w:rsidR="00120D0D" w:rsidP="00120D0D" w:rsidRDefault="00120D0D" w14:paraId="114C944D" w14:textId="77777777">
      <w:pPr>
        <w:spacing w:after="0" w:line="276" w:lineRule="auto"/>
        <w:jc w:val="both"/>
        <w:rPr>
          <w:rFonts w:eastAsia="Arial" w:cs="Calibri"/>
        </w:rPr>
      </w:pPr>
    </w:p>
    <w:p w:rsidRPr="006C6B35" w:rsidR="00120D0D" w:rsidP="3AD4FA3D" w:rsidRDefault="00120D0D" w14:paraId="41E1FD7A" w14:textId="05B11DE7">
      <w:pPr>
        <w:pStyle w:val="Normal"/>
        <w:spacing w:after="0" w:line="276" w:lineRule="auto"/>
        <w:jc w:val="both"/>
        <w:rPr>
          <w:rFonts w:eastAsia="Arial" w:cs="Calibri"/>
        </w:rPr>
      </w:pPr>
      <w:r w:rsidRPr="3AD4FA3D" w:rsidR="00120D0D">
        <w:rPr>
          <w:rFonts w:eastAsia="Arial" w:cs="Calibri"/>
        </w:rPr>
        <w:t xml:space="preserve">Si el proponente presenta un indicador menor al exigido en el presente Pliego de Condiciones la oferta será </w:t>
      </w:r>
      <w:r w:rsidRPr="3AD4FA3D" w:rsidR="4810BCA8">
        <w:rPr>
          <w:rFonts w:cs="Calibri"/>
          <w:b w:val="1"/>
          <w:bCs w:val="1"/>
        </w:rPr>
        <w:t xml:space="preserve"> NO HABILITADA</w:t>
      </w:r>
      <w:r w:rsidRPr="3AD4FA3D" w:rsidR="00120D0D">
        <w:rPr>
          <w:rFonts w:eastAsia="Arial" w:cs="Calibri"/>
        </w:rPr>
        <w:t>.</w:t>
      </w:r>
    </w:p>
    <w:p w:rsidRPr="006C6B35" w:rsidR="00545E68" w:rsidP="00AC00A0" w:rsidRDefault="00545E68" w14:paraId="3F283957" w14:textId="77777777">
      <w:pPr>
        <w:spacing w:after="0" w:line="276" w:lineRule="auto"/>
        <w:jc w:val="both"/>
        <w:rPr>
          <w:rFonts w:eastAsia="Arial" w:cs="Calibri"/>
        </w:rPr>
      </w:pPr>
    </w:p>
    <w:p w:rsidRPr="006C6B35" w:rsidR="0065085C" w:rsidP="0065085C" w:rsidRDefault="0065085C" w14:paraId="3EEB750A" w14:textId="77777777">
      <w:pPr>
        <w:spacing w:after="0" w:line="276" w:lineRule="auto"/>
        <w:jc w:val="both"/>
        <w:rPr>
          <w:rFonts w:eastAsia="Times New Roman" w:cs="Calibri"/>
          <w:lang w:val="es-ES" w:eastAsia="es-ES"/>
        </w:rPr>
      </w:pPr>
      <w:r w:rsidRPr="006C6B35">
        <w:rPr>
          <w:rFonts w:eastAsia="Times New Roman" w:cs="Calibri"/>
          <w:b/>
          <w:bCs/>
          <w:lang w:val="es-ES" w:eastAsia="es-ES"/>
        </w:rPr>
        <w:t xml:space="preserve">NOTA: </w:t>
      </w:r>
      <w:r w:rsidRPr="006C6B35">
        <w:rPr>
          <w:rFonts w:eastAsia="Times New Roman" w:cs="Calibri"/>
          <w:lang w:val="es-ES" w:eastAsia="es-ES"/>
        </w:rPr>
        <w:t>El resultado del cálculo de todos los indicadores se evaluará teniendo en cuenta los dos (2) primeros decimales truncados. En caso de existir alguna diferencia en el cálculo del indicador en la hoja Excel frente a lo reportado en el RUP, se tomará la información registrada en este último.</w:t>
      </w:r>
    </w:p>
    <w:p w:rsidRPr="006C6B35" w:rsidR="00067DEA" w:rsidP="00AC00A0" w:rsidRDefault="00067DEA" w14:paraId="5E168ABF" w14:textId="341D14EF">
      <w:pPr>
        <w:spacing w:after="0" w:line="276" w:lineRule="auto"/>
        <w:jc w:val="both"/>
        <w:rPr>
          <w:rFonts w:eastAsia="Arial" w:cs="Calibri"/>
        </w:rPr>
      </w:pPr>
    </w:p>
    <w:p w:rsidRPr="006C6B35" w:rsidR="00E007A1" w:rsidP="00E007A1" w:rsidRDefault="00740A9F" w14:paraId="2D66770C" w14:textId="70BCFA98">
      <w:pPr>
        <w:tabs>
          <w:tab w:val="left" w:pos="851"/>
        </w:tabs>
        <w:spacing w:after="0" w:line="276" w:lineRule="auto"/>
        <w:jc w:val="both"/>
        <w:rPr>
          <w:rFonts w:eastAsia="Arial" w:cs="Calibri"/>
          <w:lang w:eastAsia="es-CO"/>
        </w:rPr>
      </w:pPr>
      <w:r w:rsidRPr="006C6B35">
        <w:rPr>
          <w:rFonts w:eastAsia="Arial" w:cs="Calibri"/>
        </w:rPr>
        <w:t xml:space="preserve">Para el caso de Consorcios, </w:t>
      </w:r>
      <w:r w:rsidRPr="006C6B35" w:rsidR="00134D77">
        <w:rPr>
          <w:rFonts w:eastAsia="Arial" w:cs="Calibri"/>
        </w:rPr>
        <w:t>U</w:t>
      </w:r>
      <w:r w:rsidRPr="006C6B35">
        <w:rPr>
          <w:rFonts w:eastAsia="Arial" w:cs="Calibri"/>
        </w:rPr>
        <w:t xml:space="preserve">niones </w:t>
      </w:r>
      <w:r w:rsidRPr="006C6B35" w:rsidR="00134D77">
        <w:rPr>
          <w:rFonts w:eastAsia="Arial" w:cs="Calibri"/>
        </w:rPr>
        <w:t>T</w:t>
      </w:r>
      <w:r w:rsidRPr="006C6B35">
        <w:rPr>
          <w:rFonts w:eastAsia="Arial" w:cs="Calibri"/>
        </w:rPr>
        <w:t>emporales o sociedades futuras</w:t>
      </w:r>
      <w:r w:rsidRPr="006C6B35" w:rsidR="0087731E">
        <w:rPr>
          <w:rFonts w:eastAsia="Arial" w:cs="Calibri"/>
        </w:rPr>
        <w:t xml:space="preserve"> </w:t>
      </w:r>
      <w:r w:rsidRPr="006C6B35" w:rsidR="00225FC0">
        <w:rPr>
          <w:rFonts w:eastAsia="Arial" w:cs="Calibri"/>
        </w:rPr>
        <w:t>en la</w:t>
      </w:r>
      <w:r w:rsidRPr="006C6B35" w:rsidR="00E007A1">
        <w:rPr>
          <w:rFonts w:eastAsia="Arial" w:cs="Calibri"/>
        </w:rPr>
        <w:t>s que</w:t>
      </w:r>
      <w:r w:rsidRPr="006C6B35" w:rsidR="00225FC0">
        <w:rPr>
          <w:rFonts w:eastAsia="Arial" w:cs="Calibri"/>
        </w:rPr>
        <w:t xml:space="preserve"> participe una </w:t>
      </w:r>
      <w:r w:rsidRPr="006C6B35" w:rsidR="00AC549E">
        <w:rPr>
          <w:rFonts w:eastAsia="Arial" w:cs="Calibri"/>
        </w:rPr>
        <w:t>MiPyme</w:t>
      </w:r>
      <w:r w:rsidRPr="006C6B35" w:rsidR="00225FC0">
        <w:rPr>
          <w:rFonts w:eastAsia="Arial" w:cs="Calibri"/>
        </w:rPr>
        <w:t>, los indicadores de capacidad organizacion</w:t>
      </w:r>
      <w:r w:rsidRPr="006C6B35" w:rsidR="00E007A1">
        <w:rPr>
          <w:rFonts w:eastAsia="Arial" w:cs="Calibri"/>
        </w:rPr>
        <w:t>al</w:t>
      </w:r>
      <w:r w:rsidRPr="006C6B35" w:rsidR="001814D7">
        <w:rPr>
          <w:rFonts w:eastAsia="Arial" w:cs="Calibri"/>
        </w:rPr>
        <w:t xml:space="preserve"> de </w:t>
      </w:r>
      <w:r w:rsidRPr="006C6B35" w:rsidR="00801781">
        <w:rPr>
          <w:rFonts w:eastAsia="Arial" w:cs="Calibri"/>
        </w:rPr>
        <w:t>éstas</w:t>
      </w:r>
      <w:r w:rsidRPr="006C6B35" w:rsidR="00E007A1">
        <w:rPr>
          <w:rFonts w:eastAsia="Arial" w:cs="Calibri"/>
        </w:rPr>
        <w:t xml:space="preserve"> serán evaluados </w:t>
      </w:r>
      <w:r w:rsidRPr="006C6B35" w:rsidR="00AC549E">
        <w:rPr>
          <w:rFonts w:eastAsia="Arial" w:cs="Calibri"/>
        </w:rPr>
        <w:t>de acuerdo con</w:t>
      </w:r>
      <w:r w:rsidRPr="006C6B35" w:rsidR="00E007A1">
        <w:rPr>
          <w:rFonts w:eastAsia="Arial" w:cs="Calibri"/>
        </w:rPr>
        <w:t xml:space="preserve"> lo establecido en el aparte denominado “</w:t>
      </w:r>
      <w:r w:rsidRPr="006C6B35" w:rsidR="00E007A1">
        <w:rPr>
          <w:rFonts w:eastAsia="Times New Roman" w:cs="Calibri"/>
          <w:b/>
          <w:i/>
          <w:iCs/>
          <w:lang w:eastAsia="es-CO"/>
        </w:rPr>
        <w:t xml:space="preserve">INDICADORES DIFERENCIALES DE </w:t>
      </w:r>
      <w:r w:rsidRPr="006C6B35" w:rsidR="00E007A1">
        <w:rPr>
          <w:rFonts w:eastAsia="Arial" w:cs="Calibri"/>
          <w:b/>
          <w:i/>
          <w:iCs/>
          <w:spacing w:val="4"/>
          <w:lang w:eastAsia="es-CO"/>
        </w:rPr>
        <w:t>CAPACIDAD ORGANIZACIONAL PARA MIPYMES”.</w:t>
      </w:r>
    </w:p>
    <w:p w:rsidRPr="006C6B35" w:rsidR="00774F36" w:rsidP="00AC00A0" w:rsidRDefault="00774F36" w14:paraId="089CE216" w14:textId="77777777">
      <w:pPr>
        <w:spacing w:after="0" w:line="276" w:lineRule="auto"/>
        <w:jc w:val="both"/>
        <w:rPr>
          <w:rFonts w:eastAsia="Arial" w:cs="Calibri"/>
        </w:rPr>
      </w:pPr>
    </w:p>
    <w:p w:rsidRPr="006C6B35" w:rsidR="00DA002A" w:rsidP="00AC00A0" w:rsidRDefault="00DA002A" w14:paraId="082A6D6F" w14:textId="77777777">
      <w:pPr>
        <w:widowControl w:val="0"/>
        <w:autoSpaceDE w:val="0"/>
        <w:autoSpaceDN w:val="0"/>
        <w:spacing w:after="0" w:line="276" w:lineRule="auto"/>
        <w:jc w:val="both"/>
        <w:rPr>
          <w:rFonts w:cs="Calibri"/>
          <w:b/>
          <w:color w:val="000000"/>
          <w:spacing w:val="6"/>
        </w:rPr>
      </w:pPr>
      <w:r w:rsidRPr="006C6B35">
        <w:rPr>
          <w:rFonts w:cs="Calibri"/>
          <w:b/>
          <w:color w:val="000000"/>
          <w:spacing w:val="6"/>
        </w:rPr>
        <w:t xml:space="preserve">INFORMACIÓN </w:t>
      </w:r>
      <w:r w:rsidRPr="006C6B35">
        <w:rPr>
          <w:rFonts w:cs="Calibri"/>
          <w:b/>
          <w:bCs/>
          <w:color w:val="000000"/>
        </w:rPr>
        <w:t>FINANCIERA</w:t>
      </w:r>
      <w:r w:rsidRPr="006C6B35">
        <w:rPr>
          <w:rFonts w:cs="Calibri"/>
          <w:b/>
          <w:color w:val="000000"/>
          <w:spacing w:val="6"/>
        </w:rPr>
        <w:t xml:space="preserve"> PARA </w:t>
      </w:r>
      <w:r w:rsidRPr="006C6B35">
        <w:rPr>
          <w:rFonts w:cs="Calibri"/>
          <w:b/>
          <w:color w:val="000000"/>
        </w:rPr>
        <w:t>PROPONENTES</w:t>
      </w:r>
      <w:r w:rsidRPr="006C6B35">
        <w:rPr>
          <w:rFonts w:cs="Calibri"/>
          <w:b/>
          <w:color w:val="000000"/>
          <w:spacing w:val="6"/>
        </w:rPr>
        <w:t xml:space="preserve"> EXTRANJEROS </w:t>
      </w:r>
    </w:p>
    <w:p w:rsidRPr="006C6B35" w:rsidR="00DA002A" w:rsidP="00AC00A0" w:rsidRDefault="00DA002A" w14:paraId="5EB4FB9C" w14:textId="77777777">
      <w:pPr>
        <w:spacing w:after="0" w:line="276" w:lineRule="auto"/>
        <w:rPr>
          <w:rFonts w:eastAsia="Times New Roman" w:cs="Calibri"/>
          <w:color w:val="000000"/>
          <w:lang w:eastAsia="es-ES"/>
        </w:rPr>
      </w:pPr>
    </w:p>
    <w:p w:rsidRPr="006C6B35" w:rsidR="00DA002A" w:rsidP="00AC00A0" w:rsidRDefault="00DA002A" w14:paraId="60258A07" w14:textId="77777777">
      <w:pPr>
        <w:widowControl w:val="0"/>
        <w:autoSpaceDE w:val="0"/>
        <w:autoSpaceDN w:val="0"/>
        <w:spacing w:after="0" w:line="276" w:lineRule="auto"/>
        <w:jc w:val="both"/>
        <w:rPr>
          <w:rFonts w:cs="Calibri"/>
          <w:b/>
          <w:color w:val="000000"/>
        </w:rPr>
      </w:pPr>
      <w:r w:rsidRPr="006C6B35">
        <w:rPr>
          <w:rFonts w:cs="Calibri"/>
          <w:b/>
          <w:color w:val="000000"/>
        </w:rPr>
        <w:t>Estad</w:t>
      </w:r>
      <w:r w:rsidRPr="006C6B35">
        <w:rPr>
          <w:rFonts w:cs="Calibri"/>
          <w:b/>
          <w:color w:val="000000"/>
          <w:spacing w:val="-1"/>
        </w:rPr>
        <w:t>o</w:t>
      </w:r>
      <w:r w:rsidRPr="006C6B35">
        <w:rPr>
          <w:rFonts w:cs="Calibri"/>
          <w:b/>
          <w:color w:val="000000"/>
        </w:rPr>
        <w:t>s Financieros</w:t>
      </w:r>
    </w:p>
    <w:p w:rsidRPr="006C6B35" w:rsidR="00DA002A" w:rsidP="00AC00A0" w:rsidRDefault="00DA002A" w14:paraId="1B2D2023" w14:textId="77777777">
      <w:pPr>
        <w:spacing w:after="0" w:line="276" w:lineRule="auto"/>
        <w:rPr>
          <w:rFonts w:eastAsia="Times New Roman" w:cs="Calibri"/>
          <w:color w:val="000000"/>
          <w:lang w:eastAsia="es-ES"/>
        </w:rPr>
      </w:pPr>
    </w:p>
    <w:p w:rsidRPr="006C6B35" w:rsidR="00110C82" w:rsidP="00E261D2" w:rsidRDefault="00DA002A" w14:paraId="3E815AAB" w14:textId="77777777">
      <w:pPr>
        <w:spacing w:after="0" w:line="276" w:lineRule="auto"/>
        <w:jc w:val="both"/>
        <w:rPr>
          <w:rFonts w:eastAsia="Arial" w:cs="Calibri"/>
          <w:bCs/>
          <w:color w:val="000000"/>
          <w:lang w:eastAsia="es-CO" w:bidi="es-CO"/>
        </w:rPr>
      </w:pPr>
      <w:r w:rsidRPr="006C6B35">
        <w:rPr>
          <w:rFonts w:eastAsia="Times New Roman" w:cs="Calibri"/>
          <w:color w:val="000000"/>
          <w:shd w:val="clear" w:color="auto" w:fill="FFFFFF"/>
          <w:lang w:eastAsia="es-ES"/>
        </w:rPr>
        <w:t>Los proponentes extranjeros que de acuerdo con las normas aplicables aprueben sus estados financieros</w:t>
      </w:r>
      <w:r w:rsidRPr="006C6B35" w:rsidR="002146E3">
        <w:rPr>
          <w:rFonts w:eastAsia="Times New Roman" w:cs="Calibri"/>
          <w:color w:val="000000"/>
          <w:shd w:val="clear" w:color="auto" w:fill="FFFFFF"/>
          <w:lang w:eastAsia="es-ES"/>
        </w:rPr>
        <w:t xml:space="preserve"> auditados con corte a 31 de diciembre en un fecha posterior al quinto día hábil del mes de abril, pueden presentar sus estados financieros a 31 de diciembre suscritos por el representante legal</w:t>
      </w:r>
      <w:r w:rsidRPr="006C6B35">
        <w:rPr>
          <w:rFonts w:eastAsia="Times New Roman" w:cs="Calibri"/>
          <w:color w:val="000000"/>
          <w:shd w:val="clear" w:color="auto" w:fill="FFFFFF"/>
          <w:lang w:eastAsia="es-ES"/>
        </w:rPr>
        <w:t xml:space="preserve"> junto con un pre informe de auditoría en el cual el auditor o el revisor fiscal certifique que: (a) la información financiera presentada a la Entidad Estatal es la entregada al auditor o revisor fiscal para cumplir su función de auditoría; y (b) el proponente en forma regular y para ejercicios contables anteriores ha adoptado normas y principios de contabilidad generalmente aceptados para preparar su información y estados financieros. Esta disposición también es aplicable para la información que el proponente en estas condiciones debe presentar para inscribirse o renovar su inscripción en el RUP de acuerdo con el artículo 2.2.1.1.1.5.2</w:t>
      </w:r>
      <w:r w:rsidRPr="006C6B35" w:rsidR="006F54B2">
        <w:rPr>
          <w:rFonts w:eastAsia="Times New Roman" w:cs="Calibri"/>
          <w:color w:val="000000"/>
          <w:shd w:val="clear" w:color="auto" w:fill="FFFFFF"/>
          <w:lang w:eastAsia="es-ES"/>
        </w:rPr>
        <w:t xml:space="preserve">. </w:t>
      </w:r>
      <w:r w:rsidRPr="006C6B35">
        <w:rPr>
          <w:rFonts w:eastAsia="Times New Roman" w:cs="Calibri"/>
          <w:color w:val="000000"/>
          <w:shd w:val="clear" w:color="auto" w:fill="FFFFFF"/>
          <w:lang w:eastAsia="es-ES"/>
        </w:rPr>
        <w:t>Esta información debe ser actualizada llegada la fecha máxima de actualización de acuerdo con la legislación del país de origen</w:t>
      </w:r>
      <w:r w:rsidRPr="006C6B35">
        <w:rPr>
          <w:rFonts w:eastAsia="Times New Roman" w:cs="Calibri"/>
          <w:color w:val="000000"/>
          <w:shd w:val="clear" w:color="auto" w:fill="FFFFFF"/>
          <w:vertAlign w:val="superscript"/>
          <w:lang w:eastAsia="es-ES"/>
        </w:rPr>
        <w:footnoteReference w:id="2"/>
      </w:r>
      <w:r w:rsidRPr="006C6B35">
        <w:rPr>
          <w:rFonts w:eastAsia="Times New Roman" w:cs="Calibri"/>
          <w:color w:val="000000"/>
          <w:shd w:val="clear" w:color="auto" w:fill="FFFFFF"/>
          <w:lang w:eastAsia="es-ES"/>
        </w:rPr>
        <w:t>.</w:t>
      </w:r>
      <w:r w:rsidRPr="006C6B35" w:rsidR="00E261D2">
        <w:rPr>
          <w:rFonts w:eastAsia="Times New Roman" w:cs="Calibri"/>
          <w:color w:val="000000"/>
          <w:shd w:val="clear" w:color="auto" w:fill="FFFFFF"/>
          <w:lang w:eastAsia="es-ES"/>
        </w:rPr>
        <w:t xml:space="preserve"> </w:t>
      </w:r>
      <w:r w:rsidRPr="006C6B35" w:rsidR="00E261D2">
        <w:rPr>
          <w:rFonts w:eastAsia="Arial" w:cs="Calibri"/>
          <w:bCs/>
          <w:color w:val="000000"/>
          <w:lang w:eastAsia="es-CO" w:bidi="es-CO"/>
        </w:rPr>
        <w:t xml:space="preserve">Se tendrá en cuenta la información vigente y en firme en el RUP que se refleje en el registro de cada proponente. </w:t>
      </w:r>
    </w:p>
    <w:p w:rsidRPr="006C6B35" w:rsidR="00110C82" w:rsidP="00E261D2" w:rsidRDefault="00110C82" w14:paraId="64492EE3" w14:textId="77777777">
      <w:pPr>
        <w:spacing w:after="0" w:line="276" w:lineRule="auto"/>
        <w:jc w:val="both"/>
        <w:rPr>
          <w:rFonts w:eastAsia="Arial" w:cs="Calibri"/>
          <w:bCs/>
          <w:color w:val="000000"/>
          <w:lang w:eastAsia="es-CO" w:bidi="es-CO"/>
        </w:rPr>
      </w:pPr>
    </w:p>
    <w:p w:rsidRPr="006C6B35" w:rsidR="00E261D2" w:rsidP="00E261D2" w:rsidRDefault="00E261D2" w14:paraId="4505BBEE" w14:textId="038018EF">
      <w:pPr>
        <w:spacing w:after="0" w:line="276" w:lineRule="auto"/>
        <w:jc w:val="both"/>
        <w:rPr>
          <w:rFonts w:eastAsia="Arial" w:cs="Calibri"/>
          <w:bCs/>
          <w:color w:val="000000"/>
          <w:lang w:eastAsia="es-CO" w:bidi="es-CO"/>
        </w:rPr>
      </w:pPr>
      <w:r w:rsidRPr="006C6B35">
        <w:rPr>
          <w:rFonts w:eastAsia="Arial" w:cs="Calibri"/>
          <w:bCs/>
          <w:color w:val="000000"/>
          <w:lang w:eastAsia="es-CO" w:bidi="es-CO"/>
        </w:rPr>
        <w:t>El RUP Deberá haber sido expedido con fecha no mayor a treinta (30) días anteriores a la fecha de cierre del proceso. En el caso de los Consorcios o Uniones Temporales, cada uno de sus integrantes deberá cumplir esta condición.</w:t>
      </w:r>
    </w:p>
    <w:p w:rsidRPr="006C6B35" w:rsidR="00DA002A" w:rsidP="00AC00A0" w:rsidRDefault="00DA002A" w14:paraId="23AF9B29" w14:textId="77777777">
      <w:pPr>
        <w:spacing w:after="0" w:line="276" w:lineRule="auto"/>
        <w:jc w:val="both"/>
        <w:rPr>
          <w:rFonts w:eastAsia="Times New Roman" w:cs="Calibri"/>
          <w:color w:val="000000"/>
          <w:shd w:val="clear" w:color="auto" w:fill="FFFFFF"/>
          <w:lang w:eastAsia="es-ES"/>
        </w:rPr>
      </w:pPr>
    </w:p>
    <w:p w:rsidRPr="006C6B35" w:rsidR="00DA002A" w:rsidP="00AC00A0" w:rsidRDefault="00DA002A" w14:paraId="22E045CB" w14:textId="77777777">
      <w:pPr>
        <w:spacing w:after="0" w:line="276" w:lineRule="auto"/>
        <w:jc w:val="both"/>
        <w:rPr>
          <w:rFonts w:eastAsia="Times New Roman" w:cs="Calibri"/>
          <w:color w:val="000000"/>
          <w:shd w:val="clear" w:color="auto" w:fill="FFFFFF"/>
          <w:lang w:eastAsia="es-ES"/>
        </w:rPr>
      </w:pPr>
      <w:r w:rsidRPr="006C6B35">
        <w:rPr>
          <w:rFonts w:eastAsia="Times New Roman" w:cs="Calibri"/>
          <w:color w:val="000000"/>
          <w:shd w:val="clear" w:color="auto" w:fill="FFFFFF"/>
          <w:lang w:eastAsia="es-ES"/>
        </w:rPr>
        <w:t>En la medida en que el Decreto 1082 de 2015 indica que los estados financieros deben ser presentados de conformidad con las normas aplicables en el país que son emitidos, si la regulación del país de origen no prevé que los estados financieros deban ser auditados o la empresa se encuentra cobijada por alguna excepción a esta obligación, no será necesario presentar los estados financieros auditados. Así las cosas, las empresas extranjeras con sucursal en Colombia deberán actualizar su información financiera una vez vencidos los plazos respectivos en sus propios países, o de lo contrario perderá su validez</w:t>
      </w:r>
      <w:r w:rsidRPr="006C6B35">
        <w:rPr>
          <w:rFonts w:eastAsia="Times New Roman" w:cs="Calibri"/>
          <w:color w:val="000000"/>
          <w:shd w:val="clear" w:color="auto" w:fill="FFFFFF"/>
          <w:vertAlign w:val="superscript"/>
          <w:lang w:eastAsia="es-ES"/>
        </w:rPr>
        <w:footnoteReference w:id="3"/>
      </w:r>
      <w:r w:rsidRPr="006C6B35">
        <w:rPr>
          <w:rFonts w:eastAsia="Times New Roman" w:cs="Calibri"/>
          <w:color w:val="000000"/>
          <w:shd w:val="clear" w:color="auto" w:fill="FFFFFF"/>
          <w:lang w:eastAsia="es-ES"/>
        </w:rPr>
        <w:t>.</w:t>
      </w:r>
    </w:p>
    <w:p w:rsidRPr="006C6B35" w:rsidR="00DA002A" w:rsidP="00AC00A0" w:rsidRDefault="00DA002A" w14:paraId="10E244AE" w14:textId="16AEFBB4">
      <w:pPr>
        <w:spacing w:after="0" w:line="276" w:lineRule="auto"/>
        <w:jc w:val="both"/>
        <w:rPr>
          <w:rFonts w:eastAsia="Times New Roman" w:cs="Calibri"/>
          <w:color w:val="000000"/>
        </w:rPr>
      </w:pPr>
    </w:p>
    <w:p w:rsidRPr="006C6B35" w:rsidR="003971EB" w:rsidP="003971EB" w:rsidRDefault="003971EB" w14:paraId="1FE8A44A" w14:textId="77777777">
      <w:pPr>
        <w:spacing w:after="0" w:line="276" w:lineRule="auto"/>
        <w:jc w:val="both"/>
        <w:rPr>
          <w:rFonts w:eastAsia="Arial" w:cs="Calibri"/>
          <w:bCs/>
          <w:color w:val="000000"/>
          <w:lang w:eastAsia="es-CO" w:bidi="es-CO"/>
        </w:rPr>
      </w:pPr>
      <w:r w:rsidRPr="006C6B35">
        <w:rPr>
          <w:rFonts w:eastAsia="Arial" w:cs="Calibri"/>
          <w:b/>
          <w:color w:val="000000"/>
          <w:lang w:eastAsia="es-CO" w:bidi="es-CO"/>
        </w:rPr>
        <w:t>Moneda</w:t>
      </w:r>
      <w:r w:rsidRPr="006C6B35">
        <w:rPr>
          <w:rFonts w:eastAsia="Arial" w:cs="Calibri"/>
          <w:bCs/>
          <w:color w:val="000000"/>
          <w:lang w:eastAsia="es-CO" w:bidi="es-CO"/>
        </w:rPr>
        <w:t xml:space="preserve"> –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rsidRPr="006C6B35" w:rsidR="003971EB" w:rsidP="00AC00A0" w:rsidRDefault="003971EB" w14:paraId="51FADC77" w14:textId="77777777">
      <w:pPr>
        <w:spacing w:after="0" w:line="276" w:lineRule="auto"/>
        <w:jc w:val="both"/>
        <w:rPr>
          <w:rFonts w:eastAsia="Times New Roman" w:cs="Calibri"/>
          <w:color w:val="000000"/>
        </w:rPr>
      </w:pPr>
    </w:p>
    <w:p w:rsidRPr="006C6B35" w:rsidR="00DA002A" w:rsidP="00AC00A0" w:rsidRDefault="00DA002A" w14:paraId="53718912" w14:textId="77777777">
      <w:pPr>
        <w:spacing w:after="0" w:line="276" w:lineRule="auto"/>
        <w:jc w:val="both"/>
        <w:rPr>
          <w:rFonts w:eastAsia="Times New Roman" w:cs="Calibri"/>
          <w:color w:val="000000"/>
          <w:lang w:eastAsia="es-ES"/>
        </w:rPr>
      </w:pPr>
      <w:r w:rsidRPr="006C6B35">
        <w:rPr>
          <w:rFonts w:eastAsia="Times New Roman" w:cs="Calibri"/>
          <w:color w:val="000000"/>
          <w:lang w:eastAsia="es-ES"/>
        </w:rPr>
        <w:t>Las cifras contenidas en los estados financieros deben expresar la moneda en la cual se presentan. Para la conversión a pesos colombianos se hará la conversión a la tasa representativa de mercado de la fecha a la cual se realice el corte del Balance General y del estado de resultados o sus similares</w:t>
      </w:r>
      <w:r w:rsidRPr="006C6B35">
        <w:rPr>
          <w:rFonts w:eastAsia="Times New Roman" w:cs="Calibri"/>
          <w:color w:val="000000"/>
          <w:vertAlign w:val="superscript"/>
          <w:lang w:eastAsia="es-ES"/>
        </w:rPr>
        <w:footnoteReference w:id="4"/>
      </w:r>
      <w:r w:rsidRPr="006C6B35">
        <w:rPr>
          <w:rFonts w:eastAsia="Times New Roman" w:cs="Calibri"/>
          <w:color w:val="000000"/>
          <w:lang w:eastAsia="es-ES"/>
        </w:rPr>
        <w:t>.</w:t>
      </w:r>
    </w:p>
    <w:p w:rsidRPr="006C6B35" w:rsidR="00C35036" w:rsidP="00AC00A0" w:rsidRDefault="00C35036" w14:paraId="45A46AC7" w14:textId="77777777">
      <w:pPr>
        <w:spacing w:after="0" w:line="276" w:lineRule="auto"/>
        <w:jc w:val="both"/>
        <w:rPr>
          <w:rFonts w:eastAsia="Arial" w:cs="Calibri"/>
          <w:b/>
        </w:rPr>
      </w:pPr>
    </w:p>
    <w:p w:rsidRPr="006C6B35" w:rsidR="00DA002A" w:rsidP="00AC00A0" w:rsidRDefault="00DA002A" w14:paraId="4FA13C11" w14:textId="77777777">
      <w:pPr>
        <w:spacing w:after="0" w:line="276" w:lineRule="auto"/>
        <w:jc w:val="both"/>
        <w:rPr>
          <w:rFonts w:eastAsia="Arial" w:cs="Calibri"/>
          <w:b/>
        </w:rPr>
      </w:pPr>
      <w:r w:rsidRPr="006C6B35">
        <w:rPr>
          <w:rFonts w:eastAsia="Arial" w:cs="Calibri"/>
          <w:b/>
        </w:rPr>
        <w:t>Ce</w:t>
      </w:r>
      <w:r w:rsidRPr="006C6B35">
        <w:rPr>
          <w:rFonts w:eastAsia="Arial" w:cs="Calibri"/>
          <w:b/>
          <w:spacing w:val="-1"/>
        </w:rPr>
        <w:t>r</w:t>
      </w:r>
      <w:r w:rsidRPr="006C6B35">
        <w:rPr>
          <w:rFonts w:eastAsia="Arial" w:cs="Calibri"/>
          <w:b/>
        </w:rPr>
        <w:t>tificaci</w:t>
      </w:r>
      <w:r w:rsidRPr="006C6B35">
        <w:rPr>
          <w:rFonts w:eastAsia="Arial" w:cs="Calibri"/>
          <w:b/>
          <w:spacing w:val="-1"/>
        </w:rPr>
        <w:t>ó</w:t>
      </w:r>
      <w:r w:rsidRPr="006C6B35">
        <w:rPr>
          <w:rFonts w:eastAsia="Arial" w:cs="Calibri"/>
          <w:b/>
        </w:rPr>
        <w:t>n</w:t>
      </w:r>
      <w:r w:rsidRPr="006C6B35">
        <w:rPr>
          <w:rFonts w:eastAsia="Arial" w:cs="Calibri"/>
          <w:b/>
          <w:spacing w:val="-1"/>
        </w:rPr>
        <w:t xml:space="preserve"> </w:t>
      </w:r>
      <w:r w:rsidRPr="006C6B35">
        <w:rPr>
          <w:rFonts w:eastAsia="Arial" w:cs="Calibri"/>
          <w:b/>
        </w:rPr>
        <w:t>de Contad</w:t>
      </w:r>
      <w:r w:rsidRPr="006C6B35">
        <w:rPr>
          <w:rFonts w:eastAsia="Arial" w:cs="Calibri"/>
          <w:b/>
          <w:spacing w:val="-1"/>
        </w:rPr>
        <w:t>o</w:t>
      </w:r>
      <w:r w:rsidRPr="006C6B35">
        <w:rPr>
          <w:rFonts w:eastAsia="Arial" w:cs="Calibri"/>
          <w:b/>
        </w:rPr>
        <w:t>r Público</w:t>
      </w:r>
    </w:p>
    <w:p w:rsidRPr="006C6B35" w:rsidR="00DA002A" w:rsidP="00AC00A0" w:rsidRDefault="00DA002A" w14:paraId="0EF7CF3C" w14:textId="77777777">
      <w:pPr>
        <w:widowControl w:val="0"/>
        <w:autoSpaceDE w:val="0"/>
        <w:autoSpaceDN w:val="0"/>
        <w:adjustRightInd w:val="0"/>
        <w:spacing w:after="0" w:line="276" w:lineRule="auto"/>
        <w:jc w:val="both"/>
        <w:rPr>
          <w:rFonts w:eastAsia="Arial" w:cs="Calibri"/>
        </w:rPr>
      </w:pPr>
      <w:r w:rsidRPr="006C6B35">
        <w:rPr>
          <w:rFonts w:eastAsia="Arial" w:cs="Calibri"/>
        </w:rPr>
        <w:t xml:space="preserve">Los estados financieros de personas naturales o jurídicas que no tengan residencia ni domicilio en </w:t>
      </w:r>
      <w:r w:rsidRPr="006C6B35">
        <w:rPr>
          <w:rFonts w:eastAsia="Arial" w:cs="Calibri"/>
        </w:rPr>
        <w:t>Colombia deberán venir acompañados de una certificación de Contador Público inscrito en la Junta Central de Contadores de Colombia, en la cual se certifique que se confirmó la veracidad de la información contenida en los estados financieros presentados, y de acuerdo con la misma se informe los siguientes ítems en pesos colombianos:</w:t>
      </w:r>
    </w:p>
    <w:p w:rsidRPr="006C6B35" w:rsidR="00DA002A" w:rsidP="00AC00A0" w:rsidRDefault="00DA002A" w14:paraId="53D5F80E" w14:textId="77777777">
      <w:pPr>
        <w:numPr>
          <w:ilvl w:val="0"/>
          <w:numId w:val="8"/>
        </w:numPr>
        <w:autoSpaceDE w:val="0"/>
        <w:autoSpaceDN w:val="0"/>
        <w:adjustRightInd w:val="0"/>
        <w:spacing w:after="0" w:line="276" w:lineRule="auto"/>
        <w:ind w:left="709"/>
        <w:jc w:val="both"/>
        <w:rPr>
          <w:rFonts w:eastAsia="Arial" w:cs="Calibri"/>
        </w:rPr>
      </w:pPr>
      <w:r w:rsidRPr="006C6B35">
        <w:rPr>
          <w:rFonts w:eastAsia="Arial" w:cs="Calibri"/>
        </w:rPr>
        <w:t>Fecha de corte de los estados financieros</w:t>
      </w:r>
    </w:p>
    <w:p w:rsidRPr="006C6B35" w:rsidR="00DA002A" w:rsidP="00AC00A0" w:rsidRDefault="00DA002A" w14:paraId="529A00F5" w14:textId="77777777">
      <w:pPr>
        <w:numPr>
          <w:ilvl w:val="0"/>
          <w:numId w:val="8"/>
        </w:numPr>
        <w:autoSpaceDE w:val="0"/>
        <w:autoSpaceDN w:val="0"/>
        <w:adjustRightInd w:val="0"/>
        <w:spacing w:after="0" w:line="276" w:lineRule="auto"/>
        <w:ind w:left="709"/>
        <w:jc w:val="both"/>
        <w:rPr>
          <w:rFonts w:eastAsia="Arial" w:cs="Calibri"/>
        </w:rPr>
      </w:pPr>
      <w:r w:rsidRPr="006C6B35">
        <w:rPr>
          <w:rFonts w:eastAsia="Arial" w:cs="Calibri"/>
        </w:rPr>
        <w:t>Activo total</w:t>
      </w:r>
    </w:p>
    <w:p w:rsidRPr="006C6B35" w:rsidR="00DA002A" w:rsidP="00AC00A0" w:rsidRDefault="00DA002A" w14:paraId="7923A8F7" w14:textId="77777777">
      <w:pPr>
        <w:numPr>
          <w:ilvl w:val="0"/>
          <w:numId w:val="8"/>
        </w:numPr>
        <w:autoSpaceDE w:val="0"/>
        <w:autoSpaceDN w:val="0"/>
        <w:adjustRightInd w:val="0"/>
        <w:spacing w:after="0" w:line="276" w:lineRule="auto"/>
        <w:ind w:left="709"/>
        <w:jc w:val="both"/>
        <w:rPr>
          <w:rFonts w:eastAsia="Arial" w:cs="Calibri"/>
        </w:rPr>
      </w:pPr>
      <w:r w:rsidRPr="006C6B35">
        <w:rPr>
          <w:rFonts w:eastAsia="Arial" w:cs="Calibri"/>
        </w:rPr>
        <w:t>Activo corriente</w:t>
      </w:r>
    </w:p>
    <w:p w:rsidRPr="006C6B35" w:rsidR="00DA002A" w:rsidP="00AC00A0" w:rsidRDefault="00DA002A" w14:paraId="6816167F" w14:textId="77777777">
      <w:pPr>
        <w:numPr>
          <w:ilvl w:val="0"/>
          <w:numId w:val="8"/>
        </w:numPr>
        <w:autoSpaceDE w:val="0"/>
        <w:autoSpaceDN w:val="0"/>
        <w:adjustRightInd w:val="0"/>
        <w:spacing w:after="0" w:line="276" w:lineRule="auto"/>
        <w:ind w:left="709"/>
        <w:jc w:val="both"/>
        <w:rPr>
          <w:rFonts w:eastAsia="Arial" w:cs="Calibri"/>
        </w:rPr>
      </w:pPr>
      <w:r w:rsidRPr="006C6B35">
        <w:rPr>
          <w:rFonts w:eastAsia="Arial" w:cs="Calibri"/>
        </w:rPr>
        <w:t>Pasivo corriente</w:t>
      </w:r>
    </w:p>
    <w:p w:rsidRPr="006C6B35" w:rsidR="00DA002A" w:rsidP="00AC00A0" w:rsidRDefault="00DA002A" w14:paraId="3269EF43" w14:textId="77777777">
      <w:pPr>
        <w:numPr>
          <w:ilvl w:val="0"/>
          <w:numId w:val="8"/>
        </w:numPr>
        <w:autoSpaceDE w:val="0"/>
        <w:autoSpaceDN w:val="0"/>
        <w:adjustRightInd w:val="0"/>
        <w:spacing w:after="0" w:line="276" w:lineRule="auto"/>
        <w:ind w:left="709"/>
        <w:jc w:val="both"/>
        <w:rPr>
          <w:rFonts w:eastAsia="Arial" w:cs="Calibri"/>
        </w:rPr>
      </w:pPr>
      <w:r w:rsidRPr="006C6B35">
        <w:rPr>
          <w:rFonts w:eastAsia="Arial" w:cs="Calibri"/>
        </w:rPr>
        <w:t>Pasivo total</w:t>
      </w:r>
    </w:p>
    <w:p w:rsidRPr="006C6B35" w:rsidR="00DA002A" w:rsidP="00AC00A0" w:rsidRDefault="00DA002A" w14:paraId="250CB11D" w14:textId="77777777">
      <w:pPr>
        <w:numPr>
          <w:ilvl w:val="0"/>
          <w:numId w:val="8"/>
        </w:numPr>
        <w:autoSpaceDE w:val="0"/>
        <w:autoSpaceDN w:val="0"/>
        <w:adjustRightInd w:val="0"/>
        <w:spacing w:after="0" w:line="276" w:lineRule="auto"/>
        <w:ind w:left="709"/>
        <w:jc w:val="both"/>
        <w:rPr>
          <w:rFonts w:eastAsia="Arial" w:cs="Calibri"/>
        </w:rPr>
      </w:pPr>
      <w:r w:rsidRPr="006C6B35">
        <w:rPr>
          <w:rFonts w:eastAsia="Arial" w:cs="Calibri"/>
        </w:rPr>
        <w:t>Patrimonio</w:t>
      </w:r>
    </w:p>
    <w:p w:rsidRPr="006C6B35" w:rsidR="00DA002A" w:rsidP="00AC00A0" w:rsidRDefault="00DA002A" w14:paraId="72F35BDB" w14:textId="77777777">
      <w:pPr>
        <w:numPr>
          <w:ilvl w:val="0"/>
          <w:numId w:val="8"/>
        </w:numPr>
        <w:autoSpaceDE w:val="0"/>
        <w:autoSpaceDN w:val="0"/>
        <w:adjustRightInd w:val="0"/>
        <w:spacing w:after="0" w:line="276" w:lineRule="auto"/>
        <w:ind w:left="709"/>
        <w:jc w:val="both"/>
        <w:rPr>
          <w:rFonts w:eastAsia="Arial" w:cs="Calibri"/>
        </w:rPr>
      </w:pPr>
      <w:r w:rsidRPr="006C6B35">
        <w:rPr>
          <w:rFonts w:eastAsia="Arial" w:cs="Calibri"/>
        </w:rPr>
        <w:t>Utilidad Operacional</w:t>
      </w:r>
    </w:p>
    <w:p w:rsidRPr="006C6B35" w:rsidR="00DA002A" w:rsidP="00AC00A0" w:rsidRDefault="00DA002A" w14:paraId="7D17D4D8" w14:textId="77777777">
      <w:pPr>
        <w:numPr>
          <w:ilvl w:val="0"/>
          <w:numId w:val="8"/>
        </w:numPr>
        <w:autoSpaceDE w:val="0"/>
        <w:autoSpaceDN w:val="0"/>
        <w:adjustRightInd w:val="0"/>
        <w:spacing w:after="0" w:line="276" w:lineRule="auto"/>
        <w:ind w:left="709"/>
        <w:jc w:val="both"/>
        <w:rPr>
          <w:rFonts w:eastAsia="Arial" w:cs="Calibri"/>
        </w:rPr>
      </w:pPr>
      <w:r w:rsidRPr="006C6B35">
        <w:rPr>
          <w:rFonts w:eastAsia="Arial" w:cs="Calibri"/>
        </w:rPr>
        <w:t xml:space="preserve">Gastos por intereses </w:t>
      </w:r>
    </w:p>
    <w:p w:rsidRPr="006C6B35" w:rsidR="00DA002A" w:rsidP="00AC00A0" w:rsidRDefault="00DA002A" w14:paraId="164D5F14" w14:textId="77777777">
      <w:pPr>
        <w:spacing w:after="0" w:line="276" w:lineRule="auto"/>
        <w:jc w:val="both"/>
        <w:rPr>
          <w:rFonts w:eastAsia="Arial" w:cs="Calibri"/>
          <w:b/>
        </w:rPr>
      </w:pPr>
    </w:p>
    <w:p w:rsidRPr="006C6B35" w:rsidR="00DA002A" w:rsidP="00AC00A0" w:rsidRDefault="00DA002A" w14:paraId="31453871" w14:textId="77777777">
      <w:pPr>
        <w:spacing w:after="0" w:line="276" w:lineRule="auto"/>
        <w:jc w:val="both"/>
        <w:rPr>
          <w:rFonts w:eastAsia="Arial" w:cs="Calibri"/>
        </w:rPr>
      </w:pPr>
      <w:r w:rsidRPr="006C6B35">
        <w:rPr>
          <w:rFonts w:eastAsia="Arial" w:cs="Calibri"/>
          <w:b/>
        </w:rPr>
        <w:t>Nota:</w:t>
      </w:r>
      <w:r w:rsidRPr="006C6B35">
        <w:rPr>
          <w:rFonts w:eastAsia="Arial" w:cs="Calibri"/>
        </w:rPr>
        <w:t xml:space="preserve"> Para el caso de las propuestas presentadas por consorcios o uniones temporales, cada uno de sus integrantes deberá allegar la documentación requerida en el presente pliego de condiciones, según corresponda.</w:t>
      </w:r>
    </w:p>
    <w:p w:rsidRPr="006C6B35" w:rsidR="001B43D4" w:rsidP="00AC00A0" w:rsidRDefault="001B43D4" w14:paraId="4793070A" w14:textId="77777777">
      <w:pPr>
        <w:spacing w:after="0" w:line="276" w:lineRule="auto"/>
        <w:jc w:val="both"/>
        <w:rPr>
          <w:rFonts w:eastAsia="Arial" w:cs="Calibri"/>
        </w:rPr>
      </w:pPr>
    </w:p>
    <w:p w:rsidRPr="006C6B35" w:rsidR="00DA002A" w:rsidP="00AC00A0" w:rsidRDefault="00DA002A" w14:paraId="6E81E91D" w14:textId="77777777">
      <w:pPr>
        <w:spacing w:after="0" w:line="276" w:lineRule="auto"/>
        <w:jc w:val="both"/>
        <w:rPr>
          <w:rFonts w:eastAsia="Arial" w:cs="Calibri"/>
        </w:rPr>
      </w:pPr>
      <w:r w:rsidRPr="006C6B35">
        <w:rPr>
          <w:rFonts w:eastAsia="Arial" w:cs="Calibri"/>
          <w:b/>
        </w:rPr>
        <w:t>Tarjeta Profesional</w:t>
      </w:r>
      <w:r w:rsidRPr="006C6B35">
        <w:rPr>
          <w:rFonts w:eastAsia="Arial" w:cs="Calibri"/>
          <w:b/>
          <w:spacing w:val="1"/>
        </w:rPr>
        <w:t xml:space="preserve"> </w:t>
      </w:r>
      <w:r w:rsidRPr="006C6B35">
        <w:rPr>
          <w:rFonts w:eastAsia="Arial" w:cs="Calibri"/>
          <w:b/>
        </w:rPr>
        <w:t>y</w:t>
      </w:r>
      <w:r w:rsidRPr="006C6B35">
        <w:rPr>
          <w:rFonts w:eastAsia="Arial" w:cs="Calibri"/>
          <w:b/>
          <w:spacing w:val="-2"/>
        </w:rPr>
        <w:t xml:space="preserve"> </w:t>
      </w:r>
      <w:r w:rsidRPr="006C6B35">
        <w:rPr>
          <w:rFonts w:eastAsia="Arial" w:cs="Calibri"/>
          <w:b/>
        </w:rPr>
        <w:t>Certific</w:t>
      </w:r>
      <w:r w:rsidRPr="006C6B35">
        <w:rPr>
          <w:rFonts w:eastAsia="Arial" w:cs="Calibri"/>
          <w:b/>
          <w:spacing w:val="1"/>
        </w:rPr>
        <w:t>a</w:t>
      </w:r>
      <w:r w:rsidRPr="006C6B35">
        <w:rPr>
          <w:rFonts w:eastAsia="Arial" w:cs="Calibri"/>
          <w:b/>
        </w:rPr>
        <w:t>do de Ante</w:t>
      </w:r>
      <w:r w:rsidRPr="006C6B35">
        <w:rPr>
          <w:rFonts w:eastAsia="Arial" w:cs="Calibri"/>
          <w:b/>
          <w:spacing w:val="-1"/>
        </w:rPr>
        <w:t>c</w:t>
      </w:r>
      <w:r w:rsidRPr="006C6B35">
        <w:rPr>
          <w:rFonts w:eastAsia="Arial" w:cs="Calibri"/>
          <w:b/>
        </w:rPr>
        <w:t>ede</w:t>
      </w:r>
      <w:r w:rsidRPr="006C6B35">
        <w:rPr>
          <w:rFonts w:eastAsia="Arial" w:cs="Calibri"/>
          <w:b/>
          <w:spacing w:val="-1"/>
        </w:rPr>
        <w:t>n</w:t>
      </w:r>
      <w:r w:rsidRPr="006C6B35">
        <w:rPr>
          <w:rFonts w:eastAsia="Arial" w:cs="Calibri"/>
          <w:b/>
        </w:rPr>
        <w:t>tes</w:t>
      </w:r>
      <w:r w:rsidRPr="006C6B35">
        <w:rPr>
          <w:rFonts w:eastAsia="Arial" w:cs="Calibri"/>
          <w:b/>
          <w:spacing w:val="-1"/>
        </w:rPr>
        <w:t xml:space="preserve"> </w:t>
      </w:r>
      <w:r w:rsidRPr="006C6B35">
        <w:rPr>
          <w:rFonts w:eastAsia="Arial" w:cs="Calibri"/>
          <w:b/>
        </w:rPr>
        <w:t>Disciplinari</w:t>
      </w:r>
      <w:r w:rsidRPr="006C6B35">
        <w:rPr>
          <w:rFonts w:eastAsia="Arial" w:cs="Calibri"/>
          <w:b/>
          <w:spacing w:val="-1"/>
        </w:rPr>
        <w:t>o</w:t>
      </w:r>
      <w:r w:rsidRPr="006C6B35">
        <w:rPr>
          <w:rFonts w:eastAsia="Arial" w:cs="Calibri"/>
          <w:b/>
        </w:rPr>
        <w:t>s</w:t>
      </w:r>
    </w:p>
    <w:p w:rsidRPr="006C6B35" w:rsidR="00DA002A" w:rsidP="00AC00A0" w:rsidRDefault="00DA002A" w14:paraId="08D8FF9D" w14:textId="58954244">
      <w:pPr>
        <w:widowControl w:val="0"/>
        <w:autoSpaceDE w:val="0"/>
        <w:autoSpaceDN w:val="0"/>
        <w:adjustRightInd w:val="0"/>
        <w:spacing w:after="0" w:line="276" w:lineRule="auto"/>
        <w:jc w:val="both"/>
        <w:rPr>
          <w:rFonts w:cs="Calibri"/>
          <w:color w:val="000000"/>
        </w:rPr>
      </w:pPr>
      <w:r w:rsidRPr="006C6B35">
        <w:rPr>
          <w:rFonts w:cs="Calibri"/>
          <w:color w:val="000000"/>
        </w:rPr>
        <w:t>El proponente acompañará su oferta con fotocopia clara y legible de la Tarjeta Profesional y Certificado de Antecedentes Disciplinarios expedido por la Junta Central de Contadores, vigente a la fecha de cierre del presente proceso, correspondiente al contador público que emite la certificación.</w:t>
      </w:r>
    </w:p>
    <w:p w:rsidRPr="006C6B35" w:rsidR="0027792A" w:rsidP="00AC00A0" w:rsidRDefault="0027792A" w14:paraId="711C225C" w14:textId="77777777">
      <w:pPr>
        <w:widowControl w:val="0"/>
        <w:autoSpaceDE w:val="0"/>
        <w:autoSpaceDN w:val="0"/>
        <w:adjustRightInd w:val="0"/>
        <w:spacing w:after="0" w:line="276" w:lineRule="auto"/>
        <w:jc w:val="both"/>
        <w:rPr>
          <w:rFonts w:cs="Calibri"/>
          <w:color w:val="000000"/>
        </w:rPr>
      </w:pPr>
    </w:p>
    <w:p w:rsidRPr="006C6B35" w:rsidR="00DA002A" w:rsidP="00AC00A0" w:rsidRDefault="00DA002A" w14:paraId="07D2EA1A" w14:textId="77777777">
      <w:pPr>
        <w:spacing w:after="0" w:line="276" w:lineRule="auto"/>
        <w:contextualSpacing/>
        <w:jc w:val="both"/>
        <w:rPr>
          <w:rFonts w:cs="Calibri"/>
          <w:color w:val="000000"/>
        </w:rPr>
      </w:pPr>
      <w:r w:rsidRPr="006C6B35">
        <w:rPr>
          <w:rFonts w:cs="Calibri"/>
          <w:color w:val="000000"/>
        </w:rPr>
        <w:t>La capacidad financiera será objeto de verificación de cumplimiento como requisito habilitante para la participación en el proceso de selección y no otorgará puntaje.</w:t>
      </w:r>
    </w:p>
    <w:p w:rsidRPr="006C6B35" w:rsidR="34F729D4" w:rsidP="34F729D4" w:rsidRDefault="34F729D4" w14:paraId="76790779" w14:textId="023792D0">
      <w:pPr>
        <w:spacing w:after="0" w:line="276" w:lineRule="auto"/>
        <w:jc w:val="both"/>
        <w:rPr>
          <w:rFonts w:cs="Calibri"/>
          <w:b/>
          <w:bCs/>
        </w:rPr>
      </w:pPr>
    </w:p>
    <w:p w:rsidRPr="006C6B35" w:rsidR="009C5EBC" w:rsidP="00AC00A0" w:rsidRDefault="009C5EBC" w14:paraId="59E0AD5C" w14:textId="2A18781B">
      <w:pPr>
        <w:spacing w:after="0" w:line="276" w:lineRule="auto"/>
        <w:jc w:val="both"/>
        <w:rPr>
          <w:rFonts w:cs="Calibri"/>
          <w:b/>
        </w:rPr>
      </w:pPr>
      <w:r w:rsidRPr="006C6B35">
        <w:rPr>
          <w:rFonts w:cs="Calibri"/>
          <w:b/>
        </w:rPr>
        <w:t xml:space="preserve">DATOS PARA EL </w:t>
      </w:r>
      <w:r w:rsidRPr="006C6B35" w:rsidR="00C35036">
        <w:rPr>
          <w:rFonts w:cs="Calibri"/>
          <w:b/>
        </w:rPr>
        <w:t>ANÁLISIS</w:t>
      </w:r>
      <w:r w:rsidRPr="006C6B35">
        <w:rPr>
          <w:rFonts w:cs="Calibri"/>
          <w:b/>
        </w:rPr>
        <w:t xml:space="preserve"> DE</w:t>
      </w:r>
      <w:r w:rsidRPr="006C6B35" w:rsidR="00020BE0">
        <w:rPr>
          <w:rFonts w:cs="Calibri"/>
          <w:b/>
        </w:rPr>
        <w:t xml:space="preserve"> LA MUESTRA</w:t>
      </w:r>
    </w:p>
    <w:p w:rsidRPr="006C6B35" w:rsidR="00C35036" w:rsidP="00AC00A0" w:rsidRDefault="00C35036" w14:paraId="1B67893A" w14:textId="77777777">
      <w:pPr>
        <w:spacing w:after="0" w:line="276" w:lineRule="auto"/>
        <w:jc w:val="both"/>
        <w:rPr>
          <w:rFonts w:cs="Calibri"/>
          <w:b/>
        </w:rPr>
      </w:pPr>
    </w:p>
    <w:p w:rsidRPr="00C776F3" w:rsidR="004F242B" w:rsidP="00C776F3" w:rsidRDefault="741A3D60" w14:paraId="4B652390" w14:textId="5AE70ED9">
      <w:pPr>
        <w:spacing w:after="0" w:line="240" w:lineRule="auto"/>
        <w:jc w:val="both"/>
        <w:rPr>
          <w:rFonts w:eastAsia="Times New Roman" w:cs="Calibri"/>
          <w:color w:val="000000"/>
          <w:lang w:eastAsia="es-CO"/>
        </w:rPr>
      </w:pPr>
      <w:r w:rsidRPr="006C6B35">
        <w:rPr>
          <w:rFonts w:cs="Calibri"/>
        </w:rPr>
        <w:t xml:space="preserve">Para la elaboración de los indicadores financieros se tomaron en cuenta los </w:t>
      </w:r>
      <w:r w:rsidRPr="006C6B35" w:rsidR="0078586F">
        <w:rPr>
          <w:rFonts w:cs="Calibri"/>
        </w:rPr>
        <w:t>códigos</w:t>
      </w:r>
      <w:r w:rsidR="0078586F">
        <w:rPr>
          <w:rFonts w:cs="Calibri"/>
        </w:rPr>
        <w:t xml:space="preserve"> </w:t>
      </w:r>
      <w:r w:rsidRPr="00A50656" w:rsidR="0078586F">
        <w:rPr>
          <w:rFonts w:cs="Calibri"/>
        </w:rPr>
        <w:t>CIIU</w:t>
      </w:r>
      <w:r w:rsidRPr="00A50656" w:rsidR="00A50656">
        <w:rPr>
          <w:rFonts w:cs="Calibri"/>
          <w:b/>
          <w:bCs/>
        </w:rPr>
        <w:t> K-6621 Actividades de agentes y corredores de seguros</w:t>
      </w:r>
      <w:r w:rsidRPr="009B3363" w:rsidR="000D4A79">
        <w:rPr>
          <w:rFonts w:cs="Calibri"/>
          <w:b/>
          <w:bCs/>
        </w:rPr>
        <w:t>,</w:t>
      </w:r>
      <w:r w:rsidRPr="006C6B35" w:rsidR="00731FD8">
        <w:rPr>
          <w:rFonts w:cs="Calibri"/>
          <w:b/>
          <w:bCs/>
        </w:rPr>
        <w:t xml:space="preserve"> </w:t>
      </w:r>
      <w:r w:rsidRPr="006C6B35" w:rsidR="6D609798">
        <w:rPr>
          <w:rFonts w:cs="Calibri"/>
        </w:rPr>
        <w:t xml:space="preserve">en </w:t>
      </w:r>
      <w:r w:rsidRPr="006C6B35" w:rsidR="6BBE6AA5">
        <w:rPr>
          <w:rFonts w:cs="Calibri"/>
        </w:rPr>
        <w:t>los cuales</w:t>
      </w:r>
      <w:r w:rsidRPr="006C6B35">
        <w:rPr>
          <w:rFonts w:cs="Calibri"/>
        </w:rPr>
        <w:t xml:space="preserve"> se encuentra enmarcado el objeto y alcance del proceso contratación que se adelanta. En revisión y análisis de la base del PIE a diciembre 31 de </w:t>
      </w:r>
      <w:r w:rsidRPr="00D2027B" w:rsidR="2FD4B970">
        <w:rPr>
          <w:rFonts w:cs="Calibri"/>
        </w:rPr>
        <w:t>202</w:t>
      </w:r>
      <w:r w:rsidRPr="0078586F" w:rsidR="00216B6A">
        <w:rPr>
          <w:rFonts w:cs="Calibri"/>
        </w:rPr>
        <w:t>4</w:t>
      </w:r>
      <w:r w:rsidRPr="006C6B35">
        <w:rPr>
          <w:rFonts w:cs="Calibri"/>
        </w:rPr>
        <w:t xml:space="preserve"> de la Superintendencia de Sociedades, se asocian a estas actividades CIIU una muestra de </w:t>
      </w:r>
      <w:r w:rsidR="00216B6A">
        <w:rPr>
          <w:rFonts w:cs="Calibri"/>
          <w:b/>
          <w:bCs/>
        </w:rPr>
        <w:t>22</w:t>
      </w:r>
      <w:r w:rsidRPr="006C6B35" w:rsidR="312AE894">
        <w:rPr>
          <w:rFonts w:cs="Calibri"/>
          <w:b/>
          <w:bCs/>
        </w:rPr>
        <w:t xml:space="preserve"> </w:t>
      </w:r>
      <w:r w:rsidRPr="006C6B35" w:rsidR="32730B12">
        <w:rPr>
          <w:rFonts w:cs="Calibri"/>
        </w:rPr>
        <w:t>Empresas de referencia, que se encuentran distribuidas geográficamente de la siguiente forma.</w:t>
      </w:r>
      <w:r w:rsidRPr="006C6B35" w:rsidR="009C5EBC">
        <w:rPr>
          <w:rStyle w:val="Refdenotaalpie"/>
          <w:rFonts w:cs="Calibri"/>
        </w:rPr>
        <w:footnoteReference w:id="5"/>
      </w:r>
    </w:p>
    <w:p w:rsidR="65D10910" w:rsidP="65D10910" w:rsidRDefault="65D10910" w14:paraId="71BB4A80" w14:textId="1CD7BE5F">
      <w:pPr>
        <w:spacing w:after="0" w:line="276" w:lineRule="auto"/>
        <w:jc w:val="center"/>
        <w:rPr>
          <w:rFonts w:cs="Calibri"/>
        </w:rPr>
      </w:pPr>
    </w:p>
    <w:tbl>
      <w:tblPr>
        <w:tblW w:w="5700" w:type="dxa"/>
        <w:jc w:val="center"/>
        <w:tblCellMar>
          <w:top w:w="15" w:type="dxa"/>
          <w:left w:w="70" w:type="dxa"/>
          <w:bottom w:w="15" w:type="dxa"/>
          <w:right w:w="70" w:type="dxa"/>
        </w:tblCellMar>
        <w:tblLook w:val="04A0" w:firstRow="1" w:lastRow="0" w:firstColumn="1" w:lastColumn="0" w:noHBand="0" w:noVBand="1"/>
      </w:tblPr>
      <w:tblGrid>
        <w:gridCol w:w="2200"/>
        <w:gridCol w:w="1420"/>
        <w:gridCol w:w="2080"/>
      </w:tblGrid>
      <w:tr w:rsidRPr="004B7594" w:rsidR="004B7594" w:rsidTr="0078586F" w14:paraId="1B76E4BD" w14:textId="77777777">
        <w:trPr>
          <w:trHeight w:val="300"/>
          <w:jc w:val="center"/>
        </w:trPr>
        <w:tc>
          <w:tcPr>
            <w:tcW w:w="2200" w:type="dxa"/>
            <w:tcBorders>
              <w:top w:val="single" w:color="auto" w:sz="8" w:space="0"/>
              <w:left w:val="single" w:color="auto" w:sz="8" w:space="0"/>
              <w:bottom w:val="nil"/>
              <w:right w:val="single" w:color="auto" w:sz="4" w:space="0"/>
            </w:tcBorders>
            <w:shd w:val="clear" w:color="auto" w:fill="F7CAAC" w:themeFill="accent2" w:themeFillTint="66"/>
            <w:noWrap/>
            <w:vAlign w:val="center"/>
            <w:hideMark/>
          </w:tcPr>
          <w:p w:rsidRPr="004B7594" w:rsidR="004B7594" w:rsidP="004B7594" w:rsidRDefault="004B7594" w14:paraId="1D2EE609" w14:textId="77777777">
            <w:pPr>
              <w:spacing w:after="0" w:line="276" w:lineRule="auto"/>
              <w:jc w:val="center"/>
              <w:rPr>
                <w:rFonts w:cs="Calibri"/>
                <w:b/>
                <w:bCs/>
              </w:rPr>
            </w:pPr>
            <w:r w:rsidRPr="004B7594">
              <w:rPr>
                <w:rFonts w:cs="Calibri"/>
                <w:b/>
                <w:bCs/>
              </w:rPr>
              <w:t>DEPARTAMENTO</w:t>
            </w:r>
          </w:p>
        </w:tc>
        <w:tc>
          <w:tcPr>
            <w:tcW w:w="1420" w:type="dxa"/>
            <w:tcBorders>
              <w:top w:val="single" w:color="auto" w:sz="8" w:space="0"/>
              <w:left w:val="single" w:color="auto" w:sz="4" w:space="0"/>
              <w:bottom w:val="nil"/>
              <w:right w:val="single" w:color="auto" w:sz="4" w:space="0"/>
            </w:tcBorders>
            <w:shd w:val="clear" w:color="auto" w:fill="F7CAAC" w:themeFill="accent2" w:themeFillTint="66"/>
            <w:noWrap/>
            <w:vAlign w:val="center"/>
            <w:hideMark/>
          </w:tcPr>
          <w:p w:rsidRPr="004B7594" w:rsidR="004B7594" w:rsidP="004B7594" w:rsidRDefault="004B7594" w14:paraId="2B3BA935" w14:textId="77777777">
            <w:pPr>
              <w:spacing w:after="0" w:line="276" w:lineRule="auto"/>
              <w:jc w:val="center"/>
              <w:rPr>
                <w:rFonts w:cs="Calibri"/>
                <w:b/>
                <w:bCs/>
              </w:rPr>
            </w:pPr>
            <w:r w:rsidRPr="004B7594">
              <w:rPr>
                <w:rFonts w:cs="Calibri"/>
                <w:b/>
                <w:bCs/>
              </w:rPr>
              <w:t># EMPRESAS</w:t>
            </w:r>
          </w:p>
        </w:tc>
        <w:tc>
          <w:tcPr>
            <w:tcW w:w="2080" w:type="dxa"/>
            <w:tcBorders>
              <w:top w:val="single" w:color="auto" w:sz="8" w:space="0"/>
              <w:left w:val="single" w:color="auto" w:sz="4" w:space="0"/>
              <w:bottom w:val="nil"/>
              <w:right w:val="single" w:color="auto" w:sz="8" w:space="0"/>
            </w:tcBorders>
            <w:shd w:val="clear" w:color="auto" w:fill="F7CAAC" w:themeFill="accent2" w:themeFillTint="66"/>
            <w:noWrap/>
            <w:vAlign w:val="center"/>
            <w:hideMark/>
          </w:tcPr>
          <w:p w:rsidRPr="004B7594" w:rsidR="004B7594" w:rsidP="004B7594" w:rsidRDefault="004B7594" w14:paraId="2AD72A1A" w14:textId="77777777">
            <w:pPr>
              <w:spacing w:after="0" w:line="276" w:lineRule="auto"/>
              <w:jc w:val="center"/>
              <w:rPr>
                <w:rFonts w:cs="Calibri"/>
                <w:b/>
                <w:bCs/>
              </w:rPr>
            </w:pPr>
            <w:r w:rsidRPr="004B7594">
              <w:rPr>
                <w:rFonts w:cs="Calibri"/>
                <w:b/>
                <w:bCs/>
              </w:rPr>
              <w:t>% PARTICIPACIÓN</w:t>
            </w:r>
          </w:p>
        </w:tc>
      </w:tr>
      <w:tr w:rsidRPr="004B7594" w:rsidR="004B7594" w:rsidTr="0078586F" w14:paraId="364032B6" w14:textId="77777777">
        <w:trPr>
          <w:trHeight w:val="300"/>
          <w:jc w:val="center"/>
        </w:trPr>
        <w:tc>
          <w:tcPr>
            <w:tcW w:w="2200" w:type="dxa"/>
            <w:tcBorders>
              <w:top w:val="single" w:color="auto" w:sz="4" w:space="0"/>
              <w:left w:val="single" w:color="auto" w:sz="4" w:space="0"/>
              <w:bottom w:val="single" w:color="auto" w:sz="4" w:space="0"/>
              <w:right w:val="single" w:color="auto" w:sz="4" w:space="0"/>
            </w:tcBorders>
            <w:noWrap/>
            <w:vAlign w:val="bottom"/>
            <w:hideMark/>
          </w:tcPr>
          <w:p w:rsidRPr="004B7594" w:rsidR="004B7594" w:rsidP="004B7594" w:rsidRDefault="004B7594" w14:paraId="3B31F077" w14:textId="77777777">
            <w:pPr>
              <w:spacing w:after="0" w:line="276" w:lineRule="auto"/>
              <w:jc w:val="center"/>
              <w:rPr>
                <w:rFonts w:cs="Calibri"/>
              </w:rPr>
            </w:pPr>
            <w:r w:rsidRPr="004B7594">
              <w:rPr>
                <w:rFonts w:cs="Calibri"/>
              </w:rPr>
              <w:t>ANTIOQUIA</w:t>
            </w:r>
          </w:p>
        </w:tc>
        <w:tc>
          <w:tcPr>
            <w:tcW w:w="1420" w:type="dxa"/>
            <w:tcBorders>
              <w:top w:val="single" w:color="auto" w:sz="4" w:space="0"/>
              <w:left w:val="single" w:color="auto" w:sz="4" w:space="0"/>
              <w:bottom w:val="single" w:color="auto" w:sz="4" w:space="0"/>
              <w:right w:val="single" w:color="auto" w:sz="4" w:space="0"/>
            </w:tcBorders>
            <w:noWrap/>
            <w:vAlign w:val="bottom"/>
            <w:hideMark/>
          </w:tcPr>
          <w:p w:rsidRPr="004B7594" w:rsidR="004B7594" w:rsidP="004B7594" w:rsidRDefault="004B7594" w14:paraId="05E2DBDA" w14:textId="77777777">
            <w:pPr>
              <w:spacing w:after="0" w:line="276" w:lineRule="auto"/>
              <w:jc w:val="center"/>
              <w:rPr>
                <w:rFonts w:cs="Calibri"/>
              </w:rPr>
            </w:pPr>
            <w:r w:rsidRPr="004B7594">
              <w:rPr>
                <w:rFonts w:cs="Calibri"/>
              </w:rPr>
              <w:t>4</w:t>
            </w:r>
          </w:p>
        </w:tc>
        <w:tc>
          <w:tcPr>
            <w:tcW w:w="2080" w:type="dxa"/>
            <w:tcBorders>
              <w:top w:val="single" w:color="auto" w:sz="4" w:space="0"/>
              <w:left w:val="single" w:color="auto" w:sz="4" w:space="0"/>
              <w:bottom w:val="single" w:color="auto" w:sz="4" w:space="0"/>
              <w:right w:val="single" w:color="auto" w:sz="4" w:space="0"/>
            </w:tcBorders>
            <w:noWrap/>
            <w:vAlign w:val="center"/>
            <w:hideMark/>
          </w:tcPr>
          <w:p w:rsidRPr="004B7594" w:rsidR="004B7594" w:rsidP="004B7594" w:rsidRDefault="004B7594" w14:paraId="6B18ECC5" w14:textId="77777777">
            <w:pPr>
              <w:spacing w:after="0" w:line="276" w:lineRule="auto"/>
              <w:jc w:val="center"/>
              <w:rPr>
                <w:rFonts w:cs="Calibri"/>
              </w:rPr>
            </w:pPr>
            <w:r w:rsidRPr="004B7594">
              <w:rPr>
                <w:rFonts w:cs="Calibri"/>
              </w:rPr>
              <w:t>18.18%</w:t>
            </w:r>
          </w:p>
        </w:tc>
      </w:tr>
      <w:tr w:rsidRPr="004B7594" w:rsidR="004B7594" w:rsidTr="0078586F" w14:paraId="2AAFCAC5" w14:textId="77777777">
        <w:trPr>
          <w:trHeight w:val="300"/>
          <w:jc w:val="center"/>
        </w:trPr>
        <w:tc>
          <w:tcPr>
            <w:tcW w:w="2200" w:type="dxa"/>
            <w:tcBorders>
              <w:top w:val="single" w:color="auto" w:sz="4" w:space="0"/>
              <w:left w:val="single" w:color="auto" w:sz="4" w:space="0"/>
              <w:bottom w:val="single" w:color="auto" w:sz="4" w:space="0"/>
              <w:right w:val="single" w:color="auto" w:sz="4" w:space="0"/>
            </w:tcBorders>
            <w:noWrap/>
            <w:vAlign w:val="bottom"/>
            <w:hideMark/>
          </w:tcPr>
          <w:p w:rsidRPr="004B7594" w:rsidR="004B7594" w:rsidP="004B7594" w:rsidRDefault="004B7594" w14:paraId="57E62E62" w14:textId="77777777">
            <w:pPr>
              <w:spacing w:after="0" w:line="276" w:lineRule="auto"/>
              <w:jc w:val="center"/>
              <w:rPr>
                <w:rFonts w:cs="Calibri"/>
              </w:rPr>
            </w:pPr>
            <w:r w:rsidRPr="004B7594">
              <w:rPr>
                <w:rFonts w:cs="Calibri"/>
              </w:rPr>
              <w:t>ATLANTICO</w:t>
            </w:r>
          </w:p>
        </w:tc>
        <w:tc>
          <w:tcPr>
            <w:tcW w:w="1420" w:type="dxa"/>
            <w:tcBorders>
              <w:top w:val="single" w:color="auto" w:sz="4" w:space="0"/>
              <w:left w:val="single" w:color="auto" w:sz="4" w:space="0"/>
              <w:bottom w:val="single" w:color="auto" w:sz="4" w:space="0"/>
              <w:right w:val="single" w:color="auto" w:sz="4" w:space="0"/>
            </w:tcBorders>
            <w:noWrap/>
            <w:vAlign w:val="bottom"/>
            <w:hideMark/>
          </w:tcPr>
          <w:p w:rsidRPr="004B7594" w:rsidR="004B7594" w:rsidP="004B7594" w:rsidRDefault="004B7594" w14:paraId="348E3D45" w14:textId="77777777">
            <w:pPr>
              <w:spacing w:after="0" w:line="276" w:lineRule="auto"/>
              <w:jc w:val="center"/>
              <w:rPr>
                <w:rFonts w:cs="Calibri"/>
              </w:rPr>
            </w:pPr>
            <w:r w:rsidRPr="004B7594">
              <w:rPr>
                <w:rFonts w:cs="Calibri"/>
              </w:rPr>
              <w:t>2</w:t>
            </w:r>
          </w:p>
        </w:tc>
        <w:tc>
          <w:tcPr>
            <w:tcW w:w="2080" w:type="dxa"/>
            <w:tcBorders>
              <w:top w:val="single" w:color="auto" w:sz="4" w:space="0"/>
              <w:left w:val="single" w:color="auto" w:sz="4" w:space="0"/>
              <w:bottom w:val="single" w:color="auto" w:sz="4" w:space="0"/>
              <w:right w:val="single" w:color="auto" w:sz="4" w:space="0"/>
            </w:tcBorders>
            <w:noWrap/>
            <w:vAlign w:val="center"/>
            <w:hideMark/>
          </w:tcPr>
          <w:p w:rsidRPr="004B7594" w:rsidR="004B7594" w:rsidP="004B7594" w:rsidRDefault="004B7594" w14:paraId="4FD14779" w14:textId="77777777">
            <w:pPr>
              <w:spacing w:after="0" w:line="276" w:lineRule="auto"/>
              <w:jc w:val="center"/>
              <w:rPr>
                <w:rFonts w:cs="Calibri"/>
              </w:rPr>
            </w:pPr>
            <w:r w:rsidRPr="004B7594">
              <w:rPr>
                <w:rFonts w:cs="Calibri"/>
              </w:rPr>
              <w:t>9.09%</w:t>
            </w:r>
          </w:p>
        </w:tc>
      </w:tr>
      <w:tr w:rsidRPr="004B7594" w:rsidR="004B7594" w:rsidTr="0078586F" w14:paraId="719E45CC" w14:textId="77777777">
        <w:trPr>
          <w:trHeight w:val="300"/>
          <w:jc w:val="center"/>
        </w:trPr>
        <w:tc>
          <w:tcPr>
            <w:tcW w:w="2200" w:type="dxa"/>
            <w:tcBorders>
              <w:top w:val="single" w:color="auto" w:sz="4" w:space="0"/>
              <w:left w:val="single" w:color="auto" w:sz="4" w:space="0"/>
              <w:bottom w:val="single" w:color="auto" w:sz="4" w:space="0"/>
              <w:right w:val="single" w:color="auto" w:sz="4" w:space="0"/>
            </w:tcBorders>
            <w:noWrap/>
            <w:vAlign w:val="bottom"/>
            <w:hideMark/>
          </w:tcPr>
          <w:p w:rsidRPr="004B7594" w:rsidR="004B7594" w:rsidP="004B7594" w:rsidRDefault="004B7594" w14:paraId="3502AAEE" w14:textId="77777777">
            <w:pPr>
              <w:spacing w:after="0" w:line="276" w:lineRule="auto"/>
              <w:jc w:val="center"/>
              <w:rPr>
                <w:rFonts w:cs="Calibri"/>
              </w:rPr>
            </w:pPr>
            <w:r w:rsidRPr="004B7594">
              <w:rPr>
                <w:rFonts w:cs="Calibri"/>
              </w:rPr>
              <w:t>BOGOTA D.C.</w:t>
            </w:r>
          </w:p>
        </w:tc>
        <w:tc>
          <w:tcPr>
            <w:tcW w:w="1420" w:type="dxa"/>
            <w:tcBorders>
              <w:top w:val="single" w:color="auto" w:sz="4" w:space="0"/>
              <w:left w:val="single" w:color="auto" w:sz="4" w:space="0"/>
              <w:bottom w:val="single" w:color="auto" w:sz="4" w:space="0"/>
              <w:right w:val="single" w:color="auto" w:sz="4" w:space="0"/>
            </w:tcBorders>
            <w:noWrap/>
            <w:vAlign w:val="bottom"/>
            <w:hideMark/>
          </w:tcPr>
          <w:p w:rsidRPr="004B7594" w:rsidR="004B7594" w:rsidP="004B7594" w:rsidRDefault="004B7594" w14:paraId="42642B40" w14:textId="77777777">
            <w:pPr>
              <w:spacing w:after="0" w:line="276" w:lineRule="auto"/>
              <w:jc w:val="center"/>
              <w:rPr>
                <w:rFonts w:cs="Calibri"/>
              </w:rPr>
            </w:pPr>
            <w:r w:rsidRPr="004B7594">
              <w:rPr>
                <w:rFonts w:cs="Calibri"/>
              </w:rPr>
              <w:t>10</w:t>
            </w:r>
          </w:p>
        </w:tc>
        <w:tc>
          <w:tcPr>
            <w:tcW w:w="2080" w:type="dxa"/>
            <w:tcBorders>
              <w:top w:val="single" w:color="auto" w:sz="4" w:space="0"/>
              <w:left w:val="single" w:color="auto" w:sz="4" w:space="0"/>
              <w:bottom w:val="single" w:color="auto" w:sz="4" w:space="0"/>
              <w:right w:val="single" w:color="auto" w:sz="4" w:space="0"/>
            </w:tcBorders>
            <w:noWrap/>
            <w:vAlign w:val="center"/>
            <w:hideMark/>
          </w:tcPr>
          <w:p w:rsidRPr="004B7594" w:rsidR="004B7594" w:rsidP="004B7594" w:rsidRDefault="004B7594" w14:paraId="17DC1855" w14:textId="77777777">
            <w:pPr>
              <w:spacing w:after="0" w:line="276" w:lineRule="auto"/>
              <w:jc w:val="center"/>
              <w:rPr>
                <w:rFonts w:cs="Calibri"/>
              </w:rPr>
            </w:pPr>
            <w:r w:rsidRPr="004B7594">
              <w:rPr>
                <w:rFonts w:cs="Calibri"/>
              </w:rPr>
              <w:t>45.45%</w:t>
            </w:r>
          </w:p>
        </w:tc>
      </w:tr>
      <w:tr w:rsidRPr="004B7594" w:rsidR="004B7594" w:rsidTr="0078586F" w14:paraId="60C0E80C" w14:textId="77777777">
        <w:trPr>
          <w:trHeight w:val="300"/>
          <w:jc w:val="center"/>
        </w:trPr>
        <w:tc>
          <w:tcPr>
            <w:tcW w:w="2200" w:type="dxa"/>
            <w:tcBorders>
              <w:top w:val="single" w:color="auto" w:sz="4" w:space="0"/>
              <w:left w:val="single" w:color="auto" w:sz="4" w:space="0"/>
              <w:bottom w:val="single" w:color="auto" w:sz="4" w:space="0"/>
              <w:right w:val="single" w:color="auto" w:sz="4" w:space="0"/>
            </w:tcBorders>
            <w:noWrap/>
            <w:vAlign w:val="bottom"/>
            <w:hideMark/>
          </w:tcPr>
          <w:p w:rsidRPr="004B7594" w:rsidR="004B7594" w:rsidP="004B7594" w:rsidRDefault="004B7594" w14:paraId="5FE8A9E7" w14:textId="77777777">
            <w:pPr>
              <w:spacing w:after="0" w:line="276" w:lineRule="auto"/>
              <w:jc w:val="center"/>
              <w:rPr>
                <w:rFonts w:cs="Calibri"/>
              </w:rPr>
            </w:pPr>
            <w:r w:rsidRPr="004B7594">
              <w:rPr>
                <w:rFonts w:cs="Calibri"/>
              </w:rPr>
              <w:t>CALDAS</w:t>
            </w:r>
          </w:p>
        </w:tc>
        <w:tc>
          <w:tcPr>
            <w:tcW w:w="1420" w:type="dxa"/>
            <w:tcBorders>
              <w:top w:val="single" w:color="auto" w:sz="4" w:space="0"/>
              <w:left w:val="single" w:color="auto" w:sz="4" w:space="0"/>
              <w:bottom w:val="single" w:color="auto" w:sz="4" w:space="0"/>
              <w:right w:val="single" w:color="auto" w:sz="4" w:space="0"/>
            </w:tcBorders>
            <w:noWrap/>
            <w:vAlign w:val="bottom"/>
            <w:hideMark/>
          </w:tcPr>
          <w:p w:rsidRPr="004B7594" w:rsidR="004B7594" w:rsidP="004B7594" w:rsidRDefault="004B7594" w14:paraId="7BCAFA6D" w14:textId="77777777">
            <w:pPr>
              <w:spacing w:after="0" w:line="276" w:lineRule="auto"/>
              <w:jc w:val="center"/>
              <w:rPr>
                <w:rFonts w:cs="Calibri"/>
              </w:rPr>
            </w:pPr>
            <w:r w:rsidRPr="004B7594">
              <w:rPr>
                <w:rFonts w:cs="Calibri"/>
              </w:rPr>
              <w:t>1</w:t>
            </w:r>
          </w:p>
        </w:tc>
        <w:tc>
          <w:tcPr>
            <w:tcW w:w="2080" w:type="dxa"/>
            <w:tcBorders>
              <w:top w:val="single" w:color="auto" w:sz="4" w:space="0"/>
              <w:left w:val="single" w:color="auto" w:sz="4" w:space="0"/>
              <w:bottom w:val="single" w:color="auto" w:sz="4" w:space="0"/>
              <w:right w:val="single" w:color="auto" w:sz="4" w:space="0"/>
            </w:tcBorders>
            <w:noWrap/>
            <w:vAlign w:val="center"/>
            <w:hideMark/>
          </w:tcPr>
          <w:p w:rsidRPr="004B7594" w:rsidR="004B7594" w:rsidP="004B7594" w:rsidRDefault="004B7594" w14:paraId="34F61CF0" w14:textId="77777777">
            <w:pPr>
              <w:spacing w:after="0" w:line="276" w:lineRule="auto"/>
              <w:jc w:val="center"/>
              <w:rPr>
                <w:rFonts w:cs="Calibri"/>
              </w:rPr>
            </w:pPr>
            <w:r w:rsidRPr="004B7594">
              <w:rPr>
                <w:rFonts w:cs="Calibri"/>
              </w:rPr>
              <w:t>4.55%</w:t>
            </w:r>
          </w:p>
        </w:tc>
      </w:tr>
      <w:tr w:rsidRPr="004B7594" w:rsidR="004B7594" w:rsidTr="0078586F" w14:paraId="50252318" w14:textId="77777777">
        <w:trPr>
          <w:trHeight w:val="300"/>
          <w:jc w:val="center"/>
        </w:trPr>
        <w:tc>
          <w:tcPr>
            <w:tcW w:w="2200" w:type="dxa"/>
            <w:tcBorders>
              <w:top w:val="single" w:color="auto" w:sz="4" w:space="0"/>
              <w:left w:val="single" w:color="auto" w:sz="4" w:space="0"/>
              <w:bottom w:val="single" w:color="auto" w:sz="4" w:space="0"/>
              <w:right w:val="single" w:color="auto" w:sz="4" w:space="0"/>
            </w:tcBorders>
            <w:noWrap/>
            <w:vAlign w:val="bottom"/>
            <w:hideMark/>
          </w:tcPr>
          <w:p w:rsidRPr="004B7594" w:rsidR="004B7594" w:rsidP="004B7594" w:rsidRDefault="004B7594" w14:paraId="6392EB6D" w14:textId="77777777">
            <w:pPr>
              <w:spacing w:after="0" w:line="276" w:lineRule="auto"/>
              <w:jc w:val="center"/>
              <w:rPr>
                <w:rFonts w:cs="Calibri"/>
              </w:rPr>
            </w:pPr>
            <w:r w:rsidRPr="004B7594">
              <w:rPr>
                <w:rFonts w:cs="Calibri"/>
              </w:rPr>
              <w:t>CAUCA</w:t>
            </w:r>
          </w:p>
        </w:tc>
        <w:tc>
          <w:tcPr>
            <w:tcW w:w="1420" w:type="dxa"/>
            <w:tcBorders>
              <w:top w:val="single" w:color="auto" w:sz="4" w:space="0"/>
              <w:left w:val="single" w:color="auto" w:sz="4" w:space="0"/>
              <w:bottom w:val="single" w:color="auto" w:sz="4" w:space="0"/>
              <w:right w:val="single" w:color="auto" w:sz="4" w:space="0"/>
            </w:tcBorders>
            <w:noWrap/>
            <w:vAlign w:val="bottom"/>
            <w:hideMark/>
          </w:tcPr>
          <w:p w:rsidRPr="004B7594" w:rsidR="004B7594" w:rsidP="004B7594" w:rsidRDefault="004B7594" w14:paraId="165E90FD" w14:textId="77777777">
            <w:pPr>
              <w:spacing w:after="0" w:line="276" w:lineRule="auto"/>
              <w:jc w:val="center"/>
              <w:rPr>
                <w:rFonts w:cs="Calibri"/>
              </w:rPr>
            </w:pPr>
            <w:r w:rsidRPr="004B7594">
              <w:rPr>
                <w:rFonts w:cs="Calibri"/>
              </w:rPr>
              <w:t>1</w:t>
            </w:r>
          </w:p>
        </w:tc>
        <w:tc>
          <w:tcPr>
            <w:tcW w:w="2080" w:type="dxa"/>
            <w:tcBorders>
              <w:top w:val="single" w:color="auto" w:sz="4" w:space="0"/>
              <w:left w:val="single" w:color="auto" w:sz="4" w:space="0"/>
              <w:bottom w:val="single" w:color="auto" w:sz="4" w:space="0"/>
              <w:right w:val="single" w:color="auto" w:sz="4" w:space="0"/>
            </w:tcBorders>
            <w:noWrap/>
            <w:vAlign w:val="center"/>
            <w:hideMark/>
          </w:tcPr>
          <w:p w:rsidRPr="004B7594" w:rsidR="004B7594" w:rsidP="004B7594" w:rsidRDefault="004B7594" w14:paraId="44ECEBF6" w14:textId="77777777">
            <w:pPr>
              <w:spacing w:after="0" w:line="276" w:lineRule="auto"/>
              <w:jc w:val="center"/>
              <w:rPr>
                <w:rFonts w:cs="Calibri"/>
              </w:rPr>
            </w:pPr>
            <w:r w:rsidRPr="004B7594">
              <w:rPr>
                <w:rFonts w:cs="Calibri"/>
              </w:rPr>
              <w:t>4.55%</w:t>
            </w:r>
          </w:p>
        </w:tc>
      </w:tr>
      <w:tr w:rsidRPr="004B7594" w:rsidR="004B7594" w:rsidTr="0078586F" w14:paraId="47BB766F" w14:textId="77777777">
        <w:trPr>
          <w:trHeight w:val="300"/>
          <w:jc w:val="center"/>
        </w:trPr>
        <w:tc>
          <w:tcPr>
            <w:tcW w:w="2200" w:type="dxa"/>
            <w:tcBorders>
              <w:top w:val="single" w:color="auto" w:sz="4" w:space="0"/>
              <w:left w:val="single" w:color="auto" w:sz="4" w:space="0"/>
              <w:bottom w:val="single" w:color="auto" w:sz="4" w:space="0"/>
              <w:right w:val="single" w:color="auto" w:sz="4" w:space="0"/>
            </w:tcBorders>
            <w:noWrap/>
            <w:vAlign w:val="bottom"/>
            <w:hideMark/>
          </w:tcPr>
          <w:p w:rsidRPr="004B7594" w:rsidR="004B7594" w:rsidP="004B7594" w:rsidRDefault="004B7594" w14:paraId="3BC02AAF" w14:textId="77777777">
            <w:pPr>
              <w:spacing w:after="0" w:line="276" w:lineRule="auto"/>
              <w:jc w:val="center"/>
              <w:rPr>
                <w:rFonts w:cs="Calibri"/>
              </w:rPr>
            </w:pPr>
            <w:r w:rsidRPr="004B7594">
              <w:rPr>
                <w:rFonts w:cs="Calibri"/>
              </w:rPr>
              <w:t>NORTE DE SANTANDER</w:t>
            </w:r>
          </w:p>
        </w:tc>
        <w:tc>
          <w:tcPr>
            <w:tcW w:w="1420" w:type="dxa"/>
            <w:tcBorders>
              <w:top w:val="single" w:color="auto" w:sz="4" w:space="0"/>
              <w:left w:val="single" w:color="auto" w:sz="4" w:space="0"/>
              <w:bottom w:val="single" w:color="auto" w:sz="4" w:space="0"/>
              <w:right w:val="single" w:color="auto" w:sz="4" w:space="0"/>
            </w:tcBorders>
            <w:noWrap/>
            <w:vAlign w:val="bottom"/>
            <w:hideMark/>
          </w:tcPr>
          <w:p w:rsidRPr="004B7594" w:rsidR="004B7594" w:rsidP="004B7594" w:rsidRDefault="004B7594" w14:paraId="563242AE" w14:textId="77777777">
            <w:pPr>
              <w:spacing w:after="0" w:line="276" w:lineRule="auto"/>
              <w:jc w:val="center"/>
              <w:rPr>
                <w:rFonts w:cs="Calibri"/>
              </w:rPr>
            </w:pPr>
            <w:r w:rsidRPr="004B7594">
              <w:rPr>
                <w:rFonts w:cs="Calibri"/>
              </w:rPr>
              <w:t>1</w:t>
            </w:r>
          </w:p>
        </w:tc>
        <w:tc>
          <w:tcPr>
            <w:tcW w:w="2080" w:type="dxa"/>
            <w:tcBorders>
              <w:top w:val="single" w:color="auto" w:sz="4" w:space="0"/>
              <w:left w:val="single" w:color="auto" w:sz="4" w:space="0"/>
              <w:bottom w:val="single" w:color="auto" w:sz="4" w:space="0"/>
              <w:right w:val="single" w:color="auto" w:sz="4" w:space="0"/>
            </w:tcBorders>
            <w:noWrap/>
            <w:vAlign w:val="center"/>
            <w:hideMark/>
          </w:tcPr>
          <w:p w:rsidRPr="004B7594" w:rsidR="004B7594" w:rsidP="004B7594" w:rsidRDefault="004B7594" w14:paraId="6134F582" w14:textId="77777777">
            <w:pPr>
              <w:spacing w:after="0" w:line="276" w:lineRule="auto"/>
              <w:jc w:val="center"/>
              <w:rPr>
                <w:rFonts w:cs="Calibri"/>
              </w:rPr>
            </w:pPr>
            <w:r w:rsidRPr="004B7594">
              <w:rPr>
                <w:rFonts w:cs="Calibri"/>
              </w:rPr>
              <w:t>4.55%</w:t>
            </w:r>
          </w:p>
        </w:tc>
      </w:tr>
      <w:tr w:rsidRPr="004B7594" w:rsidR="004B7594" w:rsidTr="0078586F" w14:paraId="21F4B8DB" w14:textId="77777777">
        <w:trPr>
          <w:trHeight w:val="300"/>
          <w:jc w:val="center"/>
        </w:trPr>
        <w:tc>
          <w:tcPr>
            <w:tcW w:w="2200" w:type="dxa"/>
            <w:tcBorders>
              <w:top w:val="single" w:color="auto" w:sz="4" w:space="0"/>
              <w:left w:val="single" w:color="auto" w:sz="4" w:space="0"/>
              <w:bottom w:val="single" w:color="auto" w:sz="4" w:space="0"/>
              <w:right w:val="single" w:color="auto" w:sz="4" w:space="0"/>
            </w:tcBorders>
            <w:noWrap/>
            <w:vAlign w:val="bottom"/>
            <w:hideMark/>
          </w:tcPr>
          <w:p w:rsidRPr="004B7594" w:rsidR="004B7594" w:rsidP="004B7594" w:rsidRDefault="004B7594" w14:paraId="7DBB63FA" w14:textId="77777777">
            <w:pPr>
              <w:spacing w:after="0" w:line="276" w:lineRule="auto"/>
              <w:jc w:val="center"/>
              <w:rPr>
                <w:rFonts w:cs="Calibri"/>
              </w:rPr>
            </w:pPr>
            <w:r w:rsidRPr="004B7594">
              <w:rPr>
                <w:rFonts w:cs="Calibri"/>
              </w:rPr>
              <w:t>RISARALDA</w:t>
            </w:r>
          </w:p>
        </w:tc>
        <w:tc>
          <w:tcPr>
            <w:tcW w:w="1420" w:type="dxa"/>
            <w:tcBorders>
              <w:top w:val="single" w:color="auto" w:sz="4" w:space="0"/>
              <w:left w:val="single" w:color="auto" w:sz="4" w:space="0"/>
              <w:bottom w:val="single" w:color="auto" w:sz="4" w:space="0"/>
              <w:right w:val="single" w:color="auto" w:sz="4" w:space="0"/>
            </w:tcBorders>
            <w:noWrap/>
            <w:vAlign w:val="bottom"/>
            <w:hideMark/>
          </w:tcPr>
          <w:p w:rsidRPr="004B7594" w:rsidR="004B7594" w:rsidP="004B7594" w:rsidRDefault="004B7594" w14:paraId="18F75DFE" w14:textId="77777777">
            <w:pPr>
              <w:spacing w:after="0" w:line="276" w:lineRule="auto"/>
              <w:jc w:val="center"/>
              <w:rPr>
                <w:rFonts w:cs="Calibri"/>
              </w:rPr>
            </w:pPr>
            <w:r w:rsidRPr="004B7594">
              <w:rPr>
                <w:rFonts w:cs="Calibri"/>
              </w:rPr>
              <w:t>1</w:t>
            </w:r>
          </w:p>
        </w:tc>
        <w:tc>
          <w:tcPr>
            <w:tcW w:w="2080" w:type="dxa"/>
            <w:tcBorders>
              <w:top w:val="single" w:color="auto" w:sz="4" w:space="0"/>
              <w:left w:val="single" w:color="auto" w:sz="4" w:space="0"/>
              <w:bottom w:val="single" w:color="auto" w:sz="4" w:space="0"/>
              <w:right w:val="single" w:color="auto" w:sz="4" w:space="0"/>
            </w:tcBorders>
            <w:noWrap/>
            <w:vAlign w:val="center"/>
            <w:hideMark/>
          </w:tcPr>
          <w:p w:rsidRPr="004B7594" w:rsidR="004B7594" w:rsidP="004B7594" w:rsidRDefault="004B7594" w14:paraId="64DD899A" w14:textId="77777777">
            <w:pPr>
              <w:spacing w:after="0" w:line="276" w:lineRule="auto"/>
              <w:jc w:val="center"/>
              <w:rPr>
                <w:rFonts w:cs="Calibri"/>
              </w:rPr>
            </w:pPr>
            <w:r w:rsidRPr="004B7594">
              <w:rPr>
                <w:rFonts w:cs="Calibri"/>
              </w:rPr>
              <w:t>4.55%</w:t>
            </w:r>
          </w:p>
        </w:tc>
      </w:tr>
      <w:tr w:rsidRPr="004B7594" w:rsidR="004B7594" w:rsidTr="0078586F" w14:paraId="7B8D48AE" w14:textId="77777777">
        <w:trPr>
          <w:trHeight w:val="300"/>
          <w:jc w:val="center"/>
        </w:trPr>
        <w:tc>
          <w:tcPr>
            <w:tcW w:w="2200" w:type="dxa"/>
            <w:tcBorders>
              <w:top w:val="single" w:color="auto" w:sz="4" w:space="0"/>
              <w:left w:val="single" w:color="auto" w:sz="4" w:space="0"/>
              <w:bottom w:val="single" w:color="auto" w:sz="4" w:space="0"/>
              <w:right w:val="single" w:color="auto" w:sz="4" w:space="0"/>
            </w:tcBorders>
            <w:noWrap/>
            <w:vAlign w:val="bottom"/>
            <w:hideMark/>
          </w:tcPr>
          <w:p w:rsidRPr="004B7594" w:rsidR="004B7594" w:rsidP="004B7594" w:rsidRDefault="004B7594" w14:paraId="44647037" w14:textId="77777777">
            <w:pPr>
              <w:spacing w:after="0" w:line="276" w:lineRule="auto"/>
              <w:jc w:val="center"/>
              <w:rPr>
                <w:rFonts w:cs="Calibri"/>
              </w:rPr>
            </w:pPr>
            <w:r w:rsidRPr="004B7594">
              <w:rPr>
                <w:rFonts w:cs="Calibri"/>
              </w:rPr>
              <w:t>SANTANDER</w:t>
            </w:r>
          </w:p>
        </w:tc>
        <w:tc>
          <w:tcPr>
            <w:tcW w:w="1420" w:type="dxa"/>
            <w:tcBorders>
              <w:top w:val="single" w:color="auto" w:sz="4" w:space="0"/>
              <w:left w:val="single" w:color="auto" w:sz="4" w:space="0"/>
              <w:bottom w:val="single" w:color="auto" w:sz="4" w:space="0"/>
              <w:right w:val="single" w:color="auto" w:sz="4" w:space="0"/>
            </w:tcBorders>
            <w:noWrap/>
            <w:vAlign w:val="bottom"/>
            <w:hideMark/>
          </w:tcPr>
          <w:p w:rsidRPr="004B7594" w:rsidR="004B7594" w:rsidP="004B7594" w:rsidRDefault="004B7594" w14:paraId="5C31D2D5" w14:textId="77777777">
            <w:pPr>
              <w:spacing w:after="0" w:line="276" w:lineRule="auto"/>
              <w:jc w:val="center"/>
              <w:rPr>
                <w:rFonts w:cs="Calibri"/>
              </w:rPr>
            </w:pPr>
            <w:r w:rsidRPr="004B7594">
              <w:rPr>
                <w:rFonts w:cs="Calibri"/>
              </w:rPr>
              <w:t>1</w:t>
            </w:r>
          </w:p>
        </w:tc>
        <w:tc>
          <w:tcPr>
            <w:tcW w:w="2080" w:type="dxa"/>
            <w:tcBorders>
              <w:top w:val="single" w:color="auto" w:sz="4" w:space="0"/>
              <w:left w:val="single" w:color="auto" w:sz="4" w:space="0"/>
              <w:bottom w:val="single" w:color="auto" w:sz="4" w:space="0"/>
              <w:right w:val="single" w:color="auto" w:sz="4" w:space="0"/>
            </w:tcBorders>
            <w:noWrap/>
            <w:vAlign w:val="center"/>
            <w:hideMark/>
          </w:tcPr>
          <w:p w:rsidRPr="004B7594" w:rsidR="004B7594" w:rsidP="004B7594" w:rsidRDefault="004B7594" w14:paraId="7E7221F2" w14:textId="77777777">
            <w:pPr>
              <w:spacing w:after="0" w:line="276" w:lineRule="auto"/>
              <w:jc w:val="center"/>
              <w:rPr>
                <w:rFonts w:cs="Calibri"/>
              </w:rPr>
            </w:pPr>
            <w:r w:rsidRPr="004B7594">
              <w:rPr>
                <w:rFonts w:cs="Calibri"/>
              </w:rPr>
              <w:t>4.55%</w:t>
            </w:r>
          </w:p>
        </w:tc>
      </w:tr>
      <w:tr w:rsidRPr="004B7594" w:rsidR="004B7594" w:rsidTr="0078586F" w14:paraId="6257CC38" w14:textId="77777777">
        <w:trPr>
          <w:trHeight w:val="300"/>
          <w:jc w:val="center"/>
        </w:trPr>
        <w:tc>
          <w:tcPr>
            <w:tcW w:w="2200" w:type="dxa"/>
            <w:tcBorders>
              <w:top w:val="single" w:color="auto" w:sz="4" w:space="0"/>
              <w:left w:val="single" w:color="auto" w:sz="4" w:space="0"/>
              <w:bottom w:val="single" w:color="auto" w:sz="4" w:space="0"/>
              <w:right w:val="single" w:color="auto" w:sz="4" w:space="0"/>
            </w:tcBorders>
            <w:noWrap/>
            <w:vAlign w:val="bottom"/>
            <w:hideMark/>
          </w:tcPr>
          <w:p w:rsidRPr="004B7594" w:rsidR="004B7594" w:rsidP="004B7594" w:rsidRDefault="004B7594" w14:paraId="762A4081" w14:textId="77777777">
            <w:pPr>
              <w:spacing w:after="0" w:line="276" w:lineRule="auto"/>
              <w:jc w:val="center"/>
              <w:rPr>
                <w:rFonts w:cs="Calibri"/>
              </w:rPr>
            </w:pPr>
            <w:r w:rsidRPr="004B7594">
              <w:rPr>
                <w:rFonts w:cs="Calibri"/>
              </w:rPr>
              <w:t>VALLE</w:t>
            </w:r>
          </w:p>
        </w:tc>
        <w:tc>
          <w:tcPr>
            <w:tcW w:w="1420" w:type="dxa"/>
            <w:tcBorders>
              <w:top w:val="single" w:color="auto" w:sz="4" w:space="0"/>
              <w:left w:val="single" w:color="auto" w:sz="4" w:space="0"/>
              <w:bottom w:val="single" w:color="auto" w:sz="4" w:space="0"/>
              <w:right w:val="single" w:color="auto" w:sz="4" w:space="0"/>
            </w:tcBorders>
            <w:noWrap/>
            <w:vAlign w:val="bottom"/>
            <w:hideMark/>
          </w:tcPr>
          <w:p w:rsidRPr="004B7594" w:rsidR="004B7594" w:rsidP="004B7594" w:rsidRDefault="004B7594" w14:paraId="4DF99A76" w14:textId="77777777">
            <w:pPr>
              <w:spacing w:after="0" w:line="276" w:lineRule="auto"/>
              <w:jc w:val="center"/>
              <w:rPr>
                <w:rFonts w:cs="Calibri"/>
              </w:rPr>
            </w:pPr>
            <w:r w:rsidRPr="004B7594">
              <w:rPr>
                <w:rFonts w:cs="Calibri"/>
              </w:rPr>
              <w:t>1</w:t>
            </w:r>
          </w:p>
        </w:tc>
        <w:tc>
          <w:tcPr>
            <w:tcW w:w="2080" w:type="dxa"/>
            <w:tcBorders>
              <w:top w:val="single" w:color="auto" w:sz="4" w:space="0"/>
              <w:left w:val="single" w:color="auto" w:sz="4" w:space="0"/>
              <w:bottom w:val="single" w:color="auto" w:sz="4" w:space="0"/>
              <w:right w:val="single" w:color="auto" w:sz="4" w:space="0"/>
            </w:tcBorders>
            <w:noWrap/>
            <w:vAlign w:val="center"/>
            <w:hideMark/>
          </w:tcPr>
          <w:p w:rsidRPr="004B7594" w:rsidR="004B7594" w:rsidP="004B7594" w:rsidRDefault="004B7594" w14:paraId="7BA7759C" w14:textId="77777777">
            <w:pPr>
              <w:spacing w:after="0" w:line="276" w:lineRule="auto"/>
              <w:jc w:val="center"/>
              <w:rPr>
                <w:rFonts w:cs="Calibri"/>
              </w:rPr>
            </w:pPr>
            <w:r w:rsidRPr="004B7594">
              <w:rPr>
                <w:rFonts w:cs="Calibri"/>
              </w:rPr>
              <w:t>4.55%</w:t>
            </w:r>
          </w:p>
        </w:tc>
      </w:tr>
      <w:tr w:rsidRPr="004B7594" w:rsidR="004B7594" w:rsidTr="0078586F" w14:paraId="7CFA5556" w14:textId="77777777">
        <w:trPr>
          <w:trHeight w:val="315"/>
          <w:jc w:val="center"/>
        </w:trPr>
        <w:tc>
          <w:tcPr>
            <w:tcW w:w="2200" w:type="dxa"/>
            <w:tcBorders>
              <w:top w:val="nil"/>
              <w:left w:val="single" w:color="auto" w:sz="8" w:space="0"/>
              <w:bottom w:val="single" w:color="auto" w:sz="8" w:space="0"/>
              <w:right w:val="single" w:color="auto" w:sz="4" w:space="0"/>
            </w:tcBorders>
            <w:shd w:val="clear" w:color="auto" w:fill="F7CAAC" w:themeFill="accent2" w:themeFillTint="66"/>
            <w:noWrap/>
            <w:vAlign w:val="bottom"/>
            <w:hideMark/>
          </w:tcPr>
          <w:p w:rsidRPr="004B7594" w:rsidR="004B7594" w:rsidP="004B7594" w:rsidRDefault="004B7594" w14:paraId="5D426592" w14:textId="77777777">
            <w:pPr>
              <w:spacing w:after="0" w:line="276" w:lineRule="auto"/>
              <w:jc w:val="center"/>
              <w:rPr>
                <w:rFonts w:cs="Calibri"/>
                <w:b/>
                <w:bCs/>
              </w:rPr>
            </w:pPr>
            <w:r w:rsidRPr="004B7594">
              <w:rPr>
                <w:rFonts w:cs="Calibri"/>
                <w:b/>
                <w:bCs/>
              </w:rPr>
              <w:t>TOTAL</w:t>
            </w:r>
          </w:p>
        </w:tc>
        <w:tc>
          <w:tcPr>
            <w:tcW w:w="1420" w:type="dxa"/>
            <w:tcBorders>
              <w:top w:val="nil"/>
              <w:left w:val="single" w:color="auto" w:sz="4" w:space="0"/>
              <w:bottom w:val="single" w:color="auto" w:sz="8" w:space="0"/>
              <w:right w:val="single" w:color="auto" w:sz="4" w:space="0"/>
            </w:tcBorders>
            <w:shd w:val="clear" w:color="auto" w:fill="F7CAAC" w:themeFill="accent2" w:themeFillTint="66"/>
            <w:noWrap/>
            <w:vAlign w:val="center"/>
            <w:hideMark/>
          </w:tcPr>
          <w:p w:rsidRPr="004B7594" w:rsidR="004B7594" w:rsidP="004B7594" w:rsidRDefault="004B7594" w14:paraId="573F7B16" w14:textId="77777777">
            <w:pPr>
              <w:spacing w:after="0" w:line="276" w:lineRule="auto"/>
              <w:jc w:val="center"/>
              <w:rPr>
                <w:rFonts w:cs="Calibri"/>
                <w:b/>
                <w:bCs/>
              </w:rPr>
            </w:pPr>
            <w:r w:rsidRPr="004B7594">
              <w:rPr>
                <w:rFonts w:cs="Calibri"/>
                <w:b/>
                <w:bCs/>
              </w:rPr>
              <w:t>22</w:t>
            </w:r>
          </w:p>
        </w:tc>
        <w:tc>
          <w:tcPr>
            <w:tcW w:w="2080" w:type="dxa"/>
            <w:tcBorders>
              <w:top w:val="nil"/>
              <w:left w:val="single" w:color="auto" w:sz="4" w:space="0"/>
              <w:bottom w:val="single" w:color="auto" w:sz="8" w:space="0"/>
              <w:right w:val="single" w:color="auto" w:sz="8" w:space="0"/>
            </w:tcBorders>
            <w:shd w:val="clear" w:color="auto" w:fill="F7CAAC" w:themeFill="accent2" w:themeFillTint="66"/>
            <w:noWrap/>
            <w:vAlign w:val="center"/>
            <w:hideMark/>
          </w:tcPr>
          <w:p w:rsidRPr="004B7594" w:rsidR="004B7594" w:rsidP="004B7594" w:rsidRDefault="004B7594" w14:paraId="3961EE28" w14:textId="77777777">
            <w:pPr>
              <w:spacing w:after="0" w:line="276" w:lineRule="auto"/>
              <w:jc w:val="center"/>
              <w:rPr>
                <w:rFonts w:cs="Calibri"/>
                <w:b/>
                <w:bCs/>
              </w:rPr>
            </w:pPr>
            <w:r w:rsidRPr="004B7594">
              <w:rPr>
                <w:rFonts w:cs="Calibri"/>
                <w:b/>
                <w:bCs/>
              </w:rPr>
              <w:t>100.00%</w:t>
            </w:r>
          </w:p>
        </w:tc>
      </w:tr>
    </w:tbl>
    <w:p w:rsidR="004B7594" w:rsidP="65D10910" w:rsidRDefault="004B7594" w14:paraId="35D1752B" w14:textId="77777777">
      <w:pPr>
        <w:spacing w:after="0" w:line="276" w:lineRule="auto"/>
        <w:jc w:val="center"/>
        <w:rPr>
          <w:rFonts w:cs="Calibri"/>
        </w:rPr>
      </w:pPr>
    </w:p>
    <w:p w:rsidRPr="006C6B35" w:rsidR="004B7594" w:rsidP="65D10910" w:rsidRDefault="004B7594" w14:paraId="70F8FE8B" w14:textId="77777777">
      <w:pPr>
        <w:spacing w:after="0" w:line="276" w:lineRule="auto"/>
        <w:jc w:val="center"/>
        <w:rPr>
          <w:rFonts w:cs="Calibri"/>
        </w:rPr>
      </w:pPr>
    </w:p>
    <w:p w:rsidRPr="006C6B35" w:rsidR="00AC51B1" w:rsidP="65D10910" w:rsidRDefault="00AC51B1" w14:paraId="79C6D82A" w14:textId="77777777">
      <w:pPr>
        <w:spacing w:after="0" w:line="276" w:lineRule="auto"/>
        <w:jc w:val="center"/>
        <w:rPr>
          <w:rFonts w:cs="Calibri"/>
        </w:rPr>
      </w:pPr>
    </w:p>
    <w:p w:rsidRPr="006C6B35" w:rsidR="00C10307" w:rsidP="004026CA" w:rsidRDefault="00C10307" w14:paraId="64B63709" w14:textId="77777777">
      <w:pPr>
        <w:spacing w:after="0" w:line="276" w:lineRule="auto"/>
        <w:jc w:val="both"/>
        <w:rPr>
          <w:rFonts w:cs="Calibri"/>
        </w:rPr>
      </w:pPr>
    </w:p>
    <w:p w:rsidRPr="006C6B35" w:rsidR="007250D3" w:rsidP="00AC00A0" w:rsidRDefault="007250D3" w14:paraId="5F48FDD0" w14:textId="77777777">
      <w:pPr>
        <w:spacing w:after="0" w:line="276" w:lineRule="auto"/>
        <w:jc w:val="both"/>
        <w:rPr>
          <w:rFonts w:cs="Calibri"/>
          <w:b/>
        </w:rPr>
      </w:pPr>
      <w:r w:rsidRPr="006C6B35">
        <w:rPr>
          <w:rFonts w:cs="Calibri"/>
          <w:b/>
        </w:rPr>
        <w:t xml:space="preserve">TAMAÑO DE EMPRESAS – MUESTRA DE </w:t>
      </w:r>
      <w:r w:rsidRPr="006C6B35" w:rsidR="00C35036">
        <w:rPr>
          <w:rFonts w:cs="Calibri"/>
          <w:b/>
        </w:rPr>
        <w:t>ANÁLISIS</w:t>
      </w:r>
    </w:p>
    <w:p w:rsidRPr="006C6B35" w:rsidR="00C35036" w:rsidP="00AC00A0" w:rsidRDefault="00C35036" w14:paraId="0E3DEFC2" w14:textId="77777777">
      <w:pPr>
        <w:spacing w:after="0" w:line="276" w:lineRule="auto"/>
        <w:jc w:val="both"/>
        <w:rPr>
          <w:rFonts w:cs="Calibri"/>
          <w:b/>
        </w:rPr>
      </w:pPr>
    </w:p>
    <w:p w:rsidRPr="006C6B35" w:rsidR="007250D3" w:rsidP="00AC00A0" w:rsidRDefault="007250D3" w14:paraId="79238BC3" w14:textId="77777777">
      <w:pPr>
        <w:spacing w:after="0" w:line="276" w:lineRule="auto"/>
        <w:jc w:val="both"/>
        <w:rPr>
          <w:rFonts w:cs="Calibri"/>
        </w:rPr>
      </w:pPr>
      <w:r w:rsidRPr="006C6B35">
        <w:rPr>
          <w:rFonts w:cs="Calibri"/>
        </w:rPr>
        <w:t>En Colombia el segmento empresarial está clasificado en micro, pequeñas, medianas, y grandes empresas, esta clasificación está reglamentada en la Ley 590 de 2000 conocida como la Ley Mipymes y sus modificaciones (Ley 905 de 2004)</w:t>
      </w:r>
    </w:p>
    <w:p w:rsidRPr="006C6B35" w:rsidR="00C35036" w:rsidP="00AC00A0" w:rsidRDefault="00C35036" w14:paraId="63B5B112" w14:textId="77777777">
      <w:pPr>
        <w:spacing w:after="0" w:line="276" w:lineRule="auto"/>
        <w:jc w:val="both"/>
        <w:rPr>
          <w:rFonts w:cs="Calibri"/>
        </w:rPr>
      </w:pPr>
    </w:p>
    <w:p w:rsidRPr="006C6B35" w:rsidR="007250D3" w:rsidP="00AC00A0" w:rsidRDefault="007250D3" w14:paraId="4C56FBD8" w14:textId="4B259856">
      <w:pPr>
        <w:spacing w:after="0" w:line="276" w:lineRule="auto"/>
        <w:jc w:val="both"/>
        <w:rPr>
          <w:rFonts w:cs="Calibri"/>
        </w:rPr>
      </w:pPr>
      <w:r w:rsidRPr="006C6B35">
        <w:rPr>
          <w:rFonts w:cs="Calibri"/>
        </w:rPr>
        <w:t xml:space="preserve">Clasificación de las empresas con información año </w:t>
      </w:r>
      <w:r w:rsidRPr="00D2027B" w:rsidR="00183FCA">
        <w:rPr>
          <w:rFonts w:cs="Calibri"/>
        </w:rPr>
        <w:t>202</w:t>
      </w:r>
      <w:r w:rsidRPr="00D2027B" w:rsidR="00116356">
        <w:rPr>
          <w:rFonts w:cs="Calibri"/>
        </w:rPr>
        <w:t>5</w:t>
      </w:r>
      <w:r w:rsidRPr="00D2027B">
        <w:rPr>
          <w:rFonts w:cs="Calibri"/>
        </w:rPr>
        <w:t xml:space="preserve"> SMMLV $</w:t>
      </w:r>
      <w:r w:rsidRPr="00D2027B" w:rsidR="00116356">
        <w:rPr>
          <w:rFonts w:cs="Calibri"/>
        </w:rPr>
        <w:t>1.423.500</w:t>
      </w:r>
    </w:p>
    <w:p w:rsidRPr="006C6B35" w:rsidR="007250D3" w:rsidP="00AC00A0" w:rsidRDefault="007250D3" w14:paraId="4008746C" w14:textId="77777777">
      <w:pPr>
        <w:spacing w:after="0" w:line="276" w:lineRule="auto"/>
        <w:jc w:val="both"/>
        <w:rPr>
          <w:rFonts w:cs="Calibri"/>
        </w:rPr>
      </w:pPr>
      <w:r w:rsidRPr="006C6B35">
        <w:rPr>
          <w:rFonts w:cs="Calibri"/>
        </w:rPr>
        <w:t>Tamaño de Activos totales SMMLV</w:t>
      </w:r>
    </w:p>
    <w:p w:rsidRPr="006C6B35" w:rsidR="0083074B" w:rsidP="00AC00A0" w:rsidRDefault="0083074B" w14:paraId="0FBA5C6A" w14:textId="77777777">
      <w:pPr>
        <w:spacing w:after="0" w:line="276" w:lineRule="auto"/>
        <w:jc w:val="both"/>
        <w:rPr>
          <w:rFonts w:cs="Calibri"/>
        </w:rPr>
      </w:pPr>
    </w:p>
    <w:p w:rsidRPr="006C6B35" w:rsidR="007250D3" w:rsidP="00AC00A0" w:rsidRDefault="007250D3" w14:paraId="1F671CBE" w14:textId="77777777">
      <w:pPr>
        <w:numPr>
          <w:ilvl w:val="0"/>
          <w:numId w:val="10"/>
        </w:numPr>
        <w:spacing w:after="0" w:line="276" w:lineRule="auto"/>
        <w:contextualSpacing/>
        <w:jc w:val="both"/>
        <w:rPr>
          <w:rFonts w:cs="Calibri"/>
        </w:rPr>
      </w:pPr>
      <w:r w:rsidRPr="006C6B35">
        <w:rPr>
          <w:rFonts w:cs="Calibri"/>
        </w:rPr>
        <w:t xml:space="preserve">Microempresa Hasta 500 </w:t>
      </w:r>
    </w:p>
    <w:p w:rsidRPr="006C6B35" w:rsidR="007250D3" w:rsidP="00AC00A0" w:rsidRDefault="007250D3" w14:paraId="51C65FC4" w14:textId="77777777">
      <w:pPr>
        <w:numPr>
          <w:ilvl w:val="0"/>
          <w:numId w:val="10"/>
        </w:numPr>
        <w:spacing w:after="0" w:line="276" w:lineRule="auto"/>
        <w:contextualSpacing/>
        <w:jc w:val="both"/>
        <w:rPr>
          <w:rFonts w:cs="Calibri"/>
        </w:rPr>
      </w:pPr>
      <w:r w:rsidRPr="006C6B35">
        <w:rPr>
          <w:rFonts w:cs="Calibri"/>
        </w:rPr>
        <w:t xml:space="preserve">Pequeña Superior a 500 y hasta 5.000 </w:t>
      </w:r>
    </w:p>
    <w:p w:rsidRPr="006C6B35" w:rsidR="007250D3" w:rsidP="00AC00A0" w:rsidRDefault="007250D3" w14:paraId="4254CBA1" w14:textId="77777777">
      <w:pPr>
        <w:numPr>
          <w:ilvl w:val="0"/>
          <w:numId w:val="10"/>
        </w:numPr>
        <w:spacing w:after="0" w:line="276" w:lineRule="auto"/>
        <w:contextualSpacing/>
        <w:jc w:val="both"/>
        <w:rPr>
          <w:rFonts w:cs="Calibri"/>
        </w:rPr>
      </w:pPr>
      <w:r w:rsidRPr="006C6B35">
        <w:rPr>
          <w:rFonts w:cs="Calibri"/>
        </w:rPr>
        <w:t xml:space="preserve">Mediana Superior a 5.000 y hasta 30.000 </w:t>
      </w:r>
    </w:p>
    <w:p w:rsidRPr="006C6B35" w:rsidR="007250D3" w:rsidP="00AC00A0" w:rsidRDefault="007250D3" w14:paraId="4A14A8C5" w14:textId="77777777">
      <w:pPr>
        <w:numPr>
          <w:ilvl w:val="0"/>
          <w:numId w:val="10"/>
        </w:numPr>
        <w:spacing w:after="0" w:line="276" w:lineRule="auto"/>
        <w:contextualSpacing/>
        <w:jc w:val="both"/>
        <w:rPr>
          <w:rFonts w:cs="Calibri"/>
        </w:rPr>
      </w:pPr>
      <w:r w:rsidRPr="006C6B35">
        <w:rPr>
          <w:rFonts w:cs="Calibri"/>
        </w:rPr>
        <w:t>Grande Superior a 30.000</w:t>
      </w:r>
    </w:p>
    <w:p w:rsidRPr="006C6B35" w:rsidR="000E14EE" w:rsidP="00AC00A0" w:rsidRDefault="000E14EE" w14:paraId="159B59C5" w14:textId="77777777">
      <w:pPr>
        <w:widowControl w:val="0"/>
        <w:autoSpaceDE w:val="0"/>
        <w:autoSpaceDN w:val="0"/>
        <w:adjustRightInd w:val="0"/>
        <w:spacing w:after="0" w:line="276" w:lineRule="auto"/>
        <w:rPr>
          <w:rFonts w:cs="Calibri"/>
        </w:rPr>
      </w:pPr>
    </w:p>
    <w:p w:rsidR="007250D3" w:rsidP="00AC00A0" w:rsidRDefault="0DC02BDD" w14:paraId="03CFA9FF" w14:textId="20BE9145">
      <w:pPr>
        <w:spacing w:after="0" w:line="276" w:lineRule="auto"/>
        <w:jc w:val="both"/>
        <w:rPr>
          <w:rFonts w:cs="Calibri"/>
        </w:rPr>
      </w:pPr>
      <w:r w:rsidRPr="006C6B35">
        <w:rPr>
          <w:rFonts w:cs="Calibri"/>
        </w:rPr>
        <w:t>En atención con lo anterior, las</w:t>
      </w:r>
      <w:r w:rsidR="00116356">
        <w:rPr>
          <w:rFonts w:cs="Calibri"/>
        </w:rPr>
        <w:t xml:space="preserve"> </w:t>
      </w:r>
      <w:r w:rsidRPr="007E1AE4" w:rsidR="00116356">
        <w:rPr>
          <w:rFonts w:cs="Calibri"/>
          <w:b/>
          <w:bCs/>
        </w:rPr>
        <w:t>22</w:t>
      </w:r>
      <w:r w:rsidRPr="006C6B35">
        <w:rPr>
          <w:rFonts w:cs="Calibri"/>
          <w:b/>
          <w:bCs/>
        </w:rPr>
        <w:t xml:space="preserve"> </w:t>
      </w:r>
      <w:r w:rsidRPr="006C6B35">
        <w:rPr>
          <w:rFonts w:cs="Calibri"/>
        </w:rPr>
        <w:t>empresas bajo la clasificación seleccionada atienden la siguiente clasificación:</w:t>
      </w:r>
    </w:p>
    <w:p w:rsidR="00116356" w:rsidP="00AC00A0" w:rsidRDefault="00116356" w14:paraId="2AECD529" w14:textId="77777777">
      <w:pPr>
        <w:spacing w:after="0" w:line="276" w:lineRule="auto"/>
        <w:jc w:val="both"/>
        <w:rPr>
          <w:rFonts w:cs="Calibri"/>
        </w:rPr>
      </w:pPr>
    </w:p>
    <w:tbl>
      <w:tblPr>
        <w:tblW w:w="5280" w:type="dxa"/>
        <w:jc w:val="center"/>
        <w:tblCellMar>
          <w:top w:w="15" w:type="dxa"/>
          <w:left w:w="70" w:type="dxa"/>
          <w:bottom w:w="15" w:type="dxa"/>
          <w:right w:w="70" w:type="dxa"/>
        </w:tblCellMar>
        <w:tblLook w:val="04A0" w:firstRow="1" w:lastRow="0" w:firstColumn="1" w:lastColumn="0" w:noHBand="0" w:noVBand="1"/>
      </w:tblPr>
      <w:tblGrid>
        <w:gridCol w:w="1728"/>
        <w:gridCol w:w="1900"/>
        <w:gridCol w:w="1700"/>
      </w:tblGrid>
      <w:tr w:rsidRPr="00416B46" w:rsidR="00416B46" w:rsidTr="0078586F" w14:paraId="73694703" w14:textId="77777777">
        <w:trPr>
          <w:trHeight w:val="315"/>
          <w:jc w:val="center"/>
        </w:trPr>
        <w:tc>
          <w:tcPr>
            <w:tcW w:w="1680" w:type="dxa"/>
            <w:tcBorders>
              <w:top w:val="nil"/>
              <w:left w:val="nil"/>
              <w:bottom w:val="nil"/>
              <w:right w:val="nil"/>
            </w:tcBorders>
            <w:noWrap/>
            <w:vAlign w:val="center"/>
            <w:hideMark/>
          </w:tcPr>
          <w:p w:rsidRPr="00416B46" w:rsidR="00416B46" w:rsidP="0078586F" w:rsidRDefault="00416B46" w14:paraId="5932A55E" w14:textId="77777777">
            <w:pPr>
              <w:spacing w:after="0" w:line="240" w:lineRule="auto"/>
              <w:jc w:val="center"/>
              <w:rPr>
                <w:rFonts w:ascii="Times New Roman" w:hAnsi="Times New Roman" w:eastAsia="Times New Roman"/>
                <w:sz w:val="20"/>
                <w:szCs w:val="20"/>
                <w:lang w:eastAsia="es-CO"/>
              </w:rPr>
            </w:pPr>
          </w:p>
        </w:tc>
        <w:tc>
          <w:tcPr>
            <w:tcW w:w="1900" w:type="dxa"/>
            <w:tcBorders>
              <w:top w:val="single" w:color="auto" w:sz="4" w:space="0"/>
              <w:left w:val="single" w:color="auto" w:sz="4" w:space="0"/>
              <w:bottom w:val="single" w:color="auto" w:sz="4" w:space="0"/>
              <w:right w:val="single" w:color="auto" w:sz="4" w:space="0"/>
            </w:tcBorders>
            <w:noWrap/>
            <w:vAlign w:val="center"/>
            <w:hideMark/>
          </w:tcPr>
          <w:p w:rsidRPr="00416B46" w:rsidR="00416B46" w:rsidP="00416B46" w:rsidRDefault="00416B46" w14:paraId="06FED9CC" w14:textId="77777777">
            <w:pPr>
              <w:spacing w:after="0" w:line="240" w:lineRule="auto"/>
              <w:jc w:val="center"/>
              <w:rPr>
                <w:rFonts w:ascii="Aptos Narrow" w:hAnsi="Aptos Narrow" w:eastAsia="Times New Roman"/>
                <w:b/>
                <w:bCs/>
                <w:i/>
                <w:iCs/>
                <w:color w:val="000000"/>
                <w:lang w:eastAsia="es-CO"/>
              </w:rPr>
            </w:pPr>
            <w:r w:rsidRPr="00416B46">
              <w:rPr>
                <w:rFonts w:ascii="Aptos Narrow" w:hAnsi="Aptos Narrow" w:eastAsia="Times New Roman"/>
                <w:b/>
                <w:bCs/>
                <w:i/>
                <w:iCs/>
                <w:color w:val="000000"/>
                <w:lang w:eastAsia="es-CO"/>
              </w:rPr>
              <w:t>SMMLV 2024</w:t>
            </w:r>
          </w:p>
        </w:tc>
        <w:tc>
          <w:tcPr>
            <w:tcW w:w="1700" w:type="dxa"/>
            <w:tcBorders>
              <w:top w:val="single" w:color="auto" w:sz="4" w:space="0"/>
              <w:left w:val="single" w:color="auto" w:sz="4" w:space="0"/>
              <w:bottom w:val="nil"/>
              <w:right w:val="single" w:color="auto" w:sz="4" w:space="0"/>
            </w:tcBorders>
            <w:noWrap/>
            <w:vAlign w:val="center"/>
            <w:hideMark/>
          </w:tcPr>
          <w:p w:rsidRPr="00416B46" w:rsidR="00416B46" w:rsidP="00416B46" w:rsidRDefault="00416B46" w14:paraId="79F627FE" w14:textId="5ADAFD2A">
            <w:pPr>
              <w:spacing w:after="0" w:line="240" w:lineRule="auto"/>
              <w:jc w:val="center"/>
              <w:rPr>
                <w:rFonts w:ascii="Aptos Narrow" w:hAnsi="Aptos Narrow" w:eastAsia="Times New Roman"/>
                <w:b/>
                <w:bCs/>
                <w:color w:val="000000"/>
                <w:lang w:eastAsia="es-CO"/>
              </w:rPr>
            </w:pPr>
            <w:r w:rsidRPr="00416B46">
              <w:rPr>
                <w:rFonts w:ascii="Aptos Narrow" w:hAnsi="Aptos Narrow" w:eastAsia="Times New Roman"/>
                <w:b/>
                <w:bCs/>
                <w:color w:val="000000"/>
                <w:lang w:eastAsia="es-CO"/>
              </w:rPr>
              <w:t>$ 1,423,500.00</w:t>
            </w:r>
          </w:p>
        </w:tc>
      </w:tr>
      <w:tr w:rsidRPr="00416B46" w:rsidR="00416B46" w:rsidTr="0078586F" w14:paraId="3AC03C38" w14:textId="77777777">
        <w:trPr>
          <w:trHeight w:val="315"/>
          <w:jc w:val="center"/>
        </w:trPr>
        <w:tc>
          <w:tcPr>
            <w:tcW w:w="1680" w:type="dxa"/>
            <w:tcBorders>
              <w:top w:val="single" w:color="auto" w:sz="8" w:space="0"/>
              <w:left w:val="single" w:color="auto" w:sz="8" w:space="0"/>
              <w:bottom w:val="single" w:color="auto" w:sz="8" w:space="0"/>
              <w:right w:val="single" w:color="auto" w:sz="4" w:space="0"/>
            </w:tcBorders>
            <w:shd w:val="clear" w:color="auto" w:fill="F7CAAC" w:themeFill="accent2" w:themeFillTint="66"/>
            <w:noWrap/>
            <w:vAlign w:val="center"/>
            <w:hideMark/>
          </w:tcPr>
          <w:p w:rsidRPr="00416B46" w:rsidR="00416B46" w:rsidP="00416B46" w:rsidRDefault="00416B46" w14:paraId="28D63527" w14:textId="77777777">
            <w:pPr>
              <w:spacing w:after="0" w:line="240" w:lineRule="auto"/>
              <w:jc w:val="center"/>
              <w:rPr>
                <w:rFonts w:ascii="Aptos Narrow" w:hAnsi="Aptos Narrow" w:eastAsia="Times New Roman"/>
                <w:b/>
                <w:bCs/>
                <w:color w:val="000000"/>
                <w:lang w:eastAsia="es-CO"/>
              </w:rPr>
            </w:pPr>
            <w:r w:rsidRPr="00416B46">
              <w:rPr>
                <w:rFonts w:ascii="Aptos Narrow" w:hAnsi="Aptos Narrow" w:eastAsia="Times New Roman"/>
                <w:b/>
                <w:bCs/>
                <w:color w:val="000000"/>
                <w:lang w:eastAsia="es-CO"/>
              </w:rPr>
              <w:t>TAMAÑO</w:t>
            </w:r>
          </w:p>
        </w:tc>
        <w:tc>
          <w:tcPr>
            <w:tcW w:w="1900" w:type="dxa"/>
            <w:tcBorders>
              <w:top w:val="nil"/>
              <w:left w:val="single" w:color="auto" w:sz="4" w:space="0"/>
              <w:bottom w:val="single" w:color="auto" w:sz="8" w:space="0"/>
              <w:right w:val="single" w:color="auto" w:sz="4" w:space="0"/>
            </w:tcBorders>
            <w:shd w:val="clear" w:color="auto" w:fill="F7CAAC" w:themeFill="accent2" w:themeFillTint="66"/>
            <w:noWrap/>
            <w:vAlign w:val="center"/>
            <w:hideMark/>
          </w:tcPr>
          <w:p w:rsidRPr="00416B46" w:rsidR="00416B46" w:rsidP="00416B46" w:rsidRDefault="00416B46" w14:paraId="3CC1E4C5" w14:textId="77777777">
            <w:pPr>
              <w:spacing w:after="0" w:line="240" w:lineRule="auto"/>
              <w:jc w:val="center"/>
              <w:rPr>
                <w:rFonts w:ascii="Aptos Narrow" w:hAnsi="Aptos Narrow" w:eastAsia="Times New Roman"/>
                <w:b/>
                <w:bCs/>
                <w:color w:val="000000"/>
                <w:lang w:eastAsia="es-CO"/>
              </w:rPr>
            </w:pPr>
            <w:r w:rsidRPr="00416B46">
              <w:rPr>
                <w:rFonts w:ascii="Aptos Narrow" w:hAnsi="Aptos Narrow" w:eastAsia="Times New Roman"/>
                <w:b/>
                <w:bCs/>
                <w:color w:val="000000"/>
                <w:lang w:eastAsia="es-CO"/>
              </w:rPr>
              <w:t>N° DE EMPRESAS</w:t>
            </w:r>
          </w:p>
        </w:tc>
        <w:tc>
          <w:tcPr>
            <w:tcW w:w="1700" w:type="dxa"/>
            <w:tcBorders>
              <w:top w:val="single" w:color="auto" w:sz="8" w:space="0"/>
              <w:left w:val="single" w:color="auto" w:sz="4" w:space="0"/>
              <w:bottom w:val="single" w:color="auto" w:sz="8" w:space="0"/>
              <w:right w:val="single" w:color="auto" w:sz="8" w:space="0"/>
            </w:tcBorders>
            <w:shd w:val="clear" w:color="auto" w:fill="F7CAAC" w:themeFill="accent2" w:themeFillTint="66"/>
            <w:noWrap/>
            <w:vAlign w:val="center"/>
            <w:hideMark/>
          </w:tcPr>
          <w:p w:rsidRPr="00416B46" w:rsidR="00416B46" w:rsidP="00416B46" w:rsidRDefault="00416B46" w14:paraId="75723DF8" w14:textId="77777777">
            <w:pPr>
              <w:spacing w:after="0" w:line="240" w:lineRule="auto"/>
              <w:jc w:val="center"/>
              <w:rPr>
                <w:rFonts w:ascii="Aptos Narrow" w:hAnsi="Aptos Narrow" w:eastAsia="Times New Roman"/>
                <w:b/>
                <w:bCs/>
                <w:color w:val="000000"/>
                <w:lang w:eastAsia="es-CO"/>
              </w:rPr>
            </w:pPr>
            <w:r w:rsidRPr="00416B46">
              <w:rPr>
                <w:rFonts w:ascii="Aptos Narrow" w:hAnsi="Aptos Narrow" w:eastAsia="Times New Roman"/>
                <w:b/>
                <w:bCs/>
                <w:color w:val="000000"/>
                <w:lang w:eastAsia="es-CO"/>
              </w:rPr>
              <w:t>PARTICIPACIÓN</w:t>
            </w:r>
          </w:p>
        </w:tc>
      </w:tr>
      <w:tr w:rsidRPr="00416B46" w:rsidR="00416B46" w:rsidTr="0078586F" w14:paraId="322AD60A" w14:textId="77777777">
        <w:trPr>
          <w:trHeight w:val="315"/>
          <w:jc w:val="center"/>
        </w:trPr>
        <w:tc>
          <w:tcPr>
            <w:tcW w:w="1680" w:type="dxa"/>
            <w:tcBorders>
              <w:top w:val="nil"/>
              <w:left w:val="single" w:color="auto" w:sz="8" w:space="0"/>
              <w:bottom w:val="single" w:color="auto" w:sz="4" w:space="0"/>
              <w:right w:val="single" w:color="auto" w:sz="4" w:space="0"/>
            </w:tcBorders>
            <w:noWrap/>
            <w:vAlign w:val="center"/>
            <w:hideMark/>
          </w:tcPr>
          <w:p w:rsidRPr="00416B46" w:rsidR="00416B46" w:rsidP="00416B46" w:rsidRDefault="00416B46" w14:paraId="7BD3042F" w14:textId="77777777">
            <w:pPr>
              <w:spacing w:after="0" w:line="240" w:lineRule="auto"/>
              <w:jc w:val="center"/>
              <w:rPr>
                <w:rFonts w:ascii="Aptos Narrow" w:hAnsi="Aptos Narrow" w:eastAsia="Times New Roman"/>
                <w:color w:val="000000"/>
                <w:lang w:eastAsia="es-CO"/>
              </w:rPr>
            </w:pPr>
            <w:r w:rsidRPr="00416B46">
              <w:rPr>
                <w:rFonts w:ascii="Aptos Narrow" w:hAnsi="Aptos Narrow" w:eastAsia="Times New Roman"/>
                <w:color w:val="000000"/>
                <w:lang w:eastAsia="es-CO"/>
              </w:rPr>
              <w:t>MICROEMPRESAS</w:t>
            </w:r>
          </w:p>
        </w:tc>
        <w:tc>
          <w:tcPr>
            <w:tcW w:w="1900" w:type="dxa"/>
            <w:tcBorders>
              <w:top w:val="nil"/>
              <w:left w:val="single" w:color="auto" w:sz="4" w:space="0"/>
              <w:bottom w:val="single" w:color="auto" w:sz="4" w:space="0"/>
              <w:right w:val="single" w:color="auto" w:sz="4" w:space="0"/>
            </w:tcBorders>
            <w:noWrap/>
            <w:vAlign w:val="center"/>
            <w:hideMark/>
          </w:tcPr>
          <w:p w:rsidRPr="00416B46" w:rsidR="00416B46" w:rsidP="0078586F" w:rsidRDefault="00416B46" w14:paraId="69548917" w14:textId="1E2F1811">
            <w:pPr>
              <w:spacing w:after="0" w:line="240" w:lineRule="auto"/>
              <w:jc w:val="center"/>
              <w:rPr>
                <w:rFonts w:ascii="Aptos Narrow" w:hAnsi="Aptos Narrow" w:eastAsia="Times New Roman"/>
                <w:color w:val="000000"/>
                <w:lang w:eastAsia="es-CO"/>
              </w:rPr>
            </w:pPr>
            <w:r w:rsidRPr="00416B46">
              <w:rPr>
                <w:rFonts w:ascii="Aptos Narrow" w:hAnsi="Aptos Narrow" w:eastAsia="Times New Roman"/>
                <w:color w:val="000000"/>
                <w:lang w:eastAsia="es-CO"/>
              </w:rPr>
              <w:t>2</w:t>
            </w:r>
          </w:p>
        </w:tc>
        <w:tc>
          <w:tcPr>
            <w:tcW w:w="1700" w:type="dxa"/>
            <w:tcBorders>
              <w:top w:val="nil"/>
              <w:left w:val="single" w:color="auto" w:sz="4" w:space="0"/>
              <w:bottom w:val="single" w:color="auto" w:sz="4" w:space="0"/>
              <w:right w:val="single" w:color="auto" w:sz="8" w:space="0"/>
            </w:tcBorders>
            <w:noWrap/>
            <w:vAlign w:val="center"/>
            <w:hideMark/>
          </w:tcPr>
          <w:p w:rsidRPr="00416B46" w:rsidR="00416B46" w:rsidP="00416B46" w:rsidRDefault="00416B46" w14:paraId="6B1C27AC" w14:textId="77777777">
            <w:pPr>
              <w:spacing w:after="0" w:line="240" w:lineRule="auto"/>
              <w:jc w:val="center"/>
              <w:rPr>
                <w:rFonts w:ascii="Aptos Narrow" w:hAnsi="Aptos Narrow" w:eastAsia="Times New Roman"/>
                <w:color w:val="000000"/>
                <w:lang w:eastAsia="es-CO"/>
              </w:rPr>
            </w:pPr>
            <w:r w:rsidRPr="00416B46">
              <w:rPr>
                <w:rFonts w:ascii="Aptos Narrow" w:hAnsi="Aptos Narrow" w:eastAsia="Times New Roman"/>
                <w:color w:val="000000"/>
                <w:lang w:eastAsia="es-CO"/>
              </w:rPr>
              <w:t>9.09%</w:t>
            </w:r>
          </w:p>
        </w:tc>
      </w:tr>
      <w:tr w:rsidRPr="00416B46" w:rsidR="00416B46" w:rsidTr="0078586F" w14:paraId="6363A0A1" w14:textId="77777777">
        <w:trPr>
          <w:trHeight w:val="300"/>
          <w:jc w:val="center"/>
        </w:trPr>
        <w:tc>
          <w:tcPr>
            <w:tcW w:w="1680" w:type="dxa"/>
            <w:tcBorders>
              <w:top w:val="single" w:color="auto" w:sz="4" w:space="0"/>
              <w:left w:val="single" w:color="auto" w:sz="8" w:space="0"/>
              <w:bottom w:val="single" w:color="auto" w:sz="4" w:space="0"/>
              <w:right w:val="single" w:color="auto" w:sz="4" w:space="0"/>
            </w:tcBorders>
            <w:noWrap/>
            <w:vAlign w:val="center"/>
            <w:hideMark/>
          </w:tcPr>
          <w:p w:rsidRPr="00416B46" w:rsidR="00416B46" w:rsidP="00416B46" w:rsidRDefault="00416B46" w14:paraId="30620E7B" w14:textId="77777777">
            <w:pPr>
              <w:spacing w:after="0" w:line="240" w:lineRule="auto"/>
              <w:jc w:val="center"/>
              <w:rPr>
                <w:rFonts w:ascii="Aptos Narrow" w:hAnsi="Aptos Narrow" w:eastAsia="Times New Roman"/>
                <w:color w:val="000000"/>
                <w:lang w:eastAsia="es-CO"/>
              </w:rPr>
            </w:pPr>
            <w:r w:rsidRPr="00416B46">
              <w:rPr>
                <w:rFonts w:ascii="Aptos Narrow" w:hAnsi="Aptos Narrow" w:eastAsia="Times New Roman"/>
                <w:color w:val="000000"/>
                <w:lang w:eastAsia="es-CO"/>
              </w:rPr>
              <w:t>PEQUEÑAS</w:t>
            </w:r>
          </w:p>
        </w:tc>
        <w:tc>
          <w:tcPr>
            <w:tcW w:w="1900" w:type="dxa"/>
            <w:tcBorders>
              <w:top w:val="single" w:color="auto" w:sz="4" w:space="0"/>
              <w:left w:val="single" w:color="auto" w:sz="4" w:space="0"/>
              <w:bottom w:val="single" w:color="auto" w:sz="4" w:space="0"/>
              <w:right w:val="single" w:color="auto" w:sz="4" w:space="0"/>
            </w:tcBorders>
            <w:noWrap/>
            <w:vAlign w:val="center"/>
            <w:hideMark/>
          </w:tcPr>
          <w:p w:rsidRPr="00416B46" w:rsidR="00416B46" w:rsidP="0078586F" w:rsidRDefault="00416B46" w14:paraId="3CD25E26" w14:textId="0FBAF58F">
            <w:pPr>
              <w:spacing w:after="0" w:line="240" w:lineRule="auto"/>
              <w:jc w:val="center"/>
              <w:rPr>
                <w:rFonts w:ascii="Aptos Narrow" w:hAnsi="Aptos Narrow" w:eastAsia="Times New Roman"/>
                <w:color w:val="000000"/>
                <w:lang w:eastAsia="es-CO"/>
              </w:rPr>
            </w:pPr>
            <w:r w:rsidRPr="00416B46">
              <w:rPr>
                <w:rFonts w:ascii="Aptos Narrow" w:hAnsi="Aptos Narrow" w:eastAsia="Times New Roman"/>
                <w:color w:val="000000"/>
                <w:lang w:eastAsia="es-CO"/>
              </w:rPr>
              <w:t>10</w:t>
            </w:r>
          </w:p>
        </w:tc>
        <w:tc>
          <w:tcPr>
            <w:tcW w:w="1700" w:type="dxa"/>
            <w:tcBorders>
              <w:top w:val="nil"/>
              <w:left w:val="single" w:color="auto" w:sz="4" w:space="0"/>
              <w:bottom w:val="single" w:color="auto" w:sz="4" w:space="0"/>
              <w:right w:val="single" w:color="auto" w:sz="8" w:space="0"/>
            </w:tcBorders>
            <w:noWrap/>
            <w:vAlign w:val="center"/>
            <w:hideMark/>
          </w:tcPr>
          <w:p w:rsidRPr="00416B46" w:rsidR="00416B46" w:rsidP="00416B46" w:rsidRDefault="00416B46" w14:paraId="6D72ACFF" w14:textId="77777777">
            <w:pPr>
              <w:spacing w:after="0" w:line="240" w:lineRule="auto"/>
              <w:jc w:val="center"/>
              <w:rPr>
                <w:rFonts w:ascii="Aptos Narrow" w:hAnsi="Aptos Narrow" w:eastAsia="Times New Roman"/>
                <w:color w:val="000000"/>
                <w:lang w:eastAsia="es-CO"/>
              </w:rPr>
            </w:pPr>
            <w:r w:rsidRPr="00416B46">
              <w:rPr>
                <w:rFonts w:ascii="Aptos Narrow" w:hAnsi="Aptos Narrow" w:eastAsia="Times New Roman"/>
                <w:color w:val="000000"/>
                <w:lang w:eastAsia="es-CO"/>
              </w:rPr>
              <w:t>45.45%</w:t>
            </w:r>
          </w:p>
        </w:tc>
      </w:tr>
      <w:tr w:rsidRPr="00416B46" w:rsidR="00416B46" w:rsidTr="0078586F" w14:paraId="05617046" w14:textId="77777777">
        <w:trPr>
          <w:trHeight w:val="315"/>
          <w:jc w:val="center"/>
        </w:trPr>
        <w:tc>
          <w:tcPr>
            <w:tcW w:w="1680" w:type="dxa"/>
            <w:tcBorders>
              <w:top w:val="single" w:color="auto" w:sz="4" w:space="0"/>
              <w:left w:val="single" w:color="auto" w:sz="8" w:space="0"/>
              <w:bottom w:val="single" w:color="auto" w:sz="4" w:space="0"/>
              <w:right w:val="single" w:color="auto" w:sz="4" w:space="0"/>
            </w:tcBorders>
            <w:noWrap/>
            <w:vAlign w:val="center"/>
            <w:hideMark/>
          </w:tcPr>
          <w:p w:rsidRPr="00416B46" w:rsidR="00416B46" w:rsidP="00416B46" w:rsidRDefault="00416B46" w14:paraId="00163335" w14:textId="77777777">
            <w:pPr>
              <w:spacing w:after="0" w:line="240" w:lineRule="auto"/>
              <w:jc w:val="center"/>
              <w:rPr>
                <w:rFonts w:ascii="Aptos Narrow" w:hAnsi="Aptos Narrow" w:eastAsia="Times New Roman"/>
                <w:color w:val="000000"/>
                <w:lang w:eastAsia="es-CO"/>
              </w:rPr>
            </w:pPr>
            <w:r w:rsidRPr="00416B46">
              <w:rPr>
                <w:rFonts w:ascii="Aptos Narrow" w:hAnsi="Aptos Narrow" w:eastAsia="Times New Roman"/>
                <w:color w:val="000000"/>
                <w:lang w:eastAsia="es-CO"/>
              </w:rPr>
              <w:t>MEDIANAS</w:t>
            </w:r>
          </w:p>
        </w:tc>
        <w:tc>
          <w:tcPr>
            <w:tcW w:w="1900" w:type="dxa"/>
            <w:tcBorders>
              <w:top w:val="single" w:color="auto" w:sz="4" w:space="0"/>
              <w:left w:val="single" w:color="auto" w:sz="4" w:space="0"/>
              <w:bottom w:val="single" w:color="auto" w:sz="4" w:space="0"/>
              <w:right w:val="single" w:color="auto" w:sz="4" w:space="0"/>
            </w:tcBorders>
            <w:noWrap/>
            <w:vAlign w:val="center"/>
            <w:hideMark/>
          </w:tcPr>
          <w:p w:rsidRPr="00416B46" w:rsidR="00416B46" w:rsidP="0078586F" w:rsidRDefault="00416B46" w14:paraId="6EB72F40" w14:textId="126B16F7">
            <w:pPr>
              <w:spacing w:after="0" w:line="240" w:lineRule="auto"/>
              <w:jc w:val="center"/>
              <w:rPr>
                <w:rFonts w:ascii="Aptos Narrow" w:hAnsi="Aptos Narrow" w:eastAsia="Times New Roman"/>
                <w:color w:val="000000"/>
                <w:lang w:eastAsia="es-CO"/>
              </w:rPr>
            </w:pPr>
            <w:r w:rsidRPr="00416B46">
              <w:rPr>
                <w:rFonts w:ascii="Aptos Narrow" w:hAnsi="Aptos Narrow" w:eastAsia="Times New Roman"/>
                <w:color w:val="000000"/>
                <w:lang w:eastAsia="es-CO"/>
              </w:rPr>
              <w:t>8</w:t>
            </w:r>
          </w:p>
        </w:tc>
        <w:tc>
          <w:tcPr>
            <w:tcW w:w="1700" w:type="dxa"/>
            <w:tcBorders>
              <w:top w:val="nil"/>
              <w:left w:val="single" w:color="auto" w:sz="4" w:space="0"/>
              <w:bottom w:val="single" w:color="auto" w:sz="4" w:space="0"/>
              <w:right w:val="single" w:color="auto" w:sz="8" w:space="0"/>
            </w:tcBorders>
            <w:noWrap/>
            <w:vAlign w:val="center"/>
            <w:hideMark/>
          </w:tcPr>
          <w:p w:rsidRPr="00416B46" w:rsidR="00416B46" w:rsidP="00416B46" w:rsidRDefault="00416B46" w14:paraId="049C9088" w14:textId="77777777">
            <w:pPr>
              <w:spacing w:after="0" w:line="240" w:lineRule="auto"/>
              <w:jc w:val="center"/>
              <w:rPr>
                <w:rFonts w:ascii="Aptos Narrow" w:hAnsi="Aptos Narrow" w:eastAsia="Times New Roman"/>
                <w:color w:val="000000"/>
                <w:lang w:eastAsia="es-CO"/>
              </w:rPr>
            </w:pPr>
            <w:r w:rsidRPr="00416B46">
              <w:rPr>
                <w:rFonts w:ascii="Aptos Narrow" w:hAnsi="Aptos Narrow" w:eastAsia="Times New Roman"/>
                <w:color w:val="000000"/>
                <w:lang w:eastAsia="es-CO"/>
              </w:rPr>
              <w:t>36.36%</w:t>
            </w:r>
          </w:p>
        </w:tc>
      </w:tr>
      <w:tr w:rsidRPr="00416B46" w:rsidR="00416B46" w:rsidTr="0078586F" w14:paraId="612E794B" w14:textId="77777777">
        <w:trPr>
          <w:trHeight w:val="315"/>
          <w:jc w:val="center"/>
        </w:trPr>
        <w:tc>
          <w:tcPr>
            <w:tcW w:w="1680" w:type="dxa"/>
            <w:tcBorders>
              <w:top w:val="single" w:color="auto" w:sz="4" w:space="0"/>
              <w:left w:val="single" w:color="auto" w:sz="8" w:space="0"/>
              <w:bottom w:val="nil"/>
              <w:right w:val="single" w:color="auto" w:sz="4" w:space="0"/>
            </w:tcBorders>
            <w:noWrap/>
            <w:vAlign w:val="center"/>
            <w:hideMark/>
          </w:tcPr>
          <w:p w:rsidRPr="00416B46" w:rsidR="00416B46" w:rsidP="00416B46" w:rsidRDefault="00416B46" w14:paraId="061CF01F" w14:textId="77777777">
            <w:pPr>
              <w:spacing w:after="0" w:line="240" w:lineRule="auto"/>
              <w:jc w:val="center"/>
              <w:rPr>
                <w:rFonts w:ascii="Aptos Narrow" w:hAnsi="Aptos Narrow" w:eastAsia="Times New Roman"/>
                <w:color w:val="000000"/>
                <w:lang w:eastAsia="es-CO"/>
              </w:rPr>
            </w:pPr>
            <w:r w:rsidRPr="00416B46">
              <w:rPr>
                <w:rFonts w:ascii="Aptos Narrow" w:hAnsi="Aptos Narrow" w:eastAsia="Times New Roman"/>
                <w:color w:val="000000"/>
                <w:lang w:eastAsia="es-CO"/>
              </w:rPr>
              <w:t>GRANDES</w:t>
            </w:r>
          </w:p>
        </w:tc>
        <w:tc>
          <w:tcPr>
            <w:tcW w:w="1900" w:type="dxa"/>
            <w:tcBorders>
              <w:top w:val="single" w:color="auto" w:sz="4" w:space="0"/>
              <w:left w:val="single" w:color="auto" w:sz="4" w:space="0"/>
              <w:bottom w:val="nil"/>
              <w:right w:val="single" w:color="auto" w:sz="4" w:space="0"/>
            </w:tcBorders>
            <w:noWrap/>
            <w:vAlign w:val="center"/>
            <w:hideMark/>
          </w:tcPr>
          <w:p w:rsidRPr="00416B46" w:rsidR="00416B46" w:rsidP="0078586F" w:rsidRDefault="00416B46" w14:paraId="1F347BB4" w14:textId="315CB50F">
            <w:pPr>
              <w:spacing w:after="0" w:line="240" w:lineRule="auto"/>
              <w:jc w:val="center"/>
              <w:rPr>
                <w:rFonts w:ascii="Aptos Narrow" w:hAnsi="Aptos Narrow" w:eastAsia="Times New Roman"/>
                <w:color w:val="000000"/>
                <w:lang w:eastAsia="es-CO"/>
              </w:rPr>
            </w:pPr>
            <w:r w:rsidRPr="00416B46">
              <w:rPr>
                <w:rFonts w:ascii="Aptos Narrow" w:hAnsi="Aptos Narrow" w:eastAsia="Times New Roman"/>
                <w:color w:val="000000"/>
                <w:lang w:eastAsia="es-CO"/>
              </w:rPr>
              <w:t>2</w:t>
            </w:r>
          </w:p>
        </w:tc>
        <w:tc>
          <w:tcPr>
            <w:tcW w:w="1700" w:type="dxa"/>
            <w:tcBorders>
              <w:top w:val="nil"/>
              <w:left w:val="single" w:color="auto" w:sz="4" w:space="0"/>
              <w:bottom w:val="single" w:color="auto" w:sz="4" w:space="0"/>
              <w:right w:val="single" w:color="auto" w:sz="8" w:space="0"/>
            </w:tcBorders>
            <w:noWrap/>
            <w:vAlign w:val="center"/>
            <w:hideMark/>
          </w:tcPr>
          <w:p w:rsidRPr="00416B46" w:rsidR="00416B46" w:rsidP="00416B46" w:rsidRDefault="00416B46" w14:paraId="3B7A62D6" w14:textId="77777777">
            <w:pPr>
              <w:spacing w:after="0" w:line="240" w:lineRule="auto"/>
              <w:jc w:val="center"/>
              <w:rPr>
                <w:rFonts w:ascii="Aptos Narrow" w:hAnsi="Aptos Narrow" w:eastAsia="Times New Roman"/>
                <w:color w:val="000000"/>
                <w:lang w:eastAsia="es-CO"/>
              </w:rPr>
            </w:pPr>
            <w:r w:rsidRPr="00416B46">
              <w:rPr>
                <w:rFonts w:ascii="Aptos Narrow" w:hAnsi="Aptos Narrow" w:eastAsia="Times New Roman"/>
                <w:color w:val="000000"/>
                <w:lang w:eastAsia="es-CO"/>
              </w:rPr>
              <w:t>9.09%</w:t>
            </w:r>
          </w:p>
        </w:tc>
      </w:tr>
      <w:tr w:rsidRPr="00416B46" w:rsidR="0078586F" w:rsidTr="0078586F" w14:paraId="652457D3" w14:textId="77777777">
        <w:trPr>
          <w:trHeight w:val="390"/>
          <w:jc w:val="center"/>
        </w:trPr>
        <w:tc>
          <w:tcPr>
            <w:tcW w:w="1680" w:type="dxa"/>
            <w:tcBorders>
              <w:top w:val="single" w:color="auto" w:sz="8" w:space="0"/>
              <w:left w:val="single" w:color="auto" w:sz="8" w:space="0"/>
              <w:bottom w:val="single" w:color="auto" w:sz="8" w:space="0"/>
              <w:right w:val="single" w:color="auto" w:sz="4" w:space="0"/>
            </w:tcBorders>
            <w:shd w:val="clear" w:color="auto" w:fill="F7CAAC" w:themeFill="accent2" w:themeFillTint="66"/>
            <w:noWrap/>
            <w:vAlign w:val="center"/>
            <w:hideMark/>
          </w:tcPr>
          <w:p w:rsidRPr="00416B46" w:rsidR="00416B46" w:rsidP="00416B46" w:rsidRDefault="00416B46" w14:paraId="4EF00C02" w14:textId="77777777">
            <w:pPr>
              <w:spacing w:after="0" w:line="240" w:lineRule="auto"/>
              <w:jc w:val="center"/>
              <w:rPr>
                <w:rFonts w:ascii="Aptos Narrow" w:hAnsi="Aptos Narrow" w:eastAsia="Times New Roman"/>
                <w:b/>
                <w:bCs/>
                <w:color w:val="000000"/>
                <w:lang w:eastAsia="es-CO"/>
              </w:rPr>
            </w:pPr>
            <w:r w:rsidRPr="00416B46">
              <w:rPr>
                <w:rFonts w:ascii="Aptos Narrow" w:hAnsi="Aptos Narrow" w:eastAsia="Times New Roman"/>
                <w:b/>
                <w:bCs/>
                <w:color w:val="000000"/>
                <w:lang w:eastAsia="es-CO"/>
              </w:rPr>
              <w:t>TOTAL</w:t>
            </w:r>
          </w:p>
        </w:tc>
        <w:tc>
          <w:tcPr>
            <w:tcW w:w="1900" w:type="dxa"/>
            <w:tcBorders>
              <w:top w:val="single" w:color="auto" w:sz="8" w:space="0"/>
              <w:left w:val="single" w:color="auto" w:sz="4" w:space="0"/>
              <w:bottom w:val="single" w:color="auto" w:sz="8" w:space="0"/>
              <w:right w:val="single" w:color="auto" w:sz="4" w:space="0"/>
            </w:tcBorders>
            <w:shd w:val="clear" w:color="auto" w:fill="F7CAAC" w:themeFill="accent2" w:themeFillTint="66"/>
            <w:noWrap/>
            <w:vAlign w:val="center"/>
            <w:hideMark/>
          </w:tcPr>
          <w:p w:rsidRPr="00416B46" w:rsidR="00416B46" w:rsidP="0078586F" w:rsidRDefault="00416B46" w14:paraId="6A0999CB" w14:textId="4C9AC42F">
            <w:pPr>
              <w:spacing w:after="0" w:line="240" w:lineRule="auto"/>
              <w:jc w:val="center"/>
              <w:rPr>
                <w:rFonts w:ascii="Aptos Narrow" w:hAnsi="Aptos Narrow" w:eastAsia="Times New Roman"/>
                <w:b/>
                <w:bCs/>
                <w:color w:val="000000"/>
                <w:lang w:eastAsia="es-CO"/>
              </w:rPr>
            </w:pPr>
            <w:r w:rsidRPr="00416B46">
              <w:rPr>
                <w:rFonts w:ascii="Aptos Narrow" w:hAnsi="Aptos Narrow" w:eastAsia="Times New Roman"/>
                <w:b/>
                <w:bCs/>
                <w:color w:val="000000"/>
                <w:lang w:eastAsia="es-CO"/>
              </w:rPr>
              <w:t>22</w:t>
            </w:r>
          </w:p>
        </w:tc>
        <w:tc>
          <w:tcPr>
            <w:tcW w:w="1700" w:type="dxa"/>
            <w:tcBorders>
              <w:top w:val="single" w:color="auto" w:sz="8" w:space="0"/>
              <w:left w:val="single" w:color="auto" w:sz="4" w:space="0"/>
              <w:bottom w:val="single" w:color="auto" w:sz="8" w:space="0"/>
              <w:right w:val="single" w:color="auto" w:sz="8" w:space="0"/>
            </w:tcBorders>
            <w:shd w:val="clear" w:color="auto" w:fill="F7CAAC" w:themeFill="accent2" w:themeFillTint="66"/>
            <w:noWrap/>
            <w:vAlign w:val="center"/>
            <w:hideMark/>
          </w:tcPr>
          <w:p w:rsidRPr="00416B46" w:rsidR="00416B46" w:rsidP="00416B46" w:rsidRDefault="00416B46" w14:paraId="0D5DDE43" w14:textId="77777777">
            <w:pPr>
              <w:spacing w:after="0" w:line="240" w:lineRule="auto"/>
              <w:jc w:val="center"/>
              <w:rPr>
                <w:rFonts w:ascii="Aptos Narrow" w:hAnsi="Aptos Narrow" w:eastAsia="Times New Roman"/>
                <w:b/>
                <w:bCs/>
                <w:color w:val="000000"/>
                <w:lang w:eastAsia="es-CO"/>
              </w:rPr>
            </w:pPr>
            <w:r w:rsidRPr="00416B46">
              <w:rPr>
                <w:rFonts w:ascii="Aptos Narrow" w:hAnsi="Aptos Narrow" w:eastAsia="Times New Roman"/>
                <w:b/>
                <w:bCs/>
                <w:color w:val="000000"/>
                <w:lang w:eastAsia="es-CO"/>
              </w:rPr>
              <w:t>100%</w:t>
            </w:r>
          </w:p>
        </w:tc>
      </w:tr>
    </w:tbl>
    <w:p w:rsidR="00416B46" w:rsidP="00AC00A0" w:rsidRDefault="00416B46" w14:paraId="29B07D29" w14:textId="77777777">
      <w:pPr>
        <w:spacing w:after="0" w:line="276" w:lineRule="auto"/>
        <w:jc w:val="both"/>
        <w:rPr>
          <w:rFonts w:cs="Calibri"/>
        </w:rPr>
      </w:pPr>
    </w:p>
    <w:p w:rsidRPr="006C6B35" w:rsidR="00116356" w:rsidP="00AC00A0" w:rsidRDefault="00116356" w14:paraId="6EA14026" w14:textId="77777777">
      <w:pPr>
        <w:spacing w:after="0" w:line="276" w:lineRule="auto"/>
        <w:jc w:val="both"/>
        <w:rPr>
          <w:rFonts w:cs="Calibri"/>
        </w:rPr>
      </w:pPr>
    </w:p>
    <w:p w:rsidRPr="006C6B35" w:rsidR="007250D3" w:rsidP="00AC00A0" w:rsidRDefault="0DC02BDD" w14:paraId="73A7DB31" w14:textId="1C3A2B63">
      <w:pPr>
        <w:spacing w:after="0" w:line="276" w:lineRule="auto"/>
        <w:jc w:val="both"/>
        <w:rPr>
          <w:rFonts w:cs="Calibri"/>
        </w:rPr>
      </w:pPr>
      <w:r w:rsidRPr="006C6B35">
        <w:rPr>
          <w:rFonts w:cs="Calibri"/>
        </w:rPr>
        <w:t xml:space="preserve">El rango de empresas potencialmente prestadoras del objeto a contratar se encuentra en las clasificadas como MEDIANAS EMPRESAS, con un porcentaje de participación del </w:t>
      </w:r>
      <w:r w:rsidR="00F33C52">
        <w:rPr>
          <w:rFonts w:cs="Calibri"/>
        </w:rPr>
        <w:t>36.36%</w:t>
      </w:r>
    </w:p>
    <w:p w:rsidRPr="006C6B35" w:rsidR="00886132" w:rsidP="00AC00A0" w:rsidRDefault="00886132" w14:paraId="0990EE20" w14:textId="77777777">
      <w:pPr>
        <w:spacing w:after="0" w:line="276" w:lineRule="auto"/>
        <w:jc w:val="both"/>
        <w:rPr>
          <w:rFonts w:cs="Calibri"/>
        </w:rPr>
      </w:pPr>
    </w:p>
    <w:p w:rsidR="007250D3" w:rsidP="00AC00A0" w:rsidRDefault="007250D3" w14:paraId="180BF6E7" w14:textId="3AD988FB">
      <w:pPr>
        <w:spacing w:after="0" w:line="276" w:lineRule="auto"/>
        <w:jc w:val="both"/>
        <w:rPr>
          <w:rFonts w:cs="Calibri"/>
          <w:b/>
          <w:bCs/>
        </w:rPr>
      </w:pPr>
      <w:r w:rsidRPr="006C6B35">
        <w:rPr>
          <w:rFonts w:cs="Calibri"/>
          <w:b/>
          <w:bCs/>
        </w:rPr>
        <w:t xml:space="preserve">RANGO DE INDICADORES FINANCIEROS MUESTRA DE </w:t>
      </w:r>
      <w:r w:rsidR="00F33C52">
        <w:rPr>
          <w:rFonts w:cs="Calibri"/>
          <w:b/>
          <w:bCs/>
        </w:rPr>
        <w:t xml:space="preserve">22 </w:t>
      </w:r>
      <w:r w:rsidRPr="006C6B35">
        <w:rPr>
          <w:rFonts w:cs="Calibri"/>
          <w:b/>
          <w:bCs/>
        </w:rPr>
        <w:t>EMPRESAS.</w:t>
      </w:r>
    </w:p>
    <w:p w:rsidRPr="006C6B35" w:rsidR="00D173AF" w:rsidP="00AC00A0" w:rsidRDefault="00D173AF" w14:paraId="1407823A" w14:textId="77777777">
      <w:pPr>
        <w:spacing w:after="0" w:line="276" w:lineRule="auto"/>
        <w:jc w:val="both"/>
        <w:rPr>
          <w:rFonts w:cs="Calibri"/>
          <w:b/>
          <w:bCs/>
        </w:rPr>
      </w:pPr>
    </w:p>
    <w:p w:rsidRPr="006C6B35" w:rsidR="007250D3" w:rsidP="00AC00A0" w:rsidRDefault="007250D3" w14:paraId="1E0BB504" w14:textId="77777777">
      <w:pPr>
        <w:spacing w:after="0" w:line="276" w:lineRule="auto"/>
        <w:contextualSpacing/>
        <w:jc w:val="both"/>
        <w:rPr>
          <w:rFonts w:cs="Calibri"/>
          <w:b/>
          <w:bCs/>
        </w:rPr>
      </w:pPr>
      <w:r w:rsidRPr="006C6B35">
        <w:rPr>
          <w:rFonts w:cs="Calibri"/>
          <w:b/>
          <w:bCs/>
        </w:rPr>
        <w:t xml:space="preserve">CRITERIO – PARA ESTABLECER LOS INDICADORES </w:t>
      </w:r>
    </w:p>
    <w:p w:rsidRPr="006C6B35" w:rsidR="00886132" w:rsidP="00AC00A0" w:rsidRDefault="00886132" w14:paraId="422C1DAA" w14:textId="77777777">
      <w:pPr>
        <w:spacing w:after="0" w:line="276" w:lineRule="auto"/>
        <w:ind w:right="480"/>
        <w:contextualSpacing/>
        <w:rPr>
          <w:rFonts w:cs="Calibri"/>
          <w:lang w:eastAsia="es-CO"/>
        </w:rPr>
      </w:pPr>
    </w:p>
    <w:p w:rsidRPr="006C6B35" w:rsidR="007250D3" w:rsidP="00AC00A0" w:rsidRDefault="007250D3" w14:paraId="317AD9FA" w14:textId="77777777">
      <w:pPr>
        <w:spacing w:after="0" w:line="276" w:lineRule="auto"/>
        <w:ind w:right="480"/>
        <w:contextualSpacing/>
        <w:rPr>
          <w:rFonts w:cs="Calibri"/>
          <w:lang w:eastAsia="es-CO"/>
        </w:rPr>
      </w:pPr>
      <w:r w:rsidRPr="006C6B35">
        <w:rPr>
          <w:rFonts w:cs="Calibri"/>
          <w:b/>
          <w:bCs/>
          <w:lang w:eastAsia="es-CO"/>
        </w:rPr>
        <w:t>Cuartiles</w:t>
      </w:r>
      <w:r w:rsidRPr="006C6B35">
        <w:rPr>
          <w:rFonts w:cs="Calibri"/>
          <w:lang w:eastAsia="es-CO"/>
        </w:rPr>
        <w:t>:</w:t>
      </w:r>
    </w:p>
    <w:p w:rsidRPr="006C6B35" w:rsidR="00886132" w:rsidP="00AC00A0" w:rsidRDefault="00886132" w14:paraId="51090FC8" w14:textId="77777777">
      <w:pPr>
        <w:spacing w:after="0" w:line="276" w:lineRule="auto"/>
        <w:ind w:right="480"/>
        <w:contextualSpacing/>
        <w:rPr>
          <w:rFonts w:cs="Calibri"/>
          <w:lang w:eastAsia="es-CO"/>
        </w:rPr>
      </w:pPr>
    </w:p>
    <w:p w:rsidR="007250D3" w:rsidP="00AC00A0" w:rsidRDefault="007250D3" w14:paraId="63AF3BD4" w14:textId="77777777">
      <w:pPr>
        <w:spacing w:after="0" w:line="276" w:lineRule="auto"/>
        <w:jc w:val="both"/>
        <w:rPr>
          <w:rFonts w:cs="Calibri"/>
          <w:lang w:eastAsia="es-CO"/>
        </w:rPr>
      </w:pPr>
      <w:r w:rsidRPr="006C6B35">
        <w:rPr>
          <w:rFonts w:cs="Calibri"/>
        </w:rPr>
        <w:t xml:space="preserve">En el entendido que los cuartiles son los </w:t>
      </w:r>
      <w:r w:rsidRPr="006C6B35">
        <w:rPr>
          <w:rFonts w:cs="Calibri"/>
          <w:lang w:eastAsia="es-CO"/>
        </w:rPr>
        <w:t>valores que dividen una muestra de datos en cuatro partes iguales. Utilizando cuartiles puede evaluar rápidamente la dispersión y la tendencia central de un conjunto de datos, que son los pasos iniciales importantes para comprender sus datos y se distribuyen de la siguiente manera así:</w:t>
      </w:r>
    </w:p>
    <w:p w:rsidRPr="006C6B35" w:rsidR="00D2027B" w:rsidP="00AC00A0" w:rsidRDefault="00D2027B" w14:paraId="28FC5F22" w14:textId="77777777">
      <w:pPr>
        <w:spacing w:after="0" w:line="276" w:lineRule="auto"/>
        <w:jc w:val="both"/>
        <w:rPr>
          <w:rFonts w:cs="Calibri"/>
          <w:lang w:eastAsia="es-CO"/>
        </w:rPr>
      </w:pPr>
    </w:p>
    <w:tbl>
      <w:tblPr>
        <w:tblW w:w="8070" w:type="dxa"/>
        <w:jc w:val="center"/>
        <w:tblCellMar>
          <w:left w:w="0" w:type="dxa"/>
          <w:right w:w="0" w:type="dxa"/>
        </w:tblCellMar>
        <w:tblLook w:val="04A0" w:firstRow="1" w:lastRow="0" w:firstColumn="1" w:lastColumn="0" w:noHBand="0" w:noVBand="1"/>
      </w:tblPr>
      <w:tblGrid>
        <w:gridCol w:w="2091"/>
        <w:gridCol w:w="5979"/>
      </w:tblGrid>
      <w:tr w:rsidRPr="006C6B35" w:rsidR="0090407B" w:rsidTr="00E000FF" w14:paraId="07B59DC9" w14:textId="77777777">
        <w:trPr>
          <w:jc w:val="center"/>
        </w:trPr>
        <w:tc>
          <w:tcPr>
            <w:tcW w:w="2091" w:type="dxa"/>
            <w:tcBorders>
              <w:top w:val="single" w:color="auto" w:sz="8" w:space="0"/>
              <w:left w:val="single" w:color="auto" w:sz="8" w:space="0"/>
              <w:bottom w:val="single" w:color="auto" w:sz="8" w:space="0"/>
              <w:right w:val="single" w:color="auto" w:sz="8" w:space="0"/>
            </w:tcBorders>
            <w:shd w:val="clear" w:color="auto" w:fill="FBE4D5" w:themeFill="accent2" w:themeFillTint="33"/>
            <w:tcMar>
              <w:top w:w="0" w:type="dxa"/>
              <w:left w:w="108" w:type="dxa"/>
              <w:bottom w:w="0" w:type="dxa"/>
              <w:right w:w="108" w:type="dxa"/>
            </w:tcMar>
            <w:hideMark/>
          </w:tcPr>
          <w:p w:rsidRPr="006C6B35" w:rsidR="007250D3" w:rsidP="007E1AE4" w:rsidRDefault="007250D3" w14:paraId="440684B1" w14:textId="77777777">
            <w:pPr>
              <w:spacing w:after="0" w:line="276" w:lineRule="auto"/>
              <w:jc w:val="center"/>
              <w:rPr>
                <w:rFonts w:cs="Calibri"/>
                <w:b/>
                <w:bCs/>
                <w:lang w:eastAsia="es-CO"/>
              </w:rPr>
            </w:pPr>
            <w:r w:rsidRPr="006C6B35">
              <w:rPr>
                <w:rFonts w:cs="Calibri"/>
                <w:b/>
                <w:bCs/>
                <w:lang w:eastAsia="es-CO"/>
              </w:rPr>
              <w:t>CUARTIL</w:t>
            </w:r>
          </w:p>
        </w:tc>
        <w:tc>
          <w:tcPr>
            <w:tcW w:w="5979" w:type="dxa"/>
            <w:tcBorders>
              <w:top w:val="single" w:color="auto" w:sz="8" w:space="0"/>
              <w:left w:val="nil"/>
              <w:bottom w:val="single" w:color="auto" w:sz="8" w:space="0"/>
              <w:right w:val="single" w:color="auto" w:sz="8" w:space="0"/>
            </w:tcBorders>
            <w:shd w:val="clear" w:color="auto" w:fill="FBE4D5" w:themeFill="accent2" w:themeFillTint="33"/>
            <w:tcMar>
              <w:top w:w="0" w:type="dxa"/>
              <w:left w:w="108" w:type="dxa"/>
              <w:bottom w:w="0" w:type="dxa"/>
              <w:right w:w="108" w:type="dxa"/>
            </w:tcMar>
            <w:hideMark/>
          </w:tcPr>
          <w:p w:rsidRPr="006C6B35" w:rsidR="007250D3" w:rsidP="007E1AE4" w:rsidRDefault="00916C1E" w14:paraId="491D64EC" w14:textId="602C86A5">
            <w:pPr>
              <w:spacing w:after="0" w:line="276" w:lineRule="auto"/>
              <w:jc w:val="center"/>
              <w:rPr>
                <w:rFonts w:cs="Calibri"/>
                <w:b/>
                <w:bCs/>
                <w:lang w:eastAsia="es-CO"/>
              </w:rPr>
            </w:pPr>
            <w:r w:rsidRPr="006C6B35">
              <w:rPr>
                <w:rFonts w:cs="Calibri"/>
                <w:b/>
                <w:bCs/>
                <w:lang w:eastAsia="es-CO"/>
              </w:rPr>
              <w:t>DESCRIPCIÓN</w:t>
            </w:r>
          </w:p>
        </w:tc>
      </w:tr>
      <w:tr w:rsidRPr="006C6B35" w:rsidR="0090407B" w:rsidTr="00E000FF" w14:paraId="615CEEBE" w14:textId="77777777">
        <w:trPr>
          <w:jc w:val="center"/>
        </w:trPr>
        <w:tc>
          <w:tcPr>
            <w:tcW w:w="209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6C6B35" w:rsidR="007250D3" w:rsidP="00AC00A0" w:rsidRDefault="007250D3" w14:paraId="5D72D8A6" w14:textId="77777777">
            <w:pPr>
              <w:spacing w:after="0" w:line="276" w:lineRule="auto"/>
              <w:jc w:val="both"/>
              <w:rPr>
                <w:rFonts w:cs="Calibri"/>
                <w:lang w:eastAsia="es-CO"/>
              </w:rPr>
            </w:pPr>
            <w:r w:rsidRPr="006C6B35">
              <w:rPr>
                <w:rFonts w:cs="Calibri"/>
                <w:lang w:eastAsia="es-CO"/>
              </w:rPr>
              <w:t>1er cuartil (Q1)</w:t>
            </w:r>
          </w:p>
        </w:tc>
        <w:tc>
          <w:tcPr>
            <w:tcW w:w="5979" w:type="dxa"/>
            <w:tcBorders>
              <w:top w:val="nil"/>
              <w:left w:val="nil"/>
              <w:bottom w:val="single" w:color="auto" w:sz="8" w:space="0"/>
              <w:right w:val="single" w:color="auto" w:sz="8" w:space="0"/>
            </w:tcBorders>
            <w:tcMar>
              <w:top w:w="0" w:type="dxa"/>
              <w:left w:w="108" w:type="dxa"/>
              <w:bottom w:w="0" w:type="dxa"/>
              <w:right w:w="108" w:type="dxa"/>
            </w:tcMar>
            <w:hideMark/>
          </w:tcPr>
          <w:p w:rsidRPr="006C6B35" w:rsidR="007250D3" w:rsidP="65D10910" w:rsidRDefault="0DC02BDD" w14:paraId="19EE2DBA" w14:textId="77777777">
            <w:pPr>
              <w:spacing w:after="0" w:line="276" w:lineRule="auto"/>
              <w:rPr>
                <w:rFonts w:cs="Calibri"/>
                <w:lang w:eastAsia="es-CO"/>
              </w:rPr>
            </w:pPr>
            <w:r w:rsidRPr="006C6B35">
              <w:rPr>
                <w:rFonts w:cs="Calibri"/>
                <w:lang w:eastAsia="es-CO"/>
              </w:rPr>
              <w:t>25% de los datos es menor que o igual a este valor.</w:t>
            </w:r>
          </w:p>
        </w:tc>
      </w:tr>
      <w:tr w:rsidRPr="006C6B35" w:rsidR="0090407B" w:rsidTr="00E000FF" w14:paraId="6A067F22" w14:textId="77777777">
        <w:trPr>
          <w:jc w:val="center"/>
        </w:trPr>
        <w:tc>
          <w:tcPr>
            <w:tcW w:w="209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6C6B35" w:rsidR="007250D3" w:rsidP="00AC00A0" w:rsidRDefault="007250D3" w14:paraId="453FD560" w14:textId="77777777">
            <w:pPr>
              <w:spacing w:after="0" w:line="276" w:lineRule="auto"/>
              <w:jc w:val="both"/>
              <w:rPr>
                <w:rFonts w:cs="Calibri"/>
                <w:lang w:eastAsia="es-CO"/>
              </w:rPr>
            </w:pPr>
            <w:r w:rsidRPr="006C6B35">
              <w:rPr>
                <w:rFonts w:cs="Calibri"/>
                <w:lang w:eastAsia="es-CO"/>
              </w:rPr>
              <w:t>2do cuartil (Q2)</w:t>
            </w:r>
          </w:p>
        </w:tc>
        <w:tc>
          <w:tcPr>
            <w:tcW w:w="5979" w:type="dxa"/>
            <w:tcBorders>
              <w:top w:val="nil"/>
              <w:left w:val="nil"/>
              <w:bottom w:val="single" w:color="auto" w:sz="8" w:space="0"/>
              <w:right w:val="single" w:color="auto" w:sz="8" w:space="0"/>
            </w:tcBorders>
            <w:tcMar>
              <w:top w:w="0" w:type="dxa"/>
              <w:left w:w="108" w:type="dxa"/>
              <w:bottom w:w="0" w:type="dxa"/>
              <w:right w:w="108" w:type="dxa"/>
            </w:tcMar>
            <w:hideMark/>
          </w:tcPr>
          <w:p w:rsidRPr="006C6B35" w:rsidR="007250D3" w:rsidP="00AC00A0" w:rsidRDefault="007250D3" w14:paraId="3CE9A25C" w14:textId="77777777">
            <w:pPr>
              <w:spacing w:after="0" w:line="276" w:lineRule="auto"/>
              <w:jc w:val="both"/>
              <w:rPr>
                <w:rFonts w:cs="Calibri"/>
                <w:lang w:eastAsia="es-CO"/>
              </w:rPr>
            </w:pPr>
            <w:r w:rsidRPr="006C6B35">
              <w:rPr>
                <w:rFonts w:cs="Calibri"/>
                <w:lang w:eastAsia="es-CO"/>
              </w:rPr>
              <w:t>La mediana. 50% de los datos es menor que o igual a este valor.</w:t>
            </w:r>
          </w:p>
        </w:tc>
      </w:tr>
      <w:tr w:rsidRPr="006C6B35" w:rsidR="0090407B" w:rsidTr="00E000FF" w14:paraId="2ED6DAFB" w14:textId="77777777">
        <w:trPr>
          <w:trHeight w:val="60"/>
          <w:jc w:val="center"/>
        </w:trPr>
        <w:tc>
          <w:tcPr>
            <w:tcW w:w="209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6C6B35" w:rsidR="007250D3" w:rsidP="00AC00A0" w:rsidRDefault="007250D3" w14:paraId="164821C8" w14:textId="77777777">
            <w:pPr>
              <w:spacing w:after="0" w:line="276" w:lineRule="auto"/>
              <w:jc w:val="both"/>
              <w:rPr>
                <w:rFonts w:cs="Calibri"/>
                <w:lang w:eastAsia="es-CO"/>
              </w:rPr>
            </w:pPr>
            <w:r w:rsidRPr="006C6B35">
              <w:rPr>
                <w:rFonts w:cs="Calibri"/>
                <w:lang w:eastAsia="es-CO"/>
              </w:rPr>
              <w:t>3er cuartil (Q3</w:t>
            </w:r>
          </w:p>
        </w:tc>
        <w:tc>
          <w:tcPr>
            <w:tcW w:w="5979" w:type="dxa"/>
            <w:tcBorders>
              <w:top w:val="nil"/>
              <w:left w:val="nil"/>
              <w:bottom w:val="single" w:color="auto" w:sz="8" w:space="0"/>
              <w:right w:val="single" w:color="auto" w:sz="8" w:space="0"/>
            </w:tcBorders>
            <w:tcMar>
              <w:top w:w="0" w:type="dxa"/>
              <w:left w:w="108" w:type="dxa"/>
              <w:bottom w:w="0" w:type="dxa"/>
              <w:right w:w="108" w:type="dxa"/>
            </w:tcMar>
            <w:hideMark/>
          </w:tcPr>
          <w:p w:rsidRPr="006C6B35" w:rsidR="007250D3" w:rsidP="00AC00A0" w:rsidRDefault="007250D3" w14:paraId="6844B4BE" w14:textId="77777777">
            <w:pPr>
              <w:spacing w:after="0" w:line="276" w:lineRule="auto"/>
              <w:jc w:val="both"/>
              <w:rPr>
                <w:rFonts w:cs="Calibri"/>
                <w:lang w:eastAsia="es-CO"/>
              </w:rPr>
            </w:pPr>
            <w:r w:rsidRPr="006C6B35">
              <w:rPr>
                <w:rFonts w:cs="Calibri"/>
                <w:lang w:eastAsia="es-CO"/>
              </w:rPr>
              <w:t>75% de los datos es menor que o igual a este valor.</w:t>
            </w:r>
          </w:p>
        </w:tc>
      </w:tr>
    </w:tbl>
    <w:p w:rsidRPr="006C6B35" w:rsidR="007250D3" w:rsidP="00AC00A0" w:rsidRDefault="007250D3" w14:paraId="039B8FA0" w14:textId="77777777">
      <w:pPr>
        <w:spacing w:after="0" w:line="276" w:lineRule="auto"/>
        <w:jc w:val="both"/>
        <w:rPr>
          <w:rFonts w:cs="Calibri"/>
          <w:color w:val="333333"/>
          <w:lang w:eastAsia="es-CO"/>
        </w:rPr>
      </w:pPr>
    </w:p>
    <w:p w:rsidRPr="006C6B35" w:rsidR="005B3C92" w:rsidP="00AC00A0" w:rsidRDefault="007250D3" w14:paraId="01E1A8B2" w14:textId="7B0D3550">
      <w:pPr>
        <w:spacing w:after="0" w:line="276" w:lineRule="auto"/>
        <w:jc w:val="both"/>
        <w:rPr>
          <w:rFonts w:cs="Calibri"/>
          <w:lang w:eastAsia="es-CO"/>
        </w:rPr>
      </w:pPr>
      <w:r w:rsidRPr="006C6B35">
        <w:rPr>
          <w:rFonts w:cs="Calibri"/>
          <w:lang w:eastAsia="es-CO"/>
        </w:rPr>
        <w:t>Por lo anterior, la aplicación aritmética arrojó los siguientes resultados así</w:t>
      </w:r>
      <w:r w:rsidRPr="006C6B35" w:rsidR="006F4819">
        <w:rPr>
          <w:rFonts w:cs="Calibri"/>
          <w:lang w:eastAsia="es-CO"/>
        </w:rPr>
        <w:t xml:space="preserve"> para las </w:t>
      </w:r>
      <w:r w:rsidRPr="006C6B35" w:rsidR="743B1437">
        <w:rPr>
          <w:rFonts w:cs="Calibri"/>
          <w:lang w:eastAsia="es-CO"/>
        </w:rPr>
        <w:t>empresas:</w:t>
      </w:r>
      <w:r w:rsidRPr="006C6B35">
        <w:rPr>
          <w:rFonts w:cs="Calibri"/>
          <w:lang w:eastAsia="es-CO"/>
        </w:rPr>
        <w:t xml:space="preserve"> </w:t>
      </w:r>
    </w:p>
    <w:p w:rsidRPr="006C6B35" w:rsidR="008B5010" w:rsidP="00AC00A0" w:rsidRDefault="008B5010" w14:paraId="491177A6" w14:textId="77777777">
      <w:pPr>
        <w:spacing w:after="0" w:line="276" w:lineRule="auto"/>
        <w:jc w:val="both"/>
        <w:rPr>
          <w:rFonts w:eastAsia="Times New Roman" w:cs="Calibri"/>
          <w:color w:val="000000"/>
          <w:lang w:eastAsia="es-CO"/>
        </w:rPr>
      </w:pPr>
    </w:p>
    <w:tbl>
      <w:tblPr>
        <w:tblW w:w="5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83"/>
        <w:gridCol w:w="831"/>
        <w:gridCol w:w="1313"/>
        <w:gridCol w:w="777"/>
        <w:gridCol w:w="835"/>
        <w:gridCol w:w="694"/>
      </w:tblGrid>
      <w:tr w:rsidRPr="00E000FF" w:rsidR="00496806" w:rsidTr="0078586F" w14:paraId="4C86440E" w14:textId="77777777">
        <w:trPr>
          <w:trHeight w:val="46"/>
          <w:tblHeader/>
          <w:jc w:val="center"/>
        </w:trPr>
        <w:tc>
          <w:tcPr>
            <w:tcW w:w="1483" w:type="dxa"/>
            <w:shd w:val="clear" w:color="auto" w:fill="FBE4D5" w:themeFill="accent2" w:themeFillTint="33"/>
            <w:vAlign w:val="center"/>
            <w:hideMark/>
          </w:tcPr>
          <w:p w:rsidRPr="00E000FF" w:rsidR="00496806" w:rsidP="34F729D4" w:rsidRDefault="00496806" w14:paraId="3E2803FB" w14:textId="77777777">
            <w:pPr>
              <w:spacing w:after="0" w:line="276" w:lineRule="auto"/>
              <w:jc w:val="center"/>
              <w:rPr>
                <w:rFonts w:eastAsia="Times New Roman" w:cs="Calibri"/>
                <w:b/>
                <w:bCs/>
                <w:color w:val="000000"/>
                <w:sz w:val="14"/>
                <w:szCs w:val="14"/>
                <w:lang w:val="es-ES" w:eastAsia="es-ES"/>
              </w:rPr>
            </w:pPr>
            <w:r w:rsidRPr="00E000FF">
              <w:rPr>
                <w:rFonts w:eastAsia="Times New Roman" w:cs="Calibri"/>
                <w:b/>
                <w:bCs/>
                <w:color w:val="000000" w:themeColor="text1"/>
                <w:sz w:val="14"/>
                <w:szCs w:val="14"/>
                <w:lang w:val="es-ES" w:eastAsia="es-ES"/>
              </w:rPr>
              <w:t>PROMEDIO INDICADORES</w:t>
            </w:r>
          </w:p>
        </w:tc>
        <w:tc>
          <w:tcPr>
            <w:tcW w:w="831" w:type="dxa"/>
            <w:shd w:val="clear" w:color="auto" w:fill="FBE4D5" w:themeFill="accent2" w:themeFillTint="33"/>
            <w:vAlign w:val="center"/>
            <w:hideMark/>
          </w:tcPr>
          <w:p w:rsidRPr="00E000FF" w:rsidR="00496806" w:rsidP="34F729D4" w:rsidRDefault="00496806" w14:paraId="202D9B83" w14:textId="77777777">
            <w:pPr>
              <w:spacing w:after="0" w:line="276" w:lineRule="auto"/>
              <w:jc w:val="center"/>
              <w:rPr>
                <w:rFonts w:eastAsia="Times New Roman" w:cs="Calibri"/>
                <w:b/>
                <w:bCs/>
                <w:color w:val="000000"/>
                <w:sz w:val="14"/>
                <w:szCs w:val="14"/>
                <w:lang w:val="es-ES" w:eastAsia="es-ES"/>
              </w:rPr>
            </w:pPr>
            <w:r w:rsidRPr="00E000FF">
              <w:rPr>
                <w:rFonts w:eastAsia="Times New Roman" w:cs="Calibri"/>
                <w:b/>
                <w:bCs/>
                <w:color w:val="000000" w:themeColor="text1"/>
                <w:sz w:val="14"/>
                <w:szCs w:val="14"/>
                <w:lang w:val="es-ES" w:eastAsia="es-ES"/>
              </w:rPr>
              <w:t>LIQUIDEZ</w:t>
            </w:r>
          </w:p>
        </w:tc>
        <w:tc>
          <w:tcPr>
            <w:tcW w:w="1313" w:type="dxa"/>
            <w:shd w:val="clear" w:color="auto" w:fill="FBE4D5" w:themeFill="accent2" w:themeFillTint="33"/>
            <w:vAlign w:val="center"/>
            <w:hideMark/>
          </w:tcPr>
          <w:p w:rsidRPr="00E000FF" w:rsidR="00496806" w:rsidP="34F729D4" w:rsidRDefault="00496806" w14:paraId="10B3B693" w14:textId="77777777">
            <w:pPr>
              <w:spacing w:after="0" w:line="276" w:lineRule="auto"/>
              <w:jc w:val="center"/>
              <w:rPr>
                <w:rFonts w:eastAsia="Times New Roman" w:cs="Calibri"/>
                <w:b/>
                <w:bCs/>
                <w:color w:val="000000"/>
                <w:sz w:val="14"/>
                <w:szCs w:val="14"/>
                <w:lang w:val="es-ES" w:eastAsia="es-ES"/>
              </w:rPr>
            </w:pPr>
            <w:r w:rsidRPr="00E000FF">
              <w:rPr>
                <w:rFonts w:eastAsia="Times New Roman" w:cs="Calibri"/>
                <w:b/>
                <w:bCs/>
                <w:color w:val="000000" w:themeColor="text1"/>
                <w:sz w:val="14"/>
                <w:szCs w:val="14"/>
                <w:lang w:val="es-ES" w:eastAsia="es-ES"/>
              </w:rPr>
              <w:t>ENDEUDAMIENTO</w:t>
            </w:r>
          </w:p>
        </w:tc>
        <w:tc>
          <w:tcPr>
            <w:tcW w:w="777" w:type="dxa"/>
            <w:shd w:val="clear" w:color="auto" w:fill="FBE4D5" w:themeFill="accent2" w:themeFillTint="33"/>
            <w:vAlign w:val="center"/>
            <w:hideMark/>
          </w:tcPr>
          <w:p w:rsidRPr="00E000FF" w:rsidR="00496806" w:rsidP="34F729D4" w:rsidRDefault="00496806" w14:paraId="596FF1E7" w14:textId="77777777">
            <w:pPr>
              <w:spacing w:after="0" w:line="276" w:lineRule="auto"/>
              <w:jc w:val="center"/>
              <w:rPr>
                <w:rFonts w:eastAsia="Times New Roman" w:cs="Calibri"/>
                <w:b/>
                <w:bCs/>
                <w:color w:val="000000"/>
                <w:sz w:val="14"/>
                <w:szCs w:val="14"/>
                <w:lang w:val="es-ES" w:eastAsia="es-ES"/>
              </w:rPr>
            </w:pPr>
            <w:r w:rsidRPr="00E000FF">
              <w:rPr>
                <w:rFonts w:eastAsia="Times New Roman" w:cs="Calibri"/>
                <w:b/>
                <w:bCs/>
                <w:color w:val="000000" w:themeColor="text1"/>
                <w:sz w:val="14"/>
                <w:szCs w:val="14"/>
                <w:lang w:val="es-ES" w:eastAsia="es-ES"/>
              </w:rPr>
              <w:t>RCI</w:t>
            </w:r>
          </w:p>
        </w:tc>
        <w:tc>
          <w:tcPr>
            <w:tcW w:w="835" w:type="dxa"/>
            <w:shd w:val="clear" w:color="auto" w:fill="FBE4D5" w:themeFill="accent2" w:themeFillTint="33"/>
            <w:vAlign w:val="center"/>
            <w:hideMark/>
          </w:tcPr>
          <w:p w:rsidRPr="00E000FF" w:rsidR="00496806" w:rsidP="34F729D4" w:rsidRDefault="00496806" w14:paraId="11CFE3B9" w14:textId="77777777">
            <w:pPr>
              <w:spacing w:after="0" w:line="276" w:lineRule="auto"/>
              <w:jc w:val="center"/>
              <w:rPr>
                <w:rFonts w:eastAsia="Times New Roman" w:cs="Calibri"/>
                <w:b/>
                <w:bCs/>
                <w:color w:val="000000"/>
                <w:sz w:val="14"/>
                <w:szCs w:val="14"/>
                <w:lang w:val="es-ES" w:eastAsia="es-ES"/>
              </w:rPr>
            </w:pPr>
            <w:r w:rsidRPr="00E000FF">
              <w:rPr>
                <w:rFonts w:eastAsia="Times New Roman" w:cs="Calibri"/>
                <w:b/>
                <w:bCs/>
                <w:color w:val="000000" w:themeColor="text1"/>
                <w:sz w:val="14"/>
                <w:szCs w:val="14"/>
                <w:lang w:val="es-ES" w:eastAsia="es-ES"/>
              </w:rPr>
              <w:t>RENT PATR</w:t>
            </w:r>
          </w:p>
        </w:tc>
        <w:tc>
          <w:tcPr>
            <w:tcW w:w="694" w:type="dxa"/>
            <w:shd w:val="clear" w:color="auto" w:fill="FBE4D5" w:themeFill="accent2" w:themeFillTint="33"/>
            <w:vAlign w:val="center"/>
            <w:hideMark/>
          </w:tcPr>
          <w:p w:rsidRPr="00E000FF" w:rsidR="00496806" w:rsidP="34F729D4" w:rsidRDefault="00496806" w14:paraId="6F5FE2A2" w14:textId="77777777">
            <w:pPr>
              <w:spacing w:after="0" w:line="276" w:lineRule="auto"/>
              <w:jc w:val="center"/>
              <w:rPr>
                <w:rFonts w:eastAsia="Times New Roman" w:cs="Calibri"/>
                <w:b/>
                <w:bCs/>
                <w:color w:val="000000"/>
                <w:sz w:val="14"/>
                <w:szCs w:val="14"/>
                <w:lang w:val="es-ES" w:eastAsia="es-ES"/>
              </w:rPr>
            </w:pPr>
            <w:r w:rsidRPr="00E000FF">
              <w:rPr>
                <w:rFonts w:eastAsia="Times New Roman" w:cs="Calibri"/>
                <w:b/>
                <w:bCs/>
                <w:color w:val="000000" w:themeColor="text1"/>
                <w:sz w:val="14"/>
                <w:szCs w:val="14"/>
                <w:lang w:val="es-ES" w:eastAsia="es-ES"/>
              </w:rPr>
              <w:t>RENT ACT</w:t>
            </w:r>
          </w:p>
        </w:tc>
      </w:tr>
      <w:tr w:rsidRPr="006C6B35" w:rsidR="007F66D6" w:rsidTr="0078586F" w14:paraId="10BCC050" w14:textId="77777777">
        <w:trPr>
          <w:trHeight w:val="46"/>
          <w:jc w:val="center"/>
        </w:trPr>
        <w:tc>
          <w:tcPr>
            <w:tcW w:w="1483" w:type="dxa"/>
            <w:vAlign w:val="center"/>
            <w:hideMark/>
          </w:tcPr>
          <w:p w:rsidRPr="006C6B35" w:rsidR="007F66D6" w:rsidP="007F66D6" w:rsidRDefault="007F66D6" w14:paraId="7C532A9A" w14:textId="4AA6E81B">
            <w:pPr>
              <w:spacing w:after="0"/>
              <w:jc w:val="center"/>
              <w:rPr>
                <w:rFonts w:cs="Calibri"/>
                <w:b/>
                <w:bCs/>
              </w:rPr>
            </w:pPr>
            <w:r w:rsidRPr="006C6B35">
              <w:rPr>
                <w:rFonts w:cs="Calibri"/>
                <w:b/>
                <w:bCs/>
              </w:rPr>
              <w:t>CUARTIL 1</w:t>
            </w:r>
          </w:p>
        </w:tc>
        <w:tc>
          <w:tcPr>
            <w:tcW w:w="831" w:type="dxa"/>
            <w:vAlign w:val="center"/>
            <w:hideMark/>
          </w:tcPr>
          <w:p w:rsidRPr="00D173AF" w:rsidR="007F66D6" w:rsidP="007F66D6" w:rsidRDefault="007F66D6" w14:paraId="508E6957" w14:textId="4668E6D1">
            <w:pPr>
              <w:spacing w:after="0"/>
              <w:jc w:val="center"/>
              <w:rPr>
                <w:rFonts w:cs="Calibri"/>
                <w:highlight w:val="yellow"/>
              </w:rPr>
            </w:pPr>
            <w:r>
              <w:rPr>
                <w:rFonts w:ascii="Aptos Narrow" w:hAnsi="Aptos Narrow"/>
                <w:sz w:val="20"/>
                <w:szCs w:val="20"/>
              </w:rPr>
              <w:t>1.71</w:t>
            </w:r>
          </w:p>
        </w:tc>
        <w:tc>
          <w:tcPr>
            <w:tcW w:w="1313" w:type="dxa"/>
            <w:vAlign w:val="center"/>
            <w:hideMark/>
          </w:tcPr>
          <w:p w:rsidRPr="00D173AF" w:rsidR="007F66D6" w:rsidP="007F66D6" w:rsidRDefault="007F66D6" w14:paraId="39A8F422" w14:textId="416BAD67">
            <w:pPr>
              <w:spacing w:after="0"/>
              <w:jc w:val="center"/>
              <w:rPr>
                <w:rFonts w:cs="Calibri"/>
                <w:highlight w:val="yellow"/>
              </w:rPr>
            </w:pPr>
            <w:r>
              <w:rPr>
                <w:rFonts w:ascii="Aptos Narrow" w:hAnsi="Aptos Narrow"/>
                <w:sz w:val="20"/>
                <w:szCs w:val="20"/>
              </w:rPr>
              <w:t>28.56%</w:t>
            </w:r>
          </w:p>
        </w:tc>
        <w:tc>
          <w:tcPr>
            <w:tcW w:w="777" w:type="dxa"/>
            <w:vAlign w:val="center"/>
            <w:hideMark/>
          </w:tcPr>
          <w:p w:rsidRPr="00D173AF" w:rsidR="007F66D6" w:rsidP="007F66D6" w:rsidRDefault="007F66D6" w14:paraId="299CE9D6" w14:textId="5AE81B36">
            <w:pPr>
              <w:spacing w:after="0"/>
              <w:jc w:val="center"/>
              <w:rPr>
                <w:rFonts w:cs="Calibri"/>
                <w:highlight w:val="yellow"/>
              </w:rPr>
            </w:pPr>
            <w:r>
              <w:rPr>
                <w:rFonts w:ascii="Aptos Narrow" w:hAnsi="Aptos Narrow"/>
                <w:sz w:val="20"/>
                <w:szCs w:val="20"/>
              </w:rPr>
              <w:t>10.03</w:t>
            </w:r>
          </w:p>
        </w:tc>
        <w:tc>
          <w:tcPr>
            <w:tcW w:w="835" w:type="dxa"/>
            <w:vAlign w:val="center"/>
            <w:hideMark/>
          </w:tcPr>
          <w:p w:rsidRPr="00D173AF" w:rsidR="007F66D6" w:rsidP="007F66D6" w:rsidRDefault="007F66D6" w14:paraId="49B92EE3" w14:textId="1568DBCF">
            <w:pPr>
              <w:spacing w:after="0"/>
              <w:jc w:val="center"/>
              <w:rPr>
                <w:rFonts w:cs="Calibri"/>
                <w:highlight w:val="yellow"/>
              </w:rPr>
            </w:pPr>
            <w:r>
              <w:rPr>
                <w:rFonts w:ascii="Aptos Narrow" w:hAnsi="Aptos Narrow"/>
                <w:sz w:val="20"/>
                <w:szCs w:val="20"/>
              </w:rPr>
              <w:t>0.11</w:t>
            </w:r>
          </w:p>
        </w:tc>
        <w:tc>
          <w:tcPr>
            <w:tcW w:w="694" w:type="dxa"/>
            <w:vAlign w:val="center"/>
            <w:hideMark/>
          </w:tcPr>
          <w:p w:rsidRPr="00D173AF" w:rsidR="007F66D6" w:rsidP="007F66D6" w:rsidRDefault="007F66D6" w14:paraId="46F2D8FC" w14:textId="72C54AF8">
            <w:pPr>
              <w:spacing w:after="0"/>
              <w:jc w:val="center"/>
              <w:rPr>
                <w:rFonts w:cs="Calibri"/>
                <w:highlight w:val="yellow"/>
              </w:rPr>
            </w:pPr>
            <w:r>
              <w:rPr>
                <w:rFonts w:ascii="Aptos Narrow" w:hAnsi="Aptos Narrow"/>
                <w:sz w:val="20"/>
                <w:szCs w:val="20"/>
              </w:rPr>
              <w:t>0.09</w:t>
            </w:r>
          </w:p>
        </w:tc>
      </w:tr>
      <w:tr w:rsidRPr="006C6B35" w:rsidR="007F66D6" w:rsidTr="0078586F" w14:paraId="170EB0D7" w14:textId="77777777">
        <w:trPr>
          <w:trHeight w:val="46"/>
          <w:jc w:val="center"/>
        </w:trPr>
        <w:tc>
          <w:tcPr>
            <w:tcW w:w="1483" w:type="dxa"/>
            <w:vAlign w:val="center"/>
            <w:hideMark/>
          </w:tcPr>
          <w:p w:rsidRPr="006C6B35" w:rsidR="007F66D6" w:rsidP="007F66D6" w:rsidRDefault="007F66D6" w14:paraId="570E7EB1" w14:textId="6DF81EC9">
            <w:pPr>
              <w:spacing w:after="0"/>
              <w:jc w:val="center"/>
              <w:rPr>
                <w:rFonts w:cs="Calibri"/>
                <w:b/>
                <w:bCs/>
                <w:color w:val="000000" w:themeColor="text1"/>
              </w:rPr>
            </w:pPr>
            <w:r w:rsidRPr="006C6B35">
              <w:rPr>
                <w:rFonts w:cs="Calibri"/>
                <w:b/>
                <w:bCs/>
                <w:color w:val="000000" w:themeColor="text1"/>
              </w:rPr>
              <w:t>CUARTIL 2</w:t>
            </w:r>
          </w:p>
        </w:tc>
        <w:tc>
          <w:tcPr>
            <w:tcW w:w="831" w:type="dxa"/>
            <w:vAlign w:val="center"/>
            <w:hideMark/>
          </w:tcPr>
          <w:p w:rsidRPr="00D173AF" w:rsidR="007F66D6" w:rsidP="007F66D6" w:rsidRDefault="007F66D6" w14:paraId="4E215E7E" w14:textId="15DA03D5">
            <w:pPr>
              <w:spacing w:after="0"/>
              <w:jc w:val="center"/>
              <w:rPr>
                <w:rFonts w:cs="Calibri"/>
                <w:color w:val="000000" w:themeColor="text1"/>
                <w:highlight w:val="yellow"/>
              </w:rPr>
            </w:pPr>
            <w:r>
              <w:rPr>
                <w:rFonts w:ascii="Aptos Narrow" w:hAnsi="Aptos Narrow"/>
                <w:color w:val="000000"/>
                <w:sz w:val="20"/>
                <w:szCs w:val="20"/>
              </w:rPr>
              <w:t>2.63</w:t>
            </w:r>
          </w:p>
        </w:tc>
        <w:tc>
          <w:tcPr>
            <w:tcW w:w="1313" w:type="dxa"/>
            <w:vAlign w:val="center"/>
            <w:hideMark/>
          </w:tcPr>
          <w:p w:rsidRPr="00D173AF" w:rsidR="007F66D6" w:rsidP="007F66D6" w:rsidRDefault="007F66D6" w14:paraId="579F035C" w14:textId="67D1C00B">
            <w:pPr>
              <w:spacing w:after="0"/>
              <w:jc w:val="center"/>
              <w:rPr>
                <w:rFonts w:cs="Calibri"/>
                <w:color w:val="000000" w:themeColor="text1"/>
                <w:highlight w:val="yellow"/>
              </w:rPr>
            </w:pPr>
            <w:r>
              <w:rPr>
                <w:rFonts w:ascii="Aptos Narrow" w:hAnsi="Aptos Narrow"/>
                <w:color w:val="000000"/>
                <w:sz w:val="20"/>
                <w:szCs w:val="20"/>
              </w:rPr>
              <w:t>40.09%</w:t>
            </w:r>
          </w:p>
        </w:tc>
        <w:tc>
          <w:tcPr>
            <w:tcW w:w="777" w:type="dxa"/>
            <w:vAlign w:val="center"/>
            <w:hideMark/>
          </w:tcPr>
          <w:p w:rsidRPr="00D173AF" w:rsidR="007F66D6" w:rsidP="007F66D6" w:rsidRDefault="007F66D6" w14:paraId="2E039E27" w14:textId="74C152A4">
            <w:pPr>
              <w:spacing w:after="0"/>
              <w:jc w:val="center"/>
              <w:rPr>
                <w:rFonts w:cs="Calibri"/>
                <w:color w:val="000000" w:themeColor="text1"/>
                <w:highlight w:val="yellow"/>
              </w:rPr>
            </w:pPr>
            <w:r>
              <w:rPr>
                <w:rFonts w:ascii="Aptos Narrow" w:hAnsi="Aptos Narrow"/>
                <w:color w:val="000000"/>
                <w:sz w:val="20"/>
                <w:szCs w:val="20"/>
              </w:rPr>
              <w:t>18.15</w:t>
            </w:r>
          </w:p>
        </w:tc>
        <w:tc>
          <w:tcPr>
            <w:tcW w:w="835" w:type="dxa"/>
            <w:vAlign w:val="center"/>
            <w:hideMark/>
          </w:tcPr>
          <w:p w:rsidRPr="00D173AF" w:rsidR="007F66D6" w:rsidP="007F66D6" w:rsidRDefault="007F66D6" w14:paraId="0854663B" w14:textId="378C45F4">
            <w:pPr>
              <w:spacing w:after="0"/>
              <w:jc w:val="center"/>
              <w:rPr>
                <w:rFonts w:cs="Calibri"/>
                <w:color w:val="000000" w:themeColor="text1"/>
                <w:highlight w:val="yellow"/>
              </w:rPr>
            </w:pPr>
            <w:r>
              <w:rPr>
                <w:rFonts w:ascii="Aptos Narrow" w:hAnsi="Aptos Narrow"/>
                <w:color w:val="000000"/>
                <w:sz w:val="20"/>
                <w:szCs w:val="20"/>
              </w:rPr>
              <w:t>0.30</w:t>
            </w:r>
          </w:p>
        </w:tc>
        <w:tc>
          <w:tcPr>
            <w:tcW w:w="694" w:type="dxa"/>
            <w:vAlign w:val="center"/>
            <w:hideMark/>
          </w:tcPr>
          <w:p w:rsidRPr="00D173AF" w:rsidR="007F66D6" w:rsidP="007F66D6" w:rsidRDefault="007F66D6" w14:paraId="77C78816" w14:textId="1B647C88">
            <w:pPr>
              <w:spacing w:after="0"/>
              <w:jc w:val="center"/>
              <w:rPr>
                <w:rFonts w:cs="Calibri"/>
                <w:color w:val="000000" w:themeColor="text1"/>
                <w:highlight w:val="yellow"/>
              </w:rPr>
            </w:pPr>
            <w:r>
              <w:rPr>
                <w:rFonts w:ascii="Aptos Narrow" w:hAnsi="Aptos Narrow"/>
                <w:color w:val="000000"/>
                <w:sz w:val="20"/>
                <w:szCs w:val="20"/>
              </w:rPr>
              <w:t>0.21</w:t>
            </w:r>
          </w:p>
        </w:tc>
      </w:tr>
      <w:tr w:rsidRPr="006C6B35" w:rsidR="007F66D6" w:rsidTr="0078586F" w14:paraId="74696CE6" w14:textId="77777777">
        <w:trPr>
          <w:trHeight w:val="46"/>
          <w:jc w:val="center"/>
        </w:trPr>
        <w:tc>
          <w:tcPr>
            <w:tcW w:w="1483" w:type="dxa"/>
            <w:vAlign w:val="center"/>
            <w:hideMark/>
          </w:tcPr>
          <w:p w:rsidRPr="006C6B35" w:rsidR="007F66D6" w:rsidP="007F66D6" w:rsidRDefault="007F66D6" w14:paraId="58FEEE95" w14:textId="612CEB11">
            <w:pPr>
              <w:spacing w:after="0"/>
              <w:jc w:val="center"/>
              <w:rPr>
                <w:rFonts w:cs="Calibri"/>
                <w:b/>
                <w:bCs/>
                <w:color w:val="000000" w:themeColor="text1"/>
              </w:rPr>
            </w:pPr>
            <w:r w:rsidRPr="006C6B35">
              <w:rPr>
                <w:rFonts w:cs="Calibri"/>
                <w:b/>
                <w:bCs/>
                <w:color w:val="000000" w:themeColor="text1"/>
              </w:rPr>
              <w:t>CUARTIL 3</w:t>
            </w:r>
          </w:p>
        </w:tc>
        <w:tc>
          <w:tcPr>
            <w:tcW w:w="831" w:type="dxa"/>
            <w:vAlign w:val="center"/>
            <w:hideMark/>
          </w:tcPr>
          <w:p w:rsidRPr="00D173AF" w:rsidR="007F66D6" w:rsidP="007F66D6" w:rsidRDefault="007F66D6" w14:paraId="78558D1B" w14:textId="790A2D8B">
            <w:pPr>
              <w:spacing w:after="0"/>
              <w:jc w:val="center"/>
              <w:rPr>
                <w:rFonts w:cs="Calibri"/>
                <w:color w:val="000000" w:themeColor="text1"/>
                <w:highlight w:val="yellow"/>
              </w:rPr>
            </w:pPr>
            <w:r>
              <w:rPr>
                <w:rFonts w:ascii="Aptos Narrow" w:hAnsi="Aptos Narrow"/>
                <w:color w:val="000000"/>
                <w:sz w:val="20"/>
                <w:szCs w:val="20"/>
              </w:rPr>
              <w:t>4.47</w:t>
            </w:r>
          </w:p>
        </w:tc>
        <w:tc>
          <w:tcPr>
            <w:tcW w:w="1313" w:type="dxa"/>
            <w:vAlign w:val="center"/>
            <w:hideMark/>
          </w:tcPr>
          <w:p w:rsidRPr="00D173AF" w:rsidR="007F66D6" w:rsidP="007F66D6" w:rsidRDefault="007F66D6" w14:paraId="5B5105ED" w14:textId="168219EC">
            <w:pPr>
              <w:spacing w:after="0"/>
              <w:jc w:val="center"/>
              <w:rPr>
                <w:rFonts w:cs="Calibri"/>
                <w:color w:val="000000" w:themeColor="text1"/>
                <w:highlight w:val="yellow"/>
              </w:rPr>
            </w:pPr>
            <w:r>
              <w:rPr>
                <w:rFonts w:ascii="Aptos Narrow" w:hAnsi="Aptos Narrow"/>
                <w:color w:val="000000"/>
                <w:sz w:val="20"/>
                <w:szCs w:val="20"/>
              </w:rPr>
              <w:t>63.85%</w:t>
            </w:r>
          </w:p>
        </w:tc>
        <w:tc>
          <w:tcPr>
            <w:tcW w:w="777" w:type="dxa"/>
            <w:vAlign w:val="center"/>
            <w:hideMark/>
          </w:tcPr>
          <w:p w:rsidRPr="00D173AF" w:rsidR="007F66D6" w:rsidP="007F66D6" w:rsidRDefault="007F66D6" w14:paraId="35589B93" w14:textId="18291FEB">
            <w:pPr>
              <w:spacing w:after="0"/>
              <w:jc w:val="center"/>
              <w:rPr>
                <w:rFonts w:cs="Calibri"/>
                <w:color w:val="000000" w:themeColor="text1"/>
                <w:highlight w:val="yellow"/>
              </w:rPr>
            </w:pPr>
            <w:r>
              <w:rPr>
                <w:rFonts w:ascii="Aptos Narrow" w:hAnsi="Aptos Narrow"/>
                <w:color w:val="000000"/>
                <w:sz w:val="20"/>
                <w:szCs w:val="20"/>
              </w:rPr>
              <w:t>85.61</w:t>
            </w:r>
          </w:p>
        </w:tc>
        <w:tc>
          <w:tcPr>
            <w:tcW w:w="835" w:type="dxa"/>
            <w:vAlign w:val="center"/>
            <w:hideMark/>
          </w:tcPr>
          <w:p w:rsidRPr="00D173AF" w:rsidR="007F66D6" w:rsidP="007F66D6" w:rsidRDefault="007F66D6" w14:paraId="1223E515" w14:textId="7CBA4226">
            <w:pPr>
              <w:spacing w:after="0"/>
              <w:jc w:val="center"/>
              <w:rPr>
                <w:rFonts w:cs="Calibri"/>
                <w:color w:val="000000" w:themeColor="text1"/>
                <w:highlight w:val="yellow"/>
              </w:rPr>
            </w:pPr>
            <w:r>
              <w:rPr>
                <w:rFonts w:ascii="Aptos Narrow" w:hAnsi="Aptos Narrow"/>
                <w:color w:val="000000"/>
                <w:sz w:val="20"/>
                <w:szCs w:val="20"/>
              </w:rPr>
              <w:t>0.64</w:t>
            </w:r>
          </w:p>
        </w:tc>
        <w:tc>
          <w:tcPr>
            <w:tcW w:w="694" w:type="dxa"/>
            <w:vAlign w:val="center"/>
            <w:hideMark/>
          </w:tcPr>
          <w:p w:rsidRPr="00D173AF" w:rsidR="007F66D6" w:rsidP="007F66D6" w:rsidRDefault="007F66D6" w14:paraId="0EFEA75A" w14:textId="1088AC76">
            <w:pPr>
              <w:spacing w:after="0"/>
              <w:jc w:val="center"/>
              <w:rPr>
                <w:rFonts w:cs="Calibri"/>
                <w:color w:val="000000" w:themeColor="text1"/>
                <w:highlight w:val="yellow"/>
              </w:rPr>
            </w:pPr>
            <w:r>
              <w:rPr>
                <w:rFonts w:ascii="Aptos Narrow" w:hAnsi="Aptos Narrow"/>
                <w:color w:val="000000"/>
                <w:sz w:val="20"/>
                <w:szCs w:val="20"/>
              </w:rPr>
              <w:t>0.33</w:t>
            </w:r>
          </w:p>
        </w:tc>
      </w:tr>
    </w:tbl>
    <w:p w:rsidRPr="006C6B35" w:rsidR="00A112F8" w:rsidP="088477E0" w:rsidRDefault="00A112F8" w14:paraId="52D99629" w14:textId="77777777">
      <w:pPr>
        <w:widowControl w:val="0"/>
        <w:autoSpaceDE w:val="0"/>
        <w:autoSpaceDN w:val="0"/>
        <w:adjustRightInd w:val="0"/>
        <w:spacing w:after="0" w:line="276" w:lineRule="auto"/>
        <w:jc w:val="center"/>
        <w:rPr>
          <w:rFonts w:eastAsia="Times New Roman" w:cs="Calibri"/>
          <w:color w:val="000000"/>
          <w:lang w:eastAsia="es-CO"/>
        </w:rPr>
      </w:pPr>
    </w:p>
    <w:p w:rsidRPr="006C6B35" w:rsidR="00420CAD" w:rsidP="00AC00A0" w:rsidRDefault="00DE6BC4" w14:paraId="497B73B0" w14:textId="572B36B0">
      <w:pPr>
        <w:widowControl w:val="0"/>
        <w:autoSpaceDE w:val="0"/>
        <w:autoSpaceDN w:val="0"/>
        <w:adjustRightInd w:val="0"/>
        <w:spacing w:after="0" w:line="276" w:lineRule="auto"/>
        <w:rPr>
          <w:rFonts w:eastAsia="Times New Roman" w:cs="Calibri"/>
          <w:color w:val="000000"/>
          <w:lang w:eastAsia="es-CO"/>
        </w:rPr>
      </w:pPr>
      <w:r w:rsidRPr="006C6B35">
        <w:rPr>
          <w:rFonts w:eastAsia="Times New Roman" w:cs="Calibri"/>
          <w:color w:val="000000" w:themeColor="text1"/>
          <w:lang w:eastAsia="es-CO"/>
        </w:rPr>
        <w:t>Y, p</w:t>
      </w:r>
      <w:r w:rsidRPr="006C6B35" w:rsidR="00420CAD">
        <w:rPr>
          <w:rFonts w:eastAsia="Times New Roman" w:cs="Calibri"/>
          <w:color w:val="000000" w:themeColor="text1"/>
          <w:lang w:eastAsia="es-CO"/>
        </w:rPr>
        <w:t>ara</w:t>
      </w:r>
      <w:r w:rsidRPr="006C6B35" w:rsidR="006F4819">
        <w:rPr>
          <w:rFonts w:eastAsia="Times New Roman" w:cs="Calibri"/>
          <w:color w:val="000000" w:themeColor="text1"/>
          <w:lang w:eastAsia="es-CO"/>
        </w:rPr>
        <w:t xml:space="preserve"> los</w:t>
      </w:r>
      <w:r w:rsidRPr="006C6B35" w:rsidR="00420CAD">
        <w:rPr>
          <w:rFonts w:eastAsia="Times New Roman" w:cs="Calibri"/>
          <w:color w:val="000000" w:themeColor="text1"/>
          <w:lang w:eastAsia="es-CO"/>
        </w:rPr>
        <w:t xml:space="preserve"> indicadores diferenciales de capacidad organizacional para Mi</w:t>
      </w:r>
      <w:r w:rsidRPr="006C6B35" w:rsidR="1B533A1A">
        <w:rPr>
          <w:rFonts w:eastAsia="Times New Roman" w:cs="Calibri"/>
          <w:color w:val="000000" w:themeColor="text1"/>
          <w:lang w:eastAsia="es-CO"/>
        </w:rPr>
        <w:t>P</w:t>
      </w:r>
      <w:r w:rsidRPr="006C6B35" w:rsidR="00420CAD">
        <w:rPr>
          <w:rFonts w:eastAsia="Times New Roman" w:cs="Calibri"/>
          <w:color w:val="000000" w:themeColor="text1"/>
          <w:lang w:eastAsia="es-CO"/>
        </w:rPr>
        <w:t>y</w:t>
      </w:r>
      <w:r w:rsidRPr="006C6B35" w:rsidR="7CADC530">
        <w:rPr>
          <w:rFonts w:eastAsia="Times New Roman" w:cs="Calibri"/>
          <w:color w:val="000000" w:themeColor="text1"/>
          <w:lang w:eastAsia="es-CO"/>
        </w:rPr>
        <w:t>Me</w:t>
      </w:r>
      <w:r w:rsidR="00471567">
        <w:rPr>
          <w:rFonts w:eastAsia="Times New Roman" w:cs="Calibri"/>
          <w:color w:val="000000" w:themeColor="text1"/>
          <w:lang w:eastAsia="es-CO"/>
        </w:rPr>
        <w:t>s</w:t>
      </w:r>
    </w:p>
    <w:p w:rsidRPr="006C6B35" w:rsidR="00420CAD" w:rsidP="00AC00A0" w:rsidRDefault="00420CAD" w14:paraId="769D52A8" w14:textId="77777777">
      <w:pPr>
        <w:widowControl w:val="0"/>
        <w:autoSpaceDE w:val="0"/>
        <w:autoSpaceDN w:val="0"/>
        <w:adjustRightInd w:val="0"/>
        <w:spacing w:after="0" w:line="276" w:lineRule="auto"/>
        <w:rPr>
          <w:rFonts w:eastAsia="Times New Roman" w:cs="Calibri"/>
          <w:color w:val="000000"/>
          <w:lang w:eastAsia="es-CO"/>
        </w:rPr>
      </w:pPr>
    </w:p>
    <w:tbl>
      <w:tblPr>
        <w:tblW w:w="3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98"/>
        <w:gridCol w:w="924"/>
        <w:gridCol w:w="959"/>
      </w:tblGrid>
      <w:tr w:rsidRPr="006C6B35" w:rsidR="004538E4" w:rsidTr="00357A02" w14:paraId="24861F54" w14:textId="77777777">
        <w:trPr>
          <w:trHeight w:val="37"/>
          <w:tblHeader/>
          <w:jc w:val="center"/>
        </w:trPr>
        <w:tc>
          <w:tcPr>
            <w:tcW w:w="1798" w:type="dxa"/>
            <w:shd w:val="clear" w:color="auto" w:fill="FBE4D5" w:themeFill="accent2" w:themeFillTint="33"/>
            <w:vAlign w:val="center"/>
            <w:hideMark/>
          </w:tcPr>
          <w:p w:rsidRPr="006C6B35" w:rsidR="004538E4" w:rsidP="34F729D4" w:rsidRDefault="004538E4" w14:paraId="228138D7" w14:textId="77777777">
            <w:pPr>
              <w:spacing w:after="0" w:line="276" w:lineRule="auto"/>
              <w:jc w:val="center"/>
              <w:rPr>
                <w:rFonts w:eastAsia="Times New Roman" w:cs="Calibri"/>
                <w:b/>
                <w:bCs/>
                <w:color w:val="000000"/>
                <w:lang w:val="es-ES" w:eastAsia="es-ES"/>
              </w:rPr>
            </w:pPr>
            <w:r w:rsidRPr="006C6B35">
              <w:rPr>
                <w:rFonts w:eastAsia="Times New Roman" w:cs="Calibri"/>
                <w:b/>
                <w:bCs/>
                <w:color w:val="000000" w:themeColor="text1"/>
                <w:lang w:val="es-ES" w:eastAsia="es-ES"/>
              </w:rPr>
              <w:t>PROMEDIO INDICADORES</w:t>
            </w:r>
          </w:p>
        </w:tc>
        <w:tc>
          <w:tcPr>
            <w:tcW w:w="924" w:type="dxa"/>
            <w:shd w:val="clear" w:color="auto" w:fill="FBE4D5" w:themeFill="accent2" w:themeFillTint="33"/>
            <w:vAlign w:val="center"/>
            <w:hideMark/>
          </w:tcPr>
          <w:p w:rsidRPr="006C6B35" w:rsidR="004538E4" w:rsidP="34F729D4" w:rsidRDefault="004538E4" w14:paraId="32D5F454" w14:textId="77777777">
            <w:pPr>
              <w:spacing w:after="0" w:line="276" w:lineRule="auto"/>
              <w:jc w:val="center"/>
              <w:rPr>
                <w:rFonts w:eastAsia="Times New Roman" w:cs="Calibri"/>
                <w:b/>
                <w:bCs/>
                <w:color w:val="000000"/>
                <w:lang w:val="es-ES" w:eastAsia="es-ES"/>
              </w:rPr>
            </w:pPr>
            <w:r w:rsidRPr="006C6B35">
              <w:rPr>
                <w:rFonts w:eastAsia="Times New Roman" w:cs="Calibri"/>
                <w:b/>
                <w:bCs/>
                <w:color w:val="000000" w:themeColor="text1"/>
                <w:lang w:val="es-ES" w:eastAsia="es-ES"/>
              </w:rPr>
              <w:t>RENT PATR</w:t>
            </w:r>
          </w:p>
        </w:tc>
        <w:tc>
          <w:tcPr>
            <w:tcW w:w="959" w:type="dxa"/>
            <w:shd w:val="clear" w:color="auto" w:fill="FBE4D5" w:themeFill="accent2" w:themeFillTint="33"/>
            <w:vAlign w:val="center"/>
            <w:hideMark/>
          </w:tcPr>
          <w:p w:rsidRPr="006C6B35" w:rsidR="004538E4" w:rsidP="34F729D4" w:rsidRDefault="004538E4" w14:paraId="550B1088" w14:textId="77777777">
            <w:pPr>
              <w:spacing w:after="0" w:line="276" w:lineRule="auto"/>
              <w:jc w:val="center"/>
              <w:rPr>
                <w:rFonts w:eastAsia="Times New Roman" w:cs="Calibri"/>
                <w:b/>
                <w:bCs/>
                <w:color w:val="000000"/>
                <w:lang w:val="es-ES" w:eastAsia="es-ES"/>
              </w:rPr>
            </w:pPr>
            <w:r w:rsidRPr="006C6B35">
              <w:rPr>
                <w:rFonts w:eastAsia="Times New Roman" w:cs="Calibri"/>
                <w:b/>
                <w:bCs/>
                <w:color w:val="000000" w:themeColor="text1"/>
                <w:lang w:val="es-ES" w:eastAsia="es-ES"/>
              </w:rPr>
              <w:t>RENT ACT</w:t>
            </w:r>
          </w:p>
        </w:tc>
      </w:tr>
      <w:tr w:rsidRPr="006C6B35" w:rsidR="003640C4" w:rsidTr="0078586F" w14:paraId="1CEF2138" w14:textId="77777777">
        <w:trPr>
          <w:trHeight w:val="37"/>
          <w:jc w:val="center"/>
        </w:trPr>
        <w:tc>
          <w:tcPr>
            <w:tcW w:w="1798" w:type="dxa"/>
            <w:vAlign w:val="center"/>
            <w:hideMark/>
          </w:tcPr>
          <w:p w:rsidRPr="006C6B35" w:rsidR="003640C4" w:rsidP="003640C4" w:rsidRDefault="003640C4" w14:paraId="486C9EE6" w14:textId="77777777">
            <w:pPr>
              <w:spacing w:after="0" w:line="276" w:lineRule="auto"/>
              <w:jc w:val="center"/>
              <w:rPr>
                <w:rFonts w:eastAsia="Times New Roman" w:cs="Calibri"/>
                <w:b/>
                <w:bCs/>
                <w:lang w:val="es-ES" w:eastAsia="es-ES"/>
              </w:rPr>
            </w:pPr>
            <w:r w:rsidRPr="006C6B35">
              <w:rPr>
                <w:rFonts w:eastAsia="Times New Roman" w:cs="Calibri"/>
                <w:b/>
                <w:bCs/>
                <w:lang w:val="es-ES" w:eastAsia="es-ES"/>
              </w:rPr>
              <w:t>CUARTIL 1</w:t>
            </w:r>
          </w:p>
        </w:tc>
        <w:tc>
          <w:tcPr>
            <w:tcW w:w="924" w:type="dxa"/>
            <w:hideMark/>
          </w:tcPr>
          <w:p w:rsidRPr="00D173AF" w:rsidR="003640C4" w:rsidP="003640C4" w:rsidRDefault="003640C4" w14:paraId="68BC2B75" w14:textId="664CD9B2">
            <w:pPr>
              <w:spacing w:after="0"/>
              <w:jc w:val="center"/>
              <w:rPr>
                <w:rFonts w:cs="Calibri"/>
                <w:highlight w:val="yellow"/>
              </w:rPr>
            </w:pPr>
            <w:r w:rsidRPr="00110006">
              <w:t>0,13</w:t>
            </w:r>
          </w:p>
        </w:tc>
        <w:tc>
          <w:tcPr>
            <w:tcW w:w="959" w:type="dxa"/>
            <w:hideMark/>
          </w:tcPr>
          <w:p w:rsidRPr="00D173AF" w:rsidR="003640C4" w:rsidP="003640C4" w:rsidRDefault="003640C4" w14:paraId="27AE2E9F" w14:textId="2D486FA9">
            <w:pPr>
              <w:spacing w:after="0"/>
              <w:jc w:val="center"/>
              <w:rPr>
                <w:rFonts w:cs="Calibri"/>
                <w:highlight w:val="yellow"/>
              </w:rPr>
            </w:pPr>
            <w:r w:rsidRPr="00110006">
              <w:t>0,11</w:t>
            </w:r>
          </w:p>
        </w:tc>
      </w:tr>
      <w:tr w:rsidRPr="006C6B35" w:rsidR="003640C4" w:rsidTr="0078586F" w14:paraId="1DDE7997" w14:textId="77777777">
        <w:trPr>
          <w:trHeight w:val="37"/>
          <w:jc w:val="center"/>
        </w:trPr>
        <w:tc>
          <w:tcPr>
            <w:tcW w:w="1798" w:type="dxa"/>
            <w:vAlign w:val="center"/>
            <w:hideMark/>
          </w:tcPr>
          <w:p w:rsidRPr="006C6B35" w:rsidR="003640C4" w:rsidP="003640C4" w:rsidRDefault="003640C4" w14:paraId="1CDA253B" w14:textId="77777777">
            <w:pPr>
              <w:spacing w:after="0" w:line="276" w:lineRule="auto"/>
              <w:jc w:val="center"/>
              <w:rPr>
                <w:rFonts w:eastAsia="Times New Roman" w:cs="Calibri"/>
                <w:b/>
                <w:bCs/>
                <w:color w:val="000000"/>
                <w:lang w:val="es-ES" w:eastAsia="es-ES"/>
              </w:rPr>
            </w:pPr>
            <w:r w:rsidRPr="006C6B35">
              <w:rPr>
                <w:rFonts w:eastAsia="Times New Roman" w:cs="Calibri"/>
                <w:b/>
                <w:bCs/>
                <w:color w:val="000000" w:themeColor="text1"/>
                <w:lang w:val="es-ES" w:eastAsia="es-ES"/>
              </w:rPr>
              <w:t>CUARTIL 2</w:t>
            </w:r>
          </w:p>
        </w:tc>
        <w:tc>
          <w:tcPr>
            <w:tcW w:w="924" w:type="dxa"/>
            <w:hideMark/>
          </w:tcPr>
          <w:p w:rsidRPr="00D173AF" w:rsidR="003640C4" w:rsidP="003640C4" w:rsidRDefault="003640C4" w14:paraId="54C1FC98" w14:textId="4EF072BF">
            <w:pPr>
              <w:spacing w:after="0"/>
              <w:jc w:val="center"/>
              <w:rPr>
                <w:rFonts w:cs="Calibri"/>
                <w:color w:val="000000" w:themeColor="text1"/>
                <w:highlight w:val="yellow"/>
              </w:rPr>
            </w:pPr>
            <w:r w:rsidRPr="00110006">
              <w:t>0,36</w:t>
            </w:r>
          </w:p>
        </w:tc>
        <w:tc>
          <w:tcPr>
            <w:tcW w:w="959" w:type="dxa"/>
            <w:hideMark/>
          </w:tcPr>
          <w:p w:rsidRPr="00D173AF" w:rsidR="003640C4" w:rsidP="003640C4" w:rsidRDefault="003640C4" w14:paraId="519BB099" w14:textId="796EE6BF">
            <w:pPr>
              <w:spacing w:after="0"/>
              <w:jc w:val="center"/>
              <w:rPr>
                <w:rFonts w:cs="Calibri"/>
                <w:color w:val="000000" w:themeColor="text1"/>
                <w:highlight w:val="yellow"/>
              </w:rPr>
            </w:pPr>
            <w:r w:rsidRPr="00110006">
              <w:t>0,22</w:t>
            </w:r>
          </w:p>
        </w:tc>
      </w:tr>
      <w:tr w:rsidRPr="006C6B35" w:rsidR="003640C4" w:rsidTr="0078586F" w14:paraId="13C3CCA2" w14:textId="77777777">
        <w:trPr>
          <w:trHeight w:val="37"/>
          <w:jc w:val="center"/>
        </w:trPr>
        <w:tc>
          <w:tcPr>
            <w:tcW w:w="1798" w:type="dxa"/>
            <w:vAlign w:val="center"/>
            <w:hideMark/>
          </w:tcPr>
          <w:p w:rsidRPr="006C6B35" w:rsidR="003640C4" w:rsidP="003640C4" w:rsidRDefault="003640C4" w14:paraId="7AEB5E3C" w14:textId="77777777">
            <w:pPr>
              <w:spacing w:after="0" w:line="276" w:lineRule="auto"/>
              <w:jc w:val="center"/>
              <w:rPr>
                <w:rFonts w:eastAsia="Times New Roman" w:cs="Calibri"/>
                <w:b/>
                <w:bCs/>
                <w:color w:val="000000"/>
                <w:lang w:val="es-ES" w:eastAsia="es-ES"/>
              </w:rPr>
            </w:pPr>
            <w:r w:rsidRPr="006C6B35">
              <w:rPr>
                <w:rFonts w:eastAsia="Times New Roman" w:cs="Calibri"/>
                <w:b/>
                <w:bCs/>
                <w:color w:val="000000" w:themeColor="text1"/>
                <w:lang w:val="es-ES" w:eastAsia="es-ES"/>
              </w:rPr>
              <w:t>CUARTIL 3</w:t>
            </w:r>
          </w:p>
        </w:tc>
        <w:tc>
          <w:tcPr>
            <w:tcW w:w="924" w:type="dxa"/>
            <w:hideMark/>
          </w:tcPr>
          <w:p w:rsidRPr="00D173AF" w:rsidR="003640C4" w:rsidP="003640C4" w:rsidRDefault="003640C4" w14:paraId="5B0D059C" w14:textId="2E9713AA">
            <w:pPr>
              <w:spacing w:after="0"/>
              <w:jc w:val="center"/>
              <w:rPr>
                <w:rFonts w:cs="Calibri"/>
                <w:color w:val="000000" w:themeColor="text1"/>
                <w:highlight w:val="yellow"/>
              </w:rPr>
            </w:pPr>
            <w:r w:rsidRPr="00110006">
              <w:t>0,66</w:t>
            </w:r>
          </w:p>
        </w:tc>
        <w:tc>
          <w:tcPr>
            <w:tcW w:w="959" w:type="dxa"/>
            <w:hideMark/>
          </w:tcPr>
          <w:p w:rsidRPr="00D173AF" w:rsidR="003640C4" w:rsidP="003640C4" w:rsidRDefault="003640C4" w14:paraId="3C32E768" w14:textId="74DA3859">
            <w:pPr>
              <w:spacing w:after="0"/>
              <w:jc w:val="center"/>
              <w:rPr>
                <w:rFonts w:cs="Calibri"/>
                <w:color w:val="000000" w:themeColor="text1"/>
                <w:highlight w:val="yellow"/>
              </w:rPr>
            </w:pPr>
            <w:r w:rsidRPr="00110006">
              <w:t>0,35</w:t>
            </w:r>
          </w:p>
        </w:tc>
      </w:tr>
    </w:tbl>
    <w:p w:rsidRPr="006C6B35" w:rsidR="00420CAD" w:rsidP="00AC00A0" w:rsidRDefault="00420CAD" w14:paraId="159802A8" w14:textId="77777777">
      <w:pPr>
        <w:widowControl w:val="0"/>
        <w:autoSpaceDE w:val="0"/>
        <w:autoSpaceDN w:val="0"/>
        <w:adjustRightInd w:val="0"/>
        <w:spacing w:after="0" w:line="276" w:lineRule="auto"/>
        <w:rPr>
          <w:rFonts w:eastAsia="Times New Roman" w:cs="Calibri"/>
          <w:color w:val="000000"/>
          <w:lang w:eastAsia="es-CO"/>
        </w:rPr>
      </w:pPr>
    </w:p>
    <w:p w:rsidRPr="006C6B35" w:rsidR="007250D3" w:rsidP="00AC00A0" w:rsidRDefault="008B5010" w14:paraId="0062765E" w14:textId="77777777">
      <w:pPr>
        <w:spacing w:after="0" w:line="276" w:lineRule="auto"/>
        <w:jc w:val="both"/>
        <w:rPr>
          <w:rFonts w:cs="Calibri"/>
        </w:rPr>
      </w:pPr>
      <w:r w:rsidRPr="006C6B35">
        <w:rPr>
          <w:rFonts w:cs="Calibri"/>
        </w:rPr>
        <w:t>De acuerdo con</w:t>
      </w:r>
      <w:r w:rsidRPr="006C6B35" w:rsidR="007250D3">
        <w:rPr>
          <w:rFonts w:cs="Calibri"/>
        </w:rPr>
        <w:t xml:space="preserve"> los resultados del estudio, la Entidad definió Indicadores financieros intermedios entre el cuartil uno (1) donde están concentrados el 25% de </w:t>
      </w:r>
      <w:r w:rsidRPr="006C6B35" w:rsidR="0090407B">
        <w:rPr>
          <w:rFonts w:cs="Calibri"/>
        </w:rPr>
        <w:t>los datos</w:t>
      </w:r>
      <w:r w:rsidRPr="006C6B35" w:rsidR="007250D3">
        <w:rPr>
          <w:rFonts w:cs="Calibri"/>
        </w:rPr>
        <w:t xml:space="preserve"> y el cuartil tres (3), donde están concentrados el 75% de los datos de la muestra; con lo cual se garantiza la pluralidad de oferentes para el presente proceso. </w:t>
      </w:r>
    </w:p>
    <w:p w:rsidRPr="006C6B35" w:rsidR="00356951" w:rsidP="00AC00A0" w:rsidRDefault="00356951" w14:paraId="5C63B4F6" w14:textId="77777777">
      <w:pPr>
        <w:spacing w:after="0" w:line="276" w:lineRule="auto"/>
        <w:jc w:val="both"/>
        <w:rPr>
          <w:rFonts w:cs="Calibri"/>
        </w:rPr>
      </w:pPr>
    </w:p>
    <w:p w:rsidRPr="006C6B35" w:rsidR="00E86ADB" w:rsidP="00AC00A0" w:rsidRDefault="00E86ADB" w14:paraId="78221FC6" w14:textId="77777777">
      <w:pPr>
        <w:spacing w:after="0" w:line="276" w:lineRule="auto"/>
        <w:jc w:val="both"/>
        <w:rPr>
          <w:rFonts w:cs="Calibri"/>
        </w:rPr>
      </w:pPr>
      <w:r w:rsidRPr="006C6B35">
        <w:rPr>
          <w:rFonts w:cs="Calibri"/>
        </w:rPr>
        <w:t>Así las cosas, la entidad encuentra que los indicadores solicitados para el presente proceso de selección se establecieron de manera adecuada y proporcional a la naturaleza y valor del contrato.</w:t>
      </w:r>
    </w:p>
    <w:p w:rsidRPr="006C6B35" w:rsidR="00E86ADB" w:rsidP="00AC00A0" w:rsidRDefault="00E86ADB" w14:paraId="5029F86C" w14:textId="77777777">
      <w:pPr>
        <w:spacing w:after="0" w:line="276" w:lineRule="auto"/>
        <w:jc w:val="both"/>
        <w:rPr>
          <w:rFonts w:cs="Calibri"/>
        </w:rPr>
      </w:pPr>
    </w:p>
    <w:p w:rsidRPr="006C6B35" w:rsidR="009C5EBC" w:rsidP="00AC00A0" w:rsidRDefault="009C5EBC" w14:paraId="752C2D0F" w14:textId="77777777">
      <w:pPr>
        <w:spacing w:after="0" w:line="276" w:lineRule="auto"/>
        <w:jc w:val="both"/>
        <w:rPr>
          <w:rFonts w:cs="Calibri"/>
        </w:rPr>
      </w:pPr>
      <w:r w:rsidRPr="006C6B35">
        <w:rPr>
          <w:rFonts w:cs="Calibri"/>
        </w:rPr>
        <w:t xml:space="preserve">El rango de empresas registradas evidencia indicadores favorables para adelantar el proceso de contratación: </w:t>
      </w:r>
    </w:p>
    <w:p w:rsidRPr="006C6B35" w:rsidR="009C5EBC" w:rsidP="00AC00A0" w:rsidRDefault="009C5EBC" w14:paraId="3AC992E2" w14:textId="77777777">
      <w:pPr>
        <w:pStyle w:val="Prrafodelista"/>
        <w:numPr>
          <w:ilvl w:val="0"/>
          <w:numId w:val="12"/>
        </w:numPr>
        <w:spacing w:after="0" w:line="276" w:lineRule="auto"/>
        <w:jc w:val="both"/>
        <w:rPr>
          <w:rFonts w:cs="Calibri"/>
        </w:rPr>
      </w:pPr>
      <w:r w:rsidRPr="006C6B35">
        <w:rPr>
          <w:rFonts w:cs="Calibri"/>
        </w:rPr>
        <w:t xml:space="preserve">En su capacidad financiera disponen de liquidez para cumplir con sus obligaciones a corto plazo, capacidad de endeudamiento y capacidad de cumplimiento de obligaciones financieras. </w:t>
      </w:r>
    </w:p>
    <w:p w:rsidRPr="006C6B35" w:rsidR="009C5EBC" w:rsidP="00AC00A0" w:rsidRDefault="007373EB" w14:paraId="6214BA72" w14:textId="77777777">
      <w:pPr>
        <w:pStyle w:val="Prrafodelista"/>
        <w:numPr>
          <w:ilvl w:val="0"/>
          <w:numId w:val="12"/>
        </w:numPr>
        <w:spacing w:after="0" w:line="276" w:lineRule="auto"/>
        <w:jc w:val="both"/>
        <w:rPr>
          <w:rFonts w:cs="Calibri"/>
        </w:rPr>
      </w:pPr>
      <w:r w:rsidRPr="006C6B35">
        <w:rPr>
          <w:rFonts w:cs="Calibri"/>
        </w:rPr>
        <w:t>En relación con</w:t>
      </w:r>
      <w:r w:rsidRPr="006C6B35" w:rsidR="009C5EBC">
        <w:rPr>
          <w:rFonts w:cs="Calibri"/>
        </w:rPr>
        <w:t xml:space="preserve"> su capacidad organizacional, se evidencia rentabilidad sobre el activo y sobre el patrimonio.</w:t>
      </w:r>
    </w:p>
    <w:p w:rsidR="0090407B" w:rsidP="00656C97" w:rsidRDefault="0090407B" w14:paraId="50419928" w14:textId="77777777">
      <w:pPr>
        <w:spacing w:after="0" w:line="276" w:lineRule="auto"/>
        <w:jc w:val="both"/>
        <w:rPr>
          <w:rFonts w:cs="Calibri"/>
        </w:rPr>
      </w:pPr>
    </w:p>
    <w:p w:rsidRPr="00656C97" w:rsidR="00656C97" w:rsidP="00656C97" w:rsidRDefault="00656C97" w14:paraId="393EAF02" w14:textId="77777777">
      <w:pPr>
        <w:spacing w:after="0" w:line="276" w:lineRule="auto"/>
        <w:jc w:val="both"/>
        <w:rPr>
          <w:rFonts w:cs="Calibri"/>
        </w:rPr>
      </w:pPr>
    </w:p>
    <w:sectPr w:rsidRPr="00656C97" w:rsidR="00656C97">
      <w:pgSz w:w="12240" w:h="15840" w:orient="portrait"/>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MC" w:author="Martha Isabel Clavijo Pinzón" w:date="2026-03-10T17:17:00Z" w:id="0">
    <w:p w:rsidR="001C2899" w:rsidP="001C2899" w:rsidRDefault="00FC57C3" w14:paraId="1898F537" w14:textId="77777777">
      <w:pPr>
        <w:pStyle w:val="Textocomentario"/>
      </w:pPr>
      <w:r>
        <w:rPr>
          <w:rStyle w:val="Refdecomentario"/>
        </w:rPr>
        <w:annotationRef/>
      </w:r>
      <w:r w:rsidR="001C2899">
        <w:t xml:space="preserve">K6621 - Actividades de agentes y corredores de seguros,  </w:t>
      </w:r>
    </w:p>
    <w:p w:rsidR="001C2899" w:rsidP="001C2899" w:rsidRDefault="001C2899" w14:paraId="14AE01B9" w14:textId="77777777">
      <w:pPr>
        <w:pStyle w:val="Textocomentario"/>
      </w:pPr>
      <w:r>
        <w:t xml:space="preserve">Solo se toma esta actividad que es la que corresponde a los códigos CIIU con el proceso de contratación que se encuentra en análisis.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4AE01B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8AF9F4A" w16cex:dateUtc="2026-03-10T2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4AE01B9" w16cid:durableId="28AF9F4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4375A" w:rsidP="00A617A6" w:rsidRDefault="0014375A" w14:paraId="36985FE8" w14:textId="77777777">
      <w:pPr>
        <w:spacing w:after="0" w:line="240" w:lineRule="auto"/>
      </w:pPr>
      <w:r>
        <w:separator/>
      </w:r>
    </w:p>
  </w:endnote>
  <w:endnote w:type="continuationSeparator" w:id="0">
    <w:p w:rsidR="0014375A" w:rsidP="00A617A6" w:rsidRDefault="0014375A" w14:paraId="46FC91F0" w14:textId="77777777">
      <w:pPr>
        <w:spacing w:after="0" w:line="240" w:lineRule="auto"/>
      </w:pPr>
      <w:r>
        <w:continuationSeparator/>
      </w:r>
    </w:p>
  </w:endnote>
  <w:endnote w:type="continuationNotice" w:id="1">
    <w:p w:rsidR="0014375A" w:rsidRDefault="0014375A" w14:paraId="1CA66A2B"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NeueLT Pro 55 Roman">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athJax_Math-bold-italic">
    <w:altName w:val="Cambria"/>
    <w:panose1 w:val="00000000000000000000"/>
    <w:charset w:val="00"/>
    <w:family w:val="roman"/>
    <w:notTrueType/>
    <w:pitch w:val="default"/>
  </w:font>
  <w:font w:name="MathJax_Main-bold">
    <w:altName w:val="Cambria"/>
    <w:panose1 w:val="00000000000000000000"/>
    <w:charset w:val="00"/>
    <w:family w:val="roman"/>
    <w:notTrueType/>
    <w:pitch w:val="default"/>
  </w:font>
  <w:font w:name="MathJax_Main">
    <w:altName w:val="Cambria"/>
    <w:panose1 w:val="00000000000000000000"/>
    <w:charset w:val="00"/>
    <w:family w:val="roman"/>
    <w:notTrueType/>
    <w:pitch w:val="default"/>
  </w:font>
  <w:font w:name="Aptos Narrow">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4375A" w:rsidP="00A617A6" w:rsidRDefault="0014375A" w14:paraId="3A6CCA88" w14:textId="77777777">
      <w:pPr>
        <w:spacing w:after="0" w:line="240" w:lineRule="auto"/>
      </w:pPr>
      <w:r>
        <w:separator/>
      </w:r>
    </w:p>
  </w:footnote>
  <w:footnote w:type="continuationSeparator" w:id="0">
    <w:p w:rsidR="0014375A" w:rsidP="00A617A6" w:rsidRDefault="0014375A" w14:paraId="49804231" w14:textId="77777777">
      <w:pPr>
        <w:spacing w:after="0" w:line="240" w:lineRule="auto"/>
      </w:pPr>
      <w:r>
        <w:continuationSeparator/>
      </w:r>
    </w:p>
  </w:footnote>
  <w:footnote w:type="continuationNotice" w:id="1">
    <w:p w:rsidR="0014375A" w:rsidRDefault="0014375A" w14:paraId="13F89238" w14:textId="77777777">
      <w:pPr>
        <w:spacing w:after="0" w:line="240" w:lineRule="auto"/>
      </w:pPr>
    </w:p>
  </w:footnote>
  <w:footnote w:id="2">
    <w:p w:rsidRPr="00CD4FC9" w:rsidR="00F83683" w:rsidP="00F27D39" w:rsidRDefault="00F83683" w14:paraId="2745C275" w14:textId="77777777">
      <w:pPr>
        <w:pStyle w:val="Textonotapie"/>
        <w:jc w:val="both"/>
        <w:rPr>
          <w:color w:val="000000"/>
          <w:sz w:val="18"/>
          <w:szCs w:val="18"/>
        </w:rPr>
      </w:pPr>
      <w:r w:rsidRPr="00CD4FC9">
        <w:rPr>
          <w:rStyle w:val="Refdenotaalpie"/>
          <w:rFonts w:eastAsia="Calibri"/>
          <w:color w:val="000000"/>
          <w:sz w:val="18"/>
          <w:szCs w:val="18"/>
        </w:rPr>
        <w:footnoteRef/>
      </w:r>
      <w:r w:rsidRPr="00CD4FC9">
        <w:rPr>
          <w:color w:val="000000"/>
          <w:sz w:val="18"/>
          <w:szCs w:val="18"/>
        </w:rPr>
        <w:t xml:space="preserve"> Decreto 1082 de 2015 </w:t>
      </w:r>
      <w:r w:rsidRPr="00CD4FC9">
        <w:rPr>
          <w:rStyle w:val="Fuerte"/>
          <w:color w:val="000000"/>
          <w:sz w:val="18"/>
          <w:szCs w:val="18"/>
          <w:shd w:val="clear" w:color="auto" w:fill="FFFFFF"/>
        </w:rPr>
        <w:t>Artículo 2.2.1.1.1.6.4. </w:t>
      </w:r>
    </w:p>
  </w:footnote>
  <w:footnote w:id="3">
    <w:p w:rsidRPr="00CD4FC9" w:rsidR="00F83683" w:rsidP="00F27D39" w:rsidRDefault="00F83683" w14:paraId="3A41C0B2" w14:textId="77777777">
      <w:pPr>
        <w:pStyle w:val="Textonotapie"/>
        <w:jc w:val="both"/>
        <w:rPr>
          <w:color w:val="000000"/>
          <w:sz w:val="18"/>
          <w:szCs w:val="18"/>
        </w:rPr>
      </w:pPr>
      <w:r w:rsidRPr="00CD4FC9">
        <w:rPr>
          <w:rStyle w:val="Refdenotaalpie"/>
          <w:rFonts w:eastAsia="Calibri"/>
          <w:color w:val="000000"/>
          <w:sz w:val="18"/>
          <w:szCs w:val="18"/>
        </w:rPr>
        <w:footnoteRef/>
      </w:r>
      <w:r w:rsidRPr="00CD4FC9">
        <w:rPr>
          <w:color w:val="000000"/>
          <w:sz w:val="18"/>
          <w:szCs w:val="18"/>
        </w:rPr>
        <w:t xml:space="preserve"> </w:t>
      </w:r>
      <w:hyperlink w:history="1" r:id="rId1">
        <w:r w:rsidRPr="00CD4FC9">
          <w:rPr>
            <w:rStyle w:val="Hipervnculo"/>
            <w:rFonts w:eastAsia="Arial"/>
            <w:color w:val="000000"/>
            <w:sz w:val="18"/>
            <w:szCs w:val="18"/>
          </w:rPr>
          <w:t>https://www.colombiacompra.gov.co/sites/cce_public/files/cce_documents/cce_guia_proveedores_extranjeros.pdf</w:t>
        </w:r>
      </w:hyperlink>
    </w:p>
  </w:footnote>
  <w:footnote w:id="4">
    <w:p w:rsidRPr="00913665" w:rsidR="00F83683" w:rsidP="00F27D39" w:rsidRDefault="00F83683" w14:paraId="078A3D5E" w14:textId="77777777">
      <w:pPr>
        <w:pStyle w:val="Textonotapie"/>
        <w:jc w:val="both"/>
      </w:pPr>
      <w:r w:rsidRPr="00CD4FC9">
        <w:rPr>
          <w:rStyle w:val="Refdenotaalpie"/>
          <w:rFonts w:eastAsia="Calibri"/>
          <w:color w:val="000000"/>
          <w:sz w:val="18"/>
          <w:szCs w:val="18"/>
        </w:rPr>
        <w:footnoteRef/>
      </w:r>
      <w:r w:rsidRPr="00CD4FC9">
        <w:rPr>
          <w:color w:val="000000"/>
          <w:sz w:val="18"/>
          <w:szCs w:val="18"/>
        </w:rPr>
        <w:t xml:space="preserve"> </w:t>
      </w:r>
      <w:hyperlink w:history="1" r:id="rId2">
        <w:r w:rsidRPr="00CD4FC9">
          <w:rPr>
            <w:rStyle w:val="Hipervnculo"/>
            <w:rFonts w:eastAsia="Arial"/>
            <w:color w:val="000000"/>
            <w:sz w:val="18"/>
            <w:szCs w:val="18"/>
          </w:rPr>
          <w:t>https://sintesis.colombiacompra.gov.co/content/informaci%C3%B3n-financiera-por-parte-de-personas-naturales-o-jur%C3%ADdicas-extranjeras</w:t>
        </w:r>
      </w:hyperlink>
    </w:p>
  </w:footnote>
  <w:footnote w:id="5">
    <w:p w:rsidR="00F83683" w:rsidP="009C5EBC" w:rsidRDefault="00F83683" w14:paraId="5D60E450" w14:textId="72B09522">
      <w:pPr>
        <w:pStyle w:val="Textonotapie"/>
        <w:jc w:val="left"/>
        <w:rPr>
          <w:sz w:val="18"/>
          <w:szCs w:val="18"/>
          <w:lang w:val="es-CO"/>
        </w:rPr>
      </w:pPr>
      <w:r>
        <w:rPr>
          <w:rStyle w:val="Refdenotaalpie"/>
        </w:rPr>
        <w:footnoteRef/>
      </w:r>
      <w:r>
        <w:t xml:space="preserve"> </w:t>
      </w:r>
      <w:r>
        <w:rPr>
          <w:sz w:val="18"/>
          <w:szCs w:val="18"/>
        </w:rPr>
        <w:t>PORTAL DE INFORMACI</w:t>
      </w:r>
      <w:r>
        <w:rPr>
          <w:sz w:val="18"/>
          <w:szCs w:val="18"/>
          <w:lang w:val="es-CO"/>
        </w:rPr>
        <w:t>ÓN EMPRESARIAL - PIE</w:t>
      </w:r>
      <w:r>
        <w:rPr>
          <w:sz w:val="18"/>
          <w:szCs w:val="18"/>
        </w:rPr>
        <w:t xml:space="preserve">, Informe Financiero a 31 de Diciembre de </w:t>
      </w:r>
      <w:r w:rsidRPr="00D2027B" w:rsidR="004C4C95">
        <w:rPr>
          <w:sz w:val="18"/>
          <w:szCs w:val="18"/>
          <w:lang w:val="es-CO"/>
        </w:rPr>
        <w:t>202</w:t>
      </w:r>
      <w:r w:rsidRPr="00D2027B" w:rsidR="00216B6A">
        <w:rPr>
          <w:sz w:val="18"/>
          <w:szCs w:val="18"/>
          <w:lang w:val="es-CO"/>
        </w:rPr>
        <w:t>4</w:t>
      </w:r>
    </w:p>
    <w:p w:rsidRPr="00D34EE0" w:rsidR="00BC7BD2" w:rsidP="009C5EBC" w:rsidRDefault="00BC7BD2" w14:paraId="6923AE7F" w14:textId="77777777">
      <w:pPr>
        <w:pStyle w:val="Textonotapie"/>
        <w:jc w:val="left"/>
        <w:rPr>
          <w:lang w:val="es-CO"/>
        </w:rPr>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E16AE"/>
    <w:multiLevelType w:val="hybridMultilevel"/>
    <w:tmpl w:val="727C8AA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 w15:restartNumberingAfterBreak="0">
    <w:nsid w:val="0E9E08A5"/>
    <w:multiLevelType w:val="hybridMultilevel"/>
    <w:tmpl w:val="C6E6216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 w15:restartNumberingAfterBreak="0">
    <w:nsid w:val="211A08A4"/>
    <w:multiLevelType w:val="hybridMultilevel"/>
    <w:tmpl w:val="4E14E08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 w15:restartNumberingAfterBreak="0">
    <w:nsid w:val="23C90793"/>
    <w:multiLevelType w:val="multilevel"/>
    <w:tmpl w:val="6888AA18"/>
    <w:lvl w:ilvl="0">
      <w:start w:val="9"/>
      <w:numFmt w:val="decimal"/>
      <w:lvlText w:val="%1"/>
      <w:lvlJc w:val="left"/>
      <w:pPr>
        <w:ind w:left="480" w:hanging="480"/>
      </w:pPr>
      <w:rPr>
        <w:rFonts w:hint="default"/>
      </w:rPr>
    </w:lvl>
    <w:lvl w:ilvl="1">
      <w:start w:val="3"/>
      <w:numFmt w:val="decimal"/>
      <w:lvlText w:val="%1.%2"/>
      <w:lvlJc w:val="left"/>
      <w:pPr>
        <w:ind w:left="1969" w:hanging="480"/>
      </w:pPr>
      <w:rPr>
        <w:rFonts w:hint="default"/>
      </w:rPr>
    </w:lvl>
    <w:lvl w:ilvl="2">
      <w:start w:val="1"/>
      <w:numFmt w:val="decimal"/>
      <w:lvlText w:val="%1.%2.%3"/>
      <w:lvlJc w:val="left"/>
      <w:pPr>
        <w:ind w:left="3698" w:hanging="720"/>
      </w:pPr>
      <w:rPr>
        <w:rFonts w:hint="default"/>
      </w:rPr>
    </w:lvl>
    <w:lvl w:ilvl="3">
      <w:start w:val="1"/>
      <w:numFmt w:val="decimal"/>
      <w:lvlText w:val="%1.%2.%3.%4"/>
      <w:lvlJc w:val="left"/>
      <w:pPr>
        <w:ind w:left="5187" w:hanging="720"/>
      </w:pPr>
      <w:rPr>
        <w:rFonts w:hint="default"/>
      </w:rPr>
    </w:lvl>
    <w:lvl w:ilvl="4">
      <w:start w:val="1"/>
      <w:numFmt w:val="decimal"/>
      <w:lvlText w:val="%1.%2.%3.%4.%5"/>
      <w:lvlJc w:val="left"/>
      <w:pPr>
        <w:ind w:left="7036" w:hanging="1080"/>
      </w:pPr>
      <w:rPr>
        <w:rFonts w:hint="default"/>
      </w:rPr>
    </w:lvl>
    <w:lvl w:ilvl="5">
      <w:start w:val="1"/>
      <w:numFmt w:val="decimal"/>
      <w:lvlText w:val="%1.%2.%3.%4.%5.%6"/>
      <w:lvlJc w:val="left"/>
      <w:pPr>
        <w:ind w:left="8525" w:hanging="1080"/>
      </w:pPr>
      <w:rPr>
        <w:rFonts w:hint="default"/>
      </w:rPr>
    </w:lvl>
    <w:lvl w:ilvl="6">
      <w:start w:val="1"/>
      <w:numFmt w:val="decimal"/>
      <w:lvlText w:val="%1.%2.%3.%4.%5.%6.%7"/>
      <w:lvlJc w:val="left"/>
      <w:pPr>
        <w:ind w:left="10374" w:hanging="1440"/>
      </w:pPr>
      <w:rPr>
        <w:rFonts w:hint="default"/>
      </w:rPr>
    </w:lvl>
    <w:lvl w:ilvl="7">
      <w:start w:val="1"/>
      <w:numFmt w:val="decimal"/>
      <w:lvlText w:val="%1.%2.%3.%4.%5.%6.%7.%8"/>
      <w:lvlJc w:val="left"/>
      <w:pPr>
        <w:ind w:left="11863" w:hanging="1440"/>
      </w:pPr>
      <w:rPr>
        <w:rFonts w:hint="default"/>
      </w:rPr>
    </w:lvl>
    <w:lvl w:ilvl="8">
      <w:start w:val="1"/>
      <w:numFmt w:val="decimal"/>
      <w:lvlText w:val="%1.%2.%3.%4.%5.%6.%7.%8.%9"/>
      <w:lvlJc w:val="left"/>
      <w:pPr>
        <w:ind w:left="13712" w:hanging="1800"/>
      </w:pPr>
      <w:rPr>
        <w:rFonts w:hint="default"/>
      </w:rPr>
    </w:lvl>
  </w:abstractNum>
  <w:abstractNum w:abstractNumId="4" w15:restartNumberingAfterBreak="0">
    <w:nsid w:val="2F8A03D0"/>
    <w:multiLevelType w:val="hybridMultilevel"/>
    <w:tmpl w:val="E7AEC552"/>
    <w:lvl w:ilvl="0" w:tplc="240A0001">
      <w:start w:val="1"/>
      <w:numFmt w:val="bullet"/>
      <w:lvlText w:val=""/>
      <w:lvlJc w:val="left"/>
      <w:pPr>
        <w:ind w:left="360" w:hanging="360"/>
      </w:pPr>
      <w:rPr>
        <w:rFonts w:hint="default" w:ascii="Symbol" w:hAnsi="Symbol"/>
      </w:rPr>
    </w:lvl>
    <w:lvl w:ilvl="1" w:tplc="240A0003">
      <w:start w:val="1"/>
      <w:numFmt w:val="bullet"/>
      <w:lvlText w:val="o"/>
      <w:lvlJc w:val="left"/>
      <w:pPr>
        <w:ind w:left="1080" w:hanging="360"/>
      </w:pPr>
      <w:rPr>
        <w:rFonts w:hint="default" w:ascii="Courier New" w:hAnsi="Courier New" w:cs="Courier New"/>
      </w:rPr>
    </w:lvl>
    <w:lvl w:ilvl="2" w:tplc="240A0005">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5" w15:restartNumberingAfterBreak="0">
    <w:nsid w:val="365400EE"/>
    <w:multiLevelType w:val="multilevel"/>
    <w:tmpl w:val="6EB0B294"/>
    <w:lvl w:ilvl="0">
      <w:start w:val="1"/>
      <w:numFmt w:val="decimal"/>
      <w:lvlText w:val="%1."/>
      <w:lvlJc w:val="left"/>
      <w:pPr>
        <w:ind w:left="644" w:hanging="360"/>
      </w:pPr>
      <w:rPr>
        <w:rFonts w:hint="default"/>
        <w:b/>
        <w:sz w:val="22"/>
        <w:szCs w:val="22"/>
      </w:rPr>
    </w:lvl>
    <w:lvl w:ilvl="1">
      <w:start w:val="1"/>
      <w:numFmt w:val="decimal"/>
      <w:isLgl/>
      <w:lvlText w:val="%1.%2."/>
      <w:lvlJc w:val="left"/>
      <w:pPr>
        <w:ind w:left="3338" w:hanging="360"/>
      </w:pPr>
      <w:rPr>
        <w:rFonts w:hint="default"/>
        <w:b/>
      </w:rPr>
    </w:lvl>
    <w:lvl w:ilvl="2">
      <w:start w:val="1"/>
      <w:numFmt w:val="decimal"/>
      <w:isLgl/>
      <w:lvlText w:val="%1.%2.%3."/>
      <w:lvlJc w:val="left"/>
      <w:pPr>
        <w:ind w:left="3272" w:hanging="720"/>
      </w:pPr>
      <w:rPr>
        <w:rFonts w:hint="default"/>
        <w:b/>
      </w:rPr>
    </w:lvl>
    <w:lvl w:ilvl="3">
      <w:start w:val="1"/>
      <w:numFmt w:val="decimal"/>
      <w:isLgl/>
      <w:lvlText w:val="%1.%2.%3.%4."/>
      <w:lvlJc w:val="left"/>
      <w:pPr>
        <w:ind w:left="1789" w:hanging="720"/>
      </w:pPr>
      <w:rPr>
        <w:rFonts w:hint="default"/>
        <w:b/>
      </w:rPr>
    </w:lvl>
    <w:lvl w:ilvl="4">
      <w:start w:val="1"/>
      <w:numFmt w:val="decimal"/>
      <w:isLgl/>
      <w:lvlText w:val="%1.%2.%3.%4.%5."/>
      <w:lvlJc w:val="left"/>
      <w:pPr>
        <w:ind w:left="2509" w:hanging="1080"/>
      </w:pPr>
      <w:rPr>
        <w:rFonts w:hint="default"/>
      </w:rPr>
    </w:lvl>
    <w:lvl w:ilvl="5">
      <w:start w:val="1"/>
      <w:numFmt w:val="decimal"/>
      <w:isLgl/>
      <w:lvlText w:val="%1.%2.%3.%4.%5.%6."/>
      <w:lvlJc w:val="left"/>
      <w:pPr>
        <w:ind w:left="2869" w:hanging="1080"/>
      </w:pPr>
      <w:rPr>
        <w:rFonts w:hint="default"/>
      </w:rPr>
    </w:lvl>
    <w:lvl w:ilvl="6">
      <w:start w:val="1"/>
      <w:numFmt w:val="decimal"/>
      <w:isLgl/>
      <w:lvlText w:val="%1.%2.%3.%4.%5.%6.%7."/>
      <w:lvlJc w:val="left"/>
      <w:pPr>
        <w:ind w:left="3229" w:hanging="1080"/>
      </w:pPr>
      <w:rPr>
        <w:rFonts w:hint="default"/>
      </w:rPr>
    </w:lvl>
    <w:lvl w:ilvl="7">
      <w:start w:val="1"/>
      <w:numFmt w:val="decimal"/>
      <w:isLgl/>
      <w:lvlText w:val="%1.%2.%3.%4.%5.%6.%7.%8."/>
      <w:lvlJc w:val="left"/>
      <w:pPr>
        <w:ind w:left="3949" w:hanging="1440"/>
      </w:pPr>
      <w:rPr>
        <w:rFonts w:hint="default"/>
      </w:rPr>
    </w:lvl>
    <w:lvl w:ilvl="8">
      <w:start w:val="1"/>
      <w:numFmt w:val="decimal"/>
      <w:isLgl/>
      <w:lvlText w:val="%1.%2.%3.%4.%5.%6.%7.%8.%9."/>
      <w:lvlJc w:val="left"/>
      <w:pPr>
        <w:ind w:left="4309" w:hanging="1440"/>
      </w:pPr>
      <w:rPr>
        <w:rFonts w:hint="default"/>
      </w:rPr>
    </w:lvl>
  </w:abstractNum>
  <w:abstractNum w:abstractNumId="6" w15:restartNumberingAfterBreak="0">
    <w:nsid w:val="3AAD3E2B"/>
    <w:multiLevelType w:val="hybridMultilevel"/>
    <w:tmpl w:val="590EBF5E"/>
    <w:lvl w:ilvl="0" w:tplc="FD6A763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BF320C6"/>
    <w:multiLevelType w:val="hybridMultilevel"/>
    <w:tmpl w:val="F43C5E5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414B2B98"/>
    <w:multiLevelType w:val="hybridMultilevel"/>
    <w:tmpl w:val="3104D4BC"/>
    <w:lvl w:ilvl="0" w:tplc="0C0A0001">
      <w:start w:val="1"/>
      <w:numFmt w:val="bullet"/>
      <w:lvlText w:val=""/>
      <w:lvlJc w:val="left"/>
      <w:pPr>
        <w:ind w:left="720" w:hanging="360"/>
      </w:pPr>
      <w:rPr>
        <w:rFonts w:hint="default" w:ascii="Symbol" w:hAnsi="Symbol"/>
      </w:rPr>
    </w:lvl>
    <w:lvl w:ilvl="1" w:tplc="0C0A0003">
      <w:start w:val="1"/>
      <w:numFmt w:val="bullet"/>
      <w:lvlText w:val="o"/>
      <w:lvlJc w:val="left"/>
      <w:pPr>
        <w:ind w:left="1440" w:hanging="360"/>
      </w:pPr>
      <w:rPr>
        <w:rFonts w:hint="default" w:ascii="Courier New" w:hAnsi="Courier New" w:cs="Courier New"/>
      </w:rPr>
    </w:lvl>
    <w:lvl w:ilvl="2" w:tplc="0C0A0005">
      <w:start w:val="1"/>
      <w:numFmt w:val="bullet"/>
      <w:lvlText w:val=""/>
      <w:lvlJc w:val="left"/>
      <w:pPr>
        <w:ind w:left="2160" w:hanging="360"/>
      </w:pPr>
      <w:rPr>
        <w:rFonts w:hint="default" w:ascii="Wingdings" w:hAnsi="Wingdings"/>
      </w:rPr>
    </w:lvl>
    <w:lvl w:ilvl="3" w:tplc="0C0A0001">
      <w:start w:val="1"/>
      <w:numFmt w:val="bullet"/>
      <w:lvlText w:val=""/>
      <w:lvlJc w:val="left"/>
      <w:pPr>
        <w:ind w:left="2880" w:hanging="360"/>
      </w:pPr>
      <w:rPr>
        <w:rFonts w:hint="default" w:ascii="Symbol" w:hAnsi="Symbol"/>
      </w:rPr>
    </w:lvl>
    <w:lvl w:ilvl="4" w:tplc="0C0A0003">
      <w:start w:val="1"/>
      <w:numFmt w:val="bullet"/>
      <w:lvlText w:val="o"/>
      <w:lvlJc w:val="left"/>
      <w:pPr>
        <w:ind w:left="3600" w:hanging="360"/>
      </w:pPr>
      <w:rPr>
        <w:rFonts w:hint="default" w:ascii="Courier New" w:hAnsi="Courier New" w:cs="Courier New"/>
      </w:rPr>
    </w:lvl>
    <w:lvl w:ilvl="5" w:tplc="0C0A0005">
      <w:start w:val="1"/>
      <w:numFmt w:val="bullet"/>
      <w:lvlText w:val=""/>
      <w:lvlJc w:val="left"/>
      <w:pPr>
        <w:ind w:left="4320" w:hanging="360"/>
      </w:pPr>
      <w:rPr>
        <w:rFonts w:hint="default" w:ascii="Wingdings" w:hAnsi="Wingdings"/>
      </w:rPr>
    </w:lvl>
    <w:lvl w:ilvl="6" w:tplc="0C0A0001">
      <w:start w:val="1"/>
      <w:numFmt w:val="bullet"/>
      <w:lvlText w:val=""/>
      <w:lvlJc w:val="left"/>
      <w:pPr>
        <w:ind w:left="5040" w:hanging="360"/>
      </w:pPr>
      <w:rPr>
        <w:rFonts w:hint="default" w:ascii="Symbol" w:hAnsi="Symbol"/>
      </w:rPr>
    </w:lvl>
    <w:lvl w:ilvl="7" w:tplc="0C0A0003">
      <w:start w:val="1"/>
      <w:numFmt w:val="bullet"/>
      <w:lvlText w:val="o"/>
      <w:lvlJc w:val="left"/>
      <w:pPr>
        <w:ind w:left="5760" w:hanging="360"/>
      </w:pPr>
      <w:rPr>
        <w:rFonts w:hint="default" w:ascii="Courier New" w:hAnsi="Courier New" w:cs="Courier New"/>
      </w:rPr>
    </w:lvl>
    <w:lvl w:ilvl="8" w:tplc="0C0A0005">
      <w:start w:val="1"/>
      <w:numFmt w:val="bullet"/>
      <w:lvlText w:val=""/>
      <w:lvlJc w:val="left"/>
      <w:pPr>
        <w:ind w:left="6480" w:hanging="360"/>
      </w:pPr>
      <w:rPr>
        <w:rFonts w:hint="default" w:ascii="Wingdings" w:hAnsi="Wingdings"/>
      </w:rPr>
    </w:lvl>
  </w:abstractNum>
  <w:abstractNum w:abstractNumId="9" w15:restartNumberingAfterBreak="0">
    <w:nsid w:val="4193675B"/>
    <w:multiLevelType w:val="hybridMultilevel"/>
    <w:tmpl w:val="365A676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0" w15:restartNumberingAfterBreak="0">
    <w:nsid w:val="48790854"/>
    <w:multiLevelType w:val="multilevel"/>
    <w:tmpl w:val="6C0A357A"/>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9A66C52"/>
    <w:multiLevelType w:val="hybridMultilevel"/>
    <w:tmpl w:val="1744DBA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2" w15:restartNumberingAfterBreak="0">
    <w:nsid w:val="5E606290"/>
    <w:multiLevelType w:val="hybridMultilevel"/>
    <w:tmpl w:val="0D5CFD1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3" w15:restartNumberingAfterBreak="0">
    <w:nsid w:val="5FEEA8E2"/>
    <w:multiLevelType w:val="hybridMultilevel"/>
    <w:tmpl w:val="2D9C02D6"/>
    <w:lvl w:ilvl="0" w:tplc="2DE6157A">
      <w:start w:val="1"/>
      <w:numFmt w:val="bullet"/>
      <w:lvlText w:val=""/>
      <w:lvlJc w:val="left"/>
      <w:pPr>
        <w:ind w:left="720" w:hanging="360"/>
      </w:pPr>
      <w:rPr>
        <w:rFonts w:hint="default" w:ascii="Symbol" w:hAnsi="Symbol"/>
      </w:rPr>
    </w:lvl>
    <w:lvl w:ilvl="1" w:tplc="6D6E6CCE">
      <w:start w:val="1"/>
      <w:numFmt w:val="bullet"/>
      <w:lvlText w:val="o"/>
      <w:lvlJc w:val="left"/>
      <w:pPr>
        <w:ind w:left="1440" w:hanging="360"/>
      </w:pPr>
      <w:rPr>
        <w:rFonts w:hint="default" w:ascii="Courier New" w:hAnsi="Courier New"/>
      </w:rPr>
    </w:lvl>
    <w:lvl w:ilvl="2" w:tplc="759C535C">
      <w:start w:val="1"/>
      <w:numFmt w:val="bullet"/>
      <w:lvlText w:val=""/>
      <w:lvlJc w:val="left"/>
      <w:pPr>
        <w:ind w:left="2160" w:hanging="360"/>
      </w:pPr>
      <w:rPr>
        <w:rFonts w:hint="default" w:ascii="Wingdings" w:hAnsi="Wingdings"/>
      </w:rPr>
    </w:lvl>
    <w:lvl w:ilvl="3" w:tplc="65D86DA0">
      <w:start w:val="1"/>
      <w:numFmt w:val="bullet"/>
      <w:lvlText w:val=""/>
      <w:lvlJc w:val="left"/>
      <w:pPr>
        <w:ind w:left="2880" w:hanging="360"/>
      </w:pPr>
      <w:rPr>
        <w:rFonts w:hint="default" w:ascii="Symbol" w:hAnsi="Symbol"/>
      </w:rPr>
    </w:lvl>
    <w:lvl w:ilvl="4" w:tplc="FAAE93EE">
      <w:start w:val="1"/>
      <w:numFmt w:val="bullet"/>
      <w:lvlText w:val="o"/>
      <w:lvlJc w:val="left"/>
      <w:pPr>
        <w:ind w:left="3600" w:hanging="360"/>
      </w:pPr>
      <w:rPr>
        <w:rFonts w:hint="default" w:ascii="Courier New" w:hAnsi="Courier New"/>
      </w:rPr>
    </w:lvl>
    <w:lvl w:ilvl="5" w:tplc="A5786496">
      <w:start w:val="1"/>
      <w:numFmt w:val="bullet"/>
      <w:lvlText w:val=""/>
      <w:lvlJc w:val="left"/>
      <w:pPr>
        <w:ind w:left="4320" w:hanging="360"/>
      </w:pPr>
      <w:rPr>
        <w:rFonts w:hint="default" w:ascii="Wingdings" w:hAnsi="Wingdings"/>
      </w:rPr>
    </w:lvl>
    <w:lvl w:ilvl="6" w:tplc="5E1CC268">
      <w:start w:val="1"/>
      <w:numFmt w:val="bullet"/>
      <w:lvlText w:val=""/>
      <w:lvlJc w:val="left"/>
      <w:pPr>
        <w:ind w:left="5040" w:hanging="360"/>
      </w:pPr>
      <w:rPr>
        <w:rFonts w:hint="default" w:ascii="Symbol" w:hAnsi="Symbol"/>
      </w:rPr>
    </w:lvl>
    <w:lvl w:ilvl="7" w:tplc="A4AE19CE">
      <w:start w:val="1"/>
      <w:numFmt w:val="bullet"/>
      <w:lvlText w:val="o"/>
      <w:lvlJc w:val="left"/>
      <w:pPr>
        <w:ind w:left="5760" w:hanging="360"/>
      </w:pPr>
      <w:rPr>
        <w:rFonts w:hint="default" w:ascii="Courier New" w:hAnsi="Courier New"/>
      </w:rPr>
    </w:lvl>
    <w:lvl w:ilvl="8" w:tplc="788E691E">
      <w:start w:val="1"/>
      <w:numFmt w:val="bullet"/>
      <w:lvlText w:val=""/>
      <w:lvlJc w:val="left"/>
      <w:pPr>
        <w:ind w:left="6480" w:hanging="360"/>
      </w:pPr>
      <w:rPr>
        <w:rFonts w:hint="default" w:ascii="Wingdings" w:hAnsi="Wingdings"/>
      </w:rPr>
    </w:lvl>
  </w:abstractNum>
  <w:abstractNum w:abstractNumId="14" w15:restartNumberingAfterBreak="0">
    <w:nsid w:val="724288A4"/>
    <w:multiLevelType w:val="hybridMultilevel"/>
    <w:tmpl w:val="7ACE995C"/>
    <w:lvl w:ilvl="0" w:tplc="CA0814AE">
      <w:start w:val="1"/>
      <w:numFmt w:val="bullet"/>
      <w:lvlText w:val=""/>
      <w:lvlJc w:val="left"/>
      <w:pPr>
        <w:ind w:left="720" w:hanging="360"/>
      </w:pPr>
      <w:rPr>
        <w:rFonts w:hint="default" w:ascii="Symbol" w:hAnsi="Symbol"/>
      </w:rPr>
    </w:lvl>
    <w:lvl w:ilvl="1" w:tplc="CF903F84">
      <w:start w:val="1"/>
      <w:numFmt w:val="bullet"/>
      <w:lvlText w:val="o"/>
      <w:lvlJc w:val="left"/>
      <w:pPr>
        <w:ind w:left="1440" w:hanging="360"/>
      </w:pPr>
      <w:rPr>
        <w:rFonts w:hint="default" w:ascii="Courier New" w:hAnsi="Courier New"/>
      </w:rPr>
    </w:lvl>
    <w:lvl w:ilvl="2" w:tplc="15A6D6BA">
      <w:start w:val="1"/>
      <w:numFmt w:val="bullet"/>
      <w:lvlText w:val=""/>
      <w:lvlJc w:val="left"/>
      <w:pPr>
        <w:ind w:left="2160" w:hanging="360"/>
      </w:pPr>
      <w:rPr>
        <w:rFonts w:hint="default" w:ascii="Wingdings" w:hAnsi="Wingdings"/>
      </w:rPr>
    </w:lvl>
    <w:lvl w:ilvl="3" w:tplc="342A7C86">
      <w:start w:val="1"/>
      <w:numFmt w:val="bullet"/>
      <w:lvlText w:val=""/>
      <w:lvlJc w:val="left"/>
      <w:pPr>
        <w:ind w:left="2880" w:hanging="360"/>
      </w:pPr>
      <w:rPr>
        <w:rFonts w:hint="default" w:ascii="Symbol" w:hAnsi="Symbol"/>
      </w:rPr>
    </w:lvl>
    <w:lvl w:ilvl="4" w:tplc="95FC49D2">
      <w:start w:val="1"/>
      <w:numFmt w:val="bullet"/>
      <w:lvlText w:val="o"/>
      <w:lvlJc w:val="left"/>
      <w:pPr>
        <w:ind w:left="3600" w:hanging="360"/>
      </w:pPr>
      <w:rPr>
        <w:rFonts w:hint="default" w:ascii="Courier New" w:hAnsi="Courier New"/>
      </w:rPr>
    </w:lvl>
    <w:lvl w:ilvl="5" w:tplc="767ABFAE">
      <w:start w:val="1"/>
      <w:numFmt w:val="bullet"/>
      <w:lvlText w:val=""/>
      <w:lvlJc w:val="left"/>
      <w:pPr>
        <w:ind w:left="4320" w:hanging="360"/>
      </w:pPr>
      <w:rPr>
        <w:rFonts w:hint="default" w:ascii="Wingdings" w:hAnsi="Wingdings"/>
      </w:rPr>
    </w:lvl>
    <w:lvl w:ilvl="6" w:tplc="299A573C">
      <w:start w:val="1"/>
      <w:numFmt w:val="bullet"/>
      <w:lvlText w:val=""/>
      <w:lvlJc w:val="left"/>
      <w:pPr>
        <w:ind w:left="5040" w:hanging="360"/>
      </w:pPr>
      <w:rPr>
        <w:rFonts w:hint="default" w:ascii="Symbol" w:hAnsi="Symbol"/>
      </w:rPr>
    </w:lvl>
    <w:lvl w:ilvl="7" w:tplc="1F36B9DA">
      <w:start w:val="1"/>
      <w:numFmt w:val="bullet"/>
      <w:lvlText w:val="o"/>
      <w:lvlJc w:val="left"/>
      <w:pPr>
        <w:ind w:left="5760" w:hanging="360"/>
      </w:pPr>
      <w:rPr>
        <w:rFonts w:hint="default" w:ascii="Courier New" w:hAnsi="Courier New"/>
      </w:rPr>
    </w:lvl>
    <w:lvl w:ilvl="8" w:tplc="7C60EDF0">
      <w:start w:val="1"/>
      <w:numFmt w:val="bullet"/>
      <w:lvlText w:val=""/>
      <w:lvlJc w:val="left"/>
      <w:pPr>
        <w:ind w:left="6480" w:hanging="360"/>
      </w:pPr>
      <w:rPr>
        <w:rFonts w:hint="default" w:ascii="Wingdings" w:hAnsi="Wingdings"/>
      </w:rPr>
    </w:lvl>
  </w:abstractNum>
  <w:abstractNum w:abstractNumId="15" w15:restartNumberingAfterBreak="0">
    <w:nsid w:val="75587D46"/>
    <w:multiLevelType w:val="multilevel"/>
    <w:tmpl w:val="5FC46138"/>
    <w:lvl w:ilvl="0">
      <w:start w:val="1"/>
      <w:numFmt w:val="decimal"/>
      <w:lvlText w:val="%1."/>
      <w:lvlJc w:val="left"/>
      <w:pPr>
        <w:ind w:left="28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97CC819"/>
    <w:multiLevelType w:val="hybridMultilevel"/>
    <w:tmpl w:val="55B2DDB0"/>
    <w:lvl w:ilvl="0" w:tplc="437A0F08">
      <w:start w:val="1"/>
      <w:numFmt w:val="bullet"/>
      <w:lvlText w:val=""/>
      <w:lvlJc w:val="left"/>
      <w:pPr>
        <w:ind w:left="720" w:hanging="360"/>
      </w:pPr>
      <w:rPr>
        <w:rFonts w:hint="default" w:ascii="Symbol" w:hAnsi="Symbol"/>
      </w:rPr>
    </w:lvl>
    <w:lvl w:ilvl="1" w:tplc="191483DE">
      <w:start w:val="1"/>
      <w:numFmt w:val="bullet"/>
      <w:lvlText w:val="o"/>
      <w:lvlJc w:val="left"/>
      <w:pPr>
        <w:ind w:left="1440" w:hanging="360"/>
      </w:pPr>
      <w:rPr>
        <w:rFonts w:hint="default" w:ascii="Courier New" w:hAnsi="Courier New"/>
      </w:rPr>
    </w:lvl>
    <w:lvl w:ilvl="2" w:tplc="521C5F7E">
      <w:start w:val="1"/>
      <w:numFmt w:val="bullet"/>
      <w:lvlText w:val=""/>
      <w:lvlJc w:val="left"/>
      <w:pPr>
        <w:ind w:left="2160" w:hanging="360"/>
      </w:pPr>
      <w:rPr>
        <w:rFonts w:hint="default" w:ascii="Wingdings" w:hAnsi="Wingdings"/>
      </w:rPr>
    </w:lvl>
    <w:lvl w:ilvl="3" w:tplc="F88CDE24">
      <w:start w:val="1"/>
      <w:numFmt w:val="bullet"/>
      <w:lvlText w:val=""/>
      <w:lvlJc w:val="left"/>
      <w:pPr>
        <w:ind w:left="2880" w:hanging="360"/>
      </w:pPr>
      <w:rPr>
        <w:rFonts w:hint="default" w:ascii="Symbol" w:hAnsi="Symbol"/>
      </w:rPr>
    </w:lvl>
    <w:lvl w:ilvl="4" w:tplc="C372733A">
      <w:start w:val="1"/>
      <w:numFmt w:val="bullet"/>
      <w:lvlText w:val="o"/>
      <w:lvlJc w:val="left"/>
      <w:pPr>
        <w:ind w:left="3600" w:hanging="360"/>
      </w:pPr>
      <w:rPr>
        <w:rFonts w:hint="default" w:ascii="Courier New" w:hAnsi="Courier New"/>
      </w:rPr>
    </w:lvl>
    <w:lvl w:ilvl="5" w:tplc="1206C1D2">
      <w:start w:val="1"/>
      <w:numFmt w:val="bullet"/>
      <w:lvlText w:val=""/>
      <w:lvlJc w:val="left"/>
      <w:pPr>
        <w:ind w:left="4320" w:hanging="360"/>
      </w:pPr>
      <w:rPr>
        <w:rFonts w:hint="default" w:ascii="Wingdings" w:hAnsi="Wingdings"/>
      </w:rPr>
    </w:lvl>
    <w:lvl w:ilvl="6" w:tplc="12221C92">
      <w:start w:val="1"/>
      <w:numFmt w:val="bullet"/>
      <w:lvlText w:val=""/>
      <w:lvlJc w:val="left"/>
      <w:pPr>
        <w:ind w:left="5040" w:hanging="360"/>
      </w:pPr>
      <w:rPr>
        <w:rFonts w:hint="default" w:ascii="Symbol" w:hAnsi="Symbol"/>
      </w:rPr>
    </w:lvl>
    <w:lvl w:ilvl="7" w:tplc="81E23DC8">
      <w:start w:val="1"/>
      <w:numFmt w:val="bullet"/>
      <w:lvlText w:val="o"/>
      <w:lvlJc w:val="left"/>
      <w:pPr>
        <w:ind w:left="5760" w:hanging="360"/>
      </w:pPr>
      <w:rPr>
        <w:rFonts w:hint="default" w:ascii="Courier New" w:hAnsi="Courier New"/>
      </w:rPr>
    </w:lvl>
    <w:lvl w:ilvl="8" w:tplc="94E000FE">
      <w:start w:val="1"/>
      <w:numFmt w:val="bullet"/>
      <w:lvlText w:val=""/>
      <w:lvlJc w:val="left"/>
      <w:pPr>
        <w:ind w:left="6480" w:hanging="360"/>
      </w:pPr>
      <w:rPr>
        <w:rFonts w:hint="default" w:ascii="Wingdings" w:hAnsi="Wingdings"/>
      </w:rPr>
    </w:lvl>
  </w:abstractNum>
  <w:num w:numId="1" w16cid:durableId="1726296140">
    <w:abstractNumId w:val="14"/>
  </w:num>
  <w:num w:numId="2" w16cid:durableId="1846631689">
    <w:abstractNumId w:val="16"/>
  </w:num>
  <w:num w:numId="3" w16cid:durableId="501047216">
    <w:abstractNumId w:val="13"/>
  </w:num>
  <w:num w:numId="4" w16cid:durableId="1404717817">
    <w:abstractNumId w:val="5"/>
  </w:num>
  <w:num w:numId="5" w16cid:durableId="1367410409">
    <w:abstractNumId w:val="2"/>
  </w:num>
  <w:num w:numId="6" w16cid:durableId="1499343106">
    <w:abstractNumId w:val="0"/>
  </w:num>
  <w:num w:numId="7" w16cid:durableId="742139997">
    <w:abstractNumId w:val="12"/>
  </w:num>
  <w:num w:numId="8" w16cid:durableId="1316832938">
    <w:abstractNumId w:val="4"/>
  </w:num>
  <w:num w:numId="9" w16cid:durableId="895746691">
    <w:abstractNumId w:val="3"/>
  </w:num>
  <w:num w:numId="10" w16cid:durableId="693532972">
    <w:abstractNumId w:val="1"/>
  </w:num>
  <w:num w:numId="11" w16cid:durableId="1035040406">
    <w:abstractNumId w:val="9"/>
  </w:num>
  <w:num w:numId="12" w16cid:durableId="945389204">
    <w:abstractNumId w:val="11"/>
  </w:num>
  <w:num w:numId="13" w16cid:durableId="1618219414">
    <w:abstractNumId w:val="6"/>
  </w:num>
  <w:num w:numId="14" w16cid:durableId="1648898910">
    <w:abstractNumId w:val="8"/>
  </w:num>
  <w:num w:numId="15" w16cid:durableId="1468813261">
    <w:abstractNumId w:val="7"/>
  </w:num>
  <w:num w:numId="16" w16cid:durableId="756441458">
    <w:abstractNumId w:val="10"/>
  </w:num>
  <w:num w:numId="17" w16cid:durableId="1814366045">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tha Isabel Clavijo Pinzón">
    <w15:presenceInfo w15:providerId="AD" w15:userId="S::miclavijo@sena.edu.co::ef219356-aaed-4f2a-9c5c-f56649d1eb12"/>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trackRevisions w:val="true"/>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EB2"/>
    <w:rsid w:val="00000000"/>
    <w:rsid w:val="00004E1D"/>
    <w:rsid w:val="00005967"/>
    <w:rsid w:val="000122E3"/>
    <w:rsid w:val="00015DE6"/>
    <w:rsid w:val="00017390"/>
    <w:rsid w:val="00017625"/>
    <w:rsid w:val="00020BE0"/>
    <w:rsid w:val="000227BA"/>
    <w:rsid w:val="000302E0"/>
    <w:rsid w:val="000370B2"/>
    <w:rsid w:val="00045677"/>
    <w:rsid w:val="00045F00"/>
    <w:rsid w:val="00052CC3"/>
    <w:rsid w:val="000532EE"/>
    <w:rsid w:val="00054256"/>
    <w:rsid w:val="00062603"/>
    <w:rsid w:val="00065B05"/>
    <w:rsid w:val="00066ADB"/>
    <w:rsid w:val="00067DEA"/>
    <w:rsid w:val="000857A8"/>
    <w:rsid w:val="00092E52"/>
    <w:rsid w:val="000A0FE5"/>
    <w:rsid w:val="000A4823"/>
    <w:rsid w:val="000A4AFA"/>
    <w:rsid w:val="000A7DC1"/>
    <w:rsid w:val="000B316A"/>
    <w:rsid w:val="000B7A99"/>
    <w:rsid w:val="000C1F07"/>
    <w:rsid w:val="000C2561"/>
    <w:rsid w:val="000C56BE"/>
    <w:rsid w:val="000C56E8"/>
    <w:rsid w:val="000D2925"/>
    <w:rsid w:val="000D4A79"/>
    <w:rsid w:val="000E14EE"/>
    <w:rsid w:val="000E29BA"/>
    <w:rsid w:val="000E29C6"/>
    <w:rsid w:val="000E5900"/>
    <w:rsid w:val="000F028E"/>
    <w:rsid w:val="000F176C"/>
    <w:rsid w:val="000F18B4"/>
    <w:rsid w:val="000F31E9"/>
    <w:rsid w:val="000F41A0"/>
    <w:rsid w:val="000F587B"/>
    <w:rsid w:val="000F7A44"/>
    <w:rsid w:val="00104C86"/>
    <w:rsid w:val="00105D48"/>
    <w:rsid w:val="001073D7"/>
    <w:rsid w:val="00110C82"/>
    <w:rsid w:val="00113765"/>
    <w:rsid w:val="00115B0C"/>
    <w:rsid w:val="00115EDA"/>
    <w:rsid w:val="00116356"/>
    <w:rsid w:val="00120D0D"/>
    <w:rsid w:val="0012296E"/>
    <w:rsid w:val="00125FFE"/>
    <w:rsid w:val="00132F30"/>
    <w:rsid w:val="001346D5"/>
    <w:rsid w:val="00134D77"/>
    <w:rsid w:val="001400BC"/>
    <w:rsid w:val="00142699"/>
    <w:rsid w:val="0014375A"/>
    <w:rsid w:val="001447BB"/>
    <w:rsid w:val="001546FB"/>
    <w:rsid w:val="00155A3B"/>
    <w:rsid w:val="00160EB2"/>
    <w:rsid w:val="001636E7"/>
    <w:rsid w:val="0017159E"/>
    <w:rsid w:val="00171E66"/>
    <w:rsid w:val="00175824"/>
    <w:rsid w:val="00175CC5"/>
    <w:rsid w:val="00180811"/>
    <w:rsid w:val="001814D7"/>
    <w:rsid w:val="00183FCA"/>
    <w:rsid w:val="0019084B"/>
    <w:rsid w:val="0019127F"/>
    <w:rsid w:val="001935AB"/>
    <w:rsid w:val="0019579D"/>
    <w:rsid w:val="001964D9"/>
    <w:rsid w:val="00196AC3"/>
    <w:rsid w:val="001A1317"/>
    <w:rsid w:val="001A345E"/>
    <w:rsid w:val="001A36D9"/>
    <w:rsid w:val="001A648F"/>
    <w:rsid w:val="001A7A9B"/>
    <w:rsid w:val="001B03F5"/>
    <w:rsid w:val="001B1633"/>
    <w:rsid w:val="001B16EB"/>
    <w:rsid w:val="001B43D4"/>
    <w:rsid w:val="001B63CC"/>
    <w:rsid w:val="001B6716"/>
    <w:rsid w:val="001B7390"/>
    <w:rsid w:val="001B7540"/>
    <w:rsid w:val="001C04F4"/>
    <w:rsid w:val="001C2899"/>
    <w:rsid w:val="001D7A54"/>
    <w:rsid w:val="001E34BA"/>
    <w:rsid w:val="001E44F9"/>
    <w:rsid w:val="001E547E"/>
    <w:rsid w:val="001E61ED"/>
    <w:rsid w:val="00203D11"/>
    <w:rsid w:val="002134ED"/>
    <w:rsid w:val="002146E3"/>
    <w:rsid w:val="00216B6A"/>
    <w:rsid w:val="0022231E"/>
    <w:rsid w:val="00222429"/>
    <w:rsid w:val="00223DF9"/>
    <w:rsid w:val="002259DD"/>
    <w:rsid w:val="00225FC0"/>
    <w:rsid w:val="002269CB"/>
    <w:rsid w:val="00230AC3"/>
    <w:rsid w:val="0023166F"/>
    <w:rsid w:val="00233EF9"/>
    <w:rsid w:val="002372FE"/>
    <w:rsid w:val="00237853"/>
    <w:rsid w:val="002404BF"/>
    <w:rsid w:val="002418FB"/>
    <w:rsid w:val="00243243"/>
    <w:rsid w:val="00243508"/>
    <w:rsid w:val="00246384"/>
    <w:rsid w:val="0025209C"/>
    <w:rsid w:val="0025570E"/>
    <w:rsid w:val="00257560"/>
    <w:rsid w:val="00267B42"/>
    <w:rsid w:val="00270430"/>
    <w:rsid w:val="00270633"/>
    <w:rsid w:val="002708A2"/>
    <w:rsid w:val="00271782"/>
    <w:rsid w:val="00277402"/>
    <w:rsid w:val="0027792A"/>
    <w:rsid w:val="00282857"/>
    <w:rsid w:val="002851F2"/>
    <w:rsid w:val="002852FC"/>
    <w:rsid w:val="002905DF"/>
    <w:rsid w:val="00291D1F"/>
    <w:rsid w:val="00292B22"/>
    <w:rsid w:val="00295005"/>
    <w:rsid w:val="002956D0"/>
    <w:rsid w:val="002A14B5"/>
    <w:rsid w:val="002A6F31"/>
    <w:rsid w:val="002B093F"/>
    <w:rsid w:val="002B2F5D"/>
    <w:rsid w:val="002C4ADD"/>
    <w:rsid w:val="002D0434"/>
    <w:rsid w:val="002D2C4C"/>
    <w:rsid w:val="002E5855"/>
    <w:rsid w:val="002F22BC"/>
    <w:rsid w:val="002F48AD"/>
    <w:rsid w:val="002F6366"/>
    <w:rsid w:val="002F6BB8"/>
    <w:rsid w:val="00306270"/>
    <w:rsid w:val="003070D8"/>
    <w:rsid w:val="003079BC"/>
    <w:rsid w:val="00326350"/>
    <w:rsid w:val="003263BC"/>
    <w:rsid w:val="00332385"/>
    <w:rsid w:val="003345EA"/>
    <w:rsid w:val="00336BFF"/>
    <w:rsid w:val="00340E51"/>
    <w:rsid w:val="00341034"/>
    <w:rsid w:val="00341702"/>
    <w:rsid w:val="0034443C"/>
    <w:rsid w:val="00351C52"/>
    <w:rsid w:val="003560EF"/>
    <w:rsid w:val="00356951"/>
    <w:rsid w:val="00356DC6"/>
    <w:rsid w:val="003577C9"/>
    <w:rsid w:val="00357A02"/>
    <w:rsid w:val="003601E7"/>
    <w:rsid w:val="003608E5"/>
    <w:rsid w:val="0036319F"/>
    <w:rsid w:val="003632C1"/>
    <w:rsid w:val="00363A4B"/>
    <w:rsid w:val="003640C4"/>
    <w:rsid w:val="00364C22"/>
    <w:rsid w:val="003657C5"/>
    <w:rsid w:val="0037189C"/>
    <w:rsid w:val="003757F4"/>
    <w:rsid w:val="00375F83"/>
    <w:rsid w:val="00380902"/>
    <w:rsid w:val="0038166F"/>
    <w:rsid w:val="00383626"/>
    <w:rsid w:val="00383E8D"/>
    <w:rsid w:val="0038424A"/>
    <w:rsid w:val="0038446A"/>
    <w:rsid w:val="0038457D"/>
    <w:rsid w:val="0038603A"/>
    <w:rsid w:val="00390FAB"/>
    <w:rsid w:val="00391FB5"/>
    <w:rsid w:val="003971EB"/>
    <w:rsid w:val="003A0AC2"/>
    <w:rsid w:val="003A0ED9"/>
    <w:rsid w:val="003A18A8"/>
    <w:rsid w:val="003A7AE0"/>
    <w:rsid w:val="003B0182"/>
    <w:rsid w:val="003B043A"/>
    <w:rsid w:val="003B19AC"/>
    <w:rsid w:val="003B2426"/>
    <w:rsid w:val="003B2848"/>
    <w:rsid w:val="003B3AC3"/>
    <w:rsid w:val="003B3D0A"/>
    <w:rsid w:val="003B53AC"/>
    <w:rsid w:val="003B7CB2"/>
    <w:rsid w:val="003B7D01"/>
    <w:rsid w:val="003C31CA"/>
    <w:rsid w:val="003C4779"/>
    <w:rsid w:val="003D0C8B"/>
    <w:rsid w:val="003D4B11"/>
    <w:rsid w:val="003D5E91"/>
    <w:rsid w:val="003E0B43"/>
    <w:rsid w:val="003E4CE3"/>
    <w:rsid w:val="003E5B45"/>
    <w:rsid w:val="003F0ECA"/>
    <w:rsid w:val="003F1767"/>
    <w:rsid w:val="003F1DEB"/>
    <w:rsid w:val="003F29E8"/>
    <w:rsid w:val="003F5703"/>
    <w:rsid w:val="003F6BAA"/>
    <w:rsid w:val="00401F2B"/>
    <w:rsid w:val="004026CA"/>
    <w:rsid w:val="0040291B"/>
    <w:rsid w:val="00403268"/>
    <w:rsid w:val="004040D9"/>
    <w:rsid w:val="00407F24"/>
    <w:rsid w:val="00407FF1"/>
    <w:rsid w:val="004103CC"/>
    <w:rsid w:val="0041543B"/>
    <w:rsid w:val="00416B46"/>
    <w:rsid w:val="00416B4B"/>
    <w:rsid w:val="00420CAD"/>
    <w:rsid w:val="00423404"/>
    <w:rsid w:val="00424805"/>
    <w:rsid w:val="00431887"/>
    <w:rsid w:val="0044224D"/>
    <w:rsid w:val="00442D31"/>
    <w:rsid w:val="004432EA"/>
    <w:rsid w:val="00446D9E"/>
    <w:rsid w:val="004538E4"/>
    <w:rsid w:val="00457320"/>
    <w:rsid w:val="00460530"/>
    <w:rsid w:val="00463979"/>
    <w:rsid w:val="00471567"/>
    <w:rsid w:val="00473E3B"/>
    <w:rsid w:val="00474DAF"/>
    <w:rsid w:val="0048388B"/>
    <w:rsid w:val="004904A5"/>
    <w:rsid w:val="0049152B"/>
    <w:rsid w:val="0049337C"/>
    <w:rsid w:val="00496806"/>
    <w:rsid w:val="00497197"/>
    <w:rsid w:val="004A0CC6"/>
    <w:rsid w:val="004A279E"/>
    <w:rsid w:val="004A546C"/>
    <w:rsid w:val="004A6410"/>
    <w:rsid w:val="004A7162"/>
    <w:rsid w:val="004B61BC"/>
    <w:rsid w:val="004B7594"/>
    <w:rsid w:val="004B76FC"/>
    <w:rsid w:val="004C1214"/>
    <w:rsid w:val="004C1C0D"/>
    <w:rsid w:val="004C42D6"/>
    <w:rsid w:val="004C4C95"/>
    <w:rsid w:val="004C586B"/>
    <w:rsid w:val="004C6522"/>
    <w:rsid w:val="004D1CBC"/>
    <w:rsid w:val="004D24FF"/>
    <w:rsid w:val="004D2623"/>
    <w:rsid w:val="004D32AB"/>
    <w:rsid w:val="004D58EF"/>
    <w:rsid w:val="004E267F"/>
    <w:rsid w:val="004E7E4F"/>
    <w:rsid w:val="004F09B9"/>
    <w:rsid w:val="004F0DCD"/>
    <w:rsid w:val="004F242B"/>
    <w:rsid w:val="004F498B"/>
    <w:rsid w:val="004F4E2B"/>
    <w:rsid w:val="0050182E"/>
    <w:rsid w:val="00501ED7"/>
    <w:rsid w:val="0050463E"/>
    <w:rsid w:val="00510263"/>
    <w:rsid w:val="00511874"/>
    <w:rsid w:val="00523B82"/>
    <w:rsid w:val="005246A9"/>
    <w:rsid w:val="0052499F"/>
    <w:rsid w:val="00526B20"/>
    <w:rsid w:val="00530E02"/>
    <w:rsid w:val="005314E2"/>
    <w:rsid w:val="0053489D"/>
    <w:rsid w:val="00535728"/>
    <w:rsid w:val="005441E1"/>
    <w:rsid w:val="00545E68"/>
    <w:rsid w:val="00546572"/>
    <w:rsid w:val="00546C24"/>
    <w:rsid w:val="00546F32"/>
    <w:rsid w:val="00552E02"/>
    <w:rsid w:val="005565F2"/>
    <w:rsid w:val="00556927"/>
    <w:rsid w:val="00556D00"/>
    <w:rsid w:val="00556D06"/>
    <w:rsid w:val="005602DE"/>
    <w:rsid w:val="00564F17"/>
    <w:rsid w:val="005650B5"/>
    <w:rsid w:val="005672DA"/>
    <w:rsid w:val="00576FEA"/>
    <w:rsid w:val="00582740"/>
    <w:rsid w:val="005874BD"/>
    <w:rsid w:val="00592157"/>
    <w:rsid w:val="005926E6"/>
    <w:rsid w:val="00593E4C"/>
    <w:rsid w:val="00597259"/>
    <w:rsid w:val="00597A93"/>
    <w:rsid w:val="005A0B72"/>
    <w:rsid w:val="005A1415"/>
    <w:rsid w:val="005A1B15"/>
    <w:rsid w:val="005A4C73"/>
    <w:rsid w:val="005B3C92"/>
    <w:rsid w:val="005C032B"/>
    <w:rsid w:val="005C0883"/>
    <w:rsid w:val="005C152A"/>
    <w:rsid w:val="005C2CA5"/>
    <w:rsid w:val="005C567A"/>
    <w:rsid w:val="005C70CA"/>
    <w:rsid w:val="005D01F2"/>
    <w:rsid w:val="005D2767"/>
    <w:rsid w:val="005D6762"/>
    <w:rsid w:val="005E0DC2"/>
    <w:rsid w:val="005E0E26"/>
    <w:rsid w:val="005E5346"/>
    <w:rsid w:val="005E6E5E"/>
    <w:rsid w:val="005F17DE"/>
    <w:rsid w:val="005F36B9"/>
    <w:rsid w:val="005F391C"/>
    <w:rsid w:val="005F399B"/>
    <w:rsid w:val="00601FC8"/>
    <w:rsid w:val="00602264"/>
    <w:rsid w:val="00602436"/>
    <w:rsid w:val="00605D48"/>
    <w:rsid w:val="006071F4"/>
    <w:rsid w:val="006079A7"/>
    <w:rsid w:val="006131F8"/>
    <w:rsid w:val="00615F5E"/>
    <w:rsid w:val="00616105"/>
    <w:rsid w:val="00617C40"/>
    <w:rsid w:val="00620612"/>
    <w:rsid w:val="0062449D"/>
    <w:rsid w:val="00626AFF"/>
    <w:rsid w:val="0063346E"/>
    <w:rsid w:val="00644AF2"/>
    <w:rsid w:val="0064516C"/>
    <w:rsid w:val="0065085C"/>
    <w:rsid w:val="00656935"/>
    <w:rsid w:val="00656C97"/>
    <w:rsid w:val="0066060C"/>
    <w:rsid w:val="00662D66"/>
    <w:rsid w:val="00667517"/>
    <w:rsid w:val="006679F1"/>
    <w:rsid w:val="00680146"/>
    <w:rsid w:val="00683461"/>
    <w:rsid w:val="006A3C50"/>
    <w:rsid w:val="006A3F13"/>
    <w:rsid w:val="006A57DA"/>
    <w:rsid w:val="006A7A44"/>
    <w:rsid w:val="006B1C06"/>
    <w:rsid w:val="006B7203"/>
    <w:rsid w:val="006C4754"/>
    <w:rsid w:val="006C590E"/>
    <w:rsid w:val="006C6B35"/>
    <w:rsid w:val="006C7442"/>
    <w:rsid w:val="006C76E3"/>
    <w:rsid w:val="006E1E3E"/>
    <w:rsid w:val="006E3E5A"/>
    <w:rsid w:val="006E4483"/>
    <w:rsid w:val="006E64BD"/>
    <w:rsid w:val="006F01A4"/>
    <w:rsid w:val="006F23D4"/>
    <w:rsid w:val="006F4819"/>
    <w:rsid w:val="006F54B2"/>
    <w:rsid w:val="006F6B6A"/>
    <w:rsid w:val="00700548"/>
    <w:rsid w:val="007016E6"/>
    <w:rsid w:val="00705723"/>
    <w:rsid w:val="00710332"/>
    <w:rsid w:val="0071397D"/>
    <w:rsid w:val="00713BD4"/>
    <w:rsid w:val="00715822"/>
    <w:rsid w:val="00715A90"/>
    <w:rsid w:val="00721FF9"/>
    <w:rsid w:val="00722FD5"/>
    <w:rsid w:val="007244F6"/>
    <w:rsid w:val="007250D3"/>
    <w:rsid w:val="007305DD"/>
    <w:rsid w:val="00731FD8"/>
    <w:rsid w:val="0073260D"/>
    <w:rsid w:val="0073526A"/>
    <w:rsid w:val="007373EB"/>
    <w:rsid w:val="00740A9F"/>
    <w:rsid w:val="007419E5"/>
    <w:rsid w:val="00741A0B"/>
    <w:rsid w:val="00743835"/>
    <w:rsid w:val="00744914"/>
    <w:rsid w:val="00745470"/>
    <w:rsid w:val="0075194B"/>
    <w:rsid w:val="00752F89"/>
    <w:rsid w:val="00757D2C"/>
    <w:rsid w:val="00763967"/>
    <w:rsid w:val="00766ED4"/>
    <w:rsid w:val="00770D50"/>
    <w:rsid w:val="0077388F"/>
    <w:rsid w:val="00774F36"/>
    <w:rsid w:val="00777A73"/>
    <w:rsid w:val="0078586F"/>
    <w:rsid w:val="00785F7B"/>
    <w:rsid w:val="00787C4A"/>
    <w:rsid w:val="00792D2C"/>
    <w:rsid w:val="00795A96"/>
    <w:rsid w:val="00795D35"/>
    <w:rsid w:val="007971C4"/>
    <w:rsid w:val="0079740B"/>
    <w:rsid w:val="007A3FC5"/>
    <w:rsid w:val="007A5B56"/>
    <w:rsid w:val="007A788D"/>
    <w:rsid w:val="007B78D1"/>
    <w:rsid w:val="007C5DAF"/>
    <w:rsid w:val="007C6FC0"/>
    <w:rsid w:val="007D7328"/>
    <w:rsid w:val="007D7ED5"/>
    <w:rsid w:val="007E1AE4"/>
    <w:rsid w:val="007E46C5"/>
    <w:rsid w:val="007F66D6"/>
    <w:rsid w:val="007F671D"/>
    <w:rsid w:val="00801781"/>
    <w:rsid w:val="00805DD8"/>
    <w:rsid w:val="0080682F"/>
    <w:rsid w:val="00815A2E"/>
    <w:rsid w:val="00820273"/>
    <w:rsid w:val="00821292"/>
    <w:rsid w:val="00821F6E"/>
    <w:rsid w:val="00822247"/>
    <w:rsid w:val="0083074B"/>
    <w:rsid w:val="00833156"/>
    <w:rsid w:val="008361CB"/>
    <w:rsid w:val="008363A2"/>
    <w:rsid w:val="008450F3"/>
    <w:rsid w:val="008546EC"/>
    <w:rsid w:val="008661CD"/>
    <w:rsid w:val="0087010C"/>
    <w:rsid w:val="00870E20"/>
    <w:rsid w:val="00871764"/>
    <w:rsid w:val="00876DE5"/>
    <w:rsid w:val="0087731E"/>
    <w:rsid w:val="00885C13"/>
    <w:rsid w:val="00886132"/>
    <w:rsid w:val="008869A3"/>
    <w:rsid w:val="00887219"/>
    <w:rsid w:val="0089015D"/>
    <w:rsid w:val="008A3A22"/>
    <w:rsid w:val="008A5E6E"/>
    <w:rsid w:val="008B02BE"/>
    <w:rsid w:val="008B3255"/>
    <w:rsid w:val="008B328A"/>
    <w:rsid w:val="008B35D1"/>
    <w:rsid w:val="008B3BF3"/>
    <w:rsid w:val="008B4482"/>
    <w:rsid w:val="008B5010"/>
    <w:rsid w:val="008B54E2"/>
    <w:rsid w:val="008C1348"/>
    <w:rsid w:val="008C428E"/>
    <w:rsid w:val="008C67D2"/>
    <w:rsid w:val="008C7AF5"/>
    <w:rsid w:val="008D2D38"/>
    <w:rsid w:val="008D7688"/>
    <w:rsid w:val="008E0CF6"/>
    <w:rsid w:val="008E3AA8"/>
    <w:rsid w:val="008E598B"/>
    <w:rsid w:val="008E6605"/>
    <w:rsid w:val="008E7CC4"/>
    <w:rsid w:val="008F2401"/>
    <w:rsid w:val="008F3945"/>
    <w:rsid w:val="008F4A3D"/>
    <w:rsid w:val="008F6D22"/>
    <w:rsid w:val="00901D2E"/>
    <w:rsid w:val="00902877"/>
    <w:rsid w:val="0090407B"/>
    <w:rsid w:val="009060F7"/>
    <w:rsid w:val="0090649D"/>
    <w:rsid w:val="00907E9F"/>
    <w:rsid w:val="0091320A"/>
    <w:rsid w:val="00913882"/>
    <w:rsid w:val="00916C1E"/>
    <w:rsid w:val="00916D5E"/>
    <w:rsid w:val="00922786"/>
    <w:rsid w:val="00922C26"/>
    <w:rsid w:val="00923DB0"/>
    <w:rsid w:val="0092438C"/>
    <w:rsid w:val="009246FD"/>
    <w:rsid w:val="00924E7B"/>
    <w:rsid w:val="00930FB9"/>
    <w:rsid w:val="00940191"/>
    <w:rsid w:val="00946190"/>
    <w:rsid w:val="009466F9"/>
    <w:rsid w:val="00946BCF"/>
    <w:rsid w:val="0095073C"/>
    <w:rsid w:val="00953A23"/>
    <w:rsid w:val="00956B97"/>
    <w:rsid w:val="00956B9F"/>
    <w:rsid w:val="00975226"/>
    <w:rsid w:val="009757FB"/>
    <w:rsid w:val="00981017"/>
    <w:rsid w:val="009828F8"/>
    <w:rsid w:val="009843E4"/>
    <w:rsid w:val="00986E91"/>
    <w:rsid w:val="009919A6"/>
    <w:rsid w:val="009939DB"/>
    <w:rsid w:val="00993F80"/>
    <w:rsid w:val="009A4300"/>
    <w:rsid w:val="009A43AE"/>
    <w:rsid w:val="009A7374"/>
    <w:rsid w:val="009B0231"/>
    <w:rsid w:val="009B0DC1"/>
    <w:rsid w:val="009B3363"/>
    <w:rsid w:val="009B3436"/>
    <w:rsid w:val="009B53DE"/>
    <w:rsid w:val="009C5EBC"/>
    <w:rsid w:val="009C7701"/>
    <w:rsid w:val="009C7828"/>
    <w:rsid w:val="009C7B4D"/>
    <w:rsid w:val="009D061A"/>
    <w:rsid w:val="009D4BD9"/>
    <w:rsid w:val="009D59D1"/>
    <w:rsid w:val="009D6BA7"/>
    <w:rsid w:val="009D79ED"/>
    <w:rsid w:val="009E05D4"/>
    <w:rsid w:val="009E77EE"/>
    <w:rsid w:val="009F145C"/>
    <w:rsid w:val="009F6D27"/>
    <w:rsid w:val="00A02591"/>
    <w:rsid w:val="00A04602"/>
    <w:rsid w:val="00A064E8"/>
    <w:rsid w:val="00A070BF"/>
    <w:rsid w:val="00A07EFD"/>
    <w:rsid w:val="00A112F8"/>
    <w:rsid w:val="00A11F0D"/>
    <w:rsid w:val="00A14A56"/>
    <w:rsid w:val="00A22328"/>
    <w:rsid w:val="00A33457"/>
    <w:rsid w:val="00A33578"/>
    <w:rsid w:val="00A40F37"/>
    <w:rsid w:val="00A42108"/>
    <w:rsid w:val="00A4F33C"/>
    <w:rsid w:val="00A50656"/>
    <w:rsid w:val="00A571C0"/>
    <w:rsid w:val="00A6098A"/>
    <w:rsid w:val="00A6166F"/>
    <w:rsid w:val="00A617A6"/>
    <w:rsid w:val="00A61971"/>
    <w:rsid w:val="00A6355F"/>
    <w:rsid w:val="00A63BF1"/>
    <w:rsid w:val="00A65FC6"/>
    <w:rsid w:val="00A67783"/>
    <w:rsid w:val="00A7068A"/>
    <w:rsid w:val="00A70A31"/>
    <w:rsid w:val="00A76684"/>
    <w:rsid w:val="00A80B25"/>
    <w:rsid w:val="00A82841"/>
    <w:rsid w:val="00A83DD6"/>
    <w:rsid w:val="00A83F13"/>
    <w:rsid w:val="00A85359"/>
    <w:rsid w:val="00A865C8"/>
    <w:rsid w:val="00A913F4"/>
    <w:rsid w:val="00A930FE"/>
    <w:rsid w:val="00A96F4E"/>
    <w:rsid w:val="00AA0A71"/>
    <w:rsid w:val="00AB0408"/>
    <w:rsid w:val="00AB61DE"/>
    <w:rsid w:val="00AC00A0"/>
    <w:rsid w:val="00AC08C0"/>
    <w:rsid w:val="00AC2482"/>
    <w:rsid w:val="00AC42A4"/>
    <w:rsid w:val="00AC51B1"/>
    <w:rsid w:val="00AC549E"/>
    <w:rsid w:val="00AC6C24"/>
    <w:rsid w:val="00AC7376"/>
    <w:rsid w:val="00AD05FA"/>
    <w:rsid w:val="00AD19FA"/>
    <w:rsid w:val="00AE3AAC"/>
    <w:rsid w:val="00AE6D1C"/>
    <w:rsid w:val="00AF0B67"/>
    <w:rsid w:val="00AF0D25"/>
    <w:rsid w:val="00AF0DB3"/>
    <w:rsid w:val="00B02C21"/>
    <w:rsid w:val="00B02E03"/>
    <w:rsid w:val="00B041F8"/>
    <w:rsid w:val="00B05388"/>
    <w:rsid w:val="00B07626"/>
    <w:rsid w:val="00B10979"/>
    <w:rsid w:val="00B11658"/>
    <w:rsid w:val="00B14D6D"/>
    <w:rsid w:val="00B158DB"/>
    <w:rsid w:val="00B242BD"/>
    <w:rsid w:val="00B245E5"/>
    <w:rsid w:val="00B24CB5"/>
    <w:rsid w:val="00B27627"/>
    <w:rsid w:val="00B303D6"/>
    <w:rsid w:val="00B37588"/>
    <w:rsid w:val="00B40661"/>
    <w:rsid w:val="00B51EA4"/>
    <w:rsid w:val="00B64CA2"/>
    <w:rsid w:val="00B6773A"/>
    <w:rsid w:val="00B7349D"/>
    <w:rsid w:val="00B73DC6"/>
    <w:rsid w:val="00B76E2D"/>
    <w:rsid w:val="00B77851"/>
    <w:rsid w:val="00B8120B"/>
    <w:rsid w:val="00B95562"/>
    <w:rsid w:val="00B95F86"/>
    <w:rsid w:val="00BA5202"/>
    <w:rsid w:val="00BA5990"/>
    <w:rsid w:val="00BA5E58"/>
    <w:rsid w:val="00BB419E"/>
    <w:rsid w:val="00BB5AF3"/>
    <w:rsid w:val="00BB6890"/>
    <w:rsid w:val="00BC0F3D"/>
    <w:rsid w:val="00BC4E8A"/>
    <w:rsid w:val="00BC7BD2"/>
    <w:rsid w:val="00BF0A5D"/>
    <w:rsid w:val="00BF300C"/>
    <w:rsid w:val="00BF40C9"/>
    <w:rsid w:val="00BF5E87"/>
    <w:rsid w:val="00BF66A2"/>
    <w:rsid w:val="00C034ED"/>
    <w:rsid w:val="00C036A4"/>
    <w:rsid w:val="00C04BB3"/>
    <w:rsid w:val="00C057B2"/>
    <w:rsid w:val="00C05CDC"/>
    <w:rsid w:val="00C06614"/>
    <w:rsid w:val="00C0664C"/>
    <w:rsid w:val="00C06E86"/>
    <w:rsid w:val="00C10307"/>
    <w:rsid w:val="00C121EE"/>
    <w:rsid w:val="00C12B6B"/>
    <w:rsid w:val="00C13564"/>
    <w:rsid w:val="00C14AE8"/>
    <w:rsid w:val="00C15784"/>
    <w:rsid w:val="00C20F10"/>
    <w:rsid w:val="00C23FB9"/>
    <w:rsid w:val="00C27DAB"/>
    <w:rsid w:val="00C30577"/>
    <w:rsid w:val="00C30833"/>
    <w:rsid w:val="00C30E40"/>
    <w:rsid w:val="00C334D6"/>
    <w:rsid w:val="00C34E10"/>
    <w:rsid w:val="00C35036"/>
    <w:rsid w:val="00C35A22"/>
    <w:rsid w:val="00C40FA4"/>
    <w:rsid w:val="00C41A45"/>
    <w:rsid w:val="00C42204"/>
    <w:rsid w:val="00C50791"/>
    <w:rsid w:val="00C64ACA"/>
    <w:rsid w:val="00C65695"/>
    <w:rsid w:val="00C751CB"/>
    <w:rsid w:val="00C776F3"/>
    <w:rsid w:val="00C77F4F"/>
    <w:rsid w:val="00C80A93"/>
    <w:rsid w:val="00C80B82"/>
    <w:rsid w:val="00C8160C"/>
    <w:rsid w:val="00C879D3"/>
    <w:rsid w:val="00CA0FE9"/>
    <w:rsid w:val="00CA1D0C"/>
    <w:rsid w:val="00CA5C3D"/>
    <w:rsid w:val="00CB218D"/>
    <w:rsid w:val="00CB4E11"/>
    <w:rsid w:val="00CB7225"/>
    <w:rsid w:val="00CB7789"/>
    <w:rsid w:val="00CC0521"/>
    <w:rsid w:val="00CD0E4B"/>
    <w:rsid w:val="00CD3437"/>
    <w:rsid w:val="00CD574F"/>
    <w:rsid w:val="00CD7356"/>
    <w:rsid w:val="00CD74AF"/>
    <w:rsid w:val="00CD7D35"/>
    <w:rsid w:val="00CE276A"/>
    <w:rsid w:val="00CE58F0"/>
    <w:rsid w:val="00CE602C"/>
    <w:rsid w:val="00CE75F5"/>
    <w:rsid w:val="00CF15ED"/>
    <w:rsid w:val="00D019A2"/>
    <w:rsid w:val="00D02863"/>
    <w:rsid w:val="00D02D75"/>
    <w:rsid w:val="00D0517D"/>
    <w:rsid w:val="00D053BD"/>
    <w:rsid w:val="00D10B6F"/>
    <w:rsid w:val="00D144F7"/>
    <w:rsid w:val="00D158F1"/>
    <w:rsid w:val="00D173AF"/>
    <w:rsid w:val="00D2027B"/>
    <w:rsid w:val="00D2150F"/>
    <w:rsid w:val="00D26591"/>
    <w:rsid w:val="00D30885"/>
    <w:rsid w:val="00D308F0"/>
    <w:rsid w:val="00D33D2A"/>
    <w:rsid w:val="00D34EE0"/>
    <w:rsid w:val="00D34FFA"/>
    <w:rsid w:val="00D401F1"/>
    <w:rsid w:val="00D448D4"/>
    <w:rsid w:val="00D511B1"/>
    <w:rsid w:val="00D53CB6"/>
    <w:rsid w:val="00D55915"/>
    <w:rsid w:val="00D570D1"/>
    <w:rsid w:val="00D60D26"/>
    <w:rsid w:val="00D61B6C"/>
    <w:rsid w:val="00D65B9A"/>
    <w:rsid w:val="00D74320"/>
    <w:rsid w:val="00D76BE9"/>
    <w:rsid w:val="00D801D7"/>
    <w:rsid w:val="00D815B2"/>
    <w:rsid w:val="00D8698C"/>
    <w:rsid w:val="00D943F2"/>
    <w:rsid w:val="00D95970"/>
    <w:rsid w:val="00DA002A"/>
    <w:rsid w:val="00DA2657"/>
    <w:rsid w:val="00DA750E"/>
    <w:rsid w:val="00DB1B60"/>
    <w:rsid w:val="00DB4D83"/>
    <w:rsid w:val="00DB57BB"/>
    <w:rsid w:val="00DC07BE"/>
    <w:rsid w:val="00DC1159"/>
    <w:rsid w:val="00DC2D74"/>
    <w:rsid w:val="00DC590D"/>
    <w:rsid w:val="00DC6812"/>
    <w:rsid w:val="00DD16F0"/>
    <w:rsid w:val="00DD3469"/>
    <w:rsid w:val="00DD3C3C"/>
    <w:rsid w:val="00DD5739"/>
    <w:rsid w:val="00DD76AE"/>
    <w:rsid w:val="00DE176D"/>
    <w:rsid w:val="00DE5016"/>
    <w:rsid w:val="00DE6BC4"/>
    <w:rsid w:val="00DF10A6"/>
    <w:rsid w:val="00DF10F0"/>
    <w:rsid w:val="00E000FF"/>
    <w:rsid w:val="00E007A1"/>
    <w:rsid w:val="00E0694B"/>
    <w:rsid w:val="00E07770"/>
    <w:rsid w:val="00E16C09"/>
    <w:rsid w:val="00E17B76"/>
    <w:rsid w:val="00E17C6B"/>
    <w:rsid w:val="00E17EBB"/>
    <w:rsid w:val="00E24F20"/>
    <w:rsid w:val="00E2591F"/>
    <w:rsid w:val="00E261D2"/>
    <w:rsid w:val="00E34160"/>
    <w:rsid w:val="00E35585"/>
    <w:rsid w:val="00E3588F"/>
    <w:rsid w:val="00E3599F"/>
    <w:rsid w:val="00E457CC"/>
    <w:rsid w:val="00E5090D"/>
    <w:rsid w:val="00E5461A"/>
    <w:rsid w:val="00E552DE"/>
    <w:rsid w:val="00E56BE9"/>
    <w:rsid w:val="00E574CB"/>
    <w:rsid w:val="00E61096"/>
    <w:rsid w:val="00E62253"/>
    <w:rsid w:val="00E62F0F"/>
    <w:rsid w:val="00E63358"/>
    <w:rsid w:val="00E82478"/>
    <w:rsid w:val="00E83AC2"/>
    <w:rsid w:val="00E8406C"/>
    <w:rsid w:val="00E86360"/>
    <w:rsid w:val="00E86ADB"/>
    <w:rsid w:val="00E86B75"/>
    <w:rsid w:val="00E90D7E"/>
    <w:rsid w:val="00E948A6"/>
    <w:rsid w:val="00EA01D0"/>
    <w:rsid w:val="00EA32C3"/>
    <w:rsid w:val="00EA4B78"/>
    <w:rsid w:val="00EA5A46"/>
    <w:rsid w:val="00EC2F0E"/>
    <w:rsid w:val="00EC3862"/>
    <w:rsid w:val="00EC3F3B"/>
    <w:rsid w:val="00ED1D0B"/>
    <w:rsid w:val="00ED2604"/>
    <w:rsid w:val="00ED3A41"/>
    <w:rsid w:val="00ED7F41"/>
    <w:rsid w:val="00EE0325"/>
    <w:rsid w:val="00EE23C8"/>
    <w:rsid w:val="00EE48B9"/>
    <w:rsid w:val="00EE737E"/>
    <w:rsid w:val="00EE7EF3"/>
    <w:rsid w:val="00EF045D"/>
    <w:rsid w:val="00EF0607"/>
    <w:rsid w:val="00EF464E"/>
    <w:rsid w:val="00F02FFB"/>
    <w:rsid w:val="00F07384"/>
    <w:rsid w:val="00F07438"/>
    <w:rsid w:val="00F07458"/>
    <w:rsid w:val="00F13A06"/>
    <w:rsid w:val="00F16D62"/>
    <w:rsid w:val="00F21015"/>
    <w:rsid w:val="00F21BAF"/>
    <w:rsid w:val="00F26673"/>
    <w:rsid w:val="00F27D39"/>
    <w:rsid w:val="00F30DB4"/>
    <w:rsid w:val="00F33C52"/>
    <w:rsid w:val="00F342B0"/>
    <w:rsid w:val="00F35F6C"/>
    <w:rsid w:val="00F37DAE"/>
    <w:rsid w:val="00F40F19"/>
    <w:rsid w:val="00F450BF"/>
    <w:rsid w:val="00F45586"/>
    <w:rsid w:val="00F456AF"/>
    <w:rsid w:val="00F507BA"/>
    <w:rsid w:val="00F5268D"/>
    <w:rsid w:val="00F55AC8"/>
    <w:rsid w:val="00F55FE7"/>
    <w:rsid w:val="00F636FE"/>
    <w:rsid w:val="00F64D22"/>
    <w:rsid w:val="00F66FDB"/>
    <w:rsid w:val="00F7114C"/>
    <w:rsid w:val="00F725F6"/>
    <w:rsid w:val="00F75A4F"/>
    <w:rsid w:val="00F77059"/>
    <w:rsid w:val="00F7713E"/>
    <w:rsid w:val="00F808F3"/>
    <w:rsid w:val="00F832A7"/>
    <w:rsid w:val="00F8338D"/>
    <w:rsid w:val="00F83610"/>
    <w:rsid w:val="00F83683"/>
    <w:rsid w:val="00F8408E"/>
    <w:rsid w:val="00F8610B"/>
    <w:rsid w:val="00F86B5B"/>
    <w:rsid w:val="00F87C84"/>
    <w:rsid w:val="00F92AB2"/>
    <w:rsid w:val="00F93312"/>
    <w:rsid w:val="00F9578B"/>
    <w:rsid w:val="00FA05BF"/>
    <w:rsid w:val="00FA25D3"/>
    <w:rsid w:val="00FA29F5"/>
    <w:rsid w:val="00FB0E4D"/>
    <w:rsid w:val="00FB166B"/>
    <w:rsid w:val="00FB50BA"/>
    <w:rsid w:val="00FB6FDA"/>
    <w:rsid w:val="00FC179C"/>
    <w:rsid w:val="00FC21B5"/>
    <w:rsid w:val="00FC2455"/>
    <w:rsid w:val="00FC57C3"/>
    <w:rsid w:val="00FD1064"/>
    <w:rsid w:val="00FD1412"/>
    <w:rsid w:val="00FD2776"/>
    <w:rsid w:val="00FD3A13"/>
    <w:rsid w:val="00FE1084"/>
    <w:rsid w:val="00FE227C"/>
    <w:rsid w:val="00FF04D0"/>
    <w:rsid w:val="00FF0A8B"/>
    <w:rsid w:val="00FF0AB1"/>
    <w:rsid w:val="00FF3264"/>
    <w:rsid w:val="00FF3679"/>
    <w:rsid w:val="01905A98"/>
    <w:rsid w:val="01DD6AE7"/>
    <w:rsid w:val="01F3ECE4"/>
    <w:rsid w:val="029624CB"/>
    <w:rsid w:val="02BA9149"/>
    <w:rsid w:val="0407F47F"/>
    <w:rsid w:val="04285803"/>
    <w:rsid w:val="04A624A8"/>
    <w:rsid w:val="05D59123"/>
    <w:rsid w:val="062B3495"/>
    <w:rsid w:val="062F131F"/>
    <w:rsid w:val="066D6441"/>
    <w:rsid w:val="066E39A3"/>
    <w:rsid w:val="0699E641"/>
    <w:rsid w:val="0762EB63"/>
    <w:rsid w:val="085C69E8"/>
    <w:rsid w:val="088477E0"/>
    <w:rsid w:val="08FBC926"/>
    <w:rsid w:val="08FEBBC4"/>
    <w:rsid w:val="09131331"/>
    <w:rsid w:val="094896AA"/>
    <w:rsid w:val="098BA71C"/>
    <w:rsid w:val="0994F8A2"/>
    <w:rsid w:val="0B242D20"/>
    <w:rsid w:val="0B8190A2"/>
    <w:rsid w:val="0D1653F1"/>
    <w:rsid w:val="0DC02BDD"/>
    <w:rsid w:val="0DC3BBBB"/>
    <w:rsid w:val="0E7382DD"/>
    <w:rsid w:val="0ECA7E09"/>
    <w:rsid w:val="110B8623"/>
    <w:rsid w:val="116236D5"/>
    <w:rsid w:val="12640D71"/>
    <w:rsid w:val="139B96A4"/>
    <w:rsid w:val="13D75F08"/>
    <w:rsid w:val="141CEA54"/>
    <w:rsid w:val="1452896E"/>
    <w:rsid w:val="155C5AEF"/>
    <w:rsid w:val="17AEDC20"/>
    <w:rsid w:val="19316E41"/>
    <w:rsid w:val="19EBEF31"/>
    <w:rsid w:val="1A5607CD"/>
    <w:rsid w:val="1A5C011C"/>
    <w:rsid w:val="1A7F2152"/>
    <w:rsid w:val="1A85B7FD"/>
    <w:rsid w:val="1B397D9F"/>
    <w:rsid w:val="1B533A1A"/>
    <w:rsid w:val="1B5ED8E8"/>
    <w:rsid w:val="1B72B9A0"/>
    <w:rsid w:val="1B7FE2A1"/>
    <w:rsid w:val="1D0E8A01"/>
    <w:rsid w:val="1E992970"/>
    <w:rsid w:val="1E9ACEBA"/>
    <w:rsid w:val="1EB231BD"/>
    <w:rsid w:val="1EBFF8A9"/>
    <w:rsid w:val="1FAF424B"/>
    <w:rsid w:val="20462AC3"/>
    <w:rsid w:val="204E021E"/>
    <w:rsid w:val="20DE74E8"/>
    <w:rsid w:val="20FAEB14"/>
    <w:rsid w:val="215297AE"/>
    <w:rsid w:val="21B297DB"/>
    <w:rsid w:val="2291A688"/>
    <w:rsid w:val="22B4EE86"/>
    <w:rsid w:val="236160D4"/>
    <w:rsid w:val="23965C6A"/>
    <w:rsid w:val="239B135B"/>
    <w:rsid w:val="247B8DB2"/>
    <w:rsid w:val="25322CCB"/>
    <w:rsid w:val="25485E49"/>
    <w:rsid w:val="28454976"/>
    <w:rsid w:val="2A3E1F63"/>
    <w:rsid w:val="2ABD6926"/>
    <w:rsid w:val="2B7CEA38"/>
    <w:rsid w:val="2BA0ED98"/>
    <w:rsid w:val="2C16ECF4"/>
    <w:rsid w:val="2C1CADEA"/>
    <w:rsid w:val="2C9465E1"/>
    <w:rsid w:val="2D712025"/>
    <w:rsid w:val="2EB8C472"/>
    <w:rsid w:val="2FD4B970"/>
    <w:rsid w:val="312AE894"/>
    <w:rsid w:val="313EC07E"/>
    <w:rsid w:val="31476D83"/>
    <w:rsid w:val="31708743"/>
    <w:rsid w:val="3271BB29"/>
    <w:rsid w:val="32730B12"/>
    <w:rsid w:val="34F729D4"/>
    <w:rsid w:val="354C4E63"/>
    <w:rsid w:val="357ACD4C"/>
    <w:rsid w:val="361231A1"/>
    <w:rsid w:val="363F490E"/>
    <w:rsid w:val="36B8474A"/>
    <w:rsid w:val="36D7744E"/>
    <w:rsid w:val="36FCA056"/>
    <w:rsid w:val="3700AFA9"/>
    <w:rsid w:val="371F5304"/>
    <w:rsid w:val="38040E2B"/>
    <w:rsid w:val="3865FFAC"/>
    <w:rsid w:val="3AD4FA3D"/>
    <w:rsid w:val="3CE03481"/>
    <w:rsid w:val="3D52E847"/>
    <w:rsid w:val="3E11D8F8"/>
    <w:rsid w:val="4156B38B"/>
    <w:rsid w:val="42A219DB"/>
    <w:rsid w:val="42DCEA1C"/>
    <w:rsid w:val="43264A84"/>
    <w:rsid w:val="43AE7689"/>
    <w:rsid w:val="43C41057"/>
    <w:rsid w:val="44A5C392"/>
    <w:rsid w:val="46458AAA"/>
    <w:rsid w:val="4646A40A"/>
    <w:rsid w:val="4810BCA8"/>
    <w:rsid w:val="48E723BD"/>
    <w:rsid w:val="4967E3B3"/>
    <w:rsid w:val="49739A45"/>
    <w:rsid w:val="4A418BF6"/>
    <w:rsid w:val="4AFCE570"/>
    <w:rsid w:val="4BB09D0A"/>
    <w:rsid w:val="4C97AD1A"/>
    <w:rsid w:val="4CE24FED"/>
    <w:rsid w:val="4E1AD4DC"/>
    <w:rsid w:val="4FD72537"/>
    <w:rsid w:val="5092D040"/>
    <w:rsid w:val="516B1E3D"/>
    <w:rsid w:val="523F429D"/>
    <w:rsid w:val="55CF0367"/>
    <w:rsid w:val="57B1600D"/>
    <w:rsid w:val="57D9C849"/>
    <w:rsid w:val="5972A60C"/>
    <w:rsid w:val="59F885A1"/>
    <w:rsid w:val="5A2E049F"/>
    <w:rsid w:val="5BB6699D"/>
    <w:rsid w:val="5C046E04"/>
    <w:rsid w:val="5DBBDF91"/>
    <w:rsid w:val="5E14354F"/>
    <w:rsid w:val="5E2DA131"/>
    <w:rsid w:val="5E464A00"/>
    <w:rsid w:val="5F095987"/>
    <w:rsid w:val="5F57AFF2"/>
    <w:rsid w:val="60ECDBE5"/>
    <w:rsid w:val="616541F3"/>
    <w:rsid w:val="617AD6F7"/>
    <w:rsid w:val="61B92C04"/>
    <w:rsid w:val="61F6F9BD"/>
    <w:rsid w:val="6463AFDC"/>
    <w:rsid w:val="64843DED"/>
    <w:rsid w:val="649CE2B5"/>
    <w:rsid w:val="64F0CCC6"/>
    <w:rsid w:val="65D10910"/>
    <w:rsid w:val="67E4E2F2"/>
    <w:rsid w:val="67EF22C5"/>
    <w:rsid w:val="68B9CD1F"/>
    <w:rsid w:val="696A5768"/>
    <w:rsid w:val="697053D8"/>
    <w:rsid w:val="6AD59806"/>
    <w:rsid w:val="6BBE6AA5"/>
    <w:rsid w:val="6BF16DE1"/>
    <w:rsid w:val="6C857EF0"/>
    <w:rsid w:val="6D609798"/>
    <w:rsid w:val="6D9BB78D"/>
    <w:rsid w:val="6ED5C027"/>
    <w:rsid w:val="6F288D56"/>
    <w:rsid w:val="6FA99E31"/>
    <w:rsid w:val="70EFCF22"/>
    <w:rsid w:val="70F1AB79"/>
    <w:rsid w:val="7193CC53"/>
    <w:rsid w:val="7367C0F9"/>
    <w:rsid w:val="741A3D60"/>
    <w:rsid w:val="743B1437"/>
    <w:rsid w:val="7451EE2E"/>
    <w:rsid w:val="749D1E62"/>
    <w:rsid w:val="758DA115"/>
    <w:rsid w:val="759DADF7"/>
    <w:rsid w:val="75BB2520"/>
    <w:rsid w:val="7644B02F"/>
    <w:rsid w:val="765FB081"/>
    <w:rsid w:val="7694C01F"/>
    <w:rsid w:val="773DB7D0"/>
    <w:rsid w:val="776A7E24"/>
    <w:rsid w:val="78152490"/>
    <w:rsid w:val="78403A78"/>
    <w:rsid w:val="78BC265C"/>
    <w:rsid w:val="798A8F84"/>
    <w:rsid w:val="7AA9AE4B"/>
    <w:rsid w:val="7B040D8C"/>
    <w:rsid w:val="7B4888B3"/>
    <w:rsid w:val="7BFCE299"/>
    <w:rsid w:val="7C066214"/>
    <w:rsid w:val="7CADC530"/>
    <w:rsid w:val="7CE45914"/>
    <w:rsid w:val="7D11F3C4"/>
    <w:rsid w:val="7DB70624"/>
    <w:rsid w:val="7E392640"/>
    <w:rsid w:val="7E4A6248"/>
    <w:rsid w:val="7E5CFBDC"/>
    <w:rsid w:val="7EEFF184"/>
    <w:rsid w:val="7F34835B"/>
    <w:rsid w:val="7F81E461"/>
    <w:rsid w:val="7FF48A3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813D9"/>
  <w15:chartTrackingRefBased/>
  <w15:docId w15:val="{D64B10D4-D069-4DAD-A178-7A555F302C1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60" w:line="259" w:lineRule="auto"/>
    </w:pPr>
    <w:rPr>
      <w:sz w:val="22"/>
      <w:szCs w:val="22"/>
      <w:lang w:eastAsia="en-U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Refdecomentario">
    <w:name w:val="annotation reference"/>
    <w:unhideWhenUsed/>
    <w:rsid w:val="00160EB2"/>
    <w:rPr>
      <w:sz w:val="16"/>
      <w:szCs w:val="16"/>
    </w:rPr>
  </w:style>
  <w:style w:type="paragraph" w:styleId="Textocomentario">
    <w:name w:val="annotation text"/>
    <w:basedOn w:val="Normal"/>
    <w:link w:val="TextocomentarioCar"/>
    <w:unhideWhenUsed/>
    <w:rsid w:val="00160EB2"/>
    <w:pPr>
      <w:spacing w:after="0" w:line="240" w:lineRule="auto"/>
    </w:pPr>
    <w:rPr>
      <w:rFonts w:ascii="Times New Roman" w:hAnsi="Times New Roman" w:eastAsia="Times New Roman"/>
      <w:sz w:val="20"/>
      <w:szCs w:val="20"/>
      <w:lang w:val="es-ES" w:eastAsia="es-ES"/>
    </w:rPr>
  </w:style>
  <w:style w:type="character" w:styleId="TextocomentarioCar" w:customStyle="1">
    <w:name w:val="Texto comentario Car"/>
    <w:link w:val="Textocomentario"/>
    <w:rsid w:val="00160EB2"/>
    <w:rPr>
      <w:rFonts w:ascii="Times New Roman" w:hAnsi="Times New Roman" w:eastAsia="Times New Roman" w:cs="Times New Roman"/>
      <w:sz w:val="20"/>
      <w:szCs w:val="20"/>
      <w:lang w:val="es-ES" w:eastAsia="es-ES"/>
    </w:rPr>
  </w:style>
  <w:style w:type="paragraph" w:styleId="Textonotapie">
    <w:name w:val="footnote text"/>
    <w:basedOn w:val="Normal"/>
    <w:link w:val="TextonotapieCar"/>
    <w:uiPriority w:val="99"/>
    <w:rsid w:val="00160EB2"/>
    <w:pPr>
      <w:spacing w:after="0" w:line="240" w:lineRule="atLeast"/>
      <w:jc w:val="center"/>
    </w:pPr>
    <w:rPr>
      <w:rFonts w:ascii="Times New Roman" w:hAnsi="Times New Roman" w:eastAsia="Times New Roman"/>
      <w:sz w:val="20"/>
      <w:szCs w:val="20"/>
      <w:lang w:val="x-none" w:eastAsia="es-ES"/>
    </w:rPr>
  </w:style>
  <w:style w:type="character" w:styleId="TextonotapieCar" w:customStyle="1">
    <w:name w:val="Texto nota pie Car"/>
    <w:link w:val="Textonotapie"/>
    <w:uiPriority w:val="99"/>
    <w:rsid w:val="00160EB2"/>
    <w:rPr>
      <w:rFonts w:ascii="Times New Roman" w:hAnsi="Times New Roman" w:eastAsia="Times New Roman" w:cs="Times New Roman"/>
      <w:sz w:val="20"/>
      <w:szCs w:val="20"/>
      <w:lang w:val="x-none" w:eastAsia="es-ES"/>
    </w:rPr>
  </w:style>
  <w:style w:type="paragraph" w:styleId="Textoindependiente22" w:customStyle="1">
    <w:name w:val="Texto independiente 22"/>
    <w:basedOn w:val="Normal"/>
    <w:rsid w:val="00160EB2"/>
    <w:pPr>
      <w:spacing w:after="0" w:line="240" w:lineRule="auto"/>
    </w:pPr>
    <w:rPr>
      <w:rFonts w:ascii="Arial" w:hAnsi="Arial" w:eastAsia="Times New Roman"/>
      <w:sz w:val="26"/>
      <w:szCs w:val="20"/>
      <w:lang w:val="es-ES" w:eastAsia="es-ES"/>
    </w:rPr>
  </w:style>
  <w:style w:type="paragraph" w:styleId="Sinespaciado">
    <w:name w:val="No Spacing"/>
    <w:link w:val="SinespaciadoCar"/>
    <w:uiPriority w:val="1"/>
    <w:qFormat/>
    <w:rsid w:val="00160EB2"/>
    <w:rPr>
      <w:rFonts w:eastAsia="Times New Roman"/>
      <w:sz w:val="22"/>
      <w:szCs w:val="22"/>
    </w:rPr>
  </w:style>
  <w:style w:type="character" w:styleId="SinespaciadoCar" w:customStyle="1">
    <w:name w:val="Sin espaciado Car"/>
    <w:link w:val="Sinespaciado"/>
    <w:uiPriority w:val="1"/>
    <w:locked/>
    <w:rsid w:val="00160EB2"/>
    <w:rPr>
      <w:rFonts w:ascii="Calibri" w:hAnsi="Calibri" w:eastAsia="Times New Roman" w:cs="Times New Roman"/>
      <w:lang w:eastAsia="es-CO"/>
    </w:rPr>
  </w:style>
  <w:style w:type="paragraph" w:styleId="Textodeglobo">
    <w:name w:val="Balloon Text"/>
    <w:basedOn w:val="Normal"/>
    <w:link w:val="TextodegloboCar"/>
    <w:uiPriority w:val="99"/>
    <w:semiHidden/>
    <w:unhideWhenUsed/>
    <w:rsid w:val="00160EB2"/>
    <w:pPr>
      <w:spacing w:after="0" w:line="240" w:lineRule="auto"/>
    </w:pPr>
    <w:rPr>
      <w:rFonts w:ascii="Segoe UI" w:hAnsi="Segoe UI" w:cs="Segoe UI"/>
      <w:sz w:val="18"/>
      <w:szCs w:val="18"/>
    </w:rPr>
  </w:style>
  <w:style w:type="character" w:styleId="TextodegloboCar" w:customStyle="1">
    <w:name w:val="Texto de globo Car"/>
    <w:link w:val="Textodeglobo"/>
    <w:uiPriority w:val="99"/>
    <w:semiHidden/>
    <w:rsid w:val="00160EB2"/>
    <w:rPr>
      <w:rFonts w:ascii="Segoe UI" w:hAnsi="Segoe UI" w:cs="Segoe UI"/>
      <w:sz w:val="18"/>
      <w:szCs w:val="18"/>
    </w:rPr>
  </w:style>
  <w:style w:type="paragraph" w:styleId="Prrafodelista">
    <w:name w:val="List Paragraph"/>
    <w:basedOn w:val="Normal"/>
    <w:uiPriority w:val="34"/>
    <w:qFormat/>
    <w:rsid w:val="00160EB2"/>
    <w:pPr>
      <w:ind w:left="720"/>
      <w:contextualSpacing/>
    </w:pPr>
  </w:style>
  <w:style w:type="paragraph" w:styleId="Textonotaalfinal">
    <w:name w:val="endnote text"/>
    <w:basedOn w:val="Normal"/>
    <w:link w:val="TextonotaalfinalCar"/>
    <w:uiPriority w:val="99"/>
    <w:semiHidden/>
    <w:unhideWhenUsed/>
    <w:rsid w:val="00A617A6"/>
    <w:pPr>
      <w:spacing w:after="0" w:line="240" w:lineRule="auto"/>
    </w:pPr>
    <w:rPr>
      <w:sz w:val="20"/>
      <w:szCs w:val="20"/>
    </w:rPr>
  </w:style>
  <w:style w:type="character" w:styleId="TextonotaalfinalCar" w:customStyle="1">
    <w:name w:val="Texto nota al final Car"/>
    <w:link w:val="Textonotaalfinal"/>
    <w:uiPriority w:val="99"/>
    <w:semiHidden/>
    <w:rsid w:val="00A617A6"/>
    <w:rPr>
      <w:sz w:val="20"/>
      <w:szCs w:val="20"/>
    </w:rPr>
  </w:style>
  <w:style w:type="character" w:styleId="Refdenotaalfinal">
    <w:name w:val="endnote reference"/>
    <w:uiPriority w:val="99"/>
    <w:semiHidden/>
    <w:unhideWhenUsed/>
    <w:rsid w:val="00A617A6"/>
    <w:rPr>
      <w:vertAlign w:val="superscript"/>
    </w:rPr>
  </w:style>
  <w:style w:type="character" w:styleId="Refdenotaalpie">
    <w:name w:val="footnote reference"/>
    <w:aliases w:val="Texto de nota al pie,Ref. de nota al pie2,Ref,de nota al pie,fr,Used by Word for Help footnote symbols,referencia nota al pie,Ref. de nota al pie 2,FC,Appel note d,Appel note de,Appel note de bas de p,Appel note de bas de"/>
    <w:uiPriority w:val="99"/>
    <w:unhideWhenUsed/>
    <w:rsid w:val="00C12B6B"/>
    <w:rPr>
      <w:vertAlign w:val="superscript"/>
    </w:rPr>
  </w:style>
  <w:style w:type="character" w:styleId="Textodelmarcadordeposicin">
    <w:name w:val="Placeholder Text"/>
    <w:uiPriority w:val="99"/>
    <w:semiHidden/>
    <w:rsid w:val="001B63CC"/>
    <w:rPr>
      <w:color w:val="808080"/>
    </w:rPr>
  </w:style>
  <w:style w:type="paragraph" w:styleId="NormalWeb">
    <w:name w:val="Normal (Web)"/>
    <w:basedOn w:val="Normal"/>
    <w:uiPriority w:val="99"/>
    <w:semiHidden/>
    <w:unhideWhenUsed/>
    <w:rsid w:val="000122E3"/>
    <w:pPr>
      <w:spacing w:before="100" w:beforeAutospacing="1" w:after="100" w:afterAutospacing="1" w:line="240" w:lineRule="auto"/>
    </w:pPr>
    <w:rPr>
      <w:rFonts w:ascii="Times New Roman" w:hAnsi="Times New Roman" w:eastAsia="Times New Roman"/>
      <w:sz w:val="24"/>
      <w:szCs w:val="24"/>
      <w:lang w:eastAsia="es-CO"/>
    </w:rPr>
  </w:style>
  <w:style w:type="paragraph" w:styleId="CM10" w:customStyle="1">
    <w:name w:val="CM10"/>
    <w:basedOn w:val="Normal"/>
    <w:next w:val="Normal"/>
    <w:rsid w:val="00D943F2"/>
    <w:pPr>
      <w:widowControl w:val="0"/>
      <w:autoSpaceDE w:val="0"/>
      <w:autoSpaceDN w:val="0"/>
      <w:adjustRightInd w:val="0"/>
      <w:spacing w:after="110" w:line="240" w:lineRule="auto"/>
    </w:pPr>
    <w:rPr>
      <w:rFonts w:ascii="Times New Roman" w:hAnsi="Times New Roman" w:eastAsia="Times New Roman"/>
      <w:sz w:val="24"/>
      <w:szCs w:val="24"/>
      <w:lang w:val="es-ES" w:eastAsia="es-ES"/>
    </w:rPr>
  </w:style>
  <w:style w:type="paragraph" w:styleId="Normal1" w:customStyle="1">
    <w:name w:val="Normal1"/>
    <w:rsid w:val="00CB4E11"/>
    <w:pPr>
      <w:spacing w:after="200" w:line="276" w:lineRule="auto"/>
    </w:pPr>
    <w:rPr>
      <w:rFonts w:cs="Calibri"/>
      <w:color w:val="000000"/>
      <w:sz w:val="22"/>
      <w:lang w:val="es-ES_tradnl" w:eastAsia="es-ES"/>
    </w:rPr>
  </w:style>
  <w:style w:type="paragraph" w:styleId="Default" w:customStyle="1">
    <w:name w:val="Default"/>
    <w:link w:val="DefaultCar"/>
    <w:qFormat/>
    <w:rsid w:val="00DA750E"/>
    <w:pPr>
      <w:autoSpaceDE w:val="0"/>
      <w:autoSpaceDN w:val="0"/>
      <w:adjustRightInd w:val="0"/>
    </w:pPr>
    <w:rPr>
      <w:rFonts w:ascii="Arial" w:hAnsi="Arial" w:cs="Arial"/>
      <w:color w:val="000000"/>
      <w:sz w:val="24"/>
      <w:szCs w:val="24"/>
      <w:lang w:eastAsia="en-US"/>
    </w:rPr>
  </w:style>
  <w:style w:type="character" w:styleId="DefaultCar" w:customStyle="1">
    <w:name w:val="Default Car"/>
    <w:link w:val="Default"/>
    <w:locked/>
    <w:rsid w:val="00DA750E"/>
    <w:rPr>
      <w:rFonts w:ascii="Arial" w:hAnsi="Arial" w:cs="Arial"/>
      <w:color w:val="000000"/>
      <w:sz w:val="24"/>
      <w:szCs w:val="24"/>
      <w:lang w:eastAsia="en-US"/>
    </w:rPr>
  </w:style>
  <w:style w:type="paragraph" w:styleId="Pa8" w:customStyle="1">
    <w:name w:val="Pa8"/>
    <w:basedOn w:val="Default"/>
    <w:next w:val="Default"/>
    <w:uiPriority w:val="99"/>
    <w:rsid w:val="0041543B"/>
    <w:pPr>
      <w:spacing w:line="201" w:lineRule="atLeast"/>
    </w:pPr>
    <w:rPr>
      <w:rFonts w:ascii="HelveticaNeueLT Pro 55 Roman" w:hAnsi="HelveticaNeueLT Pro 55 Roman" w:cs="Times New Roman"/>
      <w:color w:val="auto"/>
      <w:lang w:eastAsia="es-CO"/>
    </w:rPr>
  </w:style>
  <w:style w:type="character" w:styleId="A11" w:customStyle="1">
    <w:name w:val="A11"/>
    <w:uiPriority w:val="99"/>
    <w:rsid w:val="0041543B"/>
    <w:rPr>
      <w:rFonts w:cs="HelveticaNeueLT Pro 55 Roman"/>
      <w:b/>
      <w:bCs/>
      <w:color w:val="000000"/>
      <w:sz w:val="20"/>
      <w:szCs w:val="20"/>
      <w:u w:val="single"/>
    </w:rPr>
  </w:style>
  <w:style w:type="paragraph" w:styleId="TableParagraph" w:customStyle="1">
    <w:name w:val="Table Paragraph"/>
    <w:basedOn w:val="Normal"/>
    <w:uiPriority w:val="1"/>
    <w:rsid w:val="00820273"/>
    <w:pPr>
      <w:autoSpaceDE w:val="0"/>
      <w:autoSpaceDN w:val="0"/>
      <w:spacing w:after="0" w:line="240" w:lineRule="auto"/>
    </w:pPr>
    <w:rPr>
      <w:rFonts w:ascii="Arial" w:hAnsi="Arial" w:cs="Arial"/>
      <w:lang w:eastAsia="es-CO"/>
    </w:rPr>
  </w:style>
  <w:style w:type="character" w:styleId="Hipervnculo">
    <w:name w:val="Hyperlink"/>
    <w:uiPriority w:val="99"/>
    <w:unhideWhenUsed/>
    <w:rsid w:val="00CA5C3D"/>
    <w:rPr>
      <w:color w:val="0000FF"/>
      <w:u w:val="single"/>
    </w:rPr>
  </w:style>
  <w:style w:type="character" w:styleId="Fuerte">
    <w:name w:val="Strong"/>
    <w:uiPriority w:val="22"/>
    <w:qFormat/>
    <w:rsid w:val="00CA5C3D"/>
    <w:rPr>
      <w:b/>
      <w:bCs/>
    </w:rPr>
  </w:style>
  <w:style w:type="paragraph" w:styleId="Asuntodelcomentario">
    <w:name w:val="annotation subject"/>
    <w:basedOn w:val="Textocomentario"/>
    <w:next w:val="Textocomentario"/>
    <w:link w:val="AsuntodelcomentarioCar"/>
    <w:uiPriority w:val="99"/>
    <w:semiHidden/>
    <w:unhideWhenUsed/>
    <w:rsid w:val="00B041F8"/>
    <w:pPr>
      <w:spacing w:after="160" w:line="259" w:lineRule="auto"/>
    </w:pPr>
    <w:rPr>
      <w:rFonts w:ascii="Calibri" w:hAnsi="Calibri" w:eastAsia="Calibri"/>
      <w:b/>
      <w:bCs/>
      <w:lang w:val="es-CO" w:eastAsia="en-US"/>
    </w:rPr>
  </w:style>
  <w:style w:type="character" w:styleId="AsuntodelcomentarioCar" w:customStyle="1">
    <w:name w:val="Asunto del comentario Car"/>
    <w:link w:val="Asuntodelcomentario"/>
    <w:uiPriority w:val="99"/>
    <w:semiHidden/>
    <w:rsid w:val="00B041F8"/>
    <w:rPr>
      <w:rFonts w:ascii="Times New Roman" w:hAnsi="Times New Roman" w:eastAsia="Times New Roman" w:cs="Times New Roman"/>
      <w:b/>
      <w:bCs/>
      <w:sz w:val="20"/>
      <w:szCs w:val="20"/>
      <w:lang w:val="es-CO" w:eastAsia="en-US"/>
    </w:rPr>
  </w:style>
  <w:style w:type="table" w:styleId="Tablaconcuadrcula">
    <w:name w:val="Table Grid"/>
    <w:basedOn w:val="Tablanormal"/>
    <w:uiPriority w:val="39"/>
    <w:rsid w:val="00115ED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1">
    <w:name w:val="normaltextrun"/>
    <w:basedOn w:val="Fuentedeprrafopredeter"/>
    <w:rsid w:val="007E46C5"/>
  </w:style>
  <w:style w:type="character" w:styleId="eop" w:customStyle="1">
    <w:name w:val="eop"/>
    <w:basedOn w:val="Fuentedeprrafopredeter"/>
    <w:rsid w:val="007E46C5"/>
  </w:style>
  <w:style w:type="paragraph" w:styleId="Encabezado">
    <w:name w:val="header"/>
    <w:basedOn w:val="Normal"/>
    <w:link w:val="EncabezadoCar"/>
    <w:uiPriority w:val="99"/>
    <w:semiHidden/>
    <w:unhideWhenUsed/>
    <w:rsid w:val="00A42108"/>
    <w:pPr>
      <w:tabs>
        <w:tab w:val="center" w:pos="4419"/>
        <w:tab w:val="right" w:pos="8838"/>
      </w:tabs>
    </w:pPr>
  </w:style>
  <w:style w:type="character" w:styleId="EncabezadoCar" w:customStyle="1">
    <w:name w:val="Encabezado Car"/>
    <w:link w:val="Encabezado"/>
    <w:uiPriority w:val="99"/>
    <w:semiHidden/>
    <w:rsid w:val="00A42108"/>
    <w:rPr>
      <w:sz w:val="22"/>
      <w:szCs w:val="22"/>
      <w:lang w:eastAsia="en-US"/>
    </w:rPr>
  </w:style>
  <w:style w:type="paragraph" w:styleId="Piedepgina">
    <w:name w:val="footer"/>
    <w:basedOn w:val="Normal"/>
    <w:link w:val="PiedepginaCar"/>
    <w:uiPriority w:val="99"/>
    <w:semiHidden/>
    <w:unhideWhenUsed/>
    <w:rsid w:val="00A42108"/>
    <w:pPr>
      <w:tabs>
        <w:tab w:val="center" w:pos="4419"/>
        <w:tab w:val="right" w:pos="8838"/>
      </w:tabs>
    </w:pPr>
  </w:style>
  <w:style w:type="character" w:styleId="PiedepginaCar" w:customStyle="1">
    <w:name w:val="Pie de página Car"/>
    <w:link w:val="Piedepgina"/>
    <w:uiPriority w:val="99"/>
    <w:semiHidden/>
    <w:rsid w:val="00A42108"/>
    <w:rPr>
      <w:sz w:val="22"/>
      <w:szCs w:val="22"/>
      <w:lang w:eastAsia="en-US"/>
    </w:rPr>
  </w:style>
  <w:style w:type="paragraph" w:styleId="Revisin">
    <w:name w:val="Revision"/>
    <w:hidden/>
    <w:uiPriority w:val="99"/>
    <w:semiHidden/>
    <w:rsid w:val="006A57DA"/>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4390">
      <w:bodyDiv w:val="1"/>
      <w:marLeft w:val="0"/>
      <w:marRight w:val="0"/>
      <w:marTop w:val="0"/>
      <w:marBottom w:val="0"/>
      <w:divBdr>
        <w:top w:val="none" w:sz="0" w:space="0" w:color="auto"/>
        <w:left w:val="none" w:sz="0" w:space="0" w:color="auto"/>
        <w:bottom w:val="none" w:sz="0" w:space="0" w:color="auto"/>
        <w:right w:val="none" w:sz="0" w:space="0" w:color="auto"/>
      </w:divBdr>
    </w:div>
    <w:div w:id="104931190">
      <w:bodyDiv w:val="1"/>
      <w:marLeft w:val="0"/>
      <w:marRight w:val="0"/>
      <w:marTop w:val="0"/>
      <w:marBottom w:val="0"/>
      <w:divBdr>
        <w:top w:val="none" w:sz="0" w:space="0" w:color="auto"/>
        <w:left w:val="none" w:sz="0" w:space="0" w:color="auto"/>
        <w:bottom w:val="none" w:sz="0" w:space="0" w:color="auto"/>
        <w:right w:val="none" w:sz="0" w:space="0" w:color="auto"/>
      </w:divBdr>
    </w:div>
    <w:div w:id="121307781">
      <w:bodyDiv w:val="1"/>
      <w:marLeft w:val="0"/>
      <w:marRight w:val="0"/>
      <w:marTop w:val="0"/>
      <w:marBottom w:val="0"/>
      <w:divBdr>
        <w:top w:val="none" w:sz="0" w:space="0" w:color="auto"/>
        <w:left w:val="none" w:sz="0" w:space="0" w:color="auto"/>
        <w:bottom w:val="none" w:sz="0" w:space="0" w:color="auto"/>
        <w:right w:val="none" w:sz="0" w:space="0" w:color="auto"/>
      </w:divBdr>
    </w:div>
    <w:div w:id="125661008">
      <w:bodyDiv w:val="1"/>
      <w:marLeft w:val="0"/>
      <w:marRight w:val="0"/>
      <w:marTop w:val="0"/>
      <w:marBottom w:val="0"/>
      <w:divBdr>
        <w:top w:val="none" w:sz="0" w:space="0" w:color="auto"/>
        <w:left w:val="none" w:sz="0" w:space="0" w:color="auto"/>
        <w:bottom w:val="none" w:sz="0" w:space="0" w:color="auto"/>
        <w:right w:val="none" w:sz="0" w:space="0" w:color="auto"/>
      </w:divBdr>
    </w:div>
    <w:div w:id="128402564">
      <w:bodyDiv w:val="1"/>
      <w:marLeft w:val="0"/>
      <w:marRight w:val="0"/>
      <w:marTop w:val="0"/>
      <w:marBottom w:val="0"/>
      <w:divBdr>
        <w:top w:val="none" w:sz="0" w:space="0" w:color="auto"/>
        <w:left w:val="none" w:sz="0" w:space="0" w:color="auto"/>
        <w:bottom w:val="none" w:sz="0" w:space="0" w:color="auto"/>
        <w:right w:val="none" w:sz="0" w:space="0" w:color="auto"/>
      </w:divBdr>
    </w:div>
    <w:div w:id="227807815">
      <w:bodyDiv w:val="1"/>
      <w:marLeft w:val="0"/>
      <w:marRight w:val="0"/>
      <w:marTop w:val="0"/>
      <w:marBottom w:val="0"/>
      <w:divBdr>
        <w:top w:val="none" w:sz="0" w:space="0" w:color="auto"/>
        <w:left w:val="none" w:sz="0" w:space="0" w:color="auto"/>
        <w:bottom w:val="none" w:sz="0" w:space="0" w:color="auto"/>
        <w:right w:val="none" w:sz="0" w:space="0" w:color="auto"/>
      </w:divBdr>
    </w:div>
    <w:div w:id="238488433">
      <w:bodyDiv w:val="1"/>
      <w:marLeft w:val="0"/>
      <w:marRight w:val="0"/>
      <w:marTop w:val="0"/>
      <w:marBottom w:val="0"/>
      <w:divBdr>
        <w:top w:val="none" w:sz="0" w:space="0" w:color="auto"/>
        <w:left w:val="none" w:sz="0" w:space="0" w:color="auto"/>
        <w:bottom w:val="none" w:sz="0" w:space="0" w:color="auto"/>
        <w:right w:val="none" w:sz="0" w:space="0" w:color="auto"/>
      </w:divBdr>
    </w:div>
    <w:div w:id="267087105">
      <w:bodyDiv w:val="1"/>
      <w:marLeft w:val="0"/>
      <w:marRight w:val="0"/>
      <w:marTop w:val="0"/>
      <w:marBottom w:val="0"/>
      <w:divBdr>
        <w:top w:val="none" w:sz="0" w:space="0" w:color="auto"/>
        <w:left w:val="none" w:sz="0" w:space="0" w:color="auto"/>
        <w:bottom w:val="none" w:sz="0" w:space="0" w:color="auto"/>
        <w:right w:val="none" w:sz="0" w:space="0" w:color="auto"/>
      </w:divBdr>
    </w:div>
    <w:div w:id="279722773">
      <w:bodyDiv w:val="1"/>
      <w:marLeft w:val="0"/>
      <w:marRight w:val="0"/>
      <w:marTop w:val="0"/>
      <w:marBottom w:val="0"/>
      <w:divBdr>
        <w:top w:val="none" w:sz="0" w:space="0" w:color="auto"/>
        <w:left w:val="none" w:sz="0" w:space="0" w:color="auto"/>
        <w:bottom w:val="none" w:sz="0" w:space="0" w:color="auto"/>
        <w:right w:val="none" w:sz="0" w:space="0" w:color="auto"/>
      </w:divBdr>
    </w:div>
    <w:div w:id="317157114">
      <w:bodyDiv w:val="1"/>
      <w:marLeft w:val="0"/>
      <w:marRight w:val="0"/>
      <w:marTop w:val="0"/>
      <w:marBottom w:val="0"/>
      <w:divBdr>
        <w:top w:val="none" w:sz="0" w:space="0" w:color="auto"/>
        <w:left w:val="none" w:sz="0" w:space="0" w:color="auto"/>
        <w:bottom w:val="none" w:sz="0" w:space="0" w:color="auto"/>
        <w:right w:val="none" w:sz="0" w:space="0" w:color="auto"/>
      </w:divBdr>
    </w:div>
    <w:div w:id="317610356">
      <w:bodyDiv w:val="1"/>
      <w:marLeft w:val="0"/>
      <w:marRight w:val="0"/>
      <w:marTop w:val="0"/>
      <w:marBottom w:val="0"/>
      <w:divBdr>
        <w:top w:val="none" w:sz="0" w:space="0" w:color="auto"/>
        <w:left w:val="none" w:sz="0" w:space="0" w:color="auto"/>
        <w:bottom w:val="none" w:sz="0" w:space="0" w:color="auto"/>
        <w:right w:val="none" w:sz="0" w:space="0" w:color="auto"/>
      </w:divBdr>
    </w:div>
    <w:div w:id="329068556">
      <w:bodyDiv w:val="1"/>
      <w:marLeft w:val="0"/>
      <w:marRight w:val="0"/>
      <w:marTop w:val="0"/>
      <w:marBottom w:val="0"/>
      <w:divBdr>
        <w:top w:val="none" w:sz="0" w:space="0" w:color="auto"/>
        <w:left w:val="none" w:sz="0" w:space="0" w:color="auto"/>
        <w:bottom w:val="none" w:sz="0" w:space="0" w:color="auto"/>
        <w:right w:val="none" w:sz="0" w:space="0" w:color="auto"/>
      </w:divBdr>
    </w:div>
    <w:div w:id="335544688">
      <w:bodyDiv w:val="1"/>
      <w:marLeft w:val="0"/>
      <w:marRight w:val="0"/>
      <w:marTop w:val="0"/>
      <w:marBottom w:val="0"/>
      <w:divBdr>
        <w:top w:val="none" w:sz="0" w:space="0" w:color="auto"/>
        <w:left w:val="none" w:sz="0" w:space="0" w:color="auto"/>
        <w:bottom w:val="none" w:sz="0" w:space="0" w:color="auto"/>
        <w:right w:val="none" w:sz="0" w:space="0" w:color="auto"/>
      </w:divBdr>
    </w:div>
    <w:div w:id="372660136">
      <w:bodyDiv w:val="1"/>
      <w:marLeft w:val="0"/>
      <w:marRight w:val="0"/>
      <w:marTop w:val="0"/>
      <w:marBottom w:val="0"/>
      <w:divBdr>
        <w:top w:val="none" w:sz="0" w:space="0" w:color="auto"/>
        <w:left w:val="none" w:sz="0" w:space="0" w:color="auto"/>
        <w:bottom w:val="none" w:sz="0" w:space="0" w:color="auto"/>
        <w:right w:val="none" w:sz="0" w:space="0" w:color="auto"/>
      </w:divBdr>
    </w:div>
    <w:div w:id="392974201">
      <w:bodyDiv w:val="1"/>
      <w:marLeft w:val="0"/>
      <w:marRight w:val="0"/>
      <w:marTop w:val="0"/>
      <w:marBottom w:val="0"/>
      <w:divBdr>
        <w:top w:val="none" w:sz="0" w:space="0" w:color="auto"/>
        <w:left w:val="none" w:sz="0" w:space="0" w:color="auto"/>
        <w:bottom w:val="none" w:sz="0" w:space="0" w:color="auto"/>
        <w:right w:val="none" w:sz="0" w:space="0" w:color="auto"/>
      </w:divBdr>
    </w:div>
    <w:div w:id="393284190">
      <w:bodyDiv w:val="1"/>
      <w:marLeft w:val="0"/>
      <w:marRight w:val="0"/>
      <w:marTop w:val="0"/>
      <w:marBottom w:val="0"/>
      <w:divBdr>
        <w:top w:val="none" w:sz="0" w:space="0" w:color="auto"/>
        <w:left w:val="none" w:sz="0" w:space="0" w:color="auto"/>
        <w:bottom w:val="none" w:sz="0" w:space="0" w:color="auto"/>
        <w:right w:val="none" w:sz="0" w:space="0" w:color="auto"/>
      </w:divBdr>
    </w:div>
    <w:div w:id="395708742">
      <w:bodyDiv w:val="1"/>
      <w:marLeft w:val="0"/>
      <w:marRight w:val="0"/>
      <w:marTop w:val="0"/>
      <w:marBottom w:val="0"/>
      <w:divBdr>
        <w:top w:val="none" w:sz="0" w:space="0" w:color="auto"/>
        <w:left w:val="none" w:sz="0" w:space="0" w:color="auto"/>
        <w:bottom w:val="none" w:sz="0" w:space="0" w:color="auto"/>
        <w:right w:val="none" w:sz="0" w:space="0" w:color="auto"/>
      </w:divBdr>
    </w:div>
    <w:div w:id="426081394">
      <w:bodyDiv w:val="1"/>
      <w:marLeft w:val="0"/>
      <w:marRight w:val="0"/>
      <w:marTop w:val="0"/>
      <w:marBottom w:val="0"/>
      <w:divBdr>
        <w:top w:val="none" w:sz="0" w:space="0" w:color="auto"/>
        <w:left w:val="none" w:sz="0" w:space="0" w:color="auto"/>
        <w:bottom w:val="none" w:sz="0" w:space="0" w:color="auto"/>
        <w:right w:val="none" w:sz="0" w:space="0" w:color="auto"/>
      </w:divBdr>
    </w:div>
    <w:div w:id="451633512">
      <w:bodyDiv w:val="1"/>
      <w:marLeft w:val="0"/>
      <w:marRight w:val="0"/>
      <w:marTop w:val="0"/>
      <w:marBottom w:val="0"/>
      <w:divBdr>
        <w:top w:val="none" w:sz="0" w:space="0" w:color="auto"/>
        <w:left w:val="none" w:sz="0" w:space="0" w:color="auto"/>
        <w:bottom w:val="none" w:sz="0" w:space="0" w:color="auto"/>
        <w:right w:val="none" w:sz="0" w:space="0" w:color="auto"/>
      </w:divBdr>
    </w:div>
    <w:div w:id="453182996">
      <w:bodyDiv w:val="1"/>
      <w:marLeft w:val="0"/>
      <w:marRight w:val="0"/>
      <w:marTop w:val="0"/>
      <w:marBottom w:val="0"/>
      <w:divBdr>
        <w:top w:val="none" w:sz="0" w:space="0" w:color="auto"/>
        <w:left w:val="none" w:sz="0" w:space="0" w:color="auto"/>
        <w:bottom w:val="none" w:sz="0" w:space="0" w:color="auto"/>
        <w:right w:val="none" w:sz="0" w:space="0" w:color="auto"/>
      </w:divBdr>
    </w:div>
    <w:div w:id="573051704">
      <w:bodyDiv w:val="1"/>
      <w:marLeft w:val="0"/>
      <w:marRight w:val="0"/>
      <w:marTop w:val="0"/>
      <w:marBottom w:val="0"/>
      <w:divBdr>
        <w:top w:val="none" w:sz="0" w:space="0" w:color="auto"/>
        <w:left w:val="none" w:sz="0" w:space="0" w:color="auto"/>
        <w:bottom w:val="none" w:sz="0" w:space="0" w:color="auto"/>
        <w:right w:val="none" w:sz="0" w:space="0" w:color="auto"/>
      </w:divBdr>
    </w:div>
    <w:div w:id="608663467">
      <w:bodyDiv w:val="1"/>
      <w:marLeft w:val="0"/>
      <w:marRight w:val="0"/>
      <w:marTop w:val="0"/>
      <w:marBottom w:val="0"/>
      <w:divBdr>
        <w:top w:val="none" w:sz="0" w:space="0" w:color="auto"/>
        <w:left w:val="none" w:sz="0" w:space="0" w:color="auto"/>
        <w:bottom w:val="none" w:sz="0" w:space="0" w:color="auto"/>
        <w:right w:val="none" w:sz="0" w:space="0" w:color="auto"/>
      </w:divBdr>
    </w:div>
    <w:div w:id="627929833">
      <w:bodyDiv w:val="1"/>
      <w:marLeft w:val="0"/>
      <w:marRight w:val="0"/>
      <w:marTop w:val="0"/>
      <w:marBottom w:val="0"/>
      <w:divBdr>
        <w:top w:val="none" w:sz="0" w:space="0" w:color="auto"/>
        <w:left w:val="none" w:sz="0" w:space="0" w:color="auto"/>
        <w:bottom w:val="none" w:sz="0" w:space="0" w:color="auto"/>
        <w:right w:val="none" w:sz="0" w:space="0" w:color="auto"/>
      </w:divBdr>
    </w:div>
    <w:div w:id="659817506">
      <w:bodyDiv w:val="1"/>
      <w:marLeft w:val="0"/>
      <w:marRight w:val="0"/>
      <w:marTop w:val="0"/>
      <w:marBottom w:val="0"/>
      <w:divBdr>
        <w:top w:val="none" w:sz="0" w:space="0" w:color="auto"/>
        <w:left w:val="none" w:sz="0" w:space="0" w:color="auto"/>
        <w:bottom w:val="none" w:sz="0" w:space="0" w:color="auto"/>
        <w:right w:val="none" w:sz="0" w:space="0" w:color="auto"/>
      </w:divBdr>
    </w:div>
    <w:div w:id="670185140">
      <w:bodyDiv w:val="1"/>
      <w:marLeft w:val="0"/>
      <w:marRight w:val="0"/>
      <w:marTop w:val="0"/>
      <w:marBottom w:val="0"/>
      <w:divBdr>
        <w:top w:val="none" w:sz="0" w:space="0" w:color="auto"/>
        <w:left w:val="none" w:sz="0" w:space="0" w:color="auto"/>
        <w:bottom w:val="none" w:sz="0" w:space="0" w:color="auto"/>
        <w:right w:val="none" w:sz="0" w:space="0" w:color="auto"/>
      </w:divBdr>
    </w:div>
    <w:div w:id="676928396">
      <w:bodyDiv w:val="1"/>
      <w:marLeft w:val="0"/>
      <w:marRight w:val="0"/>
      <w:marTop w:val="0"/>
      <w:marBottom w:val="0"/>
      <w:divBdr>
        <w:top w:val="none" w:sz="0" w:space="0" w:color="auto"/>
        <w:left w:val="none" w:sz="0" w:space="0" w:color="auto"/>
        <w:bottom w:val="none" w:sz="0" w:space="0" w:color="auto"/>
        <w:right w:val="none" w:sz="0" w:space="0" w:color="auto"/>
      </w:divBdr>
    </w:div>
    <w:div w:id="747195245">
      <w:bodyDiv w:val="1"/>
      <w:marLeft w:val="0"/>
      <w:marRight w:val="0"/>
      <w:marTop w:val="0"/>
      <w:marBottom w:val="0"/>
      <w:divBdr>
        <w:top w:val="none" w:sz="0" w:space="0" w:color="auto"/>
        <w:left w:val="none" w:sz="0" w:space="0" w:color="auto"/>
        <w:bottom w:val="none" w:sz="0" w:space="0" w:color="auto"/>
        <w:right w:val="none" w:sz="0" w:space="0" w:color="auto"/>
      </w:divBdr>
    </w:div>
    <w:div w:id="763500417">
      <w:bodyDiv w:val="1"/>
      <w:marLeft w:val="0"/>
      <w:marRight w:val="0"/>
      <w:marTop w:val="0"/>
      <w:marBottom w:val="0"/>
      <w:divBdr>
        <w:top w:val="none" w:sz="0" w:space="0" w:color="auto"/>
        <w:left w:val="none" w:sz="0" w:space="0" w:color="auto"/>
        <w:bottom w:val="none" w:sz="0" w:space="0" w:color="auto"/>
        <w:right w:val="none" w:sz="0" w:space="0" w:color="auto"/>
      </w:divBdr>
    </w:div>
    <w:div w:id="781803708">
      <w:bodyDiv w:val="1"/>
      <w:marLeft w:val="0"/>
      <w:marRight w:val="0"/>
      <w:marTop w:val="0"/>
      <w:marBottom w:val="0"/>
      <w:divBdr>
        <w:top w:val="none" w:sz="0" w:space="0" w:color="auto"/>
        <w:left w:val="none" w:sz="0" w:space="0" w:color="auto"/>
        <w:bottom w:val="none" w:sz="0" w:space="0" w:color="auto"/>
        <w:right w:val="none" w:sz="0" w:space="0" w:color="auto"/>
      </w:divBdr>
    </w:div>
    <w:div w:id="793527536">
      <w:bodyDiv w:val="1"/>
      <w:marLeft w:val="0"/>
      <w:marRight w:val="0"/>
      <w:marTop w:val="0"/>
      <w:marBottom w:val="0"/>
      <w:divBdr>
        <w:top w:val="none" w:sz="0" w:space="0" w:color="auto"/>
        <w:left w:val="none" w:sz="0" w:space="0" w:color="auto"/>
        <w:bottom w:val="none" w:sz="0" w:space="0" w:color="auto"/>
        <w:right w:val="none" w:sz="0" w:space="0" w:color="auto"/>
      </w:divBdr>
    </w:div>
    <w:div w:id="837765643">
      <w:bodyDiv w:val="1"/>
      <w:marLeft w:val="0"/>
      <w:marRight w:val="0"/>
      <w:marTop w:val="0"/>
      <w:marBottom w:val="0"/>
      <w:divBdr>
        <w:top w:val="none" w:sz="0" w:space="0" w:color="auto"/>
        <w:left w:val="none" w:sz="0" w:space="0" w:color="auto"/>
        <w:bottom w:val="none" w:sz="0" w:space="0" w:color="auto"/>
        <w:right w:val="none" w:sz="0" w:space="0" w:color="auto"/>
      </w:divBdr>
    </w:div>
    <w:div w:id="842013233">
      <w:bodyDiv w:val="1"/>
      <w:marLeft w:val="0"/>
      <w:marRight w:val="0"/>
      <w:marTop w:val="0"/>
      <w:marBottom w:val="0"/>
      <w:divBdr>
        <w:top w:val="none" w:sz="0" w:space="0" w:color="auto"/>
        <w:left w:val="none" w:sz="0" w:space="0" w:color="auto"/>
        <w:bottom w:val="none" w:sz="0" w:space="0" w:color="auto"/>
        <w:right w:val="none" w:sz="0" w:space="0" w:color="auto"/>
      </w:divBdr>
    </w:div>
    <w:div w:id="853880705">
      <w:bodyDiv w:val="1"/>
      <w:marLeft w:val="0"/>
      <w:marRight w:val="0"/>
      <w:marTop w:val="0"/>
      <w:marBottom w:val="0"/>
      <w:divBdr>
        <w:top w:val="none" w:sz="0" w:space="0" w:color="auto"/>
        <w:left w:val="none" w:sz="0" w:space="0" w:color="auto"/>
        <w:bottom w:val="none" w:sz="0" w:space="0" w:color="auto"/>
        <w:right w:val="none" w:sz="0" w:space="0" w:color="auto"/>
      </w:divBdr>
    </w:div>
    <w:div w:id="870604342">
      <w:bodyDiv w:val="1"/>
      <w:marLeft w:val="0"/>
      <w:marRight w:val="0"/>
      <w:marTop w:val="0"/>
      <w:marBottom w:val="0"/>
      <w:divBdr>
        <w:top w:val="none" w:sz="0" w:space="0" w:color="auto"/>
        <w:left w:val="none" w:sz="0" w:space="0" w:color="auto"/>
        <w:bottom w:val="none" w:sz="0" w:space="0" w:color="auto"/>
        <w:right w:val="none" w:sz="0" w:space="0" w:color="auto"/>
      </w:divBdr>
    </w:div>
    <w:div w:id="907836591">
      <w:bodyDiv w:val="1"/>
      <w:marLeft w:val="0"/>
      <w:marRight w:val="0"/>
      <w:marTop w:val="0"/>
      <w:marBottom w:val="0"/>
      <w:divBdr>
        <w:top w:val="none" w:sz="0" w:space="0" w:color="auto"/>
        <w:left w:val="none" w:sz="0" w:space="0" w:color="auto"/>
        <w:bottom w:val="none" w:sz="0" w:space="0" w:color="auto"/>
        <w:right w:val="none" w:sz="0" w:space="0" w:color="auto"/>
      </w:divBdr>
    </w:div>
    <w:div w:id="970092918">
      <w:bodyDiv w:val="1"/>
      <w:marLeft w:val="0"/>
      <w:marRight w:val="0"/>
      <w:marTop w:val="0"/>
      <w:marBottom w:val="0"/>
      <w:divBdr>
        <w:top w:val="none" w:sz="0" w:space="0" w:color="auto"/>
        <w:left w:val="none" w:sz="0" w:space="0" w:color="auto"/>
        <w:bottom w:val="none" w:sz="0" w:space="0" w:color="auto"/>
        <w:right w:val="none" w:sz="0" w:space="0" w:color="auto"/>
      </w:divBdr>
    </w:div>
    <w:div w:id="977690868">
      <w:bodyDiv w:val="1"/>
      <w:marLeft w:val="0"/>
      <w:marRight w:val="0"/>
      <w:marTop w:val="0"/>
      <w:marBottom w:val="0"/>
      <w:divBdr>
        <w:top w:val="none" w:sz="0" w:space="0" w:color="auto"/>
        <w:left w:val="none" w:sz="0" w:space="0" w:color="auto"/>
        <w:bottom w:val="none" w:sz="0" w:space="0" w:color="auto"/>
        <w:right w:val="none" w:sz="0" w:space="0" w:color="auto"/>
      </w:divBdr>
    </w:div>
    <w:div w:id="989945811">
      <w:bodyDiv w:val="1"/>
      <w:marLeft w:val="0"/>
      <w:marRight w:val="0"/>
      <w:marTop w:val="0"/>
      <w:marBottom w:val="0"/>
      <w:divBdr>
        <w:top w:val="none" w:sz="0" w:space="0" w:color="auto"/>
        <w:left w:val="none" w:sz="0" w:space="0" w:color="auto"/>
        <w:bottom w:val="none" w:sz="0" w:space="0" w:color="auto"/>
        <w:right w:val="none" w:sz="0" w:space="0" w:color="auto"/>
      </w:divBdr>
    </w:div>
    <w:div w:id="1010185585">
      <w:bodyDiv w:val="1"/>
      <w:marLeft w:val="0"/>
      <w:marRight w:val="0"/>
      <w:marTop w:val="0"/>
      <w:marBottom w:val="0"/>
      <w:divBdr>
        <w:top w:val="none" w:sz="0" w:space="0" w:color="auto"/>
        <w:left w:val="none" w:sz="0" w:space="0" w:color="auto"/>
        <w:bottom w:val="none" w:sz="0" w:space="0" w:color="auto"/>
        <w:right w:val="none" w:sz="0" w:space="0" w:color="auto"/>
      </w:divBdr>
    </w:div>
    <w:div w:id="1078136228">
      <w:bodyDiv w:val="1"/>
      <w:marLeft w:val="0"/>
      <w:marRight w:val="0"/>
      <w:marTop w:val="0"/>
      <w:marBottom w:val="0"/>
      <w:divBdr>
        <w:top w:val="none" w:sz="0" w:space="0" w:color="auto"/>
        <w:left w:val="none" w:sz="0" w:space="0" w:color="auto"/>
        <w:bottom w:val="none" w:sz="0" w:space="0" w:color="auto"/>
        <w:right w:val="none" w:sz="0" w:space="0" w:color="auto"/>
      </w:divBdr>
    </w:div>
    <w:div w:id="1122457566">
      <w:bodyDiv w:val="1"/>
      <w:marLeft w:val="0"/>
      <w:marRight w:val="0"/>
      <w:marTop w:val="0"/>
      <w:marBottom w:val="0"/>
      <w:divBdr>
        <w:top w:val="none" w:sz="0" w:space="0" w:color="auto"/>
        <w:left w:val="none" w:sz="0" w:space="0" w:color="auto"/>
        <w:bottom w:val="none" w:sz="0" w:space="0" w:color="auto"/>
        <w:right w:val="none" w:sz="0" w:space="0" w:color="auto"/>
      </w:divBdr>
    </w:div>
    <w:div w:id="1205364465">
      <w:bodyDiv w:val="1"/>
      <w:marLeft w:val="0"/>
      <w:marRight w:val="0"/>
      <w:marTop w:val="0"/>
      <w:marBottom w:val="0"/>
      <w:divBdr>
        <w:top w:val="none" w:sz="0" w:space="0" w:color="auto"/>
        <w:left w:val="none" w:sz="0" w:space="0" w:color="auto"/>
        <w:bottom w:val="none" w:sz="0" w:space="0" w:color="auto"/>
        <w:right w:val="none" w:sz="0" w:space="0" w:color="auto"/>
      </w:divBdr>
    </w:div>
    <w:div w:id="1218929700">
      <w:bodyDiv w:val="1"/>
      <w:marLeft w:val="0"/>
      <w:marRight w:val="0"/>
      <w:marTop w:val="0"/>
      <w:marBottom w:val="0"/>
      <w:divBdr>
        <w:top w:val="none" w:sz="0" w:space="0" w:color="auto"/>
        <w:left w:val="none" w:sz="0" w:space="0" w:color="auto"/>
        <w:bottom w:val="none" w:sz="0" w:space="0" w:color="auto"/>
        <w:right w:val="none" w:sz="0" w:space="0" w:color="auto"/>
      </w:divBdr>
    </w:div>
    <w:div w:id="1276406493">
      <w:bodyDiv w:val="1"/>
      <w:marLeft w:val="0"/>
      <w:marRight w:val="0"/>
      <w:marTop w:val="0"/>
      <w:marBottom w:val="0"/>
      <w:divBdr>
        <w:top w:val="none" w:sz="0" w:space="0" w:color="auto"/>
        <w:left w:val="none" w:sz="0" w:space="0" w:color="auto"/>
        <w:bottom w:val="none" w:sz="0" w:space="0" w:color="auto"/>
        <w:right w:val="none" w:sz="0" w:space="0" w:color="auto"/>
      </w:divBdr>
    </w:div>
    <w:div w:id="1464035279">
      <w:bodyDiv w:val="1"/>
      <w:marLeft w:val="0"/>
      <w:marRight w:val="0"/>
      <w:marTop w:val="0"/>
      <w:marBottom w:val="0"/>
      <w:divBdr>
        <w:top w:val="none" w:sz="0" w:space="0" w:color="auto"/>
        <w:left w:val="none" w:sz="0" w:space="0" w:color="auto"/>
        <w:bottom w:val="none" w:sz="0" w:space="0" w:color="auto"/>
        <w:right w:val="none" w:sz="0" w:space="0" w:color="auto"/>
      </w:divBdr>
    </w:div>
    <w:div w:id="1505900830">
      <w:bodyDiv w:val="1"/>
      <w:marLeft w:val="0"/>
      <w:marRight w:val="0"/>
      <w:marTop w:val="0"/>
      <w:marBottom w:val="0"/>
      <w:divBdr>
        <w:top w:val="none" w:sz="0" w:space="0" w:color="auto"/>
        <w:left w:val="none" w:sz="0" w:space="0" w:color="auto"/>
        <w:bottom w:val="none" w:sz="0" w:space="0" w:color="auto"/>
        <w:right w:val="none" w:sz="0" w:space="0" w:color="auto"/>
      </w:divBdr>
    </w:div>
    <w:div w:id="1514614093">
      <w:bodyDiv w:val="1"/>
      <w:marLeft w:val="0"/>
      <w:marRight w:val="0"/>
      <w:marTop w:val="0"/>
      <w:marBottom w:val="0"/>
      <w:divBdr>
        <w:top w:val="none" w:sz="0" w:space="0" w:color="auto"/>
        <w:left w:val="none" w:sz="0" w:space="0" w:color="auto"/>
        <w:bottom w:val="none" w:sz="0" w:space="0" w:color="auto"/>
        <w:right w:val="none" w:sz="0" w:space="0" w:color="auto"/>
      </w:divBdr>
    </w:div>
    <w:div w:id="1542551443">
      <w:bodyDiv w:val="1"/>
      <w:marLeft w:val="0"/>
      <w:marRight w:val="0"/>
      <w:marTop w:val="0"/>
      <w:marBottom w:val="0"/>
      <w:divBdr>
        <w:top w:val="none" w:sz="0" w:space="0" w:color="auto"/>
        <w:left w:val="none" w:sz="0" w:space="0" w:color="auto"/>
        <w:bottom w:val="none" w:sz="0" w:space="0" w:color="auto"/>
        <w:right w:val="none" w:sz="0" w:space="0" w:color="auto"/>
      </w:divBdr>
    </w:div>
    <w:div w:id="1554459748">
      <w:bodyDiv w:val="1"/>
      <w:marLeft w:val="0"/>
      <w:marRight w:val="0"/>
      <w:marTop w:val="0"/>
      <w:marBottom w:val="0"/>
      <w:divBdr>
        <w:top w:val="none" w:sz="0" w:space="0" w:color="auto"/>
        <w:left w:val="none" w:sz="0" w:space="0" w:color="auto"/>
        <w:bottom w:val="none" w:sz="0" w:space="0" w:color="auto"/>
        <w:right w:val="none" w:sz="0" w:space="0" w:color="auto"/>
      </w:divBdr>
    </w:div>
    <w:div w:id="1605919029">
      <w:bodyDiv w:val="1"/>
      <w:marLeft w:val="0"/>
      <w:marRight w:val="0"/>
      <w:marTop w:val="0"/>
      <w:marBottom w:val="0"/>
      <w:divBdr>
        <w:top w:val="none" w:sz="0" w:space="0" w:color="auto"/>
        <w:left w:val="none" w:sz="0" w:space="0" w:color="auto"/>
        <w:bottom w:val="none" w:sz="0" w:space="0" w:color="auto"/>
        <w:right w:val="none" w:sz="0" w:space="0" w:color="auto"/>
      </w:divBdr>
    </w:div>
    <w:div w:id="1727753133">
      <w:bodyDiv w:val="1"/>
      <w:marLeft w:val="0"/>
      <w:marRight w:val="0"/>
      <w:marTop w:val="0"/>
      <w:marBottom w:val="0"/>
      <w:divBdr>
        <w:top w:val="none" w:sz="0" w:space="0" w:color="auto"/>
        <w:left w:val="none" w:sz="0" w:space="0" w:color="auto"/>
        <w:bottom w:val="none" w:sz="0" w:space="0" w:color="auto"/>
        <w:right w:val="none" w:sz="0" w:space="0" w:color="auto"/>
      </w:divBdr>
    </w:div>
    <w:div w:id="1740251471">
      <w:bodyDiv w:val="1"/>
      <w:marLeft w:val="0"/>
      <w:marRight w:val="0"/>
      <w:marTop w:val="0"/>
      <w:marBottom w:val="0"/>
      <w:divBdr>
        <w:top w:val="none" w:sz="0" w:space="0" w:color="auto"/>
        <w:left w:val="none" w:sz="0" w:space="0" w:color="auto"/>
        <w:bottom w:val="none" w:sz="0" w:space="0" w:color="auto"/>
        <w:right w:val="none" w:sz="0" w:space="0" w:color="auto"/>
      </w:divBdr>
    </w:div>
    <w:div w:id="1757554493">
      <w:bodyDiv w:val="1"/>
      <w:marLeft w:val="0"/>
      <w:marRight w:val="0"/>
      <w:marTop w:val="0"/>
      <w:marBottom w:val="0"/>
      <w:divBdr>
        <w:top w:val="none" w:sz="0" w:space="0" w:color="auto"/>
        <w:left w:val="none" w:sz="0" w:space="0" w:color="auto"/>
        <w:bottom w:val="none" w:sz="0" w:space="0" w:color="auto"/>
        <w:right w:val="none" w:sz="0" w:space="0" w:color="auto"/>
      </w:divBdr>
    </w:div>
    <w:div w:id="1789348517">
      <w:bodyDiv w:val="1"/>
      <w:marLeft w:val="0"/>
      <w:marRight w:val="0"/>
      <w:marTop w:val="0"/>
      <w:marBottom w:val="0"/>
      <w:divBdr>
        <w:top w:val="none" w:sz="0" w:space="0" w:color="auto"/>
        <w:left w:val="none" w:sz="0" w:space="0" w:color="auto"/>
        <w:bottom w:val="none" w:sz="0" w:space="0" w:color="auto"/>
        <w:right w:val="none" w:sz="0" w:space="0" w:color="auto"/>
      </w:divBdr>
    </w:div>
    <w:div w:id="1796174260">
      <w:bodyDiv w:val="1"/>
      <w:marLeft w:val="0"/>
      <w:marRight w:val="0"/>
      <w:marTop w:val="0"/>
      <w:marBottom w:val="0"/>
      <w:divBdr>
        <w:top w:val="none" w:sz="0" w:space="0" w:color="auto"/>
        <w:left w:val="none" w:sz="0" w:space="0" w:color="auto"/>
        <w:bottom w:val="none" w:sz="0" w:space="0" w:color="auto"/>
        <w:right w:val="none" w:sz="0" w:space="0" w:color="auto"/>
      </w:divBdr>
    </w:div>
    <w:div w:id="1824931264">
      <w:bodyDiv w:val="1"/>
      <w:marLeft w:val="0"/>
      <w:marRight w:val="0"/>
      <w:marTop w:val="0"/>
      <w:marBottom w:val="0"/>
      <w:divBdr>
        <w:top w:val="none" w:sz="0" w:space="0" w:color="auto"/>
        <w:left w:val="none" w:sz="0" w:space="0" w:color="auto"/>
        <w:bottom w:val="none" w:sz="0" w:space="0" w:color="auto"/>
        <w:right w:val="none" w:sz="0" w:space="0" w:color="auto"/>
      </w:divBdr>
    </w:div>
    <w:div w:id="1871842935">
      <w:bodyDiv w:val="1"/>
      <w:marLeft w:val="0"/>
      <w:marRight w:val="0"/>
      <w:marTop w:val="0"/>
      <w:marBottom w:val="0"/>
      <w:divBdr>
        <w:top w:val="none" w:sz="0" w:space="0" w:color="auto"/>
        <w:left w:val="none" w:sz="0" w:space="0" w:color="auto"/>
        <w:bottom w:val="none" w:sz="0" w:space="0" w:color="auto"/>
        <w:right w:val="none" w:sz="0" w:space="0" w:color="auto"/>
      </w:divBdr>
    </w:div>
    <w:div w:id="1891919390">
      <w:bodyDiv w:val="1"/>
      <w:marLeft w:val="0"/>
      <w:marRight w:val="0"/>
      <w:marTop w:val="0"/>
      <w:marBottom w:val="0"/>
      <w:divBdr>
        <w:top w:val="none" w:sz="0" w:space="0" w:color="auto"/>
        <w:left w:val="none" w:sz="0" w:space="0" w:color="auto"/>
        <w:bottom w:val="none" w:sz="0" w:space="0" w:color="auto"/>
        <w:right w:val="none" w:sz="0" w:space="0" w:color="auto"/>
      </w:divBdr>
    </w:div>
    <w:div w:id="1896088697">
      <w:bodyDiv w:val="1"/>
      <w:marLeft w:val="0"/>
      <w:marRight w:val="0"/>
      <w:marTop w:val="0"/>
      <w:marBottom w:val="0"/>
      <w:divBdr>
        <w:top w:val="none" w:sz="0" w:space="0" w:color="auto"/>
        <w:left w:val="none" w:sz="0" w:space="0" w:color="auto"/>
        <w:bottom w:val="none" w:sz="0" w:space="0" w:color="auto"/>
        <w:right w:val="none" w:sz="0" w:space="0" w:color="auto"/>
      </w:divBdr>
    </w:div>
    <w:div w:id="1903786670">
      <w:bodyDiv w:val="1"/>
      <w:marLeft w:val="0"/>
      <w:marRight w:val="0"/>
      <w:marTop w:val="0"/>
      <w:marBottom w:val="0"/>
      <w:divBdr>
        <w:top w:val="none" w:sz="0" w:space="0" w:color="auto"/>
        <w:left w:val="none" w:sz="0" w:space="0" w:color="auto"/>
        <w:bottom w:val="none" w:sz="0" w:space="0" w:color="auto"/>
        <w:right w:val="none" w:sz="0" w:space="0" w:color="auto"/>
      </w:divBdr>
    </w:div>
    <w:div w:id="1906405240">
      <w:bodyDiv w:val="1"/>
      <w:marLeft w:val="0"/>
      <w:marRight w:val="0"/>
      <w:marTop w:val="0"/>
      <w:marBottom w:val="0"/>
      <w:divBdr>
        <w:top w:val="none" w:sz="0" w:space="0" w:color="auto"/>
        <w:left w:val="none" w:sz="0" w:space="0" w:color="auto"/>
        <w:bottom w:val="none" w:sz="0" w:space="0" w:color="auto"/>
        <w:right w:val="none" w:sz="0" w:space="0" w:color="auto"/>
      </w:divBdr>
    </w:div>
    <w:div w:id="1913349276">
      <w:bodyDiv w:val="1"/>
      <w:marLeft w:val="0"/>
      <w:marRight w:val="0"/>
      <w:marTop w:val="0"/>
      <w:marBottom w:val="0"/>
      <w:divBdr>
        <w:top w:val="none" w:sz="0" w:space="0" w:color="auto"/>
        <w:left w:val="none" w:sz="0" w:space="0" w:color="auto"/>
        <w:bottom w:val="none" w:sz="0" w:space="0" w:color="auto"/>
        <w:right w:val="none" w:sz="0" w:space="0" w:color="auto"/>
      </w:divBdr>
    </w:div>
    <w:div w:id="1921015552">
      <w:bodyDiv w:val="1"/>
      <w:marLeft w:val="0"/>
      <w:marRight w:val="0"/>
      <w:marTop w:val="0"/>
      <w:marBottom w:val="0"/>
      <w:divBdr>
        <w:top w:val="none" w:sz="0" w:space="0" w:color="auto"/>
        <w:left w:val="none" w:sz="0" w:space="0" w:color="auto"/>
        <w:bottom w:val="none" w:sz="0" w:space="0" w:color="auto"/>
        <w:right w:val="none" w:sz="0" w:space="0" w:color="auto"/>
      </w:divBdr>
    </w:div>
    <w:div w:id="1924099985">
      <w:bodyDiv w:val="1"/>
      <w:marLeft w:val="0"/>
      <w:marRight w:val="0"/>
      <w:marTop w:val="0"/>
      <w:marBottom w:val="0"/>
      <w:divBdr>
        <w:top w:val="none" w:sz="0" w:space="0" w:color="auto"/>
        <w:left w:val="none" w:sz="0" w:space="0" w:color="auto"/>
        <w:bottom w:val="none" w:sz="0" w:space="0" w:color="auto"/>
        <w:right w:val="none" w:sz="0" w:space="0" w:color="auto"/>
      </w:divBdr>
    </w:div>
    <w:div w:id="1974631435">
      <w:bodyDiv w:val="1"/>
      <w:marLeft w:val="0"/>
      <w:marRight w:val="0"/>
      <w:marTop w:val="0"/>
      <w:marBottom w:val="0"/>
      <w:divBdr>
        <w:top w:val="none" w:sz="0" w:space="0" w:color="auto"/>
        <w:left w:val="none" w:sz="0" w:space="0" w:color="auto"/>
        <w:bottom w:val="none" w:sz="0" w:space="0" w:color="auto"/>
        <w:right w:val="none" w:sz="0" w:space="0" w:color="auto"/>
      </w:divBdr>
    </w:div>
    <w:div w:id="1977880242">
      <w:bodyDiv w:val="1"/>
      <w:marLeft w:val="0"/>
      <w:marRight w:val="0"/>
      <w:marTop w:val="0"/>
      <w:marBottom w:val="0"/>
      <w:divBdr>
        <w:top w:val="none" w:sz="0" w:space="0" w:color="auto"/>
        <w:left w:val="none" w:sz="0" w:space="0" w:color="auto"/>
        <w:bottom w:val="none" w:sz="0" w:space="0" w:color="auto"/>
        <w:right w:val="none" w:sz="0" w:space="0" w:color="auto"/>
      </w:divBdr>
    </w:div>
    <w:div w:id="2025160489">
      <w:bodyDiv w:val="1"/>
      <w:marLeft w:val="0"/>
      <w:marRight w:val="0"/>
      <w:marTop w:val="0"/>
      <w:marBottom w:val="0"/>
      <w:divBdr>
        <w:top w:val="none" w:sz="0" w:space="0" w:color="auto"/>
        <w:left w:val="none" w:sz="0" w:space="0" w:color="auto"/>
        <w:bottom w:val="none" w:sz="0" w:space="0" w:color="auto"/>
        <w:right w:val="none" w:sz="0" w:space="0" w:color="auto"/>
      </w:divBdr>
    </w:div>
    <w:div w:id="2034183610">
      <w:bodyDiv w:val="1"/>
      <w:marLeft w:val="0"/>
      <w:marRight w:val="0"/>
      <w:marTop w:val="0"/>
      <w:marBottom w:val="0"/>
      <w:divBdr>
        <w:top w:val="none" w:sz="0" w:space="0" w:color="auto"/>
        <w:left w:val="none" w:sz="0" w:space="0" w:color="auto"/>
        <w:bottom w:val="none" w:sz="0" w:space="0" w:color="auto"/>
        <w:right w:val="none" w:sz="0" w:space="0" w:color="auto"/>
      </w:divBdr>
    </w:div>
    <w:div w:id="2060474162">
      <w:bodyDiv w:val="1"/>
      <w:marLeft w:val="0"/>
      <w:marRight w:val="0"/>
      <w:marTop w:val="0"/>
      <w:marBottom w:val="0"/>
      <w:divBdr>
        <w:top w:val="none" w:sz="0" w:space="0" w:color="auto"/>
        <w:left w:val="none" w:sz="0" w:space="0" w:color="auto"/>
        <w:bottom w:val="none" w:sz="0" w:space="0" w:color="auto"/>
        <w:right w:val="none" w:sz="0" w:space="0" w:color="auto"/>
      </w:divBdr>
    </w:div>
    <w:div w:id="2095739631">
      <w:bodyDiv w:val="1"/>
      <w:marLeft w:val="0"/>
      <w:marRight w:val="0"/>
      <w:marTop w:val="0"/>
      <w:marBottom w:val="0"/>
      <w:divBdr>
        <w:top w:val="none" w:sz="0" w:space="0" w:color="auto"/>
        <w:left w:val="none" w:sz="0" w:space="0" w:color="auto"/>
        <w:bottom w:val="none" w:sz="0" w:space="0" w:color="auto"/>
        <w:right w:val="none" w:sz="0" w:space="0" w:color="auto"/>
      </w:divBdr>
    </w:div>
    <w:div w:id="2123185642">
      <w:bodyDiv w:val="1"/>
      <w:marLeft w:val="0"/>
      <w:marRight w:val="0"/>
      <w:marTop w:val="0"/>
      <w:marBottom w:val="0"/>
      <w:divBdr>
        <w:top w:val="none" w:sz="0" w:space="0" w:color="auto"/>
        <w:left w:val="none" w:sz="0" w:space="0" w:color="auto"/>
        <w:bottom w:val="none" w:sz="0" w:space="0" w:color="auto"/>
        <w:right w:val="none" w:sz="0" w:space="0" w:color="auto"/>
      </w:divBdr>
    </w:div>
    <w:div w:id="2123304404">
      <w:bodyDiv w:val="1"/>
      <w:marLeft w:val="0"/>
      <w:marRight w:val="0"/>
      <w:marTop w:val="0"/>
      <w:marBottom w:val="0"/>
      <w:divBdr>
        <w:top w:val="none" w:sz="0" w:space="0" w:color="auto"/>
        <w:left w:val="none" w:sz="0" w:space="0" w:color="auto"/>
        <w:bottom w:val="none" w:sz="0" w:space="0" w:color="auto"/>
        <w:right w:val="none" w:sz="0" w:space="0" w:color="auto"/>
      </w:divBdr>
    </w:div>
    <w:div w:id="2125877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png"/><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image" Target="media/image4.png"/><Relationship Id="rId10" Type="http://schemas.microsoft.com/office/2016/09/relationships/commentsIds" Target="commentsIds.xml"/><Relationship Id="rId19"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png"/></Relationships>
</file>

<file path=word/_rels/footnotes.xml.rels><?xml version="1.0" encoding="UTF-8" standalone="yes"?>
<Relationships xmlns="http://schemas.openxmlformats.org/package/2006/relationships"><Relationship Id="rId2" Type="http://schemas.openxmlformats.org/officeDocument/2006/relationships/hyperlink" Target="https://sintesis.colombiacompra.gov.co/content/informaci%C3%B3n-financiera-por-parte-de-personas-naturales-o-jur%C3%ADdicas-extranjeras" TargetMode="External"/><Relationship Id="rId1" Type="http://schemas.openxmlformats.org/officeDocument/2006/relationships/hyperlink" Target="https://www.colombiacompra.gov.co/sites/cce_public/files/cce_documents/cce_guia_proveedores_extranjeros.pdf" TargetMode="External"/></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85B91E-1C14-4FE6-880D-B9550C081A4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jorge luis rios g</dc:creator>
  <keywords/>
  <dc:description/>
  <lastModifiedBy>Martha Isabel Clavijo Pinzón</lastModifiedBy>
  <revision>15</revision>
  <lastPrinted>2023-09-07T22:17:00.0000000Z</lastPrinted>
  <dcterms:created xsi:type="dcterms:W3CDTF">2026-03-25T20:32:00.0000000Z</dcterms:created>
  <dcterms:modified xsi:type="dcterms:W3CDTF">2026-04-11T16:19:03.7504706Z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3dc41c4-3f95-4020-bedd-cbbd89182633_Enabled">
    <vt:lpwstr>true</vt:lpwstr>
  </property>
  <property fmtid="{D5CDD505-2E9C-101B-9397-08002B2CF9AE}" pid="3" name="MSIP_Label_13dc41c4-3f95-4020-bedd-cbbd89182633_SetDate">
    <vt:lpwstr>2025-01-17T19:03:35Z</vt:lpwstr>
  </property>
  <property fmtid="{D5CDD505-2E9C-101B-9397-08002B2CF9AE}" pid="4" name="MSIP_Label_13dc41c4-3f95-4020-bedd-cbbd89182633_Method">
    <vt:lpwstr>Privileged</vt:lpwstr>
  </property>
  <property fmtid="{D5CDD505-2E9C-101B-9397-08002B2CF9AE}" pid="5" name="MSIP_Label_13dc41c4-3f95-4020-bedd-cbbd89182633_Name">
    <vt:lpwstr>General</vt:lpwstr>
  </property>
  <property fmtid="{D5CDD505-2E9C-101B-9397-08002B2CF9AE}" pid="6" name="MSIP_Label_13dc41c4-3f95-4020-bedd-cbbd89182633_SiteId">
    <vt:lpwstr>cbc2c381-2f2e-4d93-91d1-506c9316ace7</vt:lpwstr>
  </property>
  <property fmtid="{D5CDD505-2E9C-101B-9397-08002B2CF9AE}" pid="7" name="MSIP_Label_13dc41c4-3f95-4020-bedd-cbbd89182633_ActionId">
    <vt:lpwstr>6e76e0ee-9b4e-4a0f-98b3-f552f1f5ffbe</vt:lpwstr>
  </property>
  <property fmtid="{D5CDD505-2E9C-101B-9397-08002B2CF9AE}" pid="8" name="MSIP_Label_13dc41c4-3f95-4020-bedd-cbbd89182633_ContentBits">
    <vt:lpwstr>0</vt:lpwstr>
  </property>
</Properties>
</file>