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tyle14"/>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7984"/>
      </w:tblGrid>
      <w:tr w:rsidR="005F74EC" w14:paraId="479F43B1" w14:textId="77777777" w:rsidTr="000C35A8">
        <w:tc>
          <w:tcPr>
            <w:tcW w:w="846" w:type="dxa"/>
            <w:tcBorders>
              <w:bottom w:val="single" w:sz="4" w:space="0" w:color="000000"/>
            </w:tcBorders>
            <w:shd w:val="clear" w:color="auto" w:fill="E8E8E8"/>
            <w:vAlign w:val="center"/>
          </w:tcPr>
          <w:p w14:paraId="26CB70FF" w14:textId="77777777" w:rsidR="005F74EC" w:rsidRDefault="005F74EC" w:rsidP="000C35A8">
            <w:pPr>
              <w:tabs>
                <w:tab w:val="left" w:pos="1575"/>
                <w:tab w:val="left" w:pos="3960"/>
              </w:tabs>
              <w:jc w:val="center"/>
              <w:rPr>
                <w:rFonts w:ascii="Arial" w:eastAsia="Arial" w:hAnsi="Arial" w:cs="Arial"/>
                <w:b/>
                <w:sz w:val="22"/>
                <w:szCs w:val="22"/>
              </w:rPr>
            </w:pPr>
            <w:r>
              <w:rPr>
                <w:rFonts w:ascii="Arial" w:eastAsia="Arial" w:hAnsi="Arial" w:cs="Arial"/>
                <w:b/>
                <w:sz w:val="22"/>
                <w:szCs w:val="22"/>
              </w:rPr>
              <w:t>4.</w:t>
            </w:r>
          </w:p>
        </w:tc>
        <w:tc>
          <w:tcPr>
            <w:tcW w:w="7984" w:type="dxa"/>
            <w:tcBorders>
              <w:bottom w:val="single" w:sz="4" w:space="0" w:color="000000"/>
            </w:tcBorders>
            <w:shd w:val="clear" w:color="auto" w:fill="E8E8E8"/>
            <w:vAlign w:val="center"/>
          </w:tcPr>
          <w:p w14:paraId="65BABADB" w14:textId="77777777" w:rsidR="005F74EC" w:rsidRDefault="005F74EC" w:rsidP="000C35A8">
            <w:pPr>
              <w:rPr>
                <w:rFonts w:ascii="Arial" w:hAnsi="Arial" w:cs="Arial"/>
                <w:b/>
                <w:sz w:val="22"/>
                <w:szCs w:val="22"/>
              </w:rPr>
            </w:pPr>
            <w:r>
              <w:rPr>
                <w:rFonts w:ascii="Arial" w:hAnsi="Arial" w:cs="Arial"/>
                <w:b/>
                <w:sz w:val="22"/>
                <w:szCs w:val="22"/>
              </w:rPr>
              <w:t xml:space="preserve">ESPECIFICACIONES TÉCNICAS MÍNIMAS DE LOS BIENES, OBRAS O SERVICIOS A CONTRATAR. </w:t>
            </w:r>
          </w:p>
        </w:tc>
      </w:tr>
      <w:tr w:rsidR="005F74EC" w14:paraId="1E64CEC7" w14:textId="77777777" w:rsidTr="000C35A8">
        <w:tc>
          <w:tcPr>
            <w:tcW w:w="8830" w:type="dxa"/>
            <w:gridSpan w:val="2"/>
            <w:shd w:val="clear" w:color="auto" w:fill="FFFFFF" w:themeFill="background1"/>
            <w:vAlign w:val="center"/>
          </w:tcPr>
          <w:p w14:paraId="43F4B8DD" w14:textId="77777777" w:rsidR="005F74EC" w:rsidRDefault="005F74EC" w:rsidP="000C35A8">
            <w:pPr>
              <w:jc w:val="center"/>
              <w:rPr>
                <w:rFonts w:ascii="Arial" w:hAnsi="Arial" w:cs="Arial"/>
                <w:i/>
                <w:sz w:val="16"/>
                <w:szCs w:val="16"/>
              </w:rPr>
            </w:pPr>
            <w:r>
              <w:rPr>
                <w:rFonts w:ascii="Arial" w:hAnsi="Arial" w:cs="Arial"/>
                <w:i/>
                <w:sz w:val="16"/>
                <w:szCs w:val="16"/>
              </w:rPr>
              <w:t>Los campos descritos a continuación deben ser diligenciados de acuerdo con la aplicabilidad del bien, obra o servicio a adquirir, se podrán adicionar otros ítems si es requerido.</w:t>
            </w:r>
          </w:p>
        </w:tc>
      </w:tr>
      <w:tr w:rsidR="005F74EC" w14:paraId="7FC0A892" w14:textId="77777777" w:rsidTr="000C35A8">
        <w:trPr>
          <w:trHeight w:val="383"/>
        </w:trPr>
        <w:tc>
          <w:tcPr>
            <w:tcW w:w="846" w:type="dxa"/>
            <w:shd w:val="clear" w:color="auto" w:fill="EDEDED"/>
            <w:vAlign w:val="center"/>
          </w:tcPr>
          <w:p w14:paraId="1C5D6FA1" w14:textId="77777777" w:rsidR="005F74EC" w:rsidRDefault="005F74EC" w:rsidP="000C35A8">
            <w:pPr>
              <w:jc w:val="center"/>
              <w:rPr>
                <w:rFonts w:ascii="Arial" w:hAnsi="Arial" w:cs="Arial"/>
                <w:b/>
                <w:sz w:val="22"/>
                <w:szCs w:val="22"/>
              </w:rPr>
            </w:pPr>
            <w:r>
              <w:rPr>
                <w:rFonts w:ascii="Arial" w:hAnsi="Arial" w:cs="Arial"/>
                <w:b/>
                <w:sz w:val="22"/>
                <w:szCs w:val="22"/>
              </w:rPr>
              <w:t>4.1.</w:t>
            </w:r>
          </w:p>
        </w:tc>
        <w:tc>
          <w:tcPr>
            <w:tcW w:w="7984" w:type="dxa"/>
            <w:shd w:val="clear" w:color="auto" w:fill="EDEDED"/>
            <w:vAlign w:val="center"/>
          </w:tcPr>
          <w:p w14:paraId="479023F7" w14:textId="77777777" w:rsidR="005F74EC" w:rsidRDefault="005F74EC" w:rsidP="000C35A8">
            <w:pPr>
              <w:rPr>
                <w:rFonts w:ascii="Arial" w:hAnsi="Arial" w:cs="Arial"/>
                <w:b/>
                <w:sz w:val="22"/>
                <w:szCs w:val="22"/>
              </w:rPr>
            </w:pPr>
            <w:r>
              <w:rPr>
                <w:rFonts w:ascii="Arial" w:hAnsi="Arial" w:cs="Arial"/>
                <w:b/>
                <w:sz w:val="22"/>
                <w:szCs w:val="22"/>
              </w:rPr>
              <w:t>Clasificación del bien, obra o servicio</w:t>
            </w:r>
          </w:p>
        </w:tc>
      </w:tr>
      <w:tr w:rsidR="005F74EC" w14:paraId="36624B60" w14:textId="77777777" w:rsidTr="000C35A8">
        <w:trPr>
          <w:trHeight w:val="2928"/>
        </w:trPr>
        <w:tc>
          <w:tcPr>
            <w:tcW w:w="8830" w:type="dxa"/>
            <w:gridSpan w:val="2"/>
            <w:shd w:val="clear" w:color="auto" w:fill="FFFFFF" w:themeFill="background1"/>
          </w:tcPr>
          <w:p w14:paraId="1D0FF42F" w14:textId="77777777" w:rsidR="005F74EC" w:rsidRDefault="005F74EC" w:rsidP="000C35A8">
            <w:pPr>
              <w:jc w:val="both"/>
              <w:rPr>
                <w:rFonts w:ascii="Arial" w:hAnsi="Arial"/>
                <w:sz w:val="22"/>
                <w:szCs w:val="22"/>
              </w:rPr>
            </w:pPr>
            <w:r>
              <w:rPr>
                <w:rFonts w:ascii="Arial" w:hAnsi="Arial"/>
                <w:sz w:val="22"/>
                <w:szCs w:val="22"/>
              </w:rPr>
              <w:t xml:space="preserve">Los bienes, obras o servicios objeto del presente Proceso de Contratación deben estar codificados en el Clasificador de Bienes y Servicios de Naciones Unidas (UNSPSC), como se indica en la Tabla 1: </w:t>
            </w:r>
            <w:hyperlink r:id="rId5" w:history="1">
              <w:r>
                <w:rPr>
                  <w:rStyle w:val="Hipervnculo"/>
                  <w:rFonts w:ascii="Arial" w:eastAsiaTheme="majorEastAsia" w:hAnsi="Arial"/>
                  <w:sz w:val="22"/>
                  <w:szCs w:val="22"/>
                </w:rPr>
                <w:t>http://www.colombiacompra.gov.co/es/Clasificacion</w:t>
              </w:r>
            </w:hyperlink>
          </w:p>
          <w:p w14:paraId="08176E64" w14:textId="77777777" w:rsidR="005F74EC" w:rsidRDefault="005F74EC" w:rsidP="000C35A8">
            <w:pPr>
              <w:jc w:val="both"/>
              <w:rPr>
                <w:rFonts w:ascii="Arial" w:hAnsi="Arial"/>
                <w:sz w:val="22"/>
                <w:szCs w:val="22"/>
              </w:rPr>
            </w:pPr>
          </w:p>
          <w:tbl>
            <w:tblPr>
              <w:tblStyle w:val="Tablaconcuadrcula"/>
              <w:tblW w:w="8607" w:type="dxa"/>
              <w:tblLayout w:type="fixed"/>
              <w:tblLook w:val="04A0" w:firstRow="1" w:lastRow="0" w:firstColumn="1" w:lastColumn="0" w:noHBand="0" w:noVBand="1"/>
            </w:tblPr>
            <w:tblGrid>
              <w:gridCol w:w="4602"/>
              <w:gridCol w:w="4005"/>
            </w:tblGrid>
            <w:tr w:rsidR="005F74EC" w14:paraId="4B9B614E" w14:textId="77777777" w:rsidTr="000C35A8">
              <w:tc>
                <w:tcPr>
                  <w:tcW w:w="8607" w:type="dxa"/>
                  <w:gridSpan w:val="2"/>
                  <w:shd w:val="clear" w:color="auto" w:fill="EDEDED"/>
                </w:tcPr>
                <w:p w14:paraId="05F2B877" w14:textId="77777777" w:rsidR="005F74EC" w:rsidRDefault="005F74EC" w:rsidP="000C35A8">
                  <w:pPr>
                    <w:jc w:val="center"/>
                    <w:rPr>
                      <w:rFonts w:ascii="Arial" w:hAnsi="Arial"/>
                      <w:b/>
                      <w:bCs/>
                      <w:sz w:val="22"/>
                      <w:szCs w:val="22"/>
                      <w:lang w:val="es-ES"/>
                    </w:rPr>
                  </w:pPr>
                  <w:r>
                    <w:rPr>
                      <w:b/>
                      <w:bCs/>
                      <w:sz w:val="18"/>
                      <w:szCs w:val="18"/>
                    </w:rPr>
                    <w:t xml:space="preserve">Tabla </w:t>
                  </w:r>
                  <w:r>
                    <w:rPr>
                      <w:b/>
                      <w:bCs/>
                      <w:sz w:val="18"/>
                      <w:szCs w:val="18"/>
                      <w:lang w:val="es-ES"/>
                    </w:rPr>
                    <w:t>1</w:t>
                  </w:r>
                  <w:r>
                    <w:rPr>
                      <w:b/>
                      <w:bCs/>
                      <w:sz w:val="18"/>
                      <w:szCs w:val="18"/>
                    </w:rPr>
                    <w:t xml:space="preserve">. </w:t>
                  </w:r>
                  <w:r>
                    <w:rPr>
                      <w:sz w:val="18"/>
                      <w:szCs w:val="18"/>
                    </w:rPr>
                    <w:t>Codificación del bien, obra o servicio en el sistema UNSPSC</w:t>
                  </w:r>
                </w:p>
              </w:tc>
            </w:tr>
            <w:tr w:rsidR="005F74EC" w14:paraId="7F5508C1" w14:textId="77777777" w:rsidTr="000C35A8">
              <w:tc>
                <w:tcPr>
                  <w:tcW w:w="4602" w:type="dxa"/>
                  <w:shd w:val="clear" w:color="auto" w:fill="EDEDED"/>
                </w:tcPr>
                <w:p w14:paraId="22F0D065" w14:textId="77777777" w:rsidR="005F74EC" w:rsidRDefault="005F74EC" w:rsidP="000C35A8">
                  <w:pPr>
                    <w:jc w:val="center"/>
                    <w:rPr>
                      <w:rFonts w:ascii="Arial" w:hAnsi="Arial"/>
                      <w:b/>
                      <w:bCs/>
                      <w:sz w:val="22"/>
                      <w:szCs w:val="22"/>
                      <w:lang w:val="es-ES"/>
                    </w:rPr>
                  </w:pPr>
                  <w:r>
                    <w:rPr>
                      <w:rFonts w:ascii="Arial" w:hAnsi="Arial"/>
                      <w:b/>
                      <w:bCs/>
                      <w:sz w:val="22"/>
                      <w:szCs w:val="22"/>
                      <w:lang w:val="es-ES"/>
                    </w:rPr>
                    <w:t>Clasificación UNSPSC</w:t>
                  </w:r>
                </w:p>
              </w:tc>
              <w:tc>
                <w:tcPr>
                  <w:tcW w:w="4005" w:type="dxa"/>
                  <w:shd w:val="clear" w:color="auto" w:fill="EDEDED"/>
                </w:tcPr>
                <w:p w14:paraId="0B776B1E" w14:textId="77777777" w:rsidR="005F74EC" w:rsidRDefault="005F74EC" w:rsidP="000C35A8">
                  <w:pPr>
                    <w:jc w:val="center"/>
                    <w:rPr>
                      <w:rFonts w:ascii="Arial" w:hAnsi="Arial"/>
                      <w:b/>
                      <w:bCs/>
                      <w:sz w:val="22"/>
                      <w:szCs w:val="22"/>
                      <w:lang w:val="es-ES"/>
                    </w:rPr>
                  </w:pPr>
                  <w:r>
                    <w:rPr>
                      <w:rFonts w:ascii="Arial" w:hAnsi="Arial"/>
                      <w:b/>
                      <w:bCs/>
                      <w:sz w:val="22"/>
                      <w:szCs w:val="22"/>
                      <w:lang w:val="es-ES"/>
                    </w:rPr>
                    <w:t>Descripción</w:t>
                  </w:r>
                </w:p>
              </w:tc>
            </w:tr>
            <w:tr w:rsidR="005F74EC" w14:paraId="1F446B1B" w14:textId="77777777" w:rsidTr="000C35A8">
              <w:tc>
                <w:tcPr>
                  <w:tcW w:w="4602" w:type="dxa"/>
                  <w:vAlign w:val="center"/>
                </w:tcPr>
                <w:p w14:paraId="7C3DD06A" w14:textId="77777777" w:rsidR="005F74EC" w:rsidRDefault="005F74EC" w:rsidP="000C35A8">
                  <w:pPr>
                    <w:jc w:val="center"/>
                    <w:rPr>
                      <w:rFonts w:ascii="Arial" w:hAnsi="Arial"/>
                      <w:b/>
                      <w:bCs/>
                      <w:sz w:val="22"/>
                      <w:szCs w:val="22"/>
                      <w:lang w:val="es-ES"/>
                    </w:rPr>
                  </w:pPr>
                  <w:r w:rsidRPr="00CC13C7">
                    <w:rPr>
                      <w:rFonts w:cs="Arial"/>
                      <w:sz w:val="22"/>
                      <w:szCs w:val="22"/>
                    </w:rPr>
                    <w:t>81101700</w:t>
                  </w:r>
                </w:p>
              </w:tc>
              <w:tc>
                <w:tcPr>
                  <w:tcW w:w="4005" w:type="dxa"/>
                  <w:vAlign w:val="center"/>
                </w:tcPr>
                <w:p w14:paraId="6A717FE5" w14:textId="77777777" w:rsidR="005F74EC" w:rsidRDefault="005F74EC" w:rsidP="000C35A8">
                  <w:pPr>
                    <w:jc w:val="center"/>
                    <w:rPr>
                      <w:rFonts w:ascii="Arial" w:hAnsi="Arial"/>
                      <w:b/>
                      <w:bCs/>
                      <w:sz w:val="22"/>
                      <w:szCs w:val="22"/>
                      <w:lang w:val="es-ES"/>
                    </w:rPr>
                  </w:pPr>
                  <w:r w:rsidRPr="00CC13C7">
                    <w:rPr>
                      <w:rFonts w:cs="Arial"/>
                      <w:sz w:val="22"/>
                      <w:szCs w:val="22"/>
                    </w:rPr>
                    <w:t>Ingeniería eléctrica y electrónica</w:t>
                  </w:r>
                </w:p>
              </w:tc>
            </w:tr>
            <w:tr w:rsidR="005F74EC" w14:paraId="7FBA906D" w14:textId="77777777" w:rsidTr="000C35A8">
              <w:tc>
                <w:tcPr>
                  <w:tcW w:w="4602" w:type="dxa"/>
                  <w:vAlign w:val="center"/>
                </w:tcPr>
                <w:p w14:paraId="1ECDA867" w14:textId="77777777" w:rsidR="005F74EC" w:rsidRDefault="005F74EC" w:rsidP="000C35A8">
                  <w:pPr>
                    <w:jc w:val="center"/>
                    <w:rPr>
                      <w:rFonts w:ascii="Arial" w:hAnsi="Arial"/>
                      <w:sz w:val="22"/>
                      <w:szCs w:val="22"/>
                    </w:rPr>
                  </w:pPr>
                  <w:r w:rsidRPr="00CC13C7">
                    <w:rPr>
                      <w:rFonts w:eastAsia="Calibri" w:cs="Arial"/>
                      <w:sz w:val="22"/>
                      <w:szCs w:val="22"/>
                    </w:rPr>
                    <w:t>72101507</w:t>
                  </w:r>
                </w:p>
              </w:tc>
              <w:tc>
                <w:tcPr>
                  <w:tcW w:w="4005" w:type="dxa"/>
                  <w:vAlign w:val="center"/>
                </w:tcPr>
                <w:p w14:paraId="52C236BB" w14:textId="77777777" w:rsidR="005F74EC" w:rsidRDefault="005F74EC" w:rsidP="000C35A8">
                  <w:pPr>
                    <w:jc w:val="center"/>
                    <w:rPr>
                      <w:rFonts w:ascii="Arial" w:hAnsi="Arial"/>
                      <w:sz w:val="22"/>
                      <w:szCs w:val="22"/>
                    </w:rPr>
                  </w:pPr>
                  <w:r w:rsidRPr="00CC13C7">
                    <w:rPr>
                      <w:rFonts w:eastAsia="Calibri" w:cs="Arial"/>
                      <w:sz w:val="22"/>
                      <w:szCs w:val="22"/>
                    </w:rPr>
                    <w:t>Servicios de Mantenimiento de Edificaciones</w:t>
                  </w:r>
                </w:p>
              </w:tc>
            </w:tr>
            <w:tr w:rsidR="005F74EC" w14:paraId="2E8342D4" w14:textId="77777777" w:rsidTr="000C35A8">
              <w:tc>
                <w:tcPr>
                  <w:tcW w:w="4602" w:type="dxa"/>
                  <w:vAlign w:val="center"/>
                </w:tcPr>
                <w:p w14:paraId="3343A667" w14:textId="77777777" w:rsidR="005F74EC" w:rsidRDefault="005F74EC" w:rsidP="000C35A8">
                  <w:pPr>
                    <w:jc w:val="center"/>
                    <w:rPr>
                      <w:rFonts w:ascii="Arial" w:hAnsi="Arial"/>
                      <w:sz w:val="22"/>
                      <w:szCs w:val="22"/>
                    </w:rPr>
                  </w:pPr>
                  <w:r w:rsidRPr="00CC13C7">
                    <w:rPr>
                      <w:rFonts w:eastAsia="Calibri" w:cs="Arial"/>
                      <w:sz w:val="22"/>
                      <w:szCs w:val="22"/>
                    </w:rPr>
                    <w:t>81101703</w:t>
                  </w:r>
                </w:p>
              </w:tc>
              <w:tc>
                <w:tcPr>
                  <w:tcW w:w="4005" w:type="dxa"/>
                  <w:vAlign w:val="center"/>
                </w:tcPr>
                <w:p w14:paraId="45537A2F" w14:textId="77777777" w:rsidR="005F74EC" w:rsidRDefault="005F74EC" w:rsidP="000C35A8">
                  <w:pPr>
                    <w:jc w:val="center"/>
                    <w:rPr>
                      <w:rFonts w:ascii="Arial" w:hAnsi="Arial"/>
                      <w:sz w:val="22"/>
                      <w:szCs w:val="22"/>
                    </w:rPr>
                  </w:pPr>
                  <w:r w:rsidRPr="00CC13C7">
                    <w:rPr>
                      <w:rFonts w:eastAsia="Calibri" w:cs="Arial"/>
                      <w:sz w:val="22"/>
                      <w:szCs w:val="22"/>
                    </w:rPr>
                    <w:t>Servicios de Pruebas Técnicas</w:t>
                  </w:r>
                </w:p>
              </w:tc>
            </w:tr>
            <w:tr w:rsidR="005F74EC" w14:paraId="08E7EE6A" w14:textId="77777777" w:rsidTr="000C35A8">
              <w:tc>
                <w:tcPr>
                  <w:tcW w:w="4602" w:type="dxa"/>
                  <w:vAlign w:val="center"/>
                </w:tcPr>
                <w:p w14:paraId="7CA78C1D" w14:textId="77777777" w:rsidR="005F74EC" w:rsidRDefault="005F74EC" w:rsidP="000C35A8">
                  <w:pPr>
                    <w:jc w:val="center"/>
                    <w:rPr>
                      <w:rFonts w:ascii="Arial" w:hAnsi="Arial"/>
                      <w:sz w:val="22"/>
                      <w:szCs w:val="22"/>
                    </w:rPr>
                  </w:pPr>
                  <w:r w:rsidRPr="00CC13C7">
                    <w:rPr>
                      <w:rFonts w:eastAsia="Calibri" w:cs="Arial"/>
                      <w:sz w:val="22"/>
                      <w:szCs w:val="22"/>
                    </w:rPr>
                    <w:t>81141804</w:t>
                  </w:r>
                </w:p>
              </w:tc>
              <w:tc>
                <w:tcPr>
                  <w:tcW w:w="4005" w:type="dxa"/>
                  <w:vAlign w:val="center"/>
                </w:tcPr>
                <w:p w14:paraId="42B73137" w14:textId="77777777" w:rsidR="005F74EC" w:rsidRDefault="005F74EC" w:rsidP="000C35A8">
                  <w:pPr>
                    <w:jc w:val="center"/>
                    <w:rPr>
                      <w:rFonts w:ascii="Arial" w:hAnsi="Arial"/>
                      <w:sz w:val="22"/>
                      <w:szCs w:val="22"/>
                    </w:rPr>
                  </w:pPr>
                  <w:r w:rsidRPr="00CC13C7">
                    <w:rPr>
                      <w:rFonts w:eastAsia="Calibri" w:cs="Arial"/>
                      <w:sz w:val="22"/>
                      <w:szCs w:val="22"/>
                    </w:rPr>
                    <w:t>Servicios de Inspección de Equipos</w:t>
                  </w:r>
                </w:p>
              </w:tc>
            </w:tr>
            <w:tr w:rsidR="005F74EC" w14:paraId="7DB931C2" w14:textId="77777777" w:rsidTr="000C35A8">
              <w:tc>
                <w:tcPr>
                  <w:tcW w:w="8607" w:type="dxa"/>
                  <w:gridSpan w:val="2"/>
                </w:tcPr>
                <w:p w14:paraId="44B20D68" w14:textId="77777777" w:rsidR="005F74EC" w:rsidRDefault="005F74EC" w:rsidP="000C35A8">
                  <w:pPr>
                    <w:jc w:val="center"/>
                    <w:rPr>
                      <w:rFonts w:ascii="Arial" w:hAnsi="Arial"/>
                      <w:sz w:val="22"/>
                      <w:szCs w:val="22"/>
                    </w:rPr>
                  </w:pPr>
                  <w:r>
                    <w:rPr>
                      <w:i/>
                      <w:iCs/>
                      <w:sz w:val="14"/>
                      <w:szCs w:val="14"/>
                    </w:rPr>
                    <w:t>(Agregar las filas que sean necesarias)</w:t>
                  </w:r>
                </w:p>
              </w:tc>
            </w:tr>
          </w:tbl>
          <w:p w14:paraId="44B6DDA8" w14:textId="77777777" w:rsidR="005F74EC" w:rsidRDefault="005F74EC" w:rsidP="000C35A8">
            <w:pPr>
              <w:jc w:val="both"/>
              <w:rPr>
                <w:rFonts w:ascii="Arial" w:hAnsi="Arial" w:cs="Arial"/>
                <w:sz w:val="22"/>
                <w:szCs w:val="22"/>
              </w:rPr>
            </w:pPr>
          </w:p>
        </w:tc>
      </w:tr>
      <w:tr w:rsidR="005F74EC" w14:paraId="376936DE" w14:textId="77777777" w:rsidTr="000C35A8">
        <w:tc>
          <w:tcPr>
            <w:tcW w:w="846" w:type="dxa"/>
            <w:shd w:val="clear" w:color="auto" w:fill="EDEDED"/>
            <w:vAlign w:val="center"/>
          </w:tcPr>
          <w:p w14:paraId="73F27771" w14:textId="77777777" w:rsidR="005F74EC" w:rsidRDefault="005F74EC" w:rsidP="000C35A8">
            <w:pPr>
              <w:jc w:val="center"/>
              <w:rPr>
                <w:rFonts w:ascii="Arial" w:hAnsi="Arial" w:cs="Arial"/>
                <w:b/>
                <w:sz w:val="22"/>
                <w:szCs w:val="16"/>
              </w:rPr>
            </w:pPr>
            <w:r>
              <w:rPr>
                <w:rFonts w:ascii="Arial" w:hAnsi="Arial" w:cs="Arial"/>
                <w:b/>
                <w:sz w:val="22"/>
                <w:szCs w:val="16"/>
              </w:rPr>
              <w:t>4.2.</w:t>
            </w:r>
          </w:p>
        </w:tc>
        <w:tc>
          <w:tcPr>
            <w:tcW w:w="7984" w:type="dxa"/>
            <w:shd w:val="clear" w:color="auto" w:fill="EDEDED"/>
            <w:vAlign w:val="center"/>
          </w:tcPr>
          <w:p w14:paraId="37DD1486" w14:textId="77777777" w:rsidR="005F74EC" w:rsidRDefault="005F74EC" w:rsidP="000C35A8">
            <w:pPr>
              <w:rPr>
                <w:rFonts w:ascii="Arial" w:hAnsi="Arial" w:cs="Arial"/>
                <w:b/>
                <w:sz w:val="22"/>
                <w:szCs w:val="16"/>
              </w:rPr>
            </w:pPr>
            <w:r>
              <w:rPr>
                <w:rFonts w:ascii="Arial" w:hAnsi="Arial" w:cs="Arial"/>
                <w:b/>
                <w:sz w:val="22"/>
                <w:szCs w:val="22"/>
              </w:rPr>
              <w:t>Nombre Comercial del Bien o Servicio</w:t>
            </w:r>
          </w:p>
        </w:tc>
      </w:tr>
      <w:tr w:rsidR="005F74EC" w14:paraId="6D04B53B" w14:textId="77777777" w:rsidTr="000C35A8">
        <w:trPr>
          <w:trHeight w:val="575"/>
        </w:trPr>
        <w:tc>
          <w:tcPr>
            <w:tcW w:w="8830" w:type="dxa"/>
            <w:gridSpan w:val="2"/>
          </w:tcPr>
          <w:p w14:paraId="5A6AA27C" w14:textId="77777777" w:rsidR="005F74EC" w:rsidRDefault="005F74EC" w:rsidP="000C35A8">
            <w:pPr>
              <w:jc w:val="both"/>
              <w:rPr>
                <w:rFonts w:ascii="Arial" w:hAnsi="Arial" w:cs="Arial"/>
                <w:sz w:val="22"/>
                <w:szCs w:val="22"/>
              </w:rPr>
            </w:pPr>
            <w:r w:rsidRPr="007517FB">
              <w:rPr>
                <w:rFonts w:ascii="Arial" w:hAnsi="Arial" w:cs="Arial"/>
                <w:sz w:val="22"/>
                <w:szCs w:val="22"/>
              </w:rPr>
              <w:t xml:space="preserve">Prestar el servicio de revisión general y certificación para ascensores electromecánicos e hidráulicos y puertas eléctricas y automáticas, ubicados en sedes de la Fiscalía General de la Nación- Regional Caribe”. </w:t>
            </w:r>
          </w:p>
          <w:p w14:paraId="47E865F5" w14:textId="77777777" w:rsidR="005F74EC" w:rsidRDefault="005F74EC" w:rsidP="000C35A8">
            <w:pPr>
              <w:jc w:val="both"/>
              <w:rPr>
                <w:rFonts w:ascii="Arial" w:hAnsi="Arial" w:cs="Arial"/>
                <w:sz w:val="22"/>
                <w:szCs w:val="22"/>
              </w:rPr>
            </w:pPr>
          </w:p>
          <w:p w14:paraId="399C4BF5" w14:textId="77777777" w:rsidR="005F74EC" w:rsidRDefault="005F74EC" w:rsidP="000C35A8">
            <w:pPr>
              <w:jc w:val="both"/>
              <w:rPr>
                <w:rFonts w:ascii="Arial" w:hAnsi="Arial" w:cs="Arial"/>
                <w:sz w:val="22"/>
                <w:szCs w:val="22"/>
              </w:rPr>
            </w:pPr>
            <w:r w:rsidRPr="007517FB">
              <w:rPr>
                <w:rFonts w:ascii="Arial" w:hAnsi="Arial" w:cs="Arial"/>
                <w:sz w:val="22"/>
                <w:szCs w:val="22"/>
              </w:rPr>
              <w:t xml:space="preserve">Con el contrato, la fiscalía general de la Nación adquirirá el servicio de inspección obligatoria para los ascensores que hacen parte de las sedes de la Regional Caribe de la Fiscalía General de la Nación, que le permitirán: </w:t>
            </w:r>
          </w:p>
          <w:p w14:paraId="3C1ADBAF" w14:textId="77777777" w:rsidR="005F74EC" w:rsidRDefault="005F74EC" w:rsidP="000C35A8">
            <w:pPr>
              <w:jc w:val="both"/>
              <w:rPr>
                <w:rFonts w:ascii="Arial" w:hAnsi="Arial" w:cs="Arial"/>
                <w:sz w:val="22"/>
                <w:szCs w:val="22"/>
              </w:rPr>
            </w:pPr>
          </w:p>
          <w:p w14:paraId="6D6A8EB4" w14:textId="77777777" w:rsidR="005F74EC" w:rsidRDefault="005F74EC" w:rsidP="000C35A8">
            <w:pPr>
              <w:jc w:val="both"/>
              <w:rPr>
                <w:rFonts w:ascii="Arial" w:hAnsi="Arial" w:cs="Arial"/>
                <w:sz w:val="22"/>
                <w:szCs w:val="22"/>
              </w:rPr>
            </w:pPr>
            <w:r w:rsidRPr="007517FB">
              <w:rPr>
                <w:rFonts w:ascii="Arial" w:hAnsi="Arial" w:cs="Arial"/>
                <w:sz w:val="22"/>
                <w:szCs w:val="22"/>
              </w:rPr>
              <w:t>- Cumplir con la normatividad técnica, de seguridad industrial y salud ocupacional y con la normatividad legal vigente en el momento, relacionada con ascensores y puertas eléctricas.</w:t>
            </w:r>
          </w:p>
          <w:p w14:paraId="2BF19032" w14:textId="77777777" w:rsidR="005F74EC" w:rsidRDefault="005F74EC" w:rsidP="000C35A8">
            <w:pPr>
              <w:jc w:val="both"/>
              <w:rPr>
                <w:rFonts w:ascii="Arial" w:hAnsi="Arial" w:cs="Arial"/>
                <w:sz w:val="22"/>
                <w:szCs w:val="22"/>
              </w:rPr>
            </w:pPr>
            <w:r w:rsidRPr="007517FB">
              <w:rPr>
                <w:rFonts w:ascii="Arial" w:hAnsi="Arial" w:cs="Arial"/>
                <w:sz w:val="22"/>
                <w:szCs w:val="22"/>
              </w:rPr>
              <w:t>- Contar con el diagnóstico y la revisión del funcionamiento de los ascensores y puertas eléctricas con personas naturales y/o jurídicas calificadas y acreditadas por el Organismo Nacional de Acreditación de Colombia-ONAC o entidad que la reemplace o sustituya, las cuales certificarán su óptima operación de conformidad con la correspondiente Norma Técnica Colombiana.</w:t>
            </w:r>
          </w:p>
          <w:p w14:paraId="6D358AEE" w14:textId="77777777" w:rsidR="005F74EC" w:rsidRDefault="005F74EC" w:rsidP="000C35A8">
            <w:pPr>
              <w:jc w:val="both"/>
              <w:rPr>
                <w:rFonts w:ascii="Arial" w:hAnsi="Arial" w:cs="Arial"/>
                <w:sz w:val="22"/>
                <w:szCs w:val="22"/>
              </w:rPr>
            </w:pPr>
            <w:r w:rsidRPr="007517FB">
              <w:rPr>
                <w:rFonts w:ascii="Arial" w:hAnsi="Arial" w:cs="Arial"/>
                <w:sz w:val="22"/>
                <w:szCs w:val="22"/>
              </w:rPr>
              <w:t>- Reducir el riesgo de ocurrencia de incidentes en los sistemas de transporte vertical en edificaciones, tales como ascensores y puertas eléctricas.</w:t>
            </w:r>
          </w:p>
          <w:p w14:paraId="3A1FB237" w14:textId="77777777" w:rsidR="005F74EC" w:rsidRDefault="005F74EC" w:rsidP="000C35A8">
            <w:pPr>
              <w:jc w:val="both"/>
              <w:rPr>
                <w:rFonts w:ascii="Arial" w:hAnsi="Arial" w:cs="Arial"/>
                <w:sz w:val="22"/>
                <w:szCs w:val="22"/>
              </w:rPr>
            </w:pPr>
            <w:r w:rsidRPr="007517FB">
              <w:rPr>
                <w:rFonts w:ascii="Arial" w:hAnsi="Arial" w:cs="Arial"/>
                <w:sz w:val="22"/>
                <w:szCs w:val="22"/>
              </w:rPr>
              <w:t>- Proyectar las acciones tendientes a mejorar de ser necesario el estado de operación y funcionamiento de los ascensores y de las puertas eléctricas.</w:t>
            </w:r>
          </w:p>
        </w:tc>
      </w:tr>
      <w:tr w:rsidR="005F74EC" w14:paraId="1CB83261" w14:textId="77777777" w:rsidTr="000C35A8">
        <w:tc>
          <w:tcPr>
            <w:tcW w:w="846" w:type="dxa"/>
            <w:shd w:val="clear" w:color="auto" w:fill="EDEDED"/>
            <w:vAlign w:val="center"/>
          </w:tcPr>
          <w:p w14:paraId="68A97CAF" w14:textId="77777777" w:rsidR="005F74EC" w:rsidRDefault="005F74EC" w:rsidP="000C35A8">
            <w:pPr>
              <w:jc w:val="center"/>
              <w:rPr>
                <w:rFonts w:ascii="Arial" w:hAnsi="Arial" w:cs="Arial"/>
                <w:b/>
                <w:sz w:val="22"/>
                <w:szCs w:val="16"/>
              </w:rPr>
            </w:pPr>
            <w:r>
              <w:rPr>
                <w:rFonts w:ascii="Arial" w:hAnsi="Arial" w:cs="Arial"/>
                <w:b/>
                <w:sz w:val="22"/>
                <w:szCs w:val="16"/>
              </w:rPr>
              <w:t>4.3.</w:t>
            </w:r>
          </w:p>
        </w:tc>
        <w:tc>
          <w:tcPr>
            <w:tcW w:w="7984" w:type="dxa"/>
            <w:shd w:val="clear" w:color="auto" w:fill="EDEDED"/>
            <w:vAlign w:val="center"/>
          </w:tcPr>
          <w:p w14:paraId="49214746" w14:textId="77777777" w:rsidR="005F74EC" w:rsidRDefault="005F74EC" w:rsidP="000C35A8">
            <w:pPr>
              <w:rPr>
                <w:rFonts w:ascii="Arial" w:hAnsi="Arial" w:cs="Arial"/>
                <w:b/>
                <w:sz w:val="22"/>
                <w:szCs w:val="22"/>
              </w:rPr>
            </w:pPr>
            <w:r>
              <w:rPr>
                <w:rFonts w:ascii="Arial" w:hAnsi="Arial" w:cs="Arial"/>
                <w:b/>
                <w:sz w:val="22"/>
                <w:szCs w:val="22"/>
              </w:rPr>
              <w:t>Calidad</w:t>
            </w:r>
          </w:p>
        </w:tc>
      </w:tr>
      <w:tr w:rsidR="005F74EC" w14:paraId="5B52548A" w14:textId="77777777" w:rsidTr="000C35A8">
        <w:trPr>
          <w:trHeight w:val="587"/>
        </w:trPr>
        <w:tc>
          <w:tcPr>
            <w:tcW w:w="8830" w:type="dxa"/>
            <w:gridSpan w:val="2"/>
          </w:tcPr>
          <w:p w14:paraId="617186EE" w14:textId="77777777" w:rsidR="005F74EC" w:rsidRDefault="005F74EC" w:rsidP="000C35A8">
            <w:pPr>
              <w:jc w:val="both"/>
              <w:rPr>
                <w:rFonts w:ascii="Arial" w:hAnsi="Arial" w:cs="Arial"/>
                <w:sz w:val="22"/>
                <w:szCs w:val="22"/>
              </w:rPr>
            </w:pPr>
            <w:r w:rsidRPr="00732443">
              <w:rPr>
                <w:rFonts w:ascii="Arial" w:hAnsi="Arial" w:cs="Arial"/>
                <w:sz w:val="22"/>
                <w:szCs w:val="22"/>
              </w:rPr>
              <w:t>Prestación del servicio de inspección obligatoria de Ascensores Electromecánicos e Hidráulicos y Puertas Eléctricas y Automáticas cumpliendo con la NORMA TECNICA NTC 5926-1 de 2012 y NTC 5926-3 del 2014.</w:t>
            </w:r>
          </w:p>
        </w:tc>
      </w:tr>
      <w:tr w:rsidR="005F74EC" w14:paraId="4AC68BC5" w14:textId="77777777" w:rsidTr="000C35A8">
        <w:tc>
          <w:tcPr>
            <w:tcW w:w="846" w:type="dxa"/>
            <w:shd w:val="clear" w:color="auto" w:fill="EDEDED"/>
            <w:vAlign w:val="center"/>
          </w:tcPr>
          <w:p w14:paraId="00822A8C" w14:textId="77777777" w:rsidR="005F74EC" w:rsidRDefault="005F74EC" w:rsidP="000C35A8">
            <w:pPr>
              <w:jc w:val="center"/>
              <w:rPr>
                <w:rFonts w:ascii="Arial" w:hAnsi="Arial" w:cs="Arial"/>
                <w:b/>
                <w:sz w:val="22"/>
                <w:szCs w:val="16"/>
              </w:rPr>
            </w:pPr>
            <w:r>
              <w:rPr>
                <w:rFonts w:ascii="Arial" w:hAnsi="Arial" w:cs="Arial"/>
                <w:b/>
                <w:sz w:val="22"/>
                <w:szCs w:val="16"/>
              </w:rPr>
              <w:t>4.4.</w:t>
            </w:r>
          </w:p>
        </w:tc>
        <w:tc>
          <w:tcPr>
            <w:tcW w:w="7984" w:type="dxa"/>
            <w:shd w:val="clear" w:color="auto" w:fill="EDEDED"/>
            <w:vAlign w:val="center"/>
          </w:tcPr>
          <w:p w14:paraId="1CA6EC5E" w14:textId="77777777" w:rsidR="005F74EC" w:rsidRDefault="005F74EC" w:rsidP="000C35A8">
            <w:pPr>
              <w:rPr>
                <w:rFonts w:ascii="Arial" w:hAnsi="Arial" w:cs="Arial"/>
                <w:b/>
                <w:sz w:val="22"/>
                <w:szCs w:val="22"/>
              </w:rPr>
            </w:pPr>
            <w:r>
              <w:rPr>
                <w:rFonts w:ascii="Arial" w:hAnsi="Arial" w:cs="Arial"/>
                <w:b/>
                <w:sz w:val="22"/>
                <w:szCs w:val="22"/>
              </w:rPr>
              <w:t>Generalidades</w:t>
            </w:r>
          </w:p>
        </w:tc>
      </w:tr>
      <w:tr w:rsidR="005F74EC" w14:paraId="4301BEA5" w14:textId="77777777" w:rsidTr="000C35A8">
        <w:trPr>
          <w:trHeight w:val="692"/>
        </w:trPr>
        <w:tc>
          <w:tcPr>
            <w:tcW w:w="8830" w:type="dxa"/>
            <w:gridSpan w:val="2"/>
          </w:tcPr>
          <w:p w14:paraId="3DECDDB2" w14:textId="77777777" w:rsidR="005F74EC" w:rsidRDefault="005F74EC" w:rsidP="000C35A8">
            <w:pPr>
              <w:jc w:val="both"/>
              <w:rPr>
                <w:rFonts w:ascii="Arial" w:hAnsi="Arial" w:cs="Arial"/>
                <w:sz w:val="22"/>
                <w:szCs w:val="22"/>
              </w:rPr>
            </w:pPr>
            <w:r>
              <w:rPr>
                <w:rFonts w:ascii="Arial" w:hAnsi="Arial" w:cs="Arial"/>
                <w:sz w:val="22"/>
                <w:szCs w:val="22"/>
              </w:rPr>
              <w:t>El servicio comprende la inspección técnica, evaluación de condiciones de seguridad, verificación del cumplimiento normativo y emisión del certificado de conformidad de los ascensores ubicados en las instalaciones objeto del contrato. Incluye visitas en sitio en la Región Caribe, elaboración de informes técnicos y entrega de certificaciones.</w:t>
            </w:r>
          </w:p>
        </w:tc>
      </w:tr>
      <w:tr w:rsidR="005F74EC" w14:paraId="3C93937F" w14:textId="77777777" w:rsidTr="000C35A8">
        <w:tc>
          <w:tcPr>
            <w:tcW w:w="846" w:type="dxa"/>
            <w:shd w:val="clear" w:color="auto" w:fill="EDEDED"/>
            <w:vAlign w:val="center"/>
          </w:tcPr>
          <w:p w14:paraId="34FB96A2" w14:textId="77777777" w:rsidR="005F74EC" w:rsidRDefault="005F74EC" w:rsidP="000C35A8">
            <w:pPr>
              <w:jc w:val="center"/>
              <w:rPr>
                <w:rFonts w:ascii="Arial" w:hAnsi="Arial" w:cs="Arial"/>
                <w:b/>
                <w:sz w:val="22"/>
                <w:szCs w:val="16"/>
              </w:rPr>
            </w:pPr>
            <w:r>
              <w:rPr>
                <w:rFonts w:ascii="Arial" w:hAnsi="Arial" w:cs="Arial"/>
                <w:b/>
                <w:sz w:val="22"/>
                <w:szCs w:val="16"/>
              </w:rPr>
              <w:t>4.5.</w:t>
            </w:r>
          </w:p>
        </w:tc>
        <w:tc>
          <w:tcPr>
            <w:tcW w:w="7984" w:type="dxa"/>
            <w:shd w:val="clear" w:color="auto" w:fill="EDEDED"/>
            <w:vAlign w:val="center"/>
          </w:tcPr>
          <w:p w14:paraId="32CEA4C3" w14:textId="77777777" w:rsidR="005F74EC" w:rsidRDefault="005F74EC" w:rsidP="000C35A8">
            <w:pPr>
              <w:rPr>
                <w:rFonts w:ascii="Arial" w:hAnsi="Arial" w:cs="Arial"/>
                <w:b/>
                <w:sz w:val="22"/>
                <w:szCs w:val="22"/>
              </w:rPr>
            </w:pPr>
            <w:r>
              <w:rPr>
                <w:rFonts w:ascii="Arial" w:hAnsi="Arial" w:cs="Arial"/>
                <w:b/>
                <w:sz w:val="22"/>
                <w:szCs w:val="22"/>
              </w:rPr>
              <w:t>Requisitos Específicos</w:t>
            </w:r>
          </w:p>
        </w:tc>
      </w:tr>
      <w:tr w:rsidR="005F74EC" w14:paraId="47855566" w14:textId="77777777" w:rsidTr="000C35A8">
        <w:trPr>
          <w:trHeight w:val="540"/>
        </w:trPr>
        <w:tc>
          <w:tcPr>
            <w:tcW w:w="8830" w:type="dxa"/>
            <w:gridSpan w:val="2"/>
            <w:vAlign w:val="center"/>
          </w:tcPr>
          <w:p w14:paraId="048E53FF"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La Fiscalía General de la Nación en cumplimiento de su misión institucional y para garantizar la seguridad industrial y salud ocupacional a sus servidores y a los visitantes de sus sedes, debe contratar el servicio de revisión general de Ascensores </w:t>
            </w:r>
            <w:r w:rsidRPr="007F129A">
              <w:rPr>
                <w:rFonts w:ascii="Arial" w:hAnsi="Arial" w:cs="Arial"/>
                <w:sz w:val="22"/>
                <w:szCs w:val="22"/>
              </w:rPr>
              <w:lastRenderedPageBreak/>
              <w:t>Electromecánicos e Hidráulicos y Puertas Eléctricas y Automáticas, con el fin de cumplir con la normatividad legal existente sobre estos equipos, cumpliendo con la NORMAS TECNICAS descritas a continuación:</w:t>
            </w:r>
          </w:p>
          <w:p w14:paraId="6338FD7B" w14:textId="77777777" w:rsidR="005F74EC" w:rsidRPr="007F129A" w:rsidRDefault="005F74EC" w:rsidP="000C35A8">
            <w:pPr>
              <w:jc w:val="both"/>
              <w:rPr>
                <w:rFonts w:ascii="Arial" w:hAnsi="Arial" w:cs="Arial"/>
                <w:b/>
                <w:sz w:val="22"/>
                <w:szCs w:val="22"/>
              </w:rPr>
            </w:pPr>
          </w:p>
          <w:p w14:paraId="1C613918" w14:textId="77777777" w:rsidR="005F74EC" w:rsidRPr="007F129A" w:rsidRDefault="005F74EC" w:rsidP="000C35A8">
            <w:pPr>
              <w:jc w:val="both"/>
              <w:rPr>
                <w:rFonts w:ascii="Arial" w:hAnsi="Arial" w:cs="Arial"/>
                <w:sz w:val="22"/>
                <w:szCs w:val="22"/>
              </w:rPr>
            </w:pPr>
            <w:r w:rsidRPr="007F129A">
              <w:rPr>
                <w:rFonts w:ascii="Arial" w:hAnsi="Arial" w:cs="Arial"/>
                <w:b/>
                <w:sz w:val="22"/>
                <w:szCs w:val="22"/>
              </w:rPr>
              <w:t>NORMAS VIGENTES PARA LA INSPECCIÓN TÉCNICO MECÁNICA DE TRANSPORTE VERTICAL.</w:t>
            </w:r>
          </w:p>
          <w:p w14:paraId="58D8064A" w14:textId="77777777" w:rsidR="005F74EC" w:rsidRPr="007F129A" w:rsidRDefault="005F74EC" w:rsidP="000C35A8">
            <w:pPr>
              <w:jc w:val="both"/>
              <w:rPr>
                <w:rFonts w:ascii="Arial" w:hAnsi="Arial" w:cs="Arial"/>
                <w:sz w:val="22"/>
                <w:szCs w:val="22"/>
              </w:rPr>
            </w:pPr>
          </w:p>
          <w:p w14:paraId="7276240A" w14:textId="77777777" w:rsidR="005F74EC" w:rsidRPr="007F129A" w:rsidRDefault="005F74EC" w:rsidP="000C35A8">
            <w:pPr>
              <w:jc w:val="both"/>
              <w:rPr>
                <w:rFonts w:ascii="Arial" w:hAnsi="Arial" w:cs="Arial"/>
                <w:b/>
                <w:sz w:val="22"/>
                <w:szCs w:val="22"/>
              </w:rPr>
            </w:pPr>
            <w:r w:rsidRPr="007F129A">
              <w:rPr>
                <w:rFonts w:ascii="Arial" w:hAnsi="Arial" w:cs="Arial"/>
                <w:b/>
                <w:sz w:val="22"/>
                <w:szCs w:val="22"/>
              </w:rPr>
              <w:t xml:space="preserve">ASCENSORES ELECTROMÉCANICOS E HIDRÁULICOS </w:t>
            </w:r>
          </w:p>
          <w:p w14:paraId="395187B3"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2012</w:t>
            </w:r>
          </w:p>
          <w:p w14:paraId="07CF9F72"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NTC 5926-1</w:t>
            </w:r>
          </w:p>
          <w:p w14:paraId="43247B7B"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I </w:t>
            </w:r>
          </w:p>
          <w:p w14:paraId="69A1F7D2" w14:textId="77777777" w:rsidR="005F74EC" w:rsidRPr="007F129A" w:rsidRDefault="005F74EC" w:rsidP="000C35A8">
            <w:pPr>
              <w:jc w:val="both"/>
              <w:rPr>
                <w:rFonts w:ascii="Arial" w:hAnsi="Arial" w:cs="Arial"/>
                <w:sz w:val="22"/>
                <w:szCs w:val="22"/>
              </w:rPr>
            </w:pPr>
          </w:p>
          <w:p w14:paraId="05AD20D7" w14:textId="77777777" w:rsidR="005F74EC" w:rsidRPr="007F129A" w:rsidRDefault="005F74EC" w:rsidP="000C35A8">
            <w:pPr>
              <w:jc w:val="both"/>
              <w:rPr>
                <w:rFonts w:ascii="Arial" w:hAnsi="Arial" w:cs="Arial"/>
                <w:b/>
                <w:sz w:val="22"/>
                <w:szCs w:val="22"/>
              </w:rPr>
            </w:pPr>
            <w:r w:rsidRPr="007F129A">
              <w:rPr>
                <w:rFonts w:ascii="Arial" w:hAnsi="Arial" w:cs="Arial"/>
                <w:b/>
                <w:sz w:val="22"/>
                <w:szCs w:val="22"/>
              </w:rPr>
              <w:t>PUERTAS ELÉCTRICAS Y AUTOMÁTICAS</w:t>
            </w:r>
          </w:p>
          <w:p w14:paraId="5DD17AA5"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2014</w:t>
            </w:r>
          </w:p>
          <w:p w14:paraId="485B0207"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NTC 5926-3</w:t>
            </w:r>
          </w:p>
          <w:p w14:paraId="6669AA92" w14:textId="77777777" w:rsidR="005F74EC" w:rsidRPr="007F129A" w:rsidRDefault="005F74EC" w:rsidP="000C35A8">
            <w:pPr>
              <w:jc w:val="both"/>
              <w:rPr>
                <w:rFonts w:ascii="Arial" w:hAnsi="Arial" w:cs="Arial"/>
                <w:sz w:val="22"/>
                <w:szCs w:val="22"/>
              </w:rPr>
            </w:pPr>
          </w:p>
          <w:p w14:paraId="7EC18FAE"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Clasificación de los defectos:</w:t>
            </w:r>
          </w:p>
          <w:p w14:paraId="62B214F3" w14:textId="77777777" w:rsidR="005F74EC" w:rsidRPr="007F129A" w:rsidRDefault="005F74EC" w:rsidP="000C35A8">
            <w:pPr>
              <w:jc w:val="both"/>
              <w:rPr>
                <w:rFonts w:ascii="Arial" w:hAnsi="Arial" w:cs="Arial"/>
                <w:sz w:val="22"/>
                <w:szCs w:val="22"/>
              </w:rPr>
            </w:pPr>
          </w:p>
          <w:p w14:paraId="64DA892A" w14:textId="77777777" w:rsidR="005F74EC" w:rsidRPr="007F129A" w:rsidRDefault="005F74EC" w:rsidP="000C35A8">
            <w:pPr>
              <w:jc w:val="both"/>
              <w:rPr>
                <w:rFonts w:ascii="Arial" w:hAnsi="Arial" w:cs="Arial"/>
                <w:b/>
                <w:sz w:val="22"/>
                <w:szCs w:val="22"/>
              </w:rPr>
            </w:pPr>
            <w:r w:rsidRPr="007F129A">
              <w:rPr>
                <w:rFonts w:ascii="Arial" w:hAnsi="Arial" w:cs="Arial"/>
                <w:b/>
                <w:sz w:val="22"/>
                <w:szCs w:val="22"/>
              </w:rPr>
              <w:t>Defecto leve (L):</w:t>
            </w:r>
          </w:p>
          <w:p w14:paraId="2ECCF6C3" w14:textId="77777777" w:rsidR="005F74EC" w:rsidRPr="007F129A" w:rsidRDefault="005F74EC" w:rsidP="000C35A8">
            <w:pPr>
              <w:jc w:val="both"/>
              <w:rPr>
                <w:rFonts w:ascii="Arial" w:hAnsi="Arial" w:cs="Arial"/>
                <w:b/>
                <w:sz w:val="22"/>
                <w:szCs w:val="22"/>
              </w:rPr>
            </w:pPr>
          </w:p>
          <w:p w14:paraId="08235CE7"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Es todo aquel que no supone peligro para las personas y no incide en el funcionamiento normal de la instalación. </w:t>
            </w:r>
          </w:p>
          <w:p w14:paraId="4FAFB706"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Tiempo para arreglo: 180 días calendario.</w:t>
            </w:r>
          </w:p>
          <w:p w14:paraId="230D485C" w14:textId="77777777" w:rsidR="005F74EC" w:rsidRPr="007F129A" w:rsidRDefault="005F74EC" w:rsidP="000C35A8">
            <w:pPr>
              <w:jc w:val="both"/>
              <w:rPr>
                <w:rFonts w:ascii="Arial" w:hAnsi="Arial" w:cs="Arial"/>
                <w:sz w:val="22"/>
                <w:szCs w:val="22"/>
              </w:rPr>
            </w:pPr>
          </w:p>
          <w:p w14:paraId="4F9DA978" w14:textId="77777777" w:rsidR="005F74EC" w:rsidRPr="007F129A" w:rsidRDefault="005F74EC" w:rsidP="000C35A8">
            <w:pPr>
              <w:jc w:val="both"/>
              <w:rPr>
                <w:rFonts w:ascii="Arial" w:hAnsi="Arial" w:cs="Arial"/>
                <w:b/>
                <w:sz w:val="22"/>
                <w:szCs w:val="22"/>
              </w:rPr>
            </w:pPr>
            <w:r w:rsidRPr="007F129A">
              <w:rPr>
                <w:rFonts w:ascii="Arial" w:hAnsi="Arial" w:cs="Arial"/>
                <w:b/>
                <w:sz w:val="22"/>
                <w:szCs w:val="22"/>
              </w:rPr>
              <w:t>Defecto grave (G):</w:t>
            </w:r>
          </w:p>
          <w:p w14:paraId="6E7B3556"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Son aquellos defectos que no suponen un peligro inmediato para la seguridad de las personas, estos defectos dan origen a un dictamen condicionado. </w:t>
            </w:r>
          </w:p>
          <w:p w14:paraId="07BA0ECB"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Tiempo para arreglo: 30 días calendario.</w:t>
            </w:r>
          </w:p>
          <w:p w14:paraId="07D6409D" w14:textId="77777777" w:rsidR="005F74EC" w:rsidRPr="007F129A" w:rsidRDefault="005F74EC" w:rsidP="000C35A8">
            <w:pPr>
              <w:jc w:val="both"/>
              <w:rPr>
                <w:rFonts w:ascii="Arial" w:hAnsi="Arial" w:cs="Arial"/>
                <w:sz w:val="22"/>
                <w:szCs w:val="22"/>
              </w:rPr>
            </w:pPr>
          </w:p>
          <w:p w14:paraId="417989B9" w14:textId="77777777" w:rsidR="005F74EC" w:rsidRPr="007F129A" w:rsidRDefault="005F74EC" w:rsidP="000C35A8">
            <w:pPr>
              <w:jc w:val="both"/>
              <w:rPr>
                <w:rFonts w:ascii="Arial" w:hAnsi="Arial" w:cs="Arial"/>
                <w:b/>
                <w:sz w:val="22"/>
                <w:szCs w:val="22"/>
              </w:rPr>
            </w:pPr>
            <w:r w:rsidRPr="007F129A">
              <w:rPr>
                <w:rFonts w:ascii="Arial" w:hAnsi="Arial" w:cs="Arial"/>
                <w:b/>
                <w:sz w:val="22"/>
                <w:szCs w:val="22"/>
              </w:rPr>
              <w:t>Defecto muy grave (MG):</w:t>
            </w:r>
          </w:p>
          <w:p w14:paraId="6EA54B02" w14:textId="77777777" w:rsidR="005F74EC" w:rsidRPr="007F129A" w:rsidRDefault="005F74EC" w:rsidP="000C35A8">
            <w:pPr>
              <w:jc w:val="both"/>
              <w:rPr>
                <w:rFonts w:ascii="Arial" w:hAnsi="Arial" w:cs="Arial"/>
                <w:sz w:val="22"/>
                <w:szCs w:val="22"/>
              </w:rPr>
            </w:pPr>
          </w:p>
          <w:p w14:paraId="563B6C88"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Es todo defecto que constituye un riesgo inminente para las personas o puede ocasionar daño en la instalación. </w:t>
            </w:r>
          </w:p>
          <w:p w14:paraId="40BF9152"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Tiempo para arreglo: el equipo debe quedar fuera de servicio.</w:t>
            </w:r>
          </w:p>
          <w:p w14:paraId="1036D08E" w14:textId="77777777" w:rsidR="005F74EC" w:rsidRPr="007F129A" w:rsidRDefault="005F74EC" w:rsidP="000C35A8">
            <w:pPr>
              <w:jc w:val="both"/>
              <w:rPr>
                <w:rFonts w:ascii="Arial" w:hAnsi="Arial" w:cs="Arial"/>
                <w:sz w:val="22"/>
                <w:szCs w:val="22"/>
              </w:rPr>
            </w:pPr>
          </w:p>
          <w:p w14:paraId="21EBA24B"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Número de defectos por norma:</w:t>
            </w:r>
          </w:p>
          <w:p w14:paraId="67BDCE64" w14:textId="77777777" w:rsidR="005F74EC" w:rsidRPr="007F129A" w:rsidRDefault="005F74EC" w:rsidP="000C35A8">
            <w:pPr>
              <w:jc w:val="both"/>
              <w:rPr>
                <w:rFonts w:ascii="Arial" w:hAnsi="Arial" w:cs="Arial"/>
                <w:sz w:val="22"/>
                <w:szCs w:val="22"/>
              </w:rPr>
            </w:pPr>
          </w:p>
          <w:p w14:paraId="77A3C68A" w14:textId="77777777" w:rsidR="005F74EC" w:rsidRPr="007F129A" w:rsidRDefault="005F74EC" w:rsidP="000C35A8">
            <w:pPr>
              <w:jc w:val="both"/>
              <w:rPr>
                <w:rFonts w:ascii="Arial" w:hAnsi="Arial" w:cs="Arial"/>
                <w:b/>
                <w:sz w:val="22"/>
                <w:szCs w:val="22"/>
              </w:rPr>
            </w:pPr>
            <w:r w:rsidRPr="007F129A">
              <w:rPr>
                <w:rFonts w:ascii="Arial" w:hAnsi="Arial" w:cs="Arial"/>
                <w:b/>
                <w:sz w:val="22"/>
                <w:szCs w:val="22"/>
              </w:rPr>
              <w:t>NTC 5926-1</w:t>
            </w:r>
          </w:p>
          <w:p w14:paraId="610491C5"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175 DEFECTOS</w:t>
            </w:r>
          </w:p>
          <w:p w14:paraId="0759134D"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L: 40, G: 80 y MG: 55</w:t>
            </w:r>
          </w:p>
          <w:p w14:paraId="7F46378D" w14:textId="77777777" w:rsidR="005F74EC" w:rsidRPr="007F129A" w:rsidRDefault="005F74EC" w:rsidP="000C35A8">
            <w:pPr>
              <w:jc w:val="both"/>
              <w:rPr>
                <w:rFonts w:ascii="Arial" w:hAnsi="Arial" w:cs="Arial"/>
                <w:sz w:val="22"/>
                <w:szCs w:val="22"/>
              </w:rPr>
            </w:pPr>
          </w:p>
          <w:p w14:paraId="43CE2079"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Se debe realizar la revisión general obligatoria de los siguientes equipos: </w:t>
            </w:r>
          </w:p>
          <w:p w14:paraId="55C08C5C" w14:textId="77777777" w:rsidR="005F74EC" w:rsidRDefault="005F74EC" w:rsidP="000C35A8">
            <w:pPr>
              <w:jc w:val="both"/>
              <w:rPr>
                <w:rFonts w:ascii="Arial" w:hAnsi="Arial" w:cs="Arial"/>
                <w:sz w:val="22"/>
                <w:szCs w:val="22"/>
              </w:rPr>
            </w:pPr>
          </w:p>
          <w:tbl>
            <w:tblPr>
              <w:tblW w:w="8000" w:type="dxa"/>
              <w:tblCellMar>
                <w:left w:w="70" w:type="dxa"/>
                <w:right w:w="70" w:type="dxa"/>
              </w:tblCellMar>
              <w:tblLook w:val="04A0" w:firstRow="1" w:lastRow="0" w:firstColumn="1" w:lastColumn="0" w:noHBand="0" w:noVBand="1"/>
            </w:tblPr>
            <w:tblGrid>
              <w:gridCol w:w="1240"/>
              <w:gridCol w:w="3160"/>
              <w:gridCol w:w="2200"/>
              <w:gridCol w:w="1400"/>
            </w:tblGrid>
            <w:tr w:rsidR="005F74EC" w:rsidRPr="009B115F" w14:paraId="599F4691" w14:textId="77777777" w:rsidTr="000C35A8">
              <w:trPr>
                <w:trHeight w:val="290"/>
              </w:trPr>
              <w:tc>
                <w:tcPr>
                  <w:tcW w:w="800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58D6C" w14:textId="77777777" w:rsidR="005F74EC" w:rsidRPr="009B115F" w:rsidRDefault="005F74EC" w:rsidP="000C35A8">
                  <w:pPr>
                    <w:jc w:val="center"/>
                    <w:rPr>
                      <w:rFonts w:ascii="Aptos Narrow" w:hAnsi="Aptos Narrow"/>
                      <w:b/>
                      <w:bCs/>
                      <w:color w:val="000000"/>
                      <w:sz w:val="22"/>
                      <w:szCs w:val="22"/>
                    </w:rPr>
                  </w:pPr>
                  <w:r w:rsidRPr="009B115F">
                    <w:rPr>
                      <w:rFonts w:ascii="Aptos Narrow" w:hAnsi="Aptos Narrow"/>
                      <w:b/>
                      <w:bCs/>
                      <w:color w:val="000000"/>
                      <w:sz w:val="22"/>
                      <w:szCs w:val="22"/>
                    </w:rPr>
                    <w:t>ALCANCE CONTRATO CERTIFICACIÓN DE ASCENSORES REGIONAL CARIBE 2026</w:t>
                  </w:r>
                </w:p>
              </w:tc>
            </w:tr>
            <w:tr w:rsidR="005F74EC" w:rsidRPr="009B115F" w14:paraId="7E33C2FA" w14:textId="77777777" w:rsidTr="000C35A8">
              <w:trPr>
                <w:trHeight w:val="29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E631CD0" w14:textId="77777777" w:rsidR="005F74EC" w:rsidRPr="009B115F" w:rsidRDefault="005F74EC" w:rsidP="000C35A8">
                  <w:pPr>
                    <w:jc w:val="center"/>
                    <w:rPr>
                      <w:rFonts w:ascii="Aptos Narrow" w:hAnsi="Aptos Narrow"/>
                      <w:b/>
                      <w:bCs/>
                      <w:color w:val="000000"/>
                      <w:sz w:val="22"/>
                      <w:szCs w:val="22"/>
                    </w:rPr>
                  </w:pPr>
                  <w:r w:rsidRPr="009B115F">
                    <w:rPr>
                      <w:rFonts w:ascii="Aptos Narrow" w:hAnsi="Aptos Narrow"/>
                      <w:b/>
                      <w:bCs/>
                      <w:color w:val="000000"/>
                      <w:sz w:val="22"/>
                      <w:szCs w:val="22"/>
                    </w:rPr>
                    <w:t>SECCIONAL</w:t>
                  </w:r>
                </w:p>
              </w:tc>
              <w:tc>
                <w:tcPr>
                  <w:tcW w:w="3160" w:type="dxa"/>
                  <w:tcBorders>
                    <w:top w:val="nil"/>
                    <w:left w:val="nil"/>
                    <w:bottom w:val="single" w:sz="4" w:space="0" w:color="auto"/>
                    <w:right w:val="single" w:sz="4" w:space="0" w:color="auto"/>
                  </w:tcBorders>
                  <w:shd w:val="clear" w:color="auto" w:fill="auto"/>
                  <w:noWrap/>
                  <w:vAlign w:val="center"/>
                  <w:hideMark/>
                </w:tcPr>
                <w:p w14:paraId="4B55463B" w14:textId="77777777" w:rsidR="005F74EC" w:rsidRPr="009B115F" w:rsidRDefault="005F74EC" w:rsidP="000C35A8">
                  <w:pPr>
                    <w:jc w:val="center"/>
                    <w:rPr>
                      <w:rFonts w:ascii="Aptos Narrow" w:hAnsi="Aptos Narrow"/>
                      <w:b/>
                      <w:bCs/>
                      <w:color w:val="000000"/>
                      <w:sz w:val="22"/>
                      <w:szCs w:val="22"/>
                    </w:rPr>
                  </w:pPr>
                  <w:r w:rsidRPr="009B115F">
                    <w:rPr>
                      <w:rFonts w:ascii="Aptos Narrow" w:hAnsi="Aptos Narrow"/>
                      <w:b/>
                      <w:bCs/>
                      <w:color w:val="000000"/>
                      <w:sz w:val="22"/>
                      <w:szCs w:val="22"/>
                    </w:rPr>
                    <w:t>DESCRIPCIÓN</w:t>
                  </w:r>
                </w:p>
              </w:tc>
              <w:tc>
                <w:tcPr>
                  <w:tcW w:w="2200" w:type="dxa"/>
                  <w:tcBorders>
                    <w:top w:val="nil"/>
                    <w:left w:val="nil"/>
                    <w:bottom w:val="single" w:sz="4" w:space="0" w:color="auto"/>
                    <w:right w:val="single" w:sz="4" w:space="0" w:color="auto"/>
                  </w:tcBorders>
                  <w:shd w:val="clear" w:color="auto" w:fill="auto"/>
                  <w:noWrap/>
                  <w:vAlign w:val="center"/>
                  <w:hideMark/>
                </w:tcPr>
                <w:p w14:paraId="21742A24" w14:textId="77777777" w:rsidR="005F74EC" w:rsidRPr="009B115F" w:rsidRDefault="005F74EC" w:rsidP="000C35A8">
                  <w:pPr>
                    <w:jc w:val="center"/>
                    <w:rPr>
                      <w:rFonts w:ascii="Aptos Narrow" w:hAnsi="Aptos Narrow"/>
                      <w:b/>
                      <w:bCs/>
                      <w:color w:val="000000"/>
                      <w:sz w:val="22"/>
                      <w:szCs w:val="22"/>
                    </w:rPr>
                  </w:pPr>
                  <w:r w:rsidRPr="009B115F">
                    <w:rPr>
                      <w:rFonts w:ascii="Aptos Narrow" w:hAnsi="Aptos Narrow"/>
                      <w:b/>
                      <w:bCs/>
                      <w:color w:val="000000"/>
                      <w:sz w:val="22"/>
                      <w:szCs w:val="22"/>
                    </w:rPr>
                    <w:t>UBICACIÓN</w:t>
                  </w:r>
                </w:p>
              </w:tc>
              <w:tc>
                <w:tcPr>
                  <w:tcW w:w="1400" w:type="dxa"/>
                  <w:tcBorders>
                    <w:top w:val="nil"/>
                    <w:left w:val="nil"/>
                    <w:bottom w:val="single" w:sz="4" w:space="0" w:color="auto"/>
                    <w:right w:val="single" w:sz="4" w:space="0" w:color="auto"/>
                  </w:tcBorders>
                  <w:shd w:val="clear" w:color="auto" w:fill="auto"/>
                  <w:noWrap/>
                  <w:vAlign w:val="center"/>
                  <w:hideMark/>
                </w:tcPr>
                <w:p w14:paraId="00815F5A" w14:textId="77777777" w:rsidR="005F74EC" w:rsidRPr="009B115F" w:rsidRDefault="005F74EC" w:rsidP="000C35A8">
                  <w:pPr>
                    <w:jc w:val="center"/>
                    <w:rPr>
                      <w:rFonts w:ascii="Aptos Narrow" w:hAnsi="Aptos Narrow"/>
                      <w:b/>
                      <w:bCs/>
                      <w:color w:val="000000"/>
                      <w:sz w:val="22"/>
                      <w:szCs w:val="22"/>
                    </w:rPr>
                  </w:pPr>
                  <w:r w:rsidRPr="009B115F">
                    <w:rPr>
                      <w:rFonts w:ascii="Aptos Narrow" w:hAnsi="Aptos Narrow"/>
                      <w:b/>
                      <w:bCs/>
                      <w:color w:val="000000"/>
                      <w:sz w:val="22"/>
                      <w:szCs w:val="22"/>
                    </w:rPr>
                    <w:t>NO. PARADAS</w:t>
                  </w:r>
                </w:p>
              </w:tc>
            </w:tr>
            <w:tr w:rsidR="005F74EC" w:rsidRPr="009B115F" w14:paraId="4A32D96D" w14:textId="77777777" w:rsidTr="000C35A8">
              <w:trPr>
                <w:trHeight w:val="87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2CBF55F"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Atlántico</w:t>
                  </w:r>
                </w:p>
              </w:tc>
              <w:tc>
                <w:tcPr>
                  <w:tcW w:w="3160" w:type="dxa"/>
                  <w:tcBorders>
                    <w:top w:val="nil"/>
                    <w:left w:val="nil"/>
                    <w:bottom w:val="single" w:sz="4" w:space="0" w:color="auto"/>
                    <w:right w:val="single" w:sz="4" w:space="0" w:color="auto"/>
                  </w:tcBorders>
                  <w:shd w:val="clear" w:color="auto" w:fill="auto"/>
                  <w:vAlign w:val="center"/>
                  <w:hideMark/>
                </w:tcPr>
                <w:p w14:paraId="059108F8"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Mitsubishi</w:t>
                  </w:r>
                  <w:r w:rsidRPr="009B115F">
                    <w:rPr>
                      <w:rFonts w:ascii="Aptos Narrow" w:hAnsi="Aptos Narrow"/>
                      <w:color w:val="000000"/>
                      <w:sz w:val="22"/>
                      <w:szCs w:val="22"/>
                    </w:rPr>
                    <w:br/>
                    <w:t>Resistencia: 550 kg</w:t>
                  </w:r>
                  <w:r w:rsidRPr="009B115F">
                    <w:rPr>
                      <w:rFonts w:ascii="Aptos Narrow" w:hAnsi="Aptos Narrow"/>
                      <w:color w:val="000000"/>
                      <w:sz w:val="22"/>
                      <w:szCs w:val="22"/>
                    </w:rPr>
                    <w:br/>
                    <w:t>Capacidad: 8 personas</w:t>
                  </w:r>
                </w:p>
              </w:tc>
              <w:tc>
                <w:tcPr>
                  <w:tcW w:w="2200" w:type="dxa"/>
                  <w:tcBorders>
                    <w:top w:val="nil"/>
                    <w:left w:val="nil"/>
                    <w:bottom w:val="single" w:sz="4" w:space="0" w:color="auto"/>
                    <w:right w:val="single" w:sz="4" w:space="0" w:color="auto"/>
                  </w:tcBorders>
                  <w:shd w:val="clear" w:color="auto" w:fill="auto"/>
                  <w:vAlign w:val="center"/>
                  <w:hideMark/>
                </w:tcPr>
                <w:p w14:paraId="2811C233" w14:textId="77777777" w:rsidR="005F74EC" w:rsidRPr="009B115F" w:rsidRDefault="005F74EC" w:rsidP="000C35A8">
                  <w:pPr>
                    <w:jc w:val="center"/>
                    <w:rPr>
                      <w:rFonts w:ascii="Aptos Narrow" w:hAnsi="Aptos Narrow"/>
                      <w:color w:val="000000"/>
                      <w:sz w:val="22"/>
                      <w:szCs w:val="22"/>
                    </w:rPr>
                  </w:pPr>
                  <w:proofErr w:type="spellStart"/>
                  <w:r w:rsidRPr="009B115F">
                    <w:rPr>
                      <w:rFonts w:ascii="Aptos Narrow" w:hAnsi="Aptos Narrow"/>
                      <w:color w:val="000000"/>
                      <w:sz w:val="22"/>
                      <w:szCs w:val="22"/>
                    </w:rPr>
                    <w:t>Cra</w:t>
                  </w:r>
                  <w:proofErr w:type="spellEnd"/>
                  <w:r w:rsidRPr="009B115F">
                    <w:rPr>
                      <w:rFonts w:ascii="Aptos Narrow" w:hAnsi="Aptos Narrow"/>
                      <w:color w:val="000000"/>
                      <w:sz w:val="22"/>
                      <w:szCs w:val="22"/>
                    </w:rPr>
                    <w:t xml:space="preserve"> 44 # 37 - 24</w:t>
                  </w:r>
                  <w:r w:rsidRPr="009B115F">
                    <w:rPr>
                      <w:rFonts w:ascii="Aptos Narrow" w:hAnsi="Aptos Narrow"/>
                      <w:color w:val="000000"/>
                      <w:sz w:val="22"/>
                      <w:szCs w:val="22"/>
                    </w:rPr>
                    <w:br/>
                    <w:t>Sede Colpatria Barranquilla</w:t>
                  </w:r>
                </w:p>
              </w:tc>
              <w:tc>
                <w:tcPr>
                  <w:tcW w:w="1400" w:type="dxa"/>
                  <w:tcBorders>
                    <w:top w:val="nil"/>
                    <w:left w:val="nil"/>
                    <w:bottom w:val="single" w:sz="4" w:space="0" w:color="auto"/>
                    <w:right w:val="single" w:sz="4" w:space="0" w:color="auto"/>
                  </w:tcBorders>
                  <w:shd w:val="clear" w:color="auto" w:fill="auto"/>
                  <w:vAlign w:val="center"/>
                  <w:hideMark/>
                </w:tcPr>
                <w:p w14:paraId="4C53E988"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5</w:t>
                  </w:r>
                </w:p>
              </w:tc>
            </w:tr>
            <w:tr w:rsidR="005F74EC" w:rsidRPr="009B115F" w14:paraId="189EEAB7" w14:textId="77777777" w:rsidTr="000C35A8">
              <w:trPr>
                <w:trHeight w:val="87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BCC0E54"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lastRenderedPageBreak/>
                    <w:t>Atlántico</w:t>
                  </w:r>
                </w:p>
              </w:tc>
              <w:tc>
                <w:tcPr>
                  <w:tcW w:w="3160" w:type="dxa"/>
                  <w:tcBorders>
                    <w:top w:val="nil"/>
                    <w:left w:val="nil"/>
                    <w:bottom w:val="single" w:sz="4" w:space="0" w:color="auto"/>
                    <w:right w:val="single" w:sz="4" w:space="0" w:color="auto"/>
                  </w:tcBorders>
                  <w:shd w:val="clear" w:color="auto" w:fill="auto"/>
                  <w:vAlign w:val="center"/>
                  <w:hideMark/>
                </w:tcPr>
                <w:p w14:paraId="7E4E7D49"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Mitsubishi</w:t>
                  </w:r>
                  <w:r w:rsidRPr="009B115F">
                    <w:rPr>
                      <w:rFonts w:ascii="Aptos Narrow" w:hAnsi="Aptos Narrow"/>
                      <w:color w:val="000000"/>
                      <w:sz w:val="22"/>
                      <w:szCs w:val="22"/>
                    </w:rPr>
                    <w:br/>
                    <w:t>Resistencia: 550 kg</w:t>
                  </w:r>
                  <w:r w:rsidRPr="009B115F">
                    <w:rPr>
                      <w:rFonts w:ascii="Aptos Narrow" w:hAnsi="Aptos Narrow"/>
                      <w:color w:val="000000"/>
                      <w:sz w:val="22"/>
                      <w:szCs w:val="22"/>
                    </w:rPr>
                    <w:br/>
                    <w:t>Capacidad: 8 personas</w:t>
                  </w:r>
                </w:p>
              </w:tc>
              <w:tc>
                <w:tcPr>
                  <w:tcW w:w="2200" w:type="dxa"/>
                  <w:tcBorders>
                    <w:top w:val="nil"/>
                    <w:left w:val="nil"/>
                    <w:bottom w:val="single" w:sz="4" w:space="0" w:color="auto"/>
                    <w:right w:val="single" w:sz="4" w:space="0" w:color="auto"/>
                  </w:tcBorders>
                  <w:shd w:val="clear" w:color="auto" w:fill="auto"/>
                  <w:vAlign w:val="center"/>
                  <w:hideMark/>
                </w:tcPr>
                <w:p w14:paraId="24295262" w14:textId="77777777" w:rsidR="005F74EC" w:rsidRPr="009B115F" w:rsidRDefault="005F74EC" w:rsidP="000C35A8">
                  <w:pPr>
                    <w:jc w:val="center"/>
                    <w:rPr>
                      <w:rFonts w:ascii="Aptos Narrow" w:hAnsi="Aptos Narrow"/>
                      <w:color w:val="000000"/>
                      <w:sz w:val="22"/>
                      <w:szCs w:val="22"/>
                    </w:rPr>
                  </w:pPr>
                  <w:proofErr w:type="spellStart"/>
                  <w:r w:rsidRPr="009B115F">
                    <w:rPr>
                      <w:rFonts w:ascii="Aptos Narrow" w:hAnsi="Aptos Narrow"/>
                      <w:color w:val="000000"/>
                      <w:sz w:val="22"/>
                      <w:szCs w:val="22"/>
                    </w:rPr>
                    <w:t>Cra</w:t>
                  </w:r>
                  <w:proofErr w:type="spellEnd"/>
                  <w:r w:rsidRPr="009B115F">
                    <w:rPr>
                      <w:rFonts w:ascii="Aptos Narrow" w:hAnsi="Aptos Narrow"/>
                      <w:color w:val="000000"/>
                      <w:sz w:val="22"/>
                      <w:szCs w:val="22"/>
                    </w:rPr>
                    <w:t xml:space="preserve"> 44 # 37 - 24</w:t>
                  </w:r>
                  <w:r w:rsidRPr="009B115F">
                    <w:rPr>
                      <w:rFonts w:ascii="Aptos Narrow" w:hAnsi="Aptos Narrow"/>
                      <w:color w:val="000000"/>
                      <w:sz w:val="22"/>
                      <w:szCs w:val="22"/>
                    </w:rPr>
                    <w:br/>
                    <w:t>Sede Colpatria Barranquilla</w:t>
                  </w:r>
                </w:p>
              </w:tc>
              <w:tc>
                <w:tcPr>
                  <w:tcW w:w="1400" w:type="dxa"/>
                  <w:tcBorders>
                    <w:top w:val="nil"/>
                    <w:left w:val="nil"/>
                    <w:bottom w:val="single" w:sz="4" w:space="0" w:color="auto"/>
                    <w:right w:val="single" w:sz="4" w:space="0" w:color="auto"/>
                  </w:tcBorders>
                  <w:shd w:val="clear" w:color="auto" w:fill="auto"/>
                  <w:vAlign w:val="center"/>
                  <w:hideMark/>
                </w:tcPr>
                <w:p w14:paraId="604A2CA0"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5</w:t>
                  </w:r>
                </w:p>
              </w:tc>
            </w:tr>
            <w:tr w:rsidR="005F74EC" w:rsidRPr="009B115F" w14:paraId="50992E45" w14:textId="77777777" w:rsidTr="000C35A8">
              <w:trPr>
                <w:trHeight w:val="87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39F3A3C"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Atlántico</w:t>
                  </w:r>
                </w:p>
              </w:tc>
              <w:tc>
                <w:tcPr>
                  <w:tcW w:w="3160" w:type="dxa"/>
                  <w:tcBorders>
                    <w:top w:val="nil"/>
                    <w:left w:val="nil"/>
                    <w:bottom w:val="single" w:sz="4" w:space="0" w:color="auto"/>
                    <w:right w:val="single" w:sz="4" w:space="0" w:color="auto"/>
                  </w:tcBorders>
                  <w:shd w:val="clear" w:color="auto" w:fill="auto"/>
                  <w:vAlign w:val="center"/>
                  <w:hideMark/>
                </w:tcPr>
                <w:p w14:paraId="2E89DBC7"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Mitsubishi</w:t>
                  </w:r>
                  <w:r w:rsidRPr="009B115F">
                    <w:rPr>
                      <w:rFonts w:ascii="Aptos Narrow" w:hAnsi="Aptos Narrow"/>
                      <w:color w:val="000000"/>
                      <w:sz w:val="22"/>
                      <w:szCs w:val="22"/>
                    </w:rPr>
                    <w:br/>
                    <w:t>Resistencia: 700 kg</w:t>
                  </w:r>
                  <w:r w:rsidRPr="009B115F">
                    <w:rPr>
                      <w:rFonts w:ascii="Aptos Narrow" w:hAnsi="Aptos Narrow"/>
                      <w:color w:val="000000"/>
                      <w:sz w:val="22"/>
                      <w:szCs w:val="22"/>
                    </w:rPr>
                    <w:br/>
                    <w:t>Capacidad: 10 personas</w:t>
                  </w:r>
                </w:p>
              </w:tc>
              <w:tc>
                <w:tcPr>
                  <w:tcW w:w="2200" w:type="dxa"/>
                  <w:tcBorders>
                    <w:top w:val="nil"/>
                    <w:left w:val="nil"/>
                    <w:bottom w:val="single" w:sz="4" w:space="0" w:color="auto"/>
                    <w:right w:val="single" w:sz="4" w:space="0" w:color="auto"/>
                  </w:tcBorders>
                  <w:shd w:val="clear" w:color="auto" w:fill="auto"/>
                  <w:vAlign w:val="center"/>
                  <w:hideMark/>
                </w:tcPr>
                <w:p w14:paraId="79C11BCF"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Calle 41 # 41 - 69</w:t>
                  </w:r>
                  <w:r w:rsidRPr="009B115F">
                    <w:rPr>
                      <w:rFonts w:ascii="Aptos Narrow" w:hAnsi="Aptos Narrow"/>
                      <w:color w:val="000000"/>
                      <w:sz w:val="22"/>
                      <w:szCs w:val="22"/>
                    </w:rPr>
                    <w:br/>
                    <w:t>Sede URI Barranquilla</w:t>
                  </w:r>
                </w:p>
              </w:tc>
              <w:tc>
                <w:tcPr>
                  <w:tcW w:w="1400" w:type="dxa"/>
                  <w:tcBorders>
                    <w:top w:val="nil"/>
                    <w:left w:val="nil"/>
                    <w:bottom w:val="single" w:sz="4" w:space="0" w:color="auto"/>
                    <w:right w:val="single" w:sz="4" w:space="0" w:color="auto"/>
                  </w:tcBorders>
                  <w:shd w:val="clear" w:color="auto" w:fill="auto"/>
                  <w:vAlign w:val="center"/>
                  <w:hideMark/>
                </w:tcPr>
                <w:p w14:paraId="0054CF16"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4</w:t>
                  </w:r>
                </w:p>
              </w:tc>
            </w:tr>
            <w:tr w:rsidR="005F74EC" w:rsidRPr="009B115F" w14:paraId="64AD5244" w14:textId="77777777" w:rsidTr="000C35A8">
              <w:trPr>
                <w:trHeight w:val="116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F90FE83"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Atlántico</w:t>
                  </w:r>
                </w:p>
              </w:tc>
              <w:tc>
                <w:tcPr>
                  <w:tcW w:w="3160" w:type="dxa"/>
                  <w:tcBorders>
                    <w:top w:val="nil"/>
                    <w:left w:val="nil"/>
                    <w:bottom w:val="single" w:sz="4" w:space="0" w:color="auto"/>
                    <w:right w:val="single" w:sz="4" w:space="0" w:color="auto"/>
                  </w:tcBorders>
                  <w:shd w:val="clear" w:color="auto" w:fill="auto"/>
                  <w:vAlign w:val="center"/>
                  <w:hideMark/>
                </w:tcPr>
                <w:p w14:paraId="1880A99B"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Mitsubishi</w:t>
                  </w:r>
                  <w:r w:rsidRPr="009B115F">
                    <w:rPr>
                      <w:rFonts w:ascii="Aptos Narrow" w:hAnsi="Aptos Narrow"/>
                      <w:color w:val="000000"/>
                      <w:sz w:val="22"/>
                      <w:szCs w:val="22"/>
                    </w:rPr>
                    <w:br/>
                    <w:t>Resistencia: 680 kg</w:t>
                  </w:r>
                  <w:r w:rsidRPr="009B115F">
                    <w:rPr>
                      <w:rFonts w:ascii="Aptos Narrow" w:hAnsi="Aptos Narrow"/>
                      <w:color w:val="000000"/>
                      <w:sz w:val="22"/>
                      <w:szCs w:val="22"/>
                    </w:rPr>
                    <w:br/>
                    <w:t>Capacidad: 10 personas</w:t>
                  </w:r>
                </w:p>
              </w:tc>
              <w:tc>
                <w:tcPr>
                  <w:tcW w:w="2200" w:type="dxa"/>
                  <w:tcBorders>
                    <w:top w:val="nil"/>
                    <w:left w:val="nil"/>
                    <w:bottom w:val="single" w:sz="4" w:space="0" w:color="auto"/>
                    <w:right w:val="single" w:sz="4" w:space="0" w:color="auto"/>
                  </w:tcBorders>
                  <w:shd w:val="clear" w:color="auto" w:fill="auto"/>
                  <w:vAlign w:val="center"/>
                  <w:hideMark/>
                </w:tcPr>
                <w:p w14:paraId="1AF753C3"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Calle 38 # 44 - 113 Pisos 1, 2, 3, 12 y 13</w:t>
                  </w:r>
                  <w:r w:rsidRPr="009B115F">
                    <w:rPr>
                      <w:rFonts w:ascii="Aptos Narrow" w:hAnsi="Aptos Narrow"/>
                      <w:color w:val="000000"/>
                      <w:sz w:val="22"/>
                      <w:szCs w:val="22"/>
                    </w:rPr>
                    <w:br/>
                    <w:t>Sede Lara Bonilla Barranquilla</w:t>
                  </w:r>
                </w:p>
              </w:tc>
              <w:tc>
                <w:tcPr>
                  <w:tcW w:w="1400" w:type="dxa"/>
                  <w:tcBorders>
                    <w:top w:val="nil"/>
                    <w:left w:val="nil"/>
                    <w:bottom w:val="single" w:sz="4" w:space="0" w:color="auto"/>
                    <w:right w:val="single" w:sz="4" w:space="0" w:color="auto"/>
                  </w:tcBorders>
                  <w:shd w:val="clear" w:color="auto" w:fill="auto"/>
                  <w:vAlign w:val="center"/>
                  <w:hideMark/>
                </w:tcPr>
                <w:p w14:paraId="1D551903"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13</w:t>
                  </w:r>
                </w:p>
              </w:tc>
            </w:tr>
            <w:tr w:rsidR="005F74EC" w:rsidRPr="009B115F" w14:paraId="4811C70B" w14:textId="77777777" w:rsidTr="000C35A8">
              <w:trPr>
                <w:trHeight w:val="116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839F429"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Atlántico</w:t>
                  </w:r>
                </w:p>
              </w:tc>
              <w:tc>
                <w:tcPr>
                  <w:tcW w:w="3160" w:type="dxa"/>
                  <w:tcBorders>
                    <w:top w:val="nil"/>
                    <w:left w:val="nil"/>
                    <w:bottom w:val="single" w:sz="4" w:space="0" w:color="auto"/>
                    <w:right w:val="single" w:sz="4" w:space="0" w:color="auto"/>
                  </w:tcBorders>
                  <w:shd w:val="clear" w:color="auto" w:fill="auto"/>
                  <w:vAlign w:val="center"/>
                  <w:hideMark/>
                </w:tcPr>
                <w:p w14:paraId="1258B398"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SANYO (</w:t>
                  </w:r>
                  <w:proofErr w:type="spellStart"/>
                  <w:r w:rsidRPr="009B115F">
                    <w:rPr>
                      <w:rFonts w:ascii="Aptos Narrow" w:hAnsi="Aptos Narrow"/>
                      <w:color w:val="000000"/>
                      <w:sz w:val="22"/>
                      <w:szCs w:val="22"/>
                    </w:rPr>
                    <w:t>Elevators</w:t>
                  </w:r>
                  <w:proofErr w:type="spellEnd"/>
                  <w:r w:rsidRPr="009B115F">
                    <w:rPr>
                      <w:rFonts w:ascii="Aptos Narrow" w:hAnsi="Aptos Narrow"/>
                      <w:color w:val="000000"/>
                      <w:sz w:val="22"/>
                      <w:szCs w:val="22"/>
                    </w:rPr>
                    <w:t xml:space="preserve"> and </w:t>
                  </w:r>
                  <w:proofErr w:type="spellStart"/>
                  <w:r w:rsidRPr="009B115F">
                    <w:rPr>
                      <w:rFonts w:ascii="Aptos Narrow" w:hAnsi="Aptos Narrow"/>
                      <w:color w:val="000000"/>
                      <w:sz w:val="22"/>
                      <w:szCs w:val="22"/>
                    </w:rPr>
                    <w:t>Escalators</w:t>
                  </w:r>
                  <w:proofErr w:type="spellEnd"/>
                  <w:r w:rsidRPr="009B115F">
                    <w:rPr>
                      <w:rFonts w:ascii="Aptos Narrow" w:hAnsi="Aptos Narrow"/>
                      <w:color w:val="000000"/>
                      <w:sz w:val="22"/>
                      <w:szCs w:val="22"/>
                    </w:rPr>
                    <w:t>)</w:t>
                  </w:r>
                  <w:r w:rsidRPr="009B115F">
                    <w:rPr>
                      <w:rFonts w:ascii="Aptos Narrow" w:hAnsi="Aptos Narrow"/>
                      <w:color w:val="000000"/>
                      <w:sz w:val="22"/>
                      <w:szCs w:val="22"/>
                    </w:rPr>
                    <w:br/>
                    <w:t>Resistencia: 960 kg</w:t>
                  </w:r>
                  <w:r w:rsidRPr="009B115F">
                    <w:rPr>
                      <w:rFonts w:ascii="Aptos Narrow" w:hAnsi="Aptos Narrow"/>
                      <w:color w:val="000000"/>
                      <w:sz w:val="22"/>
                      <w:szCs w:val="22"/>
                    </w:rPr>
                    <w:br/>
                    <w:t>Capacidad: 12 personas</w:t>
                  </w:r>
                </w:p>
              </w:tc>
              <w:tc>
                <w:tcPr>
                  <w:tcW w:w="2200" w:type="dxa"/>
                  <w:tcBorders>
                    <w:top w:val="nil"/>
                    <w:left w:val="nil"/>
                    <w:bottom w:val="single" w:sz="4" w:space="0" w:color="auto"/>
                    <w:right w:val="single" w:sz="4" w:space="0" w:color="auto"/>
                  </w:tcBorders>
                  <w:shd w:val="clear" w:color="auto" w:fill="auto"/>
                  <w:vAlign w:val="center"/>
                  <w:hideMark/>
                </w:tcPr>
                <w:p w14:paraId="6FEE9ADE" w14:textId="77777777" w:rsidR="005F74EC" w:rsidRPr="009B115F" w:rsidRDefault="005F74EC" w:rsidP="000C35A8">
                  <w:pPr>
                    <w:jc w:val="center"/>
                    <w:rPr>
                      <w:rFonts w:ascii="Aptos Narrow" w:hAnsi="Aptos Narrow"/>
                      <w:color w:val="000000"/>
                      <w:sz w:val="22"/>
                      <w:szCs w:val="22"/>
                    </w:rPr>
                  </w:pPr>
                  <w:proofErr w:type="spellStart"/>
                  <w:r w:rsidRPr="009B115F">
                    <w:rPr>
                      <w:rFonts w:ascii="Aptos Narrow" w:hAnsi="Aptos Narrow"/>
                      <w:color w:val="000000"/>
                      <w:sz w:val="22"/>
                      <w:szCs w:val="22"/>
                    </w:rPr>
                    <w:t>Cra</w:t>
                  </w:r>
                  <w:proofErr w:type="spellEnd"/>
                  <w:r w:rsidRPr="009B115F">
                    <w:rPr>
                      <w:rFonts w:ascii="Aptos Narrow" w:hAnsi="Aptos Narrow"/>
                      <w:color w:val="000000"/>
                      <w:sz w:val="22"/>
                      <w:szCs w:val="22"/>
                    </w:rPr>
                    <w:t xml:space="preserve"> 15B # 15 - 77</w:t>
                  </w:r>
                  <w:r w:rsidRPr="009B115F">
                    <w:rPr>
                      <w:rFonts w:ascii="Aptos Narrow" w:hAnsi="Aptos Narrow"/>
                      <w:color w:val="000000"/>
                      <w:sz w:val="22"/>
                      <w:szCs w:val="22"/>
                    </w:rPr>
                    <w:br/>
                    <w:t>Sede Soledad</w:t>
                  </w:r>
                </w:p>
              </w:tc>
              <w:tc>
                <w:tcPr>
                  <w:tcW w:w="1400" w:type="dxa"/>
                  <w:tcBorders>
                    <w:top w:val="nil"/>
                    <w:left w:val="nil"/>
                    <w:bottom w:val="single" w:sz="4" w:space="0" w:color="auto"/>
                    <w:right w:val="single" w:sz="4" w:space="0" w:color="auto"/>
                  </w:tcBorders>
                  <w:shd w:val="clear" w:color="auto" w:fill="auto"/>
                  <w:vAlign w:val="center"/>
                  <w:hideMark/>
                </w:tcPr>
                <w:p w14:paraId="2FB82FE2"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4</w:t>
                  </w:r>
                </w:p>
              </w:tc>
            </w:tr>
            <w:tr w:rsidR="005F74EC" w:rsidRPr="009B115F" w14:paraId="012CA4E1" w14:textId="77777777" w:rsidTr="000C35A8">
              <w:trPr>
                <w:trHeight w:val="87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D0DD7F2" w14:textId="77777777" w:rsidR="005F74EC" w:rsidRPr="009B115F" w:rsidRDefault="005F74EC" w:rsidP="000C35A8">
                  <w:pPr>
                    <w:jc w:val="center"/>
                    <w:rPr>
                      <w:rFonts w:ascii="Aptos Narrow" w:hAnsi="Aptos Narrow"/>
                      <w:color w:val="000000"/>
                      <w:sz w:val="22"/>
                      <w:szCs w:val="22"/>
                    </w:rPr>
                  </w:pPr>
                  <w:proofErr w:type="spellStart"/>
                  <w:r w:rsidRPr="009B115F">
                    <w:rPr>
                      <w:rFonts w:ascii="Aptos Narrow" w:hAnsi="Aptos Narrow"/>
                      <w:color w:val="000000"/>
                      <w:sz w:val="22"/>
                      <w:szCs w:val="22"/>
                    </w:rPr>
                    <w:t>Bolivar</w:t>
                  </w:r>
                  <w:proofErr w:type="spellEnd"/>
                </w:p>
              </w:tc>
              <w:tc>
                <w:tcPr>
                  <w:tcW w:w="3160" w:type="dxa"/>
                  <w:tcBorders>
                    <w:top w:val="nil"/>
                    <w:left w:val="nil"/>
                    <w:bottom w:val="single" w:sz="4" w:space="0" w:color="auto"/>
                    <w:right w:val="single" w:sz="4" w:space="0" w:color="auto"/>
                  </w:tcBorders>
                  <w:shd w:val="clear" w:color="auto" w:fill="auto"/>
                  <w:vAlign w:val="center"/>
                  <w:hideMark/>
                </w:tcPr>
                <w:p w14:paraId="47224EC8"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NOVA</w:t>
                  </w:r>
                  <w:r w:rsidRPr="009B115F">
                    <w:rPr>
                      <w:rFonts w:ascii="Aptos Narrow" w:hAnsi="Aptos Narrow"/>
                      <w:color w:val="000000"/>
                      <w:sz w:val="22"/>
                      <w:szCs w:val="22"/>
                    </w:rPr>
                    <w:br/>
                    <w:t>Resistencia: 750 kg</w:t>
                  </w:r>
                  <w:r w:rsidRPr="009B115F">
                    <w:rPr>
                      <w:rFonts w:ascii="Aptos Narrow" w:hAnsi="Aptos Narrow"/>
                      <w:color w:val="000000"/>
                      <w:sz w:val="22"/>
                      <w:szCs w:val="22"/>
                    </w:rPr>
                    <w:br/>
                    <w:t>Capacidad: 8 personas</w:t>
                  </w:r>
                </w:p>
              </w:tc>
              <w:tc>
                <w:tcPr>
                  <w:tcW w:w="2200" w:type="dxa"/>
                  <w:tcBorders>
                    <w:top w:val="nil"/>
                    <w:left w:val="nil"/>
                    <w:bottom w:val="single" w:sz="4" w:space="0" w:color="auto"/>
                    <w:right w:val="single" w:sz="4" w:space="0" w:color="auto"/>
                  </w:tcBorders>
                  <w:shd w:val="clear" w:color="auto" w:fill="auto"/>
                  <w:vAlign w:val="center"/>
                  <w:hideMark/>
                </w:tcPr>
                <w:p w14:paraId="0A352FD8"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Calle 66 # 4 - 86</w:t>
                  </w:r>
                  <w:r w:rsidRPr="009B115F">
                    <w:rPr>
                      <w:rFonts w:ascii="Aptos Narrow" w:hAnsi="Aptos Narrow"/>
                      <w:color w:val="000000"/>
                      <w:sz w:val="22"/>
                      <w:szCs w:val="22"/>
                    </w:rPr>
                    <w:br/>
                    <w:t>Sede Hocol Cartagena</w:t>
                  </w:r>
                </w:p>
              </w:tc>
              <w:tc>
                <w:tcPr>
                  <w:tcW w:w="1400" w:type="dxa"/>
                  <w:tcBorders>
                    <w:top w:val="nil"/>
                    <w:left w:val="nil"/>
                    <w:bottom w:val="single" w:sz="4" w:space="0" w:color="auto"/>
                    <w:right w:val="single" w:sz="4" w:space="0" w:color="auto"/>
                  </w:tcBorders>
                  <w:shd w:val="clear" w:color="auto" w:fill="auto"/>
                  <w:vAlign w:val="center"/>
                  <w:hideMark/>
                </w:tcPr>
                <w:p w14:paraId="35791523"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4</w:t>
                  </w:r>
                </w:p>
              </w:tc>
            </w:tr>
            <w:tr w:rsidR="005F74EC" w:rsidRPr="009B115F" w14:paraId="0984618C" w14:textId="77777777" w:rsidTr="000C35A8">
              <w:trPr>
                <w:trHeight w:val="87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8BDF1F4" w14:textId="77777777" w:rsidR="005F74EC" w:rsidRPr="009B115F" w:rsidRDefault="005F74EC" w:rsidP="000C35A8">
                  <w:pPr>
                    <w:jc w:val="center"/>
                    <w:rPr>
                      <w:rFonts w:ascii="Aptos Narrow" w:hAnsi="Aptos Narrow"/>
                      <w:color w:val="000000"/>
                      <w:sz w:val="22"/>
                      <w:szCs w:val="22"/>
                    </w:rPr>
                  </w:pPr>
                  <w:proofErr w:type="spellStart"/>
                  <w:r w:rsidRPr="009B115F">
                    <w:rPr>
                      <w:rFonts w:ascii="Aptos Narrow" w:hAnsi="Aptos Narrow"/>
                      <w:color w:val="000000"/>
                      <w:sz w:val="22"/>
                      <w:szCs w:val="22"/>
                    </w:rPr>
                    <w:t>Bolivar</w:t>
                  </w:r>
                  <w:proofErr w:type="spellEnd"/>
                </w:p>
              </w:tc>
              <w:tc>
                <w:tcPr>
                  <w:tcW w:w="3160" w:type="dxa"/>
                  <w:tcBorders>
                    <w:top w:val="nil"/>
                    <w:left w:val="nil"/>
                    <w:bottom w:val="single" w:sz="4" w:space="0" w:color="auto"/>
                    <w:right w:val="single" w:sz="4" w:space="0" w:color="auto"/>
                  </w:tcBorders>
                  <w:shd w:val="clear" w:color="auto" w:fill="auto"/>
                  <w:vAlign w:val="center"/>
                  <w:hideMark/>
                </w:tcPr>
                <w:p w14:paraId="19F7E98C"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NOVA</w:t>
                  </w:r>
                  <w:r w:rsidRPr="009B115F">
                    <w:rPr>
                      <w:rFonts w:ascii="Aptos Narrow" w:hAnsi="Aptos Narrow"/>
                      <w:color w:val="000000"/>
                      <w:sz w:val="22"/>
                      <w:szCs w:val="22"/>
                    </w:rPr>
                    <w:br/>
                    <w:t>Resistencia: 750 kg</w:t>
                  </w:r>
                  <w:r w:rsidRPr="009B115F">
                    <w:rPr>
                      <w:rFonts w:ascii="Aptos Narrow" w:hAnsi="Aptos Narrow"/>
                      <w:color w:val="000000"/>
                      <w:sz w:val="22"/>
                      <w:szCs w:val="22"/>
                    </w:rPr>
                    <w:br/>
                    <w:t>Capacidad: 10 personas</w:t>
                  </w:r>
                </w:p>
              </w:tc>
              <w:tc>
                <w:tcPr>
                  <w:tcW w:w="2200" w:type="dxa"/>
                  <w:tcBorders>
                    <w:top w:val="nil"/>
                    <w:left w:val="nil"/>
                    <w:bottom w:val="single" w:sz="4" w:space="0" w:color="auto"/>
                    <w:right w:val="single" w:sz="4" w:space="0" w:color="auto"/>
                  </w:tcBorders>
                  <w:shd w:val="clear" w:color="auto" w:fill="auto"/>
                  <w:vAlign w:val="center"/>
                  <w:hideMark/>
                </w:tcPr>
                <w:p w14:paraId="56C75EE9"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Calle 66 # 4 - 86</w:t>
                  </w:r>
                  <w:r w:rsidRPr="009B115F">
                    <w:rPr>
                      <w:rFonts w:ascii="Aptos Narrow" w:hAnsi="Aptos Narrow"/>
                      <w:color w:val="000000"/>
                      <w:sz w:val="22"/>
                      <w:szCs w:val="22"/>
                    </w:rPr>
                    <w:br/>
                    <w:t>Sede Hocol Cartagena</w:t>
                  </w:r>
                </w:p>
              </w:tc>
              <w:tc>
                <w:tcPr>
                  <w:tcW w:w="1400" w:type="dxa"/>
                  <w:tcBorders>
                    <w:top w:val="nil"/>
                    <w:left w:val="nil"/>
                    <w:bottom w:val="single" w:sz="4" w:space="0" w:color="auto"/>
                    <w:right w:val="single" w:sz="4" w:space="0" w:color="auto"/>
                  </w:tcBorders>
                  <w:shd w:val="clear" w:color="auto" w:fill="auto"/>
                  <w:vAlign w:val="center"/>
                  <w:hideMark/>
                </w:tcPr>
                <w:p w14:paraId="3990F7EF"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4</w:t>
                  </w:r>
                </w:p>
              </w:tc>
            </w:tr>
            <w:tr w:rsidR="005F74EC" w:rsidRPr="009B115F" w14:paraId="1D2A8B8A" w14:textId="77777777" w:rsidTr="000C35A8">
              <w:trPr>
                <w:trHeight w:val="116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69EE38B"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Guajira</w:t>
                  </w:r>
                </w:p>
              </w:tc>
              <w:tc>
                <w:tcPr>
                  <w:tcW w:w="3160" w:type="dxa"/>
                  <w:tcBorders>
                    <w:top w:val="nil"/>
                    <w:left w:val="nil"/>
                    <w:bottom w:val="single" w:sz="4" w:space="0" w:color="auto"/>
                    <w:right w:val="single" w:sz="4" w:space="0" w:color="auto"/>
                  </w:tcBorders>
                  <w:shd w:val="clear" w:color="auto" w:fill="auto"/>
                  <w:vAlign w:val="center"/>
                  <w:hideMark/>
                </w:tcPr>
                <w:p w14:paraId="088C215E"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Marca: ASCENSORES SCHINDLER DE COLOMBIA S.A.S.</w:t>
                  </w:r>
                  <w:r w:rsidRPr="009B115F">
                    <w:rPr>
                      <w:rFonts w:ascii="Aptos Narrow" w:hAnsi="Aptos Narrow"/>
                      <w:color w:val="000000"/>
                      <w:sz w:val="22"/>
                      <w:szCs w:val="22"/>
                    </w:rPr>
                    <w:br/>
                    <w:t>Resistencia: 750 kg</w:t>
                  </w:r>
                  <w:r w:rsidRPr="009B115F">
                    <w:rPr>
                      <w:rFonts w:ascii="Aptos Narrow" w:hAnsi="Aptos Narrow"/>
                      <w:color w:val="000000"/>
                      <w:sz w:val="22"/>
                      <w:szCs w:val="22"/>
                    </w:rPr>
                    <w:br/>
                    <w:t>Capacidad: 10 personas</w:t>
                  </w:r>
                </w:p>
              </w:tc>
              <w:tc>
                <w:tcPr>
                  <w:tcW w:w="2200" w:type="dxa"/>
                  <w:tcBorders>
                    <w:top w:val="nil"/>
                    <w:left w:val="nil"/>
                    <w:bottom w:val="single" w:sz="4" w:space="0" w:color="auto"/>
                    <w:right w:val="single" w:sz="4" w:space="0" w:color="auto"/>
                  </w:tcBorders>
                  <w:shd w:val="clear" w:color="auto" w:fill="auto"/>
                  <w:vAlign w:val="center"/>
                  <w:hideMark/>
                </w:tcPr>
                <w:p w14:paraId="02E8CCC6"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Calle 1 # 6 - 65</w:t>
                  </w:r>
                  <w:r w:rsidRPr="009B115F">
                    <w:rPr>
                      <w:rFonts w:ascii="Aptos Narrow" w:hAnsi="Aptos Narrow"/>
                      <w:color w:val="000000"/>
                      <w:sz w:val="22"/>
                      <w:szCs w:val="22"/>
                    </w:rPr>
                    <w:br/>
                    <w:t>Sede de La Primera Riohacha</w:t>
                  </w:r>
                </w:p>
              </w:tc>
              <w:tc>
                <w:tcPr>
                  <w:tcW w:w="1400" w:type="dxa"/>
                  <w:tcBorders>
                    <w:top w:val="nil"/>
                    <w:left w:val="nil"/>
                    <w:bottom w:val="single" w:sz="4" w:space="0" w:color="auto"/>
                    <w:right w:val="single" w:sz="4" w:space="0" w:color="auto"/>
                  </w:tcBorders>
                  <w:shd w:val="clear" w:color="auto" w:fill="auto"/>
                  <w:vAlign w:val="center"/>
                  <w:hideMark/>
                </w:tcPr>
                <w:p w14:paraId="38046F31" w14:textId="77777777" w:rsidR="005F74EC" w:rsidRPr="009B115F" w:rsidRDefault="005F74EC" w:rsidP="000C35A8">
                  <w:pPr>
                    <w:jc w:val="center"/>
                    <w:rPr>
                      <w:rFonts w:ascii="Aptos Narrow" w:hAnsi="Aptos Narrow"/>
                      <w:color w:val="000000"/>
                      <w:sz w:val="22"/>
                      <w:szCs w:val="22"/>
                    </w:rPr>
                  </w:pPr>
                  <w:r w:rsidRPr="009B115F">
                    <w:rPr>
                      <w:rFonts w:ascii="Aptos Narrow" w:hAnsi="Aptos Narrow"/>
                      <w:color w:val="000000"/>
                      <w:sz w:val="22"/>
                      <w:szCs w:val="22"/>
                    </w:rPr>
                    <w:t>4</w:t>
                  </w:r>
                </w:p>
              </w:tc>
            </w:tr>
          </w:tbl>
          <w:p w14:paraId="0437E45C" w14:textId="77777777" w:rsidR="005F74EC" w:rsidRPr="007F129A" w:rsidRDefault="005F74EC" w:rsidP="000C35A8">
            <w:pPr>
              <w:tabs>
                <w:tab w:val="left" w:pos="284"/>
              </w:tabs>
              <w:jc w:val="both"/>
              <w:rPr>
                <w:rFonts w:ascii="Arial" w:hAnsi="Arial" w:cs="Arial"/>
                <w:sz w:val="22"/>
                <w:szCs w:val="22"/>
              </w:rPr>
            </w:pPr>
          </w:p>
          <w:p w14:paraId="6F404BE0" w14:textId="77777777" w:rsidR="005F74EC" w:rsidRPr="007F129A" w:rsidRDefault="005F74EC" w:rsidP="000C35A8">
            <w:pPr>
              <w:pStyle w:val="Prrafodelista"/>
              <w:numPr>
                <w:ilvl w:val="0"/>
                <w:numId w:val="1"/>
              </w:numPr>
              <w:jc w:val="both"/>
              <w:rPr>
                <w:rFonts w:ascii="Arial" w:hAnsi="Arial" w:cs="Arial"/>
                <w:sz w:val="22"/>
                <w:szCs w:val="22"/>
              </w:rPr>
            </w:pPr>
            <w:r w:rsidRPr="007F129A">
              <w:rPr>
                <w:rFonts w:ascii="Arial" w:hAnsi="Arial" w:cs="Arial"/>
                <w:sz w:val="22"/>
                <w:szCs w:val="22"/>
              </w:rPr>
              <w:t>Para la realización de la inspección obligatoria de ascensores y puertas eléctricas el contratista debe tener en cuenta entre otros los siguientes aspectos técnicos:</w:t>
            </w:r>
          </w:p>
          <w:p w14:paraId="10ABC1E5" w14:textId="77777777" w:rsidR="005F74EC" w:rsidRPr="007F129A" w:rsidRDefault="005F74EC" w:rsidP="000C35A8">
            <w:pPr>
              <w:jc w:val="both"/>
              <w:rPr>
                <w:rFonts w:ascii="Arial" w:hAnsi="Arial" w:cs="Arial"/>
                <w:sz w:val="22"/>
                <w:szCs w:val="22"/>
              </w:rPr>
            </w:pPr>
          </w:p>
          <w:p w14:paraId="283A28DD"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1. Verificar la funcionalidad y el estado de conservación de los componentes de los ascensores. </w:t>
            </w:r>
          </w:p>
          <w:p w14:paraId="5A3E6260"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2. Verificar la existencia de mecanismos que permitan la apertura manual en caso de emergencia.</w:t>
            </w:r>
          </w:p>
          <w:p w14:paraId="2650F0A4"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3. Verificar la instalación de la señalización informativa de los ascensores.</w:t>
            </w:r>
          </w:p>
          <w:p w14:paraId="0A2C8F69"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4. Verificar la instalación de las instrucciones en caso de emergencia.</w:t>
            </w:r>
          </w:p>
          <w:p w14:paraId="6A865BB9"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5. Verificar el estado y la funcionalidad de los componentes del sistema (motores, sensores, cables de tracción, contrapesos, etc.)</w:t>
            </w:r>
          </w:p>
          <w:p w14:paraId="3F79CB55"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6. Verificar el estado y debido funcionamiento del sistema eléctrico.</w:t>
            </w:r>
          </w:p>
          <w:p w14:paraId="3E7A50C6" w14:textId="77777777" w:rsidR="005F74EC" w:rsidRPr="007F129A" w:rsidRDefault="005F74EC" w:rsidP="000C35A8">
            <w:pPr>
              <w:jc w:val="both"/>
              <w:rPr>
                <w:rFonts w:ascii="Arial" w:hAnsi="Arial" w:cs="Arial"/>
                <w:sz w:val="22"/>
                <w:szCs w:val="22"/>
              </w:rPr>
            </w:pPr>
          </w:p>
          <w:p w14:paraId="75798E0C" w14:textId="77777777" w:rsidR="005F74EC" w:rsidRPr="007F129A" w:rsidRDefault="005F74EC" w:rsidP="000C35A8">
            <w:pPr>
              <w:pStyle w:val="Prrafodelista"/>
              <w:numPr>
                <w:ilvl w:val="0"/>
                <w:numId w:val="1"/>
              </w:numPr>
              <w:jc w:val="both"/>
              <w:rPr>
                <w:rFonts w:ascii="Arial" w:hAnsi="Arial" w:cs="Arial"/>
                <w:sz w:val="22"/>
                <w:szCs w:val="22"/>
              </w:rPr>
            </w:pPr>
            <w:r w:rsidRPr="007F129A">
              <w:rPr>
                <w:rFonts w:ascii="Arial" w:hAnsi="Arial" w:cs="Arial"/>
                <w:sz w:val="22"/>
                <w:szCs w:val="22"/>
              </w:rPr>
              <w:t>Para efectos de realizar la verificación el contratista deberá tener en cuenta los siguientes elementos informativos y de seguridad, los cuales serán objeto de verificación por parte de la entidad competente o quien haga sus veces:</w:t>
            </w:r>
          </w:p>
          <w:p w14:paraId="534B658F"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 </w:t>
            </w:r>
          </w:p>
          <w:p w14:paraId="0E83FAE4"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1. Certificación sobre el informe de inspección en un lugar visible para el usuario.</w:t>
            </w:r>
          </w:p>
          <w:p w14:paraId="783CAB6E"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2. Los propietarios o administradores de las edificaciones deberán contar con un registro de información para cada medio de transporte vertical, en donde se registren las evaluaciones y mantenimiento preventivo y correctivo realizados en cada uno de los sistemas que componen el medio (sistema mecánico, eléctrico, estructural, etc.).</w:t>
            </w:r>
          </w:p>
          <w:p w14:paraId="4A899A6A"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lastRenderedPageBreak/>
              <w:t xml:space="preserve"> </w:t>
            </w:r>
          </w:p>
          <w:p w14:paraId="1BF5AD4D"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El registro de información debe contar con el historial de mantenimiento y además, como mínimo con los siguientes ítems:</w:t>
            </w:r>
          </w:p>
          <w:p w14:paraId="3B061FD1"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 xml:space="preserve"> </w:t>
            </w:r>
          </w:p>
          <w:p w14:paraId="74FF5B48"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a. Ficha técnica del medio de transporte.</w:t>
            </w:r>
          </w:p>
          <w:p w14:paraId="035DC881"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b. Tiempo de uso.</w:t>
            </w:r>
          </w:p>
          <w:p w14:paraId="3FE1AD58"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c. Plan de mantenimiento.</w:t>
            </w:r>
          </w:p>
          <w:p w14:paraId="4FC3D073"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d. Documentación de los incidentes y/o accidentes que hayan ocurrido con descripción de sus causas, afectaciones y medidas correctivas adoptadas.</w:t>
            </w:r>
          </w:p>
          <w:p w14:paraId="2620B08F"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e. Instrucciones de uso, advertencias y precauciones.</w:t>
            </w:r>
          </w:p>
          <w:p w14:paraId="4F221D30"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f. Documento de conformidad suscrito con el propietario y/o administrador, en caso de mantenimientos correctivos.</w:t>
            </w:r>
          </w:p>
          <w:p w14:paraId="6AC69FF7"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g. El Anexo A de la NTC 5926-1, que contiene el informe de inspección.</w:t>
            </w:r>
          </w:p>
          <w:p w14:paraId="60F3A54A"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 </w:t>
            </w:r>
          </w:p>
          <w:p w14:paraId="7E18EAB6"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3. Todos los sistemas de transporte vertical deben contar, como mínimo con la señalización del Anexo B de la NTC 5926-1, las instrucciones y precauciones para el buen uso que deben ser observadas por los usuarios.</w:t>
            </w:r>
          </w:p>
          <w:p w14:paraId="1CF1385D"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4. El interruptor de arranque y parada de emergencia de los sistemas de transporte vertical debe estar en funcionamiento y adecuadamente señalizado.</w:t>
            </w:r>
          </w:p>
          <w:p w14:paraId="6D0BFF28"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5. En el Plan de Emergencia y Contingencia de toda edificación deberá incluirse, respecto de los sistemas de transporte vertical, los siguientes componentes:</w:t>
            </w:r>
          </w:p>
          <w:p w14:paraId="0048844A"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 xml:space="preserve"> </w:t>
            </w:r>
          </w:p>
          <w:p w14:paraId="7907CDF1"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a. Los protocolos y procedimientos específicos para atender los incidentes o accidentes que se presenten con el uso de los medios de transporte vertical.</w:t>
            </w:r>
          </w:p>
          <w:p w14:paraId="3B748632" w14:textId="77777777" w:rsidR="005F74EC" w:rsidRPr="007F129A" w:rsidRDefault="005F74EC" w:rsidP="000C35A8">
            <w:pPr>
              <w:ind w:left="708"/>
              <w:jc w:val="both"/>
              <w:rPr>
                <w:rFonts w:ascii="Arial" w:hAnsi="Arial" w:cs="Arial"/>
                <w:sz w:val="22"/>
                <w:szCs w:val="22"/>
              </w:rPr>
            </w:pPr>
            <w:r w:rsidRPr="007F129A">
              <w:rPr>
                <w:rFonts w:ascii="Arial" w:hAnsi="Arial" w:cs="Arial"/>
                <w:sz w:val="22"/>
                <w:szCs w:val="22"/>
              </w:rPr>
              <w:t>b. Una descripción del aislamiento, señalización y la indicación sobre rutas o medios alternos, que deben ser utilizados durante la realización de las operaciones de mantenimiento o revisión de los medios de transporte vertical.</w:t>
            </w:r>
          </w:p>
          <w:p w14:paraId="004D06C2" w14:textId="77777777" w:rsidR="005F74EC" w:rsidRPr="007F129A" w:rsidRDefault="005F74EC" w:rsidP="000C35A8">
            <w:pPr>
              <w:jc w:val="both"/>
              <w:rPr>
                <w:rFonts w:ascii="Arial" w:hAnsi="Arial" w:cs="Arial"/>
                <w:sz w:val="22"/>
                <w:szCs w:val="22"/>
              </w:rPr>
            </w:pPr>
          </w:p>
          <w:p w14:paraId="2608E4BE" w14:textId="77777777" w:rsidR="005F74EC" w:rsidRPr="007F129A" w:rsidRDefault="005F74EC" w:rsidP="000C35A8">
            <w:pPr>
              <w:jc w:val="both"/>
              <w:rPr>
                <w:rFonts w:ascii="Arial" w:hAnsi="Arial" w:cs="Arial"/>
                <w:sz w:val="22"/>
                <w:szCs w:val="22"/>
              </w:rPr>
            </w:pPr>
            <w:r w:rsidRPr="007F129A">
              <w:rPr>
                <w:rFonts w:ascii="Arial" w:hAnsi="Arial" w:cs="Arial"/>
                <w:sz w:val="22"/>
                <w:szCs w:val="22"/>
              </w:rPr>
              <w:t>El cronograma de ejecución del contrato debe contener como mínimo entre otros los siguientes puntos y debe efectuarse en promedio en el plazo descrito a continuación:</w:t>
            </w:r>
          </w:p>
          <w:p w14:paraId="3E3C2391" w14:textId="77777777" w:rsidR="005F74EC" w:rsidRPr="007F129A" w:rsidRDefault="005F74EC" w:rsidP="000C35A8">
            <w:pPr>
              <w:tabs>
                <w:tab w:val="left" w:pos="284"/>
              </w:tabs>
              <w:jc w:val="both"/>
              <w:rPr>
                <w:rFonts w:ascii="Arial" w:hAnsi="Arial" w:cs="Arial"/>
                <w:sz w:val="22"/>
                <w:szCs w:val="22"/>
              </w:rPr>
            </w:pPr>
          </w:p>
          <w:p w14:paraId="242D5209" w14:textId="77777777" w:rsidR="005F74EC" w:rsidRPr="007F129A" w:rsidRDefault="005F74EC" w:rsidP="000C35A8">
            <w:pPr>
              <w:pStyle w:val="Prrafodelista"/>
              <w:numPr>
                <w:ilvl w:val="0"/>
                <w:numId w:val="3"/>
              </w:numPr>
              <w:tabs>
                <w:tab w:val="left" w:pos="567"/>
              </w:tabs>
              <w:ind w:left="360"/>
              <w:contextualSpacing w:val="0"/>
              <w:jc w:val="both"/>
              <w:rPr>
                <w:rFonts w:ascii="Arial" w:hAnsi="Arial" w:cs="Arial"/>
                <w:color w:val="000000"/>
                <w:sz w:val="22"/>
                <w:szCs w:val="22"/>
              </w:rPr>
            </w:pPr>
            <w:r w:rsidRPr="007F129A">
              <w:rPr>
                <w:rFonts w:ascii="Arial" w:hAnsi="Arial" w:cs="Arial"/>
                <w:b/>
                <w:color w:val="000000"/>
                <w:sz w:val="22"/>
                <w:szCs w:val="22"/>
              </w:rPr>
              <w:t>Programar la fecha</w:t>
            </w:r>
            <w:r w:rsidRPr="007F129A">
              <w:rPr>
                <w:rFonts w:ascii="Arial" w:hAnsi="Arial" w:cs="Arial"/>
                <w:color w:val="000000"/>
                <w:sz w:val="22"/>
                <w:szCs w:val="22"/>
              </w:rPr>
              <w:t xml:space="preserve"> de la primera visita para realizar la inspección dentro de los cinco (5) días hábiles posteriores a la firma del acta de inicio.</w:t>
            </w:r>
          </w:p>
          <w:p w14:paraId="79B0ED5F" w14:textId="77777777" w:rsidR="005F74EC" w:rsidRPr="007F129A" w:rsidRDefault="005F74EC" w:rsidP="000C35A8">
            <w:pPr>
              <w:pStyle w:val="Prrafodelista"/>
              <w:numPr>
                <w:ilvl w:val="0"/>
                <w:numId w:val="3"/>
              </w:numPr>
              <w:tabs>
                <w:tab w:val="left" w:pos="567"/>
              </w:tabs>
              <w:ind w:left="360"/>
              <w:contextualSpacing w:val="0"/>
              <w:jc w:val="both"/>
              <w:rPr>
                <w:rFonts w:ascii="Arial" w:hAnsi="Arial" w:cs="Arial"/>
                <w:color w:val="000000"/>
                <w:sz w:val="22"/>
                <w:szCs w:val="22"/>
              </w:rPr>
            </w:pPr>
            <w:r w:rsidRPr="007F129A">
              <w:rPr>
                <w:rFonts w:ascii="Arial" w:hAnsi="Arial" w:cs="Arial"/>
                <w:b/>
                <w:color w:val="000000"/>
                <w:sz w:val="22"/>
                <w:szCs w:val="22"/>
              </w:rPr>
              <w:t>Reunión de apertura:</w:t>
            </w:r>
            <w:r w:rsidRPr="007F129A">
              <w:rPr>
                <w:rFonts w:ascii="Arial" w:hAnsi="Arial" w:cs="Arial"/>
                <w:color w:val="000000"/>
                <w:sz w:val="22"/>
                <w:szCs w:val="22"/>
              </w:rPr>
              <w:t xml:space="preserve"> Se realizará en los primeros ocho días hábiles de conformidad con la programación que se realice en el ítem anterior y deben asistir la parte técnica del contratista, del propietario o administrador del inmueble, de la empresa que realiza el mantenimiento de los equipos y el supervisor del contrato. </w:t>
            </w:r>
          </w:p>
          <w:p w14:paraId="138F4801" w14:textId="77777777" w:rsidR="005F74EC" w:rsidRPr="007F129A" w:rsidRDefault="005F74EC" w:rsidP="000C35A8">
            <w:pPr>
              <w:pStyle w:val="Prrafodelista"/>
              <w:numPr>
                <w:ilvl w:val="0"/>
                <w:numId w:val="3"/>
              </w:numPr>
              <w:tabs>
                <w:tab w:val="left" w:pos="567"/>
              </w:tabs>
              <w:ind w:left="360"/>
              <w:contextualSpacing w:val="0"/>
              <w:jc w:val="both"/>
              <w:rPr>
                <w:rFonts w:ascii="Arial" w:hAnsi="Arial" w:cs="Arial"/>
                <w:b/>
                <w:color w:val="000000"/>
                <w:sz w:val="22"/>
                <w:szCs w:val="22"/>
              </w:rPr>
            </w:pPr>
            <w:r w:rsidRPr="007F129A">
              <w:rPr>
                <w:rFonts w:ascii="Arial" w:hAnsi="Arial" w:cs="Arial"/>
                <w:b/>
                <w:color w:val="000000"/>
                <w:sz w:val="22"/>
                <w:szCs w:val="22"/>
              </w:rPr>
              <w:t>Primera inspección:</w:t>
            </w:r>
            <w:r w:rsidRPr="007F129A">
              <w:rPr>
                <w:rFonts w:ascii="Arial" w:hAnsi="Arial" w:cs="Arial"/>
                <w:color w:val="000000"/>
                <w:sz w:val="22"/>
                <w:szCs w:val="22"/>
              </w:rPr>
              <w:t xml:space="preserve"> Debe ejecutarse el mismo día de la Reunión de Apertura, en la cual se verificará las condiciones de los equipos, mediante lista de chequeo establecida en las normar NTC5926-1 de 2012.</w:t>
            </w:r>
          </w:p>
          <w:p w14:paraId="7ACA16D1" w14:textId="77777777" w:rsidR="005F74EC" w:rsidRPr="007F129A" w:rsidRDefault="005F74EC" w:rsidP="000C35A8">
            <w:pPr>
              <w:pStyle w:val="Prrafodelista"/>
              <w:numPr>
                <w:ilvl w:val="0"/>
                <w:numId w:val="3"/>
              </w:numPr>
              <w:tabs>
                <w:tab w:val="left" w:pos="567"/>
              </w:tabs>
              <w:ind w:left="360"/>
              <w:contextualSpacing w:val="0"/>
              <w:jc w:val="both"/>
              <w:rPr>
                <w:rFonts w:ascii="Arial" w:hAnsi="Arial" w:cs="Arial"/>
                <w:b/>
                <w:color w:val="000000"/>
                <w:sz w:val="22"/>
                <w:szCs w:val="22"/>
              </w:rPr>
            </w:pPr>
            <w:r w:rsidRPr="007F129A">
              <w:rPr>
                <w:rFonts w:ascii="Arial" w:hAnsi="Arial" w:cs="Arial"/>
                <w:b/>
                <w:color w:val="000000"/>
                <w:sz w:val="22"/>
                <w:szCs w:val="22"/>
              </w:rPr>
              <w:t xml:space="preserve">Reunión de cierre: </w:t>
            </w:r>
            <w:r w:rsidRPr="007F129A">
              <w:rPr>
                <w:rFonts w:ascii="Arial" w:hAnsi="Arial" w:cs="Arial"/>
                <w:color w:val="000000"/>
                <w:sz w:val="22"/>
                <w:szCs w:val="22"/>
              </w:rPr>
              <w:t>A la que deben asistir la parte técnica del contratista, del propietario o administrador del inmueble y de la empresa que realiza el mantenimiento de los equipos, en la que se socializarán los hallazgos de la inspección y debe llevarse a cabo dentro de los siguientes ocho días después de finalizada la primera inspección.</w:t>
            </w:r>
          </w:p>
          <w:p w14:paraId="35DA4291" w14:textId="77777777" w:rsidR="005F74EC" w:rsidRPr="007F129A" w:rsidRDefault="005F74EC" w:rsidP="000C35A8">
            <w:pPr>
              <w:pStyle w:val="Prrafodelista"/>
              <w:numPr>
                <w:ilvl w:val="0"/>
                <w:numId w:val="3"/>
              </w:numPr>
              <w:tabs>
                <w:tab w:val="left" w:pos="567"/>
              </w:tabs>
              <w:ind w:left="360"/>
              <w:contextualSpacing w:val="0"/>
              <w:jc w:val="both"/>
              <w:rPr>
                <w:rFonts w:ascii="Arial" w:hAnsi="Arial" w:cs="Arial"/>
                <w:b/>
                <w:color w:val="000000"/>
                <w:sz w:val="22"/>
                <w:szCs w:val="22"/>
              </w:rPr>
            </w:pPr>
            <w:r w:rsidRPr="007F129A">
              <w:rPr>
                <w:rFonts w:ascii="Arial" w:hAnsi="Arial" w:cs="Arial"/>
                <w:b/>
                <w:color w:val="000000"/>
                <w:sz w:val="22"/>
                <w:szCs w:val="22"/>
              </w:rPr>
              <w:t xml:space="preserve"> Certificación: </w:t>
            </w:r>
            <w:r w:rsidRPr="007F129A">
              <w:rPr>
                <w:rFonts w:ascii="Arial" w:hAnsi="Arial" w:cs="Arial"/>
                <w:color w:val="000000"/>
                <w:sz w:val="22"/>
                <w:szCs w:val="22"/>
              </w:rPr>
              <w:t xml:space="preserve">Entregar la certificación y el autoadhesivo dentro de un plazo no mayor a ocho (8) días hábiles después de la reunión de cierre, en caso de que los equipos no cuenten con NO CONFORMIDADES. Si existen NO CONFORMIDADES, se llevará a cabo una segunda inspección. </w:t>
            </w:r>
          </w:p>
          <w:p w14:paraId="11388B39" w14:textId="77777777" w:rsidR="005F74EC" w:rsidRPr="007F129A" w:rsidRDefault="005F74EC" w:rsidP="000C35A8">
            <w:pPr>
              <w:pStyle w:val="Prrafodelista"/>
              <w:numPr>
                <w:ilvl w:val="0"/>
                <w:numId w:val="3"/>
              </w:numPr>
              <w:tabs>
                <w:tab w:val="left" w:pos="567"/>
              </w:tabs>
              <w:ind w:left="360"/>
              <w:contextualSpacing w:val="0"/>
              <w:jc w:val="both"/>
              <w:rPr>
                <w:rFonts w:ascii="Arial" w:hAnsi="Arial" w:cs="Arial"/>
                <w:b/>
                <w:sz w:val="22"/>
                <w:szCs w:val="22"/>
              </w:rPr>
            </w:pPr>
            <w:r w:rsidRPr="007F129A">
              <w:rPr>
                <w:rFonts w:ascii="Arial" w:hAnsi="Arial" w:cs="Arial"/>
                <w:b/>
                <w:color w:val="000000"/>
                <w:sz w:val="22"/>
                <w:szCs w:val="22"/>
              </w:rPr>
              <w:t>Segunda inspección:</w:t>
            </w:r>
            <w:r w:rsidRPr="007F129A">
              <w:rPr>
                <w:rFonts w:ascii="Arial" w:hAnsi="Arial" w:cs="Arial"/>
                <w:color w:val="000000"/>
                <w:sz w:val="22"/>
                <w:szCs w:val="22"/>
              </w:rPr>
              <w:t xml:space="preserve"> Se realizará 30 días hábiles siguientes del cierre de la primera inspección a los equipos que se encontraron con NO CONFORMIDADES y ya se ajustaron con la lista de chequeo establecidas por la norma técnica NTC5926-1 de </w:t>
            </w:r>
            <w:r w:rsidRPr="007F129A">
              <w:rPr>
                <w:rFonts w:ascii="Arial" w:hAnsi="Arial" w:cs="Arial"/>
                <w:color w:val="000000"/>
                <w:sz w:val="22"/>
                <w:szCs w:val="22"/>
              </w:rPr>
              <w:lastRenderedPageBreak/>
              <w:t xml:space="preserve">2012 y posteriormente entregará la certificación y el autoadhesivo en un término no mayor a ocho (8) días hábiles después de la segunda inspección. </w:t>
            </w:r>
          </w:p>
          <w:p w14:paraId="4141B551" w14:textId="77777777" w:rsidR="005F74EC" w:rsidRPr="007F129A" w:rsidRDefault="005F74EC" w:rsidP="000C35A8">
            <w:pPr>
              <w:autoSpaceDE w:val="0"/>
              <w:autoSpaceDN w:val="0"/>
              <w:adjustRightInd w:val="0"/>
              <w:jc w:val="both"/>
              <w:rPr>
                <w:rFonts w:ascii="Arial" w:hAnsi="Arial" w:cs="Arial"/>
                <w:b/>
                <w:iCs/>
                <w:kern w:val="16"/>
                <w:sz w:val="22"/>
                <w:szCs w:val="22"/>
              </w:rPr>
            </w:pPr>
          </w:p>
          <w:p w14:paraId="10D5B354" w14:textId="77777777" w:rsidR="005F74EC" w:rsidRPr="007F129A" w:rsidRDefault="005F74EC" w:rsidP="000C35A8">
            <w:pPr>
              <w:numPr>
                <w:ilvl w:val="0"/>
                <w:numId w:val="2"/>
              </w:numPr>
              <w:autoSpaceDE w:val="0"/>
              <w:autoSpaceDN w:val="0"/>
              <w:adjustRightInd w:val="0"/>
              <w:jc w:val="both"/>
              <w:rPr>
                <w:rFonts w:ascii="Arial" w:hAnsi="Arial" w:cs="Arial"/>
                <w:b/>
                <w:iCs/>
                <w:kern w:val="16"/>
                <w:sz w:val="22"/>
                <w:szCs w:val="22"/>
              </w:rPr>
            </w:pPr>
            <w:r w:rsidRPr="007F129A">
              <w:rPr>
                <w:rFonts w:ascii="Arial" w:hAnsi="Arial" w:cs="Arial"/>
                <w:b/>
                <w:iCs/>
                <w:kern w:val="16"/>
                <w:sz w:val="22"/>
                <w:szCs w:val="22"/>
              </w:rPr>
              <w:t>CERTIFICACIÓN DE ACREDITACION ONAC VIGENTE</w:t>
            </w:r>
          </w:p>
          <w:p w14:paraId="714D5B41" w14:textId="77777777" w:rsidR="005F74EC" w:rsidRPr="007F129A" w:rsidRDefault="005F74EC" w:rsidP="000C35A8">
            <w:pPr>
              <w:autoSpaceDE w:val="0"/>
              <w:autoSpaceDN w:val="0"/>
              <w:adjustRightInd w:val="0"/>
              <w:jc w:val="both"/>
              <w:rPr>
                <w:rFonts w:ascii="Arial" w:hAnsi="Arial" w:cs="Arial"/>
                <w:b/>
                <w:iCs/>
                <w:kern w:val="16"/>
                <w:sz w:val="22"/>
                <w:szCs w:val="22"/>
              </w:rPr>
            </w:pPr>
          </w:p>
          <w:p w14:paraId="3FB2C03A" w14:textId="77777777" w:rsidR="005F74EC" w:rsidRPr="00971F30" w:rsidRDefault="005F74EC" w:rsidP="000C35A8">
            <w:pPr>
              <w:autoSpaceDE w:val="0"/>
              <w:autoSpaceDN w:val="0"/>
              <w:adjustRightInd w:val="0"/>
              <w:jc w:val="both"/>
              <w:rPr>
                <w:rFonts w:ascii="Arial" w:hAnsi="Arial" w:cs="Arial"/>
                <w:iCs/>
                <w:kern w:val="16"/>
                <w:sz w:val="22"/>
                <w:szCs w:val="22"/>
              </w:rPr>
            </w:pPr>
            <w:r w:rsidRPr="007F129A">
              <w:rPr>
                <w:rFonts w:ascii="Arial" w:hAnsi="Arial" w:cs="Arial"/>
                <w:iCs/>
                <w:kern w:val="16"/>
                <w:sz w:val="22"/>
                <w:szCs w:val="22"/>
              </w:rPr>
              <w:t>Todos los oferentes deberán adjuntar a su propuesta el certificado de acreditación vigente otorgada por el Organismo Nacional de Acreditación de Colombia – ONAC, cumpliendo con los requisitos establecidos en las normas ISO/IEC 17020:2012.</w:t>
            </w:r>
          </w:p>
        </w:tc>
      </w:tr>
      <w:tr w:rsidR="005F74EC" w14:paraId="5614968A" w14:textId="77777777" w:rsidTr="000C35A8">
        <w:tc>
          <w:tcPr>
            <w:tcW w:w="846" w:type="dxa"/>
            <w:shd w:val="clear" w:color="auto" w:fill="EDEDED"/>
            <w:vAlign w:val="center"/>
          </w:tcPr>
          <w:p w14:paraId="612A0C36" w14:textId="77777777" w:rsidR="005F74EC" w:rsidRDefault="005F74EC" w:rsidP="000C35A8">
            <w:pPr>
              <w:jc w:val="center"/>
              <w:rPr>
                <w:rFonts w:ascii="Arial" w:hAnsi="Arial" w:cs="Arial"/>
                <w:b/>
                <w:sz w:val="22"/>
                <w:szCs w:val="16"/>
              </w:rPr>
            </w:pPr>
            <w:r>
              <w:rPr>
                <w:rFonts w:ascii="Arial" w:hAnsi="Arial" w:cs="Arial"/>
                <w:b/>
                <w:sz w:val="22"/>
                <w:szCs w:val="16"/>
              </w:rPr>
              <w:lastRenderedPageBreak/>
              <w:t>4.6.</w:t>
            </w:r>
          </w:p>
        </w:tc>
        <w:tc>
          <w:tcPr>
            <w:tcW w:w="7984" w:type="dxa"/>
            <w:shd w:val="clear" w:color="auto" w:fill="EDEDED"/>
            <w:vAlign w:val="center"/>
          </w:tcPr>
          <w:p w14:paraId="25234B83" w14:textId="77777777" w:rsidR="005F74EC" w:rsidRDefault="005F74EC" w:rsidP="000C35A8">
            <w:pPr>
              <w:rPr>
                <w:rFonts w:ascii="Arial" w:hAnsi="Arial" w:cs="Arial"/>
                <w:b/>
                <w:sz w:val="22"/>
                <w:szCs w:val="22"/>
              </w:rPr>
            </w:pPr>
            <w:r>
              <w:rPr>
                <w:rFonts w:ascii="Arial" w:hAnsi="Arial" w:cs="Arial"/>
                <w:b/>
                <w:sz w:val="22"/>
                <w:szCs w:val="22"/>
              </w:rPr>
              <w:t>Empaque y Rotulado</w:t>
            </w:r>
            <w:r>
              <w:rPr>
                <w:rFonts w:ascii="Arial" w:hAnsi="Arial" w:cs="Arial"/>
                <w:b/>
                <w:sz w:val="22"/>
                <w:szCs w:val="22"/>
              </w:rPr>
              <w:tab/>
            </w:r>
          </w:p>
        </w:tc>
      </w:tr>
      <w:tr w:rsidR="005F74EC" w14:paraId="2210019E" w14:textId="77777777" w:rsidTr="000C35A8">
        <w:trPr>
          <w:trHeight w:val="70"/>
        </w:trPr>
        <w:tc>
          <w:tcPr>
            <w:tcW w:w="8830" w:type="dxa"/>
            <w:gridSpan w:val="2"/>
          </w:tcPr>
          <w:p w14:paraId="6EDFFD94" w14:textId="77777777" w:rsidR="005F74EC" w:rsidRDefault="005F74EC" w:rsidP="000C35A8">
            <w:pPr>
              <w:jc w:val="both"/>
              <w:rPr>
                <w:rFonts w:ascii="Arial" w:hAnsi="Arial" w:cs="Arial"/>
                <w:sz w:val="22"/>
                <w:szCs w:val="22"/>
              </w:rPr>
            </w:pPr>
            <w:r>
              <w:rPr>
                <w:rFonts w:ascii="Arial" w:hAnsi="Arial" w:cs="Arial"/>
                <w:sz w:val="22"/>
                <w:szCs w:val="22"/>
              </w:rPr>
              <w:t>N/A.</w:t>
            </w:r>
          </w:p>
        </w:tc>
      </w:tr>
      <w:tr w:rsidR="005F74EC" w14:paraId="516EF870" w14:textId="77777777" w:rsidTr="000C35A8">
        <w:tc>
          <w:tcPr>
            <w:tcW w:w="846" w:type="dxa"/>
            <w:shd w:val="clear" w:color="auto" w:fill="EDEDED"/>
            <w:vAlign w:val="center"/>
          </w:tcPr>
          <w:p w14:paraId="5B1ABEC6" w14:textId="77777777" w:rsidR="005F74EC" w:rsidRDefault="005F74EC" w:rsidP="000C35A8">
            <w:pPr>
              <w:jc w:val="center"/>
              <w:rPr>
                <w:rFonts w:ascii="Arial" w:hAnsi="Arial" w:cs="Arial"/>
                <w:b/>
                <w:sz w:val="22"/>
                <w:szCs w:val="16"/>
              </w:rPr>
            </w:pPr>
            <w:r>
              <w:rPr>
                <w:rFonts w:ascii="Arial" w:hAnsi="Arial" w:cs="Arial"/>
                <w:b/>
                <w:sz w:val="22"/>
                <w:szCs w:val="16"/>
              </w:rPr>
              <w:t>4.7.</w:t>
            </w:r>
          </w:p>
        </w:tc>
        <w:tc>
          <w:tcPr>
            <w:tcW w:w="7984" w:type="dxa"/>
            <w:shd w:val="clear" w:color="auto" w:fill="EDEDED"/>
            <w:vAlign w:val="center"/>
          </w:tcPr>
          <w:p w14:paraId="2C158A7F" w14:textId="77777777" w:rsidR="005F74EC" w:rsidRDefault="005F74EC" w:rsidP="000C35A8">
            <w:pPr>
              <w:rPr>
                <w:rFonts w:ascii="Arial" w:hAnsi="Arial" w:cs="Arial"/>
                <w:b/>
                <w:sz w:val="22"/>
                <w:szCs w:val="22"/>
              </w:rPr>
            </w:pPr>
            <w:r>
              <w:rPr>
                <w:rFonts w:ascii="Arial" w:hAnsi="Arial" w:cs="Arial"/>
                <w:b/>
                <w:sz w:val="22"/>
                <w:szCs w:val="22"/>
              </w:rPr>
              <w:t>Presentación y Unidad de Medida</w:t>
            </w:r>
          </w:p>
        </w:tc>
      </w:tr>
      <w:tr w:rsidR="005F74EC" w14:paraId="3F188B00" w14:textId="77777777" w:rsidTr="000C35A8">
        <w:trPr>
          <w:trHeight w:val="109"/>
        </w:trPr>
        <w:tc>
          <w:tcPr>
            <w:tcW w:w="8830" w:type="dxa"/>
            <w:gridSpan w:val="2"/>
          </w:tcPr>
          <w:p w14:paraId="293DB369" w14:textId="77777777" w:rsidR="005F74EC" w:rsidRPr="00942B8C" w:rsidRDefault="005F74EC" w:rsidP="000C35A8">
            <w:pPr>
              <w:rPr>
                <w:rFonts w:ascii="Arial" w:hAnsi="Arial" w:cs="Arial"/>
              </w:rPr>
            </w:pPr>
            <w:r>
              <w:rPr>
                <w:rFonts w:ascii="Arial" w:hAnsi="Arial" w:cs="Arial"/>
              </w:rPr>
              <w:t>Unidad de ascensor.</w:t>
            </w:r>
          </w:p>
        </w:tc>
      </w:tr>
    </w:tbl>
    <w:p w14:paraId="186CCD7E" w14:textId="77777777" w:rsidR="00BE3D64" w:rsidRDefault="00BE3D64"/>
    <w:p w14:paraId="55C23A67" w14:textId="77777777" w:rsidR="001D72CB" w:rsidRDefault="001D72CB"/>
    <w:tbl>
      <w:tblPr>
        <w:tblStyle w:val="Style15"/>
        <w:tblW w:w="8814"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35"/>
        <w:gridCol w:w="2126"/>
        <w:gridCol w:w="2127"/>
        <w:gridCol w:w="2126"/>
      </w:tblGrid>
      <w:tr w:rsidR="001D72CB" w:rsidRPr="00520CD3" w14:paraId="1CBD69C4" w14:textId="77777777" w:rsidTr="000C35A8">
        <w:trPr>
          <w:trHeight w:val="306"/>
        </w:trPr>
        <w:tc>
          <w:tcPr>
            <w:tcW w:w="2435" w:type="dxa"/>
            <w:shd w:val="clear" w:color="auto" w:fill="EDEDED"/>
            <w:vAlign w:val="center"/>
          </w:tcPr>
          <w:p w14:paraId="77B69B00" w14:textId="77777777" w:rsidR="001D72CB" w:rsidRDefault="001D72CB" w:rsidP="000C35A8">
            <w:pPr>
              <w:tabs>
                <w:tab w:val="left" w:pos="1575"/>
                <w:tab w:val="left" w:pos="3960"/>
              </w:tabs>
              <w:rPr>
                <w:rFonts w:ascii="Arial" w:eastAsia="Arial" w:hAnsi="Arial" w:cs="Arial"/>
                <w:sz w:val="22"/>
                <w:szCs w:val="22"/>
              </w:rPr>
            </w:pPr>
            <w:r>
              <w:rPr>
                <w:rFonts w:ascii="Arial" w:eastAsia="Arial" w:hAnsi="Arial" w:cs="Arial"/>
                <w:sz w:val="22"/>
                <w:szCs w:val="22"/>
              </w:rPr>
              <w:t>Plazo de ejecución</w:t>
            </w:r>
          </w:p>
        </w:tc>
        <w:tc>
          <w:tcPr>
            <w:tcW w:w="2126" w:type="dxa"/>
            <w:shd w:val="clear" w:color="auto" w:fill="FFFFFF" w:themeFill="background1"/>
            <w:vAlign w:val="center"/>
          </w:tcPr>
          <w:p w14:paraId="33654084" w14:textId="77777777" w:rsidR="001D72CB" w:rsidRPr="00966B2F" w:rsidRDefault="001D72CB" w:rsidP="000C35A8">
            <w:pPr>
              <w:tabs>
                <w:tab w:val="left" w:pos="1575"/>
                <w:tab w:val="left" w:pos="3960"/>
              </w:tabs>
              <w:jc w:val="center"/>
              <w:rPr>
                <w:rFonts w:ascii="Arial" w:eastAsia="Arial" w:hAnsi="Arial" w:cs="Arial"/>
                <w:bCs/>
                <w:sz w:val="22"/>
                <w:szCs w:val="22"/>
              </w:rPr>
            </w:pPr>
            <w:r w:rsidRPr="00966B2F">
              <w:rPr>
                <w:rFonts w:ascii="Arial" w:eastAsia="Arial" w:hAnsi="Arial" w:cs="Arial"/>
                <w:bCs/>
                <w:sz w:val="22"/>
                <w:szCs w:val="22"/>
              </w:rPr>
              <w:t>60 días</w:t>
            </w:r>
          </w:p>
        </w:tc>
        <w:tc>
          <w:tcPr>
            <w:tcW w:w="2127" w:type="dxa"/>
            <w:shd w:val="clear" w:color="auto" w:fill="EDEDED"/>
            <w:vAlign w:val="center"/>
          </w:tcPr>
          <w:p w14:paraId="4E68E8FC" w14:textId="77777777" w:rsidR="001D72CB" w:rsidRDefault="001D72CB" w:rsidP="000C35A8">
            <w:pPr>
              <w:tabs>
                <w:tab w:val="left" w:pos="1575"/>
                <w:tab w:val="left" w:pos="3960"/>
              </w:tabs>
              <w:rPr>
                <w:rFonts w:ascii="Arial" w:eastAsia="Arial" w:hAnsi="Arial" w:cs="Arial"/>
                <w:sz w:val="22"/>
                <w:szCs w:val="22"/>
              </w:rPr>
            </w:pPr>
            <w:r>
              <w:rPr>
                <w:rFonts w:ascii="Arial" w:eastAsia="Arial" w:hAnsi="Arial" w:cs="Arial"/>
                <w:sz w:val="22"/>
                <w:szCs w:val="22"/>
              </w:rPr>
              <w:t>Lugar de ejecución</w:t>
            </w:r>
          </w:p>
        </w:tc>
        <w:tc>
          <w:tcPr>
            <w:tcW w:w="2126" w:type="dxa"/>
            <w:vAlign w:val="center"/>
          </w:tcPr>
          <w:p w14:paraId="29BEEE01" w14:textId="77777777" w:rsidR="001D72CB" w:rsidRPr="00520CD3" w:rsidRDefault="001D72CB" w:rsidP="000C35A8">
            <w:pPr>
              <w:tabs>
                <w:tab w:val="left" w:pos="1575"/>
                <w:tab w:val="left" w:pos="3960"/>
              </w:tabs>
              <w:jc w:val="center"/>
              <w:rPr>
                <w:rFonts w:ascii="Arial" w:eastAsia="Arial" w:hAnsi="Arial" w:cs="Arial"/>
                <w:bCs/>
                <w:sz w:val="22"/>
                <w:szCs w:val="22"/>
              </w:rPr>
            </w:pPr>
            <w:r w:rsidRPr="00520CD3">
              <w:rPr>
                <w:rFonts w:ascii="Arial" w:eastAsia="Arial" w:hAnsi="Arial" w:cs="Arial"/>
                <w:bCs/>
                <w:sz w:val="22"/>
                <w:szCs w:val="22"/>
              </w:rPr>
              <w:t>Barranquilla, Soledad, Riohacha y Cartagena</w:t>
            </w:r>
          </w:p>
        </w:tc>
      </w:tr>
    </w:tbl>
    <w:p w14:paraId="2AE03DFB" w14:textId="77777777" w:rsidR="001D72CB" w:rsidRDefault="001D72CB"/>
    <w:sectPr w:rsidR="001D72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A2B"/>
    <w:multiLevelType w:val="hybridMultilevel"/>
    <w:tmpl w:val="4E06B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DC72DF"/>
    <w:multiLevelType w:val="hybridMultilevel"/>
    <w:tmpl w:val="43043E4C"/>
    <w:lvl w:ilvl="0" w:tplc="240A000F">
      <w:start w:val="1"/>
      <w:numFmt w:val="decimal"/>
      <w:lvlText w:val="%1."/>
      <w:lvlJc w:val="left"/>
      <w:pPr>
        <w:ind w:left="501" w:hanging="360"/>
      </w:p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 w15:restartNumberingAfterBreak="0">
    <w:nsid w:val="56361819"/>
    <w:multiLevelType w:val="hybridMultilevel"/>
    <w:tmpl w:val="34A4DF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66808459">
    <w:abstractNumId w:val="2"/>
  </w:num>
  <w:num w:numId="2" w16cid:durableId="131674109">
    <w:abstractNumId w:val="0"/>
  </w:num>
  <w:num w:numId="3" w16cid:durableId="11481298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4EC"/>
    <w:rsid w:val="000404B3"/>
    <w:rsid w:val="001D72CB"/>
    <w:rsid w:val="002272DC"/>
    <w:rsid w:val="005D08E4"/>
    <w:rsid w:val="005F74EC"/>
    <w:rsid w:val="00B6399B"/>
    <w:rsid w:val="00BE3D64"/>
    <w:rsid w:val="00E9433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6BBE2"/>
  <w15:chartTrackingRefBased/>
  <w15:docId w15:val="{F12B2DB4-B771-4707-B981-3A85B2325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4EC"/>
    <w:pPr>
      <w:spacing w:after="0" w:line="240" w:lineRule="auto"/>
    </w:pPr>
    <w:rPr>
      <w:rFonts w:ascii="Times New Roman" w:eastAsia="Times New Roman" w:hAnsi="Times New Roman" w:cs="Times New Roman"/>
      <w:kern w:val="0"/>
      <w:sz w:val="20"/>
      <w:szCs w:val="20"/>
      <w:lang w:eastAsia="es-CO"/>
      <w14:ligatures w14:val="none"/>
    </w:rPr>
  </w:style>
  <w:style w:type="paragraph" w:styleId="Ttulo1">
    <w:name w:val="heading 1"/>
    <w:basedOn w:val="Normal"/>
    <w:next w:val="Normal"/>
    <w:link w:val="Ttulo1Car"/>
    <w:uiPriority w:val="9"/>
    <w:qFormat/>
    <w:rsid w:val="005F74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F74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F74E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F74E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F74E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F74E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74E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74E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74E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74E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F74E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F74E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F74E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F74E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F74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74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74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74EC"/>
    <w:rPr>
      <w:rFonts w:eastAsiaTheme="majorEastAsia" w:cstheme="majorBidi"/>
      <w:color w:val="272727" w:themeColor="text1" w:themeTint="D8"/>
    </w:rPr>
  </w:style>
  <w:style w:type="paragraph" w:styleId="Ttulo">
    <w:name w:val="Title"/>
    <w:basedOn w:val="Normal"/>
    <w:next w:val="Normal"/>
    <w:link w:val="TtuloCar"/>
    <w:uiPriority w:val="10"/>
    <w:qFormat/>
    <w:rsid w:val="005F74E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F74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74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74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74EC"/>
    <w:pPr>
      <w:spacing w:before="160"/>
      <w:jc w:val="center"/>
    </w:pPr>
    <w:rPr>
      <w:i/>
      <w:iCs/>
      <w:color w:val="404040" w:themeColor="text1" w:themeTint="BF"/>
    </w:rPr>
  </w:style>
  <w:style w:type="character" w:customStyle="1" w:styleId="CitaCar">
    <w:name w:val="Cita Car"/>
    <w:basedOn w:val="Fuentedeprrafopredeter"/>
    <w:link w:val="Cita"/>
    <w:uiPriority w:val="29"/>
    <w:rsid w:val="005F74EC"/>
    <w:rPr>
      <w:i/>
      <w:iCs/>
      <w:color w:val="404040" w:themeColor="text1" w:themeTint="BF"/>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5F74EC"/>
    <w:pPr>
      <w:ind w:left="720"/>
      <w:contextualSpacing/>
    </w:pPr>
  </w:style>
  <w:style w:type="character" w:styleId="nfasisintenso">
    <w:name w:val="Intense Emphasis"/>
    <w:basedOn w:val="Fuentedeprrafopredeter"/>
    <w:uiPriority w:val="21"/>
    <w:qFormat/>
    <w:rsid w:val="005F74EC"/>
    <w:rPr>
      <w:i/>
      <w:iCs/>
      <w:color w:val="0F4761" w:themeColor="accent1" w:themeShade="BF"/>
    </w:rPr>
  </w:style>
  <w:style w:type="paragraph" w:styleId="Citadestacada">
    <w:name w:val="Intense Quote"/>
    <w:basedOn w:val="Normal"/>
    <w:next w:val="Normal"/>
    <w:link w:val="CitadestacadaCar"/>
    <w:uiPriority w:val="30"/>
    <w:qFormat/>
    <w:rsid w:val="005F74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F74EC"/>
    <w:rPr>
      <w:i/>
      <w:iCs/>
      <w:color w:val="0F4761" w:themeColor="accent1" w:themeShade="BF"/>
    </w:rPr>
  </w:style>
  <w:style w:type="character" w:styleId="Referenciaintensa">
    <w:name w:val="Intense Reference"/>
    <w:basedOn w:val="Fuentedeprrafopredeter"/>
    <w:uiPriority w:val="32"/>
    <w:qFormat/>
    <w:rsid w:val="005F74EC"/>
    <w:rPr>
      <w:b/>
      <w:bCs/>
      <w:smallCaps/>
      <w:color w:val="0F4761" w:themeColor="accent1" w:themeShade="BF"/>
      <w:spacing w:val="5"/>
    </w:rPr>
  </w:style>
  <w:style w:type="character" w:styleId="Hipervnculo">
    <w:name w:val="Hyperlink"/>
    <w:basedOn w:val="Fuentedeprrafopredeter"/>
    <w:uiPriority w:val="99"/>
    <w:semiHidden/>
    <w:unhideWhenUsed/>
    <w:qFormat/>
    <w:rsid w:val="005F74EC"/>
    <w:rPr>
      <w:color w:val="0000FF"/>
      <w:u w:val="single"/>
    </w:rPr>
  </w:style>
  <w:style w:type="table" w:styleId="Tablaconcuadrcula">
    <w:name w:val="Table Grid"/>
    <w:basedOn w:val="Tablanormal"/>
    <w:uiPriority w:val="39"/>
    <w:qFormat/>
    <w:rsid w:val="005F74E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4">
    <w:name w:val="_Style 14"/>
    <w:basedOn w:val="Tablanormal"/>
    <w:qFormat/>
    <w:rsid w:val="005F74EC"/>
    <w:pPr>
      <w:spacing w:after="0" w:line="240" w:lineRule="auto"/>
    </w:pPr>
    <w:rPr>
      <w:rFonts w:ascii="Times New Roman" w:eastAsia="Times New Roman" w:hAnsi="Times New Roman" w:cs="Times New Roman"/>
      <w:kern w:val="0"/>
      <w:sz w:val="20"/>
      <w:szCs w:val="20"/>
      <w:lang w:eastAsia="es-CO"/>
      <w14:ligatures w14:val="none"/>
    </w:rPr>
    <w:tblPr>
      <w:tblInd w:w="0" w:type="nil"/>
    </w:tbl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5F74EC"/>
  </w:style>
  <w:style w:type="table" w:customStyle="1" w:styleId="Style15">
    <w:name w:val="_Style 15"/>
    <w:basedOn w:val="Tablanormal"/>
    <w:qFormat/>
    <w:rsid w:val="001D72CB"/>
    <w:pPr>
      <w:spacing w:after="0" w:line="240" w:lineRule="auto"/>
    </w:pPr>
    <w:rPr>
      <w:rFonts w:ascii="Times New Roman" w:eastAsia="Times New Roman" w:hAnsi="Times New Roman" w:cs="Times New Roman"/>
      <w:kern w:val="0"/>
      <w:sz w:val="20"/>
      <w:szCs w:val="20"/>
      <w:lang w:eastAsia="es-CO"/>
      <w14:ligatures w14:val="none"/>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es/Clasificacion"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1632</Words>
  <Characters>8980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Rosana Paola Llinas Pertuz</dc:creator>
  <cp:keywords/>
  <dc:description/>
  <cp:lastModifiedBy>Rosana Paola Llinas Pertuz</cp:lastModifiedBy>
  <cp:revision>2</cp:revision>
  <dcterms:created xsi:type="dcterms:W3CDTF">2026-04-15T16:00:00Z</dcterms:created>
  <dcterms:modified xsi:type="dcterms:W3CDTF">2026-04-15T16:37:00Z</dcterms:modified>
</cp:coreProperties>
</file>