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4118F5" w14:textId="77777777" w:rsidR="001036FA" w:rsidRPr="00D23BA9" w:rsidRDefault="001036FA" w:rsidP="5640BF97">
      <w:pPr>
        <w:rPr>
          <w:rFonts w:ascii="Verdana" w:hAnsi="Verdana" w:cs="Arial"/>
          <w:b/>
          <w:bCs/>
          <w:sz w:val="22"/>
          <w:szCs w:val="22"/>
          <w:lang w:val="es-ES"/>
        </w:rPr>
      </w:pPr>
    </w:p>
    <w:p w14:paraId="49154715" w14:textId="371B1A52"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696F849F" w:rsidRPr="00D23BA9">
        <w:rPr>
          <w:rFonts w:ascii="Verdana" w:hAnsi="Verdana" w:cs="Arial"/>
          <w:b/>
          <w:bCs/>
          <w:lang w:val="es-ES"/>
        </w:rPr>
        <w:t>5</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00B81377" w:rsidR="3520600D" w:rsidRPr="00D23BA9" w:rsidRDefault="16AAF97D" w:rsidP="00ED5B0A">
      <w:pPr>
        <w:jc w:val="both"/>
        <w:rPr>
          <w:rFonts w:ascii="Verdana" w:hAnsi="Verdana" w:cs="Arial"/>
          <w:sz w:val="22"/>
          <w:szCs w:val="22"/>
          <w:lang w:val="es-ES"/>
        </w:rPr>
      </w:pPr>
      <w:r w:rsidRPr="00D23BA9">
        <w:rPr>
          <w:rFonts w:ascii="Verdana" w:hAnsi="Verdana" w:cs="Arial"/>
          <w:sz w:val="22"/>
          <w:szCs w:val="22"/>
          <w:lang w:val="es-ES"/>
        </w:rPr>
        <w:t xml:space="preserve">Para efectos de interpretación del pliego de condiciones: </w:t>
      </w:r>
      <w:bookmarkStart w:id="0" w:name="_GoBack"/>
      <w:bookmarkEnd w:id="0"/>
    </w:p>
    <w:p w14:paraId="5051FB64" w14:textId="5CDE0ED2" w:rsidR="22C0DA5B" w:rsidRPr="00D23BA9" w:rsidRDefault="22C0DA5B" w:rsidP="22C0DA5B">
      <w:pPr>
        <w:jc w:val="both"/>
        <w:rPr>
          <w:rFonts w:ascii="Verdana" w:hAnsi="Verdana" w:cs="Arial"/>
          <w:sz w:val="22"/>
          <w:szCs w:val="22"/>
          <w:lang w:val="es-ES"/>
        </w:rPr>
      </w:pP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Delegada: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3E502E4D" w14:textId="2FEF7C17" w:rsidR="00486A34"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 xml:space="preserve">en la medida que se cause su amortización mediante la presentación de la cuenta o factura respectiva. </w:t>
      </w:r>
    </w:p>
    <w:p w14:paraId="47DF2C28" w14:textId="5846C3B7" w:rsidR="00F70C8B" w:rsidRPr="00D23BA9" w:rsidRDefault="00F70C8B" w:rsidP="003A7AB8">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r w:rsidRPr="00D23BA9">
        <w:rPr>
          <w:rFonts w:ascii="Verdana" w:hAnsi="Verdana" w:cs="Arial"/>
          <w:b/>
          <w:bCs/>
          <w:sz w:val="22"/>
          <w:szCs w:val="22"/>
        </w:rPr>
        <w:t xml:space="preserve">Aportes Legales: </w:t>
      </w:r>
      <w:r w:rsidR="00187A52" w:rsidRPr="00D23BA9">
        <w:rPr>
          <w:rFonts w:ascii="Verdana" w:hAnsi="Verdana" w:cs="Arial"/>
          <w:sz w:val="22"/>
          <w:szCs w:val="22"/>
        </w:rPr>
        <w:t xml:space="preserve">Contribuciones parafiscales y gravámenes establecidos con carácter obligatorio por la ley que afectan a un determinado y único grupo social y económico y se utilizan para beneficio del propio sector. El manejo, administración y ejecución de estos recursos se hará </w:t>
      </w:r>
      <w:r w:rsidR="00187A52" w:rsidRPr="00D23BA9">
        <w:rPr>
          <w:rFonts w:ascii="Verdana" w:hAnsi="Verdana" w:cs="Arial"/>
          <w:sz w:val="22"/>
          <w:szCs w:val="22"/>
        </w:rPr>
        <w:lastRenderedPageBreak/>
        <w:t>exclusivamente en la forma dispuesta en la ley que los crea y se destinarán sólo al objeto previsto en ella</w:t>
      </w:r>
      <w:r w:rsidRPr="00D23BA9">
        <w:rPr>
          <w:rFonts w:ascii="Verdana" w:hAnsi="Verdana" w:cs="Arial"/>
          <w:sz w:val="22"/>
          <w:szCs w:val="22"/>
        </w:rPr>
        <w:t>.</w:t>
      </w:r>
      <w:r w:rsidRPr="00D23BA9">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1"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1"/>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Engineering, Procurement and Construction</w:t>
      </w:r>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re-expresión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(ii) fiducia mercantil de garantía o (iii)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r w:rsidRPr="00D23BA9">
        <w:rPr>
          <w:rFonts w:ascii="Verdana" w:hAnsi="Verdana" w:cs="Arial"/>
          <w:b/>
          <w:bCs/>
          <w:sz w:val="22"/>
          <w:szCs w:val="22"/>
        </w:rPr>
        <w:t>Pliego de Condiciones Tipo</w:t>
      </w:r>
      <w:r w:rsidRPr="00D23BA9">
        <w:rPr>
          <w:rFonts w:ascii="Verdana" w:hAnsi="Verdana" w:cs="Arial"/>
          <w:sz w:val="22"/>
          <w:szCs w:val="22"/>
        </w:rPr>
        <w:t xml:space="preserve">: </w:t>
      </w:r>
      <w:r w:rsidR="4A5593C6" w:rsidRPr="00D23BA9">
        <w:rPr>
          <w:rFonts w:ascii="Verdana" w:hAnsi="Verdana" w:cs="Arial"/>
          <w:sz w:val="22"/>
          <w:szCs w:val="22"/>
        </w:rPr>
        <w:t xml:space="preserve">Documento estructurado, actualizado y publicado por </w:t>
      </w:r>
      <w:r w:rsidR="1AA8A239" w:rsidRPr="00D23BA9">
        <w:rPr>
          <w:rFonts w:ascii="Verdana" w:hAnsi="Verdana" w:cs="Arial"/>
          <w:sz w:val="22"/>
          <w:szCs w:val="22"/>
        </w:rPr>
        <w:t xml:space="preserve">la Agencia Nacional de Contratación </w:t>
      </w:r>
      <w:r w:rsidR="180DE065" w:rsidRPr="00D23BA9">
        <w:rPr>
          <w:rFonts w:ascii="Verdana" w:hAnsi="Verdana" w:cs="Arial"/>
          <w:sz w:val="22"/>
          <w:szCs w:val="22"/>
        </w:rPr>
        <w:t xml:space="preserve">Pública - </w:t>
      </w:r>
      <w:r w:rsidR="4A5593C6" w:rsidRPr="00D23BA9">
        <w:rPr>
          <w:rFonts w:ascii="Verdana" w:hAnsi="Verdana" w:cs="Arial"/>
          <w:sz w:val="22"/>
          <w:szCs w:val="22"/>
        </w:rPr>
        <w:t>Colombia Compra Eficiente que incorpora las condiciones habilitantes, requisitos de puntaje y demás aspectos señalados en el artículo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2"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2"/>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(DPre.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Por su parte la 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Muro localizado en el paramento del lote de terreno y que se encuentra separado de la edificación en la dirección perpendicular al 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Ciclopista: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Material granular resultante de la desintegración natural de las rocas cuyo tamaño oscila entre 2 mm y 8 mm.</w:t>
      </w:r>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En el grupo de ocupación de lugares de reunión se clasifican las edificaciones o espacios en donde se reúne o agrupa la gente con fines religiosos, deportivos, políticos, culturales, sociales, recreativos o de transporte y que, en general, disponen de medios comunes de salida o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r w:rsidR="5624FF75" w:rsidRPr="00D23BA9">
        <w:rPr>
          <w:rFonts w:ascii="Verdana" w:eastAsia="Arial" w:hAnsi="Verdana" w:cs="Arial"/>
          <w:sz w:val="22"/>
          <w:szCs w:val="22"/>
          <w:lang w:val="es-ES"/>
        </w:rPr>
        <w:t>recreo deportivos</w:t>
      </w:r>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hemocentros, quirófanos, Centros de ortopedia, consultorio médico, cuidado intermedio, consulta externa, consulta virtual, triage,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 xml:space="preserve">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–CDl,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Conjunto de vías que permiten la comunicación entre las urbanizaciones y la red vial secundaria, 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asi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r w:rsidRPr="00D23BA9">
        <w:rPr>
          <w:rFonts w:ascii="Verdana" w:eastAsia="Arial" w:hAnsi="Verdana" w:cs="Arial"/>
          <w:sz w:val="22"/>
          <w:szCs w:val="22"/>
          <w:lang w:val="pt-BR"/>
        </w:rPr>
        <w:t>Arquitectura para el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Persona pospenada:</w:t>
      </w:r>
      <w:r w:rsidRPr="00D23BA9">
        <w:rPr>
          <w:rFonts w:ascii="Verdana" w:eastAsia="Arial" w:hAnsi="Verdana" w:cs="Arial"/>
          <w:sz w:val="22"/>
          <w:szCs w:val="22"/>
        </w:rPr>
        <w:t xml:space="preserve"> Aquella persona que ha cumplido la totalidad de su pena (Ley 599 de 20000, art. 64).  Y para el caso de la atención pospenitenciaria,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71836E5" w14:textId="79909C81" w:rsidR="004448A4" w:rsidRPr="00D23BA9" w:rsidRDefault="7473258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28989F0B" w14:textId="77777777" w:rsidR="006A3DD7" w:rsidRPr="00D23BA9" w:rsidRDefault="007072E4" w:rsidP="00D23BA9">
      <w:pPr>
        <w:pStyle w:val="Invias-VietaNumerada"/>
        <w:widowControl w:val="0"/>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600FEAFF" w14:textId="210C4A76"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50A3B69" w14:textId="77777777" w:rsidR="007072E4" w:rsidRPr="00D23BA9" w:rsidRDefault="5CE5DB1F"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Es la red continua y jerarquizada de espacios naturales, transformados y artificiales, y el conjunto de sistemas, infraestructuras y elementos que retienen, regulan, depuran y conducen la escorrentía, y corrigen la subterranización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4124FF82" w14:textId="02470AC2" w:rsidR="00E56956" w:rsidRPr="00D23BA9" w:rsidRDefault="5DD2BE7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w:t>
      </w:r>
      <w:r w:rsidRPr="00D23BA9">
        <w:rPr>
          <w:rFonts w:ascii="Verdana" w:eastAsia="Arial" w:hAnsi="Verdana"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eastAsia="Arial" w:hAnsi="Verdana"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68B7EB66" w14:textId="5516A9CA" w:rsidR="00E56956" w:rsidRPr="00D23BA9" w:rsidRDefault="1180BE9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3A7AB8">
      <w:pPr>
        <w:pStyle w:val="Prrafodelista"/>
        <w:numPr>
          <w:ilvl w:val="0"/>
          <w:numId w:val="13"/>
        </w:numPr>
        <w:jc w:val="center"/>
        <w:rPr>
          <w:rFonts w:ascii="Verdana" w:hAnsi="Verdana" w:cs="Arial"/>
          <w:b/>
          <w:lang w:val="es-ES"/>
        </w:rPr>
      </w:pPr>
      <w:r w:rsidRPr="00D23BA9">
        <w:rPr>
          <w:rFonts w:ascii="Verdana" w:hAnsi="Verdana" w:cs="Arial"/>
          <w:b/>
          <w:bCs/>
          <w:lang w:val="es-ES"/>
        </w:rPr>
        <w:t xml:space="preserve">GLOSARIO ESPECÍFICO TÉCNICO GENERAL DEL SECTOR SOCIAL </w:t>
      </w:r>
    </w:p>
    <w:p w14:paraId="0B1BDC17" w14:textId="1496FB45" w:rsidR="48235CCC" w:rsidRPr="00D23BA9" w:rsidRDefault="48235CCC" w:rsidP="48235CCC">
      <w:pPr>
        <w:jc w:val="center"/>
        <w:rPr>
          <w:rFonts w:ascii="Verdana" w:hAnsi="Verdana" w:cs="Arial"/>
          <w:b/>
          <w:bCs/>
          <w:sz w:val="22"/>
          <w:szCs w:val="22"/>
          <w:lang w:val="es-ES"/>
        </w:rPr>
      </w:pPr>
    </w:p>
    <w:p w14:paraId="37885870" w14:textId="4E5A4A8B" w:rsidR="0B35164B" w:rsidRPr="00D23BA9" w:rsidRDefault="0B35164B" w:rsidP="48235CCC">
      <w:pPr>
        <w:jc w:val="both"/>
        <w:rPr>
          <w:rFonts w:ascii="Verdana" w:hAnsi="Verdana" w:cs="Arial"/>
          <w:sz w:val="22"/>
          <w:szCs w:val="22"/>
          <w:lang w:val="es-ES"/>
        </w:rPr>
      </w:pPr>
      <w:r w:rsidRPr="00D23BA9">
        <w:rPr>
          <w:rFonts w:ascii="Verdana" w:eastAsiaTheme="minorEastAsia" w:hAnsi="Verdana" w:cstheme="minorBidi"/>
          <w:b/>
          <w:bCs/>
          <w:sz w:val="22"/>
          <w:szCs w:val="22"/>
          <w:lang w:eastAsia="es-ES"/>
        </w:rPr>
        <w:t>SECTOR DE CULTURA, RECREACIÓN Y DEPORTE:</w:t>
      </w:r>
      <w:r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Mincultura en el 2011</w:t>
      </w:r>
      <w:r w:rsidR="73F8AA44" w:rsidRPr="00D23BA9">
        <w:rPr>
          <w:rFonts w:ascii="Verdana" w:eastAsiaTheme="minorEastAsia" w:hAnsi="Verdana" w:cstheme="minorBidi"/>
          <w:color w:val="000000"/>
          <w:sz w:val="22"/>
          <w:szCs w:val="22"/>
          <w:highlight w:val="lightGray"/>
          <w:lang w:eastAsia="es-ES"/>
        </w:rPr>
        <w:t>]</w:t>
      </w:r>
      <w:r w:rsidRPr="00D23BA9">
        <w:rPr>
          <w:rFonts w:ascii="Verdana" w:eastAsiaTheme="minorEastAsia" w:hAnsi="Verdana" w:cstheme="minorBidi"/>
          <w:color w:val="000000"/>
          <w:sz w:val="22"/>
          <w:szCs w:val="22"/>
          <w:highlight w:val="lightGray"/>
          <w:lang w:val="es-ES" w:eastAsia="es-ES"/>
        </w:rPr>
        <w:t xml:space="preserve"> </w:t>
      </w:r>
    </w:p>
    <w:p w14:paraId="3CC15564" w14:textId="4F7C1104" w:rsidR="48235CCC" w:rsidRPr="00D23BA9" w:rsidRDefault="48235CCC" w:rsidP="48235CCC">
      <w:pPr>
        <w:jc w:val="both"/>
        <w:rPr>
          <w:rFonts w:ascii="Verdana" w:eastAsiaTheme="minorEastAsia" w:hAnsi="Verdana" w:cstheme="minorBidi"/>
          <w:b/>
          <w:bCs/>
          <w:sz w:val="22"/>
          <w:szCs w:val="22"/>
          <w:lang w:val="es-ES" w:eastAsia="es-ES"/>
        </w:rPr>
      </w:pPr>
    </w:p>
    <w:p w14:paraId="36AAD2B9" w14:textId="0B6B3390" w:rsidR="0B35164B" w:rsidRPr="00D23BA9" w:rsidRDefault="3DCF6887" w:rsidP="48235CCC">
      <w:pPr>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 xml:space="preserve">SECTOR EDUCATIVO: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002F79D1" w:rsidRPr="00D23BA9">
        <w:rPr>
          <w:rFonts w:ascii="Verdana" w:eastAsiaTheme="minorEastAsia" w:hAnsi="Verdana" w:cstheme="minorBidi"/>
          <w:color w:val="000000"/>
          <w:sz w:val="22"/>
          <w:szCs w:val="22"/>
          <w:highlight w:val="lightGray"/>
          <w:lang w:eastAsia="es-ES"/>
        </w:rPr>
        <w:t>, a</w:t>
      </w:r>
      <w:r w:rsidRPr="00D23BA9">
        <w:rPr>
          <w:rFonts w:ascii="Verdana" w:eastAsiaTheme="minorEastAsia" w:hAnsi="Verdan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eastAsiaTheme="minorEastAsia" w:hAnsi="Verdana" w:cstheme="minorBidi"/>
          <w:color w:val="000000"/>
          <w:sz w:val="22"/>
          <w:szCs w:val="22"/>
          <w:highlight w:val="lightGray"/>
          <w:lang w:val="es" w:eastAsia="es-ES"/>
        </w:rPr>
        <w:t xml:space="preserve">Ley 2180 de 2021, ley 388 de 1997, ley 2044 de 2020 </w:t>
      </w:r>
      <w:r w:rsidRPr="00D23BA9">
        <w:rPr>
          <w:rFonts w:ascii="Verdana" w:eastAsiaTheme="minorEastAsia" w:hAnsi="Verdan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Mindeporte en el período 2016 – 2019, así como la guía general para la planeación, formulación ejecución y operación de proyectos de infraestructura cultural expedida por Mincultura en el 2011</w:t>
      </w:r>
      <w:r w:rsidR="17D7D049" w:rsidRPr="00D23BA9">
        <w:rPr>
          <w:rFonts w:ascii="Verdana" w:eastAsiaTheme="minorEastAsia" w:hAnsi="Verdana" w:cstheme="minorBidi"/>
          <w:color w:val="000000"/>
          <w:sz w:val="22"/>
          <w:szCs w:val="22"/>
          <w:highlight w:val="lightGray"/>
          <w:lang w:eastAsia="es-ES"/>
        </w:rPr>
        <w:t>]</w:t>
      </w:r>
    </w:p>
    <w:p w14:paraId="415D229C" w14:textId="5D6EAB46" w:rsidR="48235CCC" w:rsidRPr="00D23BA9" w:rsidRDefault="48235CCC" w:rsidP="48235CCC">
      <w:pPr>
        <w:jc w:val="both"/>
        <w:rPr>
          <w:rFonts w:ascii="Verdana" w:eastAsia="Arial" w:hAnsi="Verdana" w:cs="Arial"/>
          <w:i/>
          <w:iCs/>
          <w:color w:val="00B0F0"/>
          <w:sz w:val="22"/>
          <w:szCs w:val="22"/>
        </w:rPr>
      </w:pPr>
    </w:p>
    <w:p w14:paraId="729A7F6C" w14:textId="020A181E" w:rsidR="0B35164B" w:rsidRPr="00D23BA9" w:rsidRDefault="0B35164B" w:rsidP="48235CCC">
      <w:pPr>
        <w:ind w:left="90"/>
        <w:jc w:val="both"/>
        <w:rPr>
          <w:rFonts w:ascii="Verdana" w:eastAsia="Arial" w:hAnsi="Verdana" w:cs="Arial"/>
          <w:sz w:val="22"/>
          <w:szCs w:val="22"/>
          <w:lang w:val="es-ES"/>
        </w:rPr>
      </w:pPr>
      <w:r w:rsidRPr="00D23BA9">
        <w:rPr>
          <w:rFonts w:ascii="Verdana" w:eastAsiaTheme="minorEastAsia" w:hAnsi="Verdana" w:cstheme="minorBidi"/>
          <w:b/>
          <w:bCs/>
          <w:sz w:val="22"/>
          <w:szCs w:val="22"/>
          <w:lang w:val="es-ES" w:eastAsia="es-ES"/>
        </w:rPr>
        <w:t>SECTOR SALUD:</w:t>
      </w:r>
      <w:r w:rsidRPr="00D23BA9">
        <w:rPr>
          <w:rFonts w:ascii="Verdana" w:eastAsiaTheme="minorEastAsia" w:hAnsi="Verdana" w:cstheme="minorBidi"/>
          <w:sz w:val="22"/>
          <w:szCs w:val="22"/>
          <w:lang w:val="es-ES" w:eastAsia="es-ES"/>
        </w:rPr>
        <w:t xml:space="preserve"> </w:t>
      </w:r>
      <w:r w:rsidR="30E8E45C" w:rsidRPr="00D23BA9">
        <w:rPr>
          <w:rFonts w:ascii="Verdana" w:eastAsiaTheme="minorEastAsia" w:hAnsi="Verdana" w:cstheme="minorBidi"/>
          <w:color w:val="000000"/>
          <w:sz w:val="22"/>
          <w:szCs w:val="22"/>
          <w:highlight w:val="lightGray"/>
          <w:lang w:eastAsia="es-ES"/>
        </w:rPr>
        <w:t>“[La Entidad deberá incorporar en orden alfabético los conceptos adicionales que apliquen al Proceso de Contratación que no estén in</w:t>
      </w:r>
      <w:r w:rsidR="14168DB7" w:rsidRPr="00D23BA9">
        <w:rPr>
          <w:rFonts w:ascii="Verdana" w:eastAsiaTheme="minorEastAsia" w:hAnsi="Verdana" w:cstheme="minorBidi"/>
          <w:color w:val="000000"/>
          <w:sz w:val="22"/>
          <w:szCs w:val="22"/>
          <w:highlight w:val="lightGray"/>
          <w:lang w:eastAsia="es-ES"/>
        </w:rPr>
        <w:t>c</w:t>
      </w:r>
      <w:r w:rsidR="30E8E45C" w:rsidRPr="00D23BA9">
        <w:rPr>
          <w:rFonts w:ascii="Verdana" w:eastAsiaTheme="minorEastAsia" w:hAnsi="Verdana" w:cstheme="minorBidi"/>
          <w:color w:val="000000"/>
          <w:sz w:val="22"/>
          <w:szCs w:val="22"/>
          <w:highlight w:val="lightGray"/>
          <w:lang w:eastAsia="es-ES"/>
        </w:rPr>
        <w:t>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14:paraId="75244939" w14:textId="6F45E16D" w:rsidR="48235CCC" w:rsidRPr="00D23BA9" w:rsidRDefault="48235CCC"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54CB422E" w14:textId="229A2529"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54CF6463" w14:textId="71548E9A" w:rsidR="13CBD759" w:rsidRPr="00D23BA9" w:rsidRDefault="44682EB7" w:rsidP="73DD3694">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VIVIENDA </w:t>
      </w:r>
      <w:r w:rsidR="530100DF" w:rsidRPr="00D23BA9">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47306C89" w:rsidRPr="00D23BA9">
        <w:rPr>
          <w:rFonts w:ascii="Verdana" w:eastAsiaTheme="minorEastAsia" w:hAnsi="Verdana" w:cstheme="minorBidi"/>
          <w:color w:val="000000"/>
          <w:sz w:val="22"/>
          <w:szCs w:val="22"/>
          <w:highlight w:val="lightGray"/>
          <w:lang w:eastAsia="es-ES"/>
        </w:rPr>
        <w:t>,</w:t>
      </w:r>
      <w:r w:rsidR="4CD48443" w:rsidRPr="00D23BA9">
        <w:rPr>
          <w:rFonts w:ascii="Verdana" w:eastAsiaTheme="minorEastAsia" w:hAnsi="Verdana" w:cstheme="minorBidi"/>
          <w:color w:val="000000"/>
          <w:sz w:val="22"/>
          <w:szCs w:val="22"/>
          <w:highlight w:val="lightGray"/>
          <w:lang w:eastAsia="es-ES"/>
        </w:rPr>
        <w:t xml:space="preserve"> </w:t>
      </w:r>
      <w:r w:rsidR="2097B214" w:rsidRPr="00D23BA9">
        <w:rPr>
          <w:rFonts w:ascii="Verdana" w:eastAsiaTheme="minorEastAsia" w:hAnsi="Verdana" w:cstheme="minorBidi"/>
          <w:color w:val="000000"/>
          <w:sz w:val="22"/>
          <w:szCs w:val="22"/>
          <w:highlight w:val="lightGray"/>
          <w:lang w:eastAsia="es-ES"/>
        </w:rPr>
        <w:t xml:space="preserve">Ley 388 de 1997, </w:t>
      </w:r>
      <w:r w:rsidR="4CD48443" w:rsidRPr="00D23BA9">
        <w:rPr>
          <w:rFonts w:ascii="Verdana" w:eastAsiaTheme="minorEastAsia" w:hAnsi="Verdan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3B69E094" w:rsidRPr="00D23BA9">
        <w:rPr>
          <w:rFonts w:ascii="Verdana" w:eastAsiaTheme="minorEastAsia" w:hAnsi="Verdana" w:cstheme="minorBidi"/>
          <w:color w:val="000000"/>
          <w:sz w:val="22"/>
          <w:szCs w:val="22"/>
          <w:highlight w:val="lightGray"/>
          <w:lang w:eastAsia="es-ES"/>
        </w:rPr>
        <w:t>Resolución 0725 de 2023, Resolución 0410 de 2021</w:t>
      </w:r>
      <w:r w:rsidRPr="00D23BA9">
        <w:rPr>
          <w:rFonts w:ascii="Verdana" w:eastAsiaTheme="minorEastAsia" w:hAnsi="Verdana" w:cstheme="minorBidi"/>
          <w:color w:val="000000"/>
          <w:sz w:val="22"/>
          <w:szCs w:val="22"/>
          <w:highlight w:val="lightGray"/>
          <w:lang w:eastAsia="es-ES"/>
        </w:rPr>
        <w:t>,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N°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N°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(Dec 2372-2010, compilado en el Dec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deque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re-educación,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 </w:t>
      </w:r>
      <w:r w:rsidR="10FEEDF7" w:rsidRPr="00D23BA9">
        <w:rPr>
          <w:rFonts w:ascii="Verdana" w:hAnsi="Verdana" w:cstheme="minorBidi"/>
          <w:sz w:val="22"/>
          <w:szCs w:val="22"/>
        </w:rPr>
        <w:t>.</w:t>
      </w:r>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Servicio en el cual agentes educativos comunitarios, previamente capacitados, se responsabilizan del cuidado y la atención de grupos de niños y niñas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ii) instituciones tecnológicas, iii) instituciones universitarias o escuelas tecnológicas y iv)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cuál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subespecializado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(ii)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DA6545" w14:textId="77777777" w:rsidR="008874D1" w:rsidRDefault="008874D1" w:rsidP="004F2C35">
      <w:r>
        <w:separator/>
      </w:r>
    </w:p>
  </w:endnote>
  <w:endnote w:type="continuationSeparator" w:id="0">
    <w:p w14:paraId="7444CD43" w14:textId="77777777" w:rsidR="008874D1" w:rsidRDefault="008874D1" w:rsidP="004F2C35">
      <w:r>
        <w:continuationSeparator/>
      </w:r>
    </w:p>
  </w:endnote>
  <w:endnote w:type="continuationNotice" w:id="1">
    <w:p w14:paraId="621BAE20" w14:textId="77777777" w:rsidR="008874D1" w:rsidRDefault="008874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8F7C4" w14:textId="77777777" w:rsidR="000B19F2" w:rsidRDefault="000B19F2">
    <w:pPr>
      <w:pStyle w:val="Piedepgina"/>
      <w:jc w:val="right"/>
    </w:pPr>
  </w:p>
  <w:p w14:paraId="506A0942" w14:textId="7E0986DC" w:rsidR="00702111" w:rsidRPr="000B34F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B34F9">
      <w:rPr>
        <w:rFonts w:ascii="Verdana" w:hAnsi="Verdana" w:cs="Arial"/>
        <w:color w:val="1A1818" w:themeColor="accent1"/>
        <w:sz w:val="18"/>
        <w:szCs w:val="18"/>
      </w:rPr>
      <w:t xml:space="preserve">Versión: </w:t>
    </w:r>
    <w:r w:rsidR="003A7AB8" w:rsidRPr="000B34F9">
      <w:rPr>
        <w:rFonts w:ascii="Verdana" w:hAnsi="Verdana" w:cs="Arial"/>
        <w:color w:val="1A1818" w:themeColor="accent1"/>
        <w:sz w:val="18"/>
        <w:szCs w:val="18"/>
      </w:rPr>
      <w:t>1</w:t>
    </w:r>
    <w:r w:rsidRPr="000B34F9">
      <w:rPr>
        <w:rFonts w:ascii="Verdana" w:hAnsi="Verdana" w:cs="Arial"/>
        <w:color w:val="1A1818" w:themeColor="accent1"/>
        <w:sz w:val="18"/>
        <w:szCs w:val="18"/>
      </w:rPr>
      <w:t xml:space="preserve"> del </w:t>
    </w:r>
    <w:r w:rsidR="000B34F9">
      <w:rPr>
        <w:rFonts w:ascii="Verdana" w:hAnsi="Verdana" w:cs="Arial"/>
        <w:color w:val="1A1818" w:themeColor="accent1"/>
        <w:sz w:val="18"/>
        <w:szCs w:val="18"/>
      </w:rPr>
      <w:t>21</w:t>
    </w:r>
    <w:r w:rsidRPr="000B34F9">
      <w:rPr>
        <w:rFonts w:ascii="Verdana" w:hAnsi="Verdana" w:cs="Arial"/>
        <w:color w:val="1A1818" w:themeColor="accent1"/>
        <w:sz w:val="18"/>
        <w:szCs w:val="18"/>
      </w:rPr>
      <w:t xml:space="preserve"> de </w:t>
    </w:r>
    <w:r w:rsidR="000B34F9">
      <w:rPr>
        <w:rFonts w:ascii="Verdana" w:hAnsi="Verdana" w:cs="Arial"/>
        <w:color w:val="1A1818" w:themeColor="accent1"/>
        <w:sz w:val="18"/>
        <w:szCs w:val="18"/>
      </w:rPr>
      <w:t>agosto</w:t>
    </w:r>
    <w:r w:rsidRPr="000B34F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32DEE5" w14:textId="77777777" w:rsidR="008874D1" w:rsidRDefault="008874D1" w:rsidP="004F2C35">
      <w:r>
        <w:separator/>
      </w:r>
    </w:p>
  </w:footnote>
  <w:footnote w:type="continuationSeparator" w:id="0">
    <w:p w14:paraId="47777C71" w14:textId="77777777" w:rsidR="008874D1" w:rsidRDefault="008874D1" w:rsidP="004F2C35">
      <w:r>
        <w:continuationSeparator/>
      </w:r>
    </w:p>
  </w:footnote>
  <w:footnote w:type="continuationNotice" w:id="1">
    <w:p w14:paraId="381E3FBA" w14:textId="77777777" w:rsidR="008874D1" w:rsidRDefault="008874D1"/>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09A066" w14:textId="45529B4F" w:rsidR="007B3A97" w:rsidRPr="007B3A97"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ANEXO 5 – GLOSARIO</w:t>
    </w:r>
  </w:p>
  <w:p w14:paraId="67993770" w14:textId="7C5B334E" w:rsidR="000B19F2" w:rsidRDefault="007B3A97" w:rsidP="007B3A97">
    <w:pPr>
      <w:pStyle w:val="Encabezado"/>
      <w:jc w:val="center"/>
      <w:rPr>
        <w:rFonts w:ascii="Verdana" w:hAnsi="Verdana" w:cs="Arial"/>
        <w:b/>
        <w:bCs/>
        <w:sz w:val="22"/>
        <w:szCs w:val="22"/>
      </w:rPr>
    </w:pPr>
    <w:r w:rsidRPr="007B3A97">
      <w:rPr>
        <w:rFonts w:ascii="Verdana" w:hAnsi="Verdana" w:cs="Arial"/>
        <w:b/>
        <w:bCs/>
        <w:sz w:val="22"/>
        <w:szCs w:val="22"/>
      </w:rPr>
      <w:t>LICITACIÓN DE OBRA PÚBLICA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4F9"/>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874D1"/>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67D39"/>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B0A"/>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Puesto">
    <w:name w:val="Title"/>
    <w:aliases w:val="Título 3 CCE"/>
    <w:basedOn w:val="Normal"/>
    <w:next w:val="Normal"/>
    <w:link w:val="Puest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963AC"/>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customStyle="1" w:styleId="Mention">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customStyle="1" w:styleId="UnresolvedMention">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A1E41CF-47DC-4697-B85D-62A50A2A1B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4.xml><?xml version="1.0" encoding="utf-8"?>
<ds:datastoreItem xmlns:ds="http://schemas.openxmlformats.org/officeDocument/2006/customXml" ds:itemID="{612CC275-E68A-4808-9381-EED909BA3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69</Pages>
  <Words>24497</Words>
  <Characters>134739</Characters>
  <Application>Microsoft Office Word</Application>
  <DocSecurity>0</DocSecurity>
  <Lines>1122</Lines>
  <Paragraphs>317</Paragraphs>
  <ScaleCrop>false</ScaleCrop>
  <Company/>
  <LinksUpToDate>false</LinksUpToDate>
  <CharactersWithSpaces>158919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Natalia Arenas Gómez - CT Obras Públicas</cp:lastModifiedBy>
  <cp:revision>122</cp:revision>
  <cp:lastPrinted>2022-06-28T19:25:00Z</cp:lastPrinted>
  <dcterms:created xsi:type="dcterms:W3CDTF">2024-06-06T15:04:00Z</dcterms:created>
  <dcterms:modified xsi:type="dcterms:W3CDTF">2026-04-06T13:42:00Z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