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226901" w14:textId="77777777" w:rsidR="0058222E" w:rsidRPr="006F6287" w:rsidRDefault="0058222E" w:rsidP="007C702A">
      <w:pPr>
        <w:rPr>
          <w:rFonts w:ascii="Verdana" w:hAnsi="Verdana" w:cs="Arial"/>
          <w:lang w:val="es-ES_tradnl" w:eastAsia="es-CO"/>
        </w:rPr>
      </w:pPr>
    </w:p>
    <w:p w14:paraId="0822FEEB" w14:textId="0F4F86B7" w:rsidR="00D70D7B" w:rsidRPr="006F6287" w:rsidRDefault="00D70D7B" w:rsidP="007C702A">
      <w:pPr>
        <w:rPr>
          <w:rFonts w:ascii="Verdana" w:hAnsi="Verdana" w:cs="Arial"/>
          <w:lang w:val="es-ES" w:eastAsia="es-CO"/>
        </w:rPr>
      </w:pPr>
      <w:r w:rsidRPr="006F6287">
        <w:rPr>
          <w:rFonts w:ascii="Verdana" w:hAnsi="Verdana" w:cs="Arial"/>
          <w:lang w:val="es-ES" w:eastAsia="es-CO"/>
        </w:rPr>
        <w:t xml:space="preserve">Para el presente </w:t>
      </w:r>
      <w:r w:rsidR="006B01B2" w:rsidRPr="006F6287">
        <w:rPr>
          <w:rFonts w:ascii="Verdana" w:hAnsi="Verdana" w:cs="Arial"/>
          <w:lang w:val="es-ES" w:eastAsia="es-CO"/>
        </w:rPr>
        <w:t>P</w:t>
      </w:r>
      <w:r w:rsidR="00C61BDB" w:rsidRPr="006F6287">
        <w:rPr>
          <w:rFonts w:ascii="Verdana" w:hAnsi="Verdana" w:cs="Arial"/>
          <w:lang w:val="es-ES" w:eastAsia="es-CO"/>
        </w:rPr>
        <w:t>roce</w:t>
      </w:r>
      <w:r w:rsidR="32C12A3F" w:rsidRPr="006F6287">
        <w:rPr>
          <w:rFonts w:ascii="Verdana" w:hAnsi="Verdana" w:cs="Arial"/>
          <w:lang w:val="es-ES" w:eastAsia="es-CO"/>
        </w:rPr>
        <w:t>so</w:t>
      </w:r>
      <w:r w:rsidR="008F49F3" w:rsidRPr="006F6287">
        <w:rPr>
          <w:rFonts w:ascii="Verdana" w:hAnsi="Verdana" w:cs="Arial"/>
          <w:lang w:val="es-ES" w:eastAsia="es-CO"/>
        </w:rPr>
        <w:t xml:space="preserve"> </w:t>
      </w:r>
      <w:r w:rsidR="00046B56" w:rsidRPr="006F6287">
        <w:rPr>
          <w:rFonts w:ascii="Verdana" w:hAnsi="Verdana" w:cs="Arial"/>
          <w:lang w:val="es-ES" w:eastAsia="es-CO"/>
        </w:rPr>
        <w:t xml:space="preserve">de </w:t>
      </w:r>
      <w:r w:rsidR="006B01B2" w:rsidRPr="006F6287">
        <w:rPr>
          <w:rFonts w:ascii="Verdana" w:hAnsi="Verdana" w:cs="Arial"/>
          <w:lang w:val="es-ES" w:eastAsia="es-CO"/>
        </w:rPr>
        <w:t>C</w:t>
      </w:r>
      <w:r w:rsidRPr="006F6287">
        <w:rPr>
          <w:rFonts w:ascii="Verdana" w:hAnsi="Verdana" w:cs="Arial"/>
          <w:lang w:val="es-ES" w:eastAsia="es-CO"/>
        </w:rPr>
        <w:t>ontra</w:t>
      </w:r>
      <w:r w:rsidR="00046B56" w:rsidRPr="006F6287">
        <w:rPr>
          <w:rFonts w:ascii="Verdana" w:hAnsi="Verdana" w:cs="Arial"/>
          <w:lang w:val="es-ES" w:eastAsia="es-CO"/>
        </w:rPr>
        <w:t>tación</w:t>
      </w:r>
      <w:r w:rsidRPr="006F6287">
        <w:rPr>
          <w:rFonts w:ascii="Verdana" w:hAnsi="Verdana" w:cs="Arial"/>
          <w:lang w:val="es-ES" w:eastAsia="es-CO"/>
        </w:rPr>
        <w:t xml:space="preserve">, en atención </w:t>
      </w:r>
      <w:r w:rsidR="00B81B1F" w:rsidRPr="006F6287">
        <w:rPr>
          <w:rFonts w:ascii="Verdana" w:hAnsi="Verdana" w:cs="Arial"/>
          <w:lang w:val="es-ES" w:eastAsia="es-CO"/>
        </w:rPr>
        <w:t>a la</w:t>
      </w:r>
      <w:r w:rsidRPr="006F6287">
        <w:rPr>
          <w:rFonts w:ascii="Verdana" w:hAnsi="Verdana" w:cs="Arial"/>
          <w:lang w:val="es-ES" w:eastAsia="es-CO"/>
        </w:rPr>
        <w:t xml:space="preserve"> Ley 1150 de 2007 y </w:t>
      </w:r>
      <w:r w:rsidR="006B01B2" w:rsidRPr="006F6287">
        <w:rPr>
          <w:rFonts w:ascii="Verdana" w:hAnsi="Verdana" w:cs="Arial"/>
          <w:lang w:val="es-ES" w:eastAsia="es-CO"/>
        </w:rPr>
        <w:t xml:space="preserve">a </w:t>
      </w:r>
      <w:r w:rsidRPr="006F6287">
        <w:rPr>
          <w:rFonts w:ascii="Verdana" w:hAnsi="Verdana" w:cs="Arial"/>
          <w:lang w:val="es-ES" w:eastAsia="es-CO"/>
        </w:rPr>
        <w:t>los artículos 2.2.1.1.1.3.1 y 2.2.1.1.1.6.</w:t>
      </w:r>
      <w:r w:rsidR="00B81B1F" w:rsidRPr="006F6287">
        <w:rPr>
          <w:rFonts w:ascii="Verdana" w:hAnsi="Verdana" w:cs="Arial"/>
          <w:lang w:val="es-ES" w:eastAsia="es-CO"/>
        </w:rPr>
        <w:t>3. del</w:t>
      </w:r>
      <w:r w:rsidRPr="006F6287">
        <w:rPr>
          <w:rFonts w:ascii="Verdana" w:hAnsi="Verdana" w:cs="Arial"/>
          <w:lang w:val="es-ES" w:eastAsia="es-CO"/>
        </w:rPr>
        <w:t xml:space="preserve"> Decreto </w:t>
      </w:r>
      <w:r w:rsidR="00B81B1F" w:rsidRPr="006F6287">
        <w:rPr>
          <w:rFonts w:ascii="Verdana" w:hAnsi="Verdana" w:cs="Arial"/>
          <w:lang w:val="es-ES" w:eastAsia="es-CO"/>
        </w:rPr>
        <w:t>1082 de</w:t>
      </w:r>
      <w:r w:rsidR="006E6D9B" w:rsidRPr="006F6287">
        <w:rPr>
          <w:rFonts w:ascii="Verdana" w:hAnsi="Verdana" w:cs="Arial"/>
          <w:lang w:val="es-ES" w:eastAsia="es-CO"/>
        </w:rPr>
        <w:t xml:space="preserve"> 2015, entiéndase por R</w:t>
      </w:r>
      <w:r w:rsidRPr="006F6287">
        <w:rPr>
          <w:rFonts w:ascii="Verdana" w:hAnsi="Verdana" w:cs="Arial"/>
          <w:lang w:val="es-ES" w:eastAsia="es-CO"/>
        </w:rPr>
        <w:t>iesgo</w:t>
      </w:r>
      <w:r w:rsidR="006E6D9B" w:rsidRPr="006F6287">
        <w:rPr>
          <w:rFonts w:ascii="Verdana" w:hAnsi="Verdana" w:cs="Arial"/>
          <w:lang w:val="es-ES" w:eastAsia="es-CO"/>
        </w:rPr>
        <w:t xml:space="preserve"> </w:t>
      </w:r>
      <w:r w:rsidRPr="006F6287">
        <w:rPr>
          <w:rFonts w:ascii="Verdana" w:hAnsi="Verdana" w:cs="Arial"/>
          <w:lang w:val="es-ES" w:eastAsia="es-CO"/>
        </w:rPr>
        <w:t xml:space="preserve">la probabilidad de ocurrencia de eventos aleatorios que afecten el desarrollo </w:t>
      </w:r>
      <w:r w:rsidR="00CB6E87" w:rsidRPr="006F6287">
        <w:rPr>
          <w:rFonts w:ascii="Verdana" w:hAnsi="Verdana" w:cs="Arial"/>
          <w:lang w:val="es-ES" w:eastAsia="es-CO"/>
        </w:rPr>
        <w:t>de este</w:t>
      </w:r>
      <w:r w:rsidRPr="006F6287">
        <w:rPr>
          <w:rFonts w:ascii="Verdana" w:hAnsi="Verdana" w:cs="Arial"/>
          <w:lang w:val="es-ES" w:eastAsia="es-CO"/>
        </w:rPr>
        <w:t xml:space="preserve">, generando una variación sobre el resultado esperado, tanto en relación con los costos </w:t>
      </w:r>
      <w:r w:rsidR="00B81B1F" w:rsidRPr="006F6287">
        <w:rPr>
          <w:rFonts w:ascii="Verdana" w:hAnsi="Verdana" w:cs="Arial"/>
          <w:lang w:val="es-ES" w:eastAsia="es-CO"/>
        </w:rPr>
        <w:t>como con</w:t>
      </w:r>
      <w:r w:rsidRPr="006F6287">
        <w:rPr>
          <w:rFonts w:ascii="Verdana" w:hAnsi="Verdana" w:cs="Arial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237D9903" w:rsidR="00D70D7B" w:rsidRPr="006F6287" w:rsidRDefault="00D70D7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Corresponderá al </w:t>
      </w:r>
      <w:r w:rsidR="00112670" w:rsidRPr="006F6287">
        <w:rPr>
          <w:rFonts w:ascii="Verdana" w:hAnsi="Verdana" w:cs="Arial"/>
          <w:lang w:val="es-ES_tradnl" w:eastAsia="es-CO"/>
        </w:rPr>
        <w:t>C</w:t>
      </w:r>
      <w:r w:rsidRPr="006F6287">
        <w:rPr>
          <w:rFonts w:ascii="Verdana" w:hAnsi="Verdana" w:cs="Arial"/>
          <w:lang w:val="es-ES_tradnl" w:eastAsia="es-CO"/>
        </w:rPr>
        <w:t xml:space="preserve">ontratista seleccionado </w:t>
      </w:r>
      <w:r w:rsidR="00CB6E87" w:rsidRPr="006F6287">
        <w:rPr>
          <w:rFonts w:ascii="Verdana" w:hAnsi="Verdana" w:cs="Arial"/>
          <w:lang w:val="es-ES_tradnl" w:eastAsia="es-CO"/>
        </w:rPr>
        <w:t>asumir los</w:t>
      </w:r>
      <w:r w:rsidR="006E6D9B" w:rsidRPr="006F6287">
        <w:rPr>
          <w:rFonts w:ascii="Verdana" w:hAnsi="Verdana" w:cs="Arial"/>
          <w:lang w:val="es-ES_tradnl" w:eastAsia="es-CO"/>
        </w:rPr>
        <w:t xml:space="preserve"> </w:t>
      </w:r>
      <w:r w:rsidR="00D5252D" w:rsidRPr="006F6287">
        <w:rPr>
          <w:rFonts w:ascii="Verdana" w:hAnsi="Verdana" w:cs="Arial"/>
          <w:lang w:val="es-ES_tradnl" w:eastAsia="es-CO"/>
        </w:rPr>
        <w:t>R</w:t>
      </w:r>
      <w:r w:rsidRPr="006F6287">
        <w:rPr>
          <w:rFonts w:ascii="Verdana" w:hAnsi="Verdana" w:cs="Arial"/>
          <w:lang w:val="es-ES_tradnl" w:eastAsia="es-CO"/>
        </w:rPr>
        <w:t>iesgo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previsible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propio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de este tipo de contratación </w:t>
      </w:r>
      <w:r w:rsidR="00CB6E87" w:rsidRPr="006F6287">
        <w:rPr>
          <w:rFonts w:ascii="Verdana" w:hAnsi="Verdana" w:cs="Arial"/>
          <w:lang w:val="es-ES_tradnl" w:eastAsia="es-CO"/>
        </w:rPr>
        <w:t xml:space="preserve">con sus </w:t>
      </w:r>
      <w:r w:rsidRPr="006F6287">
        <w:rPr>
          <w:rFonts w:ascii="Verdana" w:hAnsi="Verdana" w:cs="Arial"/>
          <w:lang w:val="es-ES_tradnl" w:eastAsia="es-CO"/>
        </w:rPr>
        <w:t>costo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, siempre que el mismo no se encuentre expresamente a cargo de la </w:t>
      </w:r>
      <w:r w:rsidR="006B01B2" w:rsidRPr="006F6287">
        <w:rPr>
          <w:rFonts w:ascii="Verdana" w:hAnsi="Verdana" w:cs="Arial"/>
          <w:lang w:val="es-ES_tradnl" w:eastAsia="es-CO"/>
        </w:rPr>
        <w:t>E</w:t>
      </w:r>
      <w:r w:rsidRPr="006F6287">
        <w:rPr>
          <w:rFonts w:ascii="Verdana" w:hAnsi="Verdana" w:cs="Arial"/>
          <w:lang w:val="es-ES_tradnl" w:eastAsia="es-CO"/>
        </w:rPr>
        <w:t xml:space="preserve">ntidad. </w:t>
      </w:r>
    </w:p>
    <w:p w14:paraId="78757E00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2E7008F5" w14:textId="16335FC2" w:rsidR="00545461" w:rsidRPr="006F6287" w:rsidRDefault="006E6D9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De acuerdo con </w:t>
      </w:r>
      <w:r w:rsidR="006B01B2" w:rsidRPr="006F6287">
        <w:rPr>
          <w:rFonts w:ascii="Verdana" w:hAnsi="Verdana" w:cs="Arial"/>
          <w:lang w:val="es-ES_tradnl" w:eastAsia="es-CO"/>
        </w:rPr>
        <w:t xml:space="preserve">el </w:t>
      </w:r>
      <w:r w:rsidR="00C61BDB" w:rsidRPr="006F6287">
        <w:rPr>
          <w:rFonts w:ascii="Verdana" w:hAnsi="Verdana" w:cs="Arial"/>
          <w:lang w:val="es-ES_tradnl" w:eastAsia="es-CO"/>
        </w:rPr>
        <w:t>proce</w:t>
      </w:r>
      <w:r w:rsidR="00190D93" w:rsidRPr="006F6287">
        <w:rPr>
          <w:rFonts w:ascii="Verdana" w:hAnsi="Verdana" w:cs="Arial"/>
          <w:lang w:val="es-ES_tradnl" w:eastAsia="es-CO"/>
        </w:rPr>
        <w:t xml:space="preserve">so </w:t>
      </w:r>
      <w:r w:rsidR="00545461" w:rsidRPr="006F6287">
        <w:rPr>
          <w:rFonts w:ascii="Verdana" w:hAnsi="Verdana" w:cs="Arial"/>
          <w:lang w:val="es-ES_tradnl" w:eastAsia="es-CO"/>
        </w:rPr>
        <w:t xml:space="preserve">de la referencia, </w:t>
      </w:r>
      <w:r w:rsidR="00FE0128" w:rsidRPr="006F6287">
        <w:rPr>
          <w:rFonts w:ascii="Verdana" w:hAnsi="Verdana" w:cs="Arial"/>
          <w:lang w:val="es-ES_tradnl" w:eastAsia="es-CO"/>
        </w:rPr>
        <w:t xml:space="preserve">se </w:t>
      </w:r>
      <w:r w:rsidR="00545461" w:rsidRPr="006F6287">
        <w:rPr>
          <w:rFonts w:ascii="Verdana" w:hAnsi="Verdana" w:cs="Arial"/>
          <w:lang w:val="es-ES_tradnl" w:eastAsia="es-CO"/>
        </w:rPr>
        <w:t xml:space="preserve">establece la tipificación, estimación y asignación de los </w:t>
      </w:r>
      <w:r w:rsidR="00CB6E87" w:rsidRPr="006F6287">
        <w:rPr>
          <w:rFonts w:ascii="Verdana" w:hAnsi="Verdana" w:cs="Arial"/>
          <w:lang w:val="es-ES_tradnl" w:eastAsia="es-CO"/>
        </w:rPr>
        <w:t>R</w:t>
      </w:r>
      <w:r w:rsidR="00545461" w:rsidRPr="006F6287">
        <w:rPr>
          <w:rFonts w:ascii="Verdana" w:hAnsi="Verdana" w:cs="Arial"/>
          <w:lang w:val="es-ES_tradnl" w:eastAsia="es-CO"/>
        </w:rPr>
        <w:t xml:space="preserve">iesgos previsibles que puedan afectar el </w:t>
      </w:r>
      <w:r w:rsidR="006B01B2" w:rsidRPr="006F6287">
        <w:rPr>
          <w:rFonts w:ascii="Verdana" w:hAnsi="Verdana" w:cs="Arial"/>
          <w:lang w:val="es-ES_tradnl" w:eastAsia="es-CO"/>
        </w:rPr>
        <w:t>P</w:t>
      </w:r>
      <w:r w:rsidR="00C61BDB" w:rsidRPr="006F6287">
        <w:rPr>
          <w:rFonts w:ascii="Verdana" w:hAnsi="Verdana" w:cs="Arial"/>
          <w:lang w:val="es-ES_tradnl" w:eastAsia="es-CO"/>
        </w:rPr>
        <w:t>roce</w:t>
      </w:r>
      <w:r w:rsidR="00190D93" w:rsidRPr="006F6287">
        <w:rPr>
          <w:rFonts w:ascii="Verdana" w:hAnsi="Verdana" w:cs="Arial"/>
          <w:lang w:val="es-ES_tradnl" w:eastAsia="es-CO"/>
        </w:rPr>
        <w:t>so</w:t>
      </w:r>
      <w:r w:rsidR="006B01B2" w:rsidRPr="006F6287">
        <w:rPr>
          <w:rFonts w:ascii="Verdana" w:hAnsi="Verdana" w:cs="Arial"/>
          <w:lang w:val="es-ES_tradnl" w:eastAsia="es-CO"/>
        </w:rPr>
        <w:t xml:space="preserve"> de Contratación</w:t>
      </w:r>
      <w:r w:rsidR="00545461" w:rsidRPr="006F6287">
        <w:rPr>
          <w:rFonts w:ascii="Verdana" w:hAnsi="Verdana" w:cs="Arial"/>
          <w:lang w:val="es-ES_tradnl" w:eastAsia="es-CO"/>
        </w:rPr>
        <w:t>.</w:t>
      </w:r>
    </w:p>
    <w:p w14:paraId="6A09BF47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</w:p>
    <w:p w14:paraId="12FBE521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>La tipificación,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2011.</w:t>
      </w:r>
    </w:p>
    <w:p w14:paraId="59969285" w14:textId="77777777" w:rsidR="0034606D" w:rsidRPr="006F6287" w:rsidRDefault="0034606D" w:rsidP="001246B3">
      <w:pPr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D84E88B" w14:textId="77777777" w:rsidR="0058222E" w:rsidRPr="006F6287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6F6287">
        <w:rPr>
          <w:rFonts w:ascii="Verdana" w:eastAsia="SimSun" w:hAnsi="Verdana" w:cs="Arial"/>
          <w:b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6F6287" w:rsidRDefault="00815604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6F6287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168C9C57" w14:textId="49DCF581" w:rsidR="00D70D7B" w:rsidRPr="00BB40D0" w:rsidRDefault="00BB40D0" w:rsidP="00BB40D0">
      <w:pPr>
        <w:rPr>
          <w:rFonts w:ascii="Verdana" w:hAnsi="Verdana" w:cs="Arial"/>
          <w:lang w:val="es-ES_tradnl" w:eastAsia="es-CO"/>
        </w:rPr>
      </w:pPr>
      <w:r w:rsidRPr="00BB40D0">
        <w:rPr>
          <w:rFonts w:ascii="Verdana" w:hAnsi="Verdana" w:cs="Arial"/>
          <w:lang w:val="es-ES_tradnl" w:eastAsia="es-CO"/>
        </w:rPr>
        <w:t>Ver Anexo CC-F-059 Matriz de Rie</w:t>
      </w:r>
      <w:bookmarkStart w:id="0" w:name="_GoBack"/>
      <w:bookmarkEnd w:id="0"/>
      <w:r w:rsidRPr="00BB40D0">
        <w:rPr>
          <w:rFonts w:ascii="Verdana" w:hAnsi="Verdana" w:cs="Arial"/>
          <w:lang w:val="es-ES_tradnl" w:eastAsia="es-CO"/>
        </w:rPr>
        <w:t>sgos.</w:t>
      </w:r>
    </w:p>
    <w:sectPr w:rsidR="00D70D7B" w:rsidRPr="00BB40D0" w:rsidSect="00BB40D0">
      <w:headerReference w:type="default" r:id="rId11"/>
      <w:footerReference w:type="default" r:id="rId12"/>
      <w:pgSz w:w="15840" w:h="12240" w:orient="landscape" w:code="1"/>
      <w:pgMar w:top="1304" w:right="1134" w:bottom="1134" w:left="1134" w:header="426" w:footer="544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6A13A" w14:textId="77777777" w:rsidR="00181D80" w:rsidRDefault="00181D80" w:rsidP="00091875">
      <w:pPr>
        <w:spacing w:line="240" w:lineRule="auto"/>
      </w:pPr>
      <w:r>
        <w:separator/>
      </w:r>
    </w:p>
  </w:endnote>
  <w:endnote w:type="continuationSeparator" w:id="0">
    <w:p w14:paraId="3DCD4657" w14:textId="77777777" w:rsidR="00181D80" w:rsidRDefault="00181D80" w:rsidP="00091875">
      <w:pPr>
        <w:spacing w:line="240" w:lineRule="auto"/>
      </w:pPr>
      <w:r>
        <w:continuationSeparator/>
      </w:r>
    </w:p>
  </w:endnote>
  <w:endnote w:type="continuationNotice" w:id="1">
    <w:p w14:paraId="15BE4EDC" w14:textId="77777777" w:rsidR="00181D80" w:rsidRDefault="00181D8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2671562"/>
      <w:docPartObj>
        <w:docPartGallery w:val="Page Numbers (Bottom of Page)"/>
        <w:docPartUnique/>
      </w:docPartObj>
    </w:sdtPr>
    <w:sdtEndPr/>
    <w:sdtContent>
      <w:p w14:paraId="21ED77E0" w14:textId="09C22CD5" w:rsidR="00091875" w:rsidRPr="0034606D" w:rsidRDefault="0034606D" w:rsidP="0034606D">
        <w:pPr>
          <w:widowControl w:val="0"/>
          <w:autoSpaceDE w:val="0"/>
          <w:autoSpaceDN w:val="0"/>
          <w:adjustRightInd w:val="0"/>
          <w:spacing w:line="265" w:lineRule="exact"/>
          <w:ind w:left="-18" w:right="-38"/>
          <w:jc w:val="right"/>
          <w:rPr>
            <w:rFonts w:ascii="Verdana" w:hAnsi="Verdana" w:cs="Arial"/>
            <w:color w:val="000000" w:themeColor="text1"/>
            <w:sz w:val="18"/>
            <w:szCs w:val="20"/>
          </w:rPr>
        </w:pPr>
        <w:r w:rsidRPr="00404F33">
          <w:rPr>
            <w:rFonts w:ascii="Verdana" w:hAnsi="Verdana" w:cs="Arial"/>
            <w:color w:val="000000" w:themeColor="text1"/>
            <w:sz w:val="18"/>
            <w:szCs w:val="20"/>
          </w:rPr>
          <w:t>Versión</w:t>
        </w:r>
        <w:r>
          <w:rPr>
            <w:rFonts w:ascii="Verdana" w:hAnsi="Verdana" w:cs="Arial"/>
            <w:color w:val="000000" w:themeColor="text1"/>
            <w:sz w:val="18"/>
            <w:szCs w:val="20"/>
          </w:rPr>
          <w:t>:</w:t>
        </w:r>
        <w:r w:rsidRPr="00404F33">
          <w:rPr>
            <w:rFonts w:ascii="Verdana" w:hAnsi="Verdana" w:cs="Arial"/>
            <w:color w:val="000000" w:themeColor="text1"/>
            <w:sz w:val="18"/>
            <w:szCs w:val="20"/>
          </w:rPr>
          <w:t xml:space="preserve"> 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2 del </w:t>
        </w:r>
        <w:r w:rsidR="00C91E2C">
          <w:rPr>
            <w:rFonts w:ascii="Verdana" w:hAnsi="Verdana" w:cs="Arial"/>
            <w:color w:val="000000" w:themeColor="text1"/>
            <w:sz w:val="18"/>
            <w:szCs w:val="20"/>
          </w:rPr>
          <w:t>21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 de </w:t>
        </w:r>
        <w:r w:rsidR="00C91E2C">
          <w:rPr>
            <w:rFonts w:ascii="Verdana" w:hAnsi="Verdana" w:cs="Arial"/>
            <w:color w:val="000000" w:themeColor="text1"/>
            <w:sz w:val="18"/>
            <w:szCs w:val="20"/>
          </w:rPr>
          <w:t>agosto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 de 2025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23D2A1" w14:textId="77777777" w:rsidR="00181D80" w:rsidRDefault="00181D80" w:rsidP="00091875">
      <w:pPr>
        <w:spacing w:line="240" w:lineRule="auto"/>
      </w:pPr>
      <w:r>
        <w:separator/>
      </w:r>
    </w:p>
  </w:footnote>
  <w:footnote w:type="continuationSeparator" w:id="0">
    <w:p w14:paraId="007BD8E5" w14:textId="77777777" w:rsidR="00181D80" w:rsidRDefault="00181D80" w:rsidP="00091875">
      <w:pPr>
        <w:spacing w:line="240" w:lineRule="auto"/>
      </w:pPr>
      <w:r>
        <w:continuationSeparator/>
      </w:r>
    </w:p>
  </w:footnote>
  <w:footnote w:type="continuationNotice" w:id="1">
    <w:p w14:paraId="6DA43C80" w14:textId="77777777" w:rsidR="00181D80" w:rsidRDefault="00181D8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8E8461" w14:textId="0131BE20" w:rsidR="000E5886" w:rsidRPr="000E5886" w:rsidRDefault="000E5886" w:rsidP="000E5886">
    <w:pPr>
      <w:pStyle w:val="Encabezado"/>
      <w:jc w:val="center"/>
      <w:rPr>
        <w:rFonts w:ascii="Verdana" w:hAnsi="Verdana" w:cs="Arial"/>
        <w:b/>
        <w:bCs/>
      </w:rPr>
    </w:pPr>
    <w:r w:rsidRPr="000E5886">
      <w:rPr>
        <w:rFonts w:ascii="Verdana" w:hAnsi="Verdana" w:cs="Arial"/>
        <w:b/>
        <w:bCs/>
      </w:rPr>
      <w:t>MATRIZ 3 - RIESGOS</w:t>
    </w:r>
  </w:p>
  <w:p w14:paraId="7BA6AB75" w14:textId="6C79689C" w:rsidR="00D5252D" w:rsidRPr="000E5886" w:rsidRDefault="000E5886" w:rsidP="000E5886">
    <w:pPr>
      <w:pStyle w:val="Encabezado"/>
      <w:tabs>
        <w:tab w:val="clear" w:pos="4419"/>
        <w:tab w:val="clear" w:pos="8838"/>
        <w:tab w:val="left" w:pos="3405"/>
      </w:tabs>
      <w:jc w:val="center"/>
      <w:rPr>
        <w:rFonts w:ascii="Verdana" w:hAnsi="Verdana"/>
        <w:sz w:val="32"/>
        <w:szCs w:val="32"/>
      </w:rPr>
    </w:pPr>
    <w:r w:rsidRPr="000E5886">
      <w:rPr>
        <w:rFonts w:ascii="Verdana" w:hAnsi="Verdana" w:cs="Arial"/>
        <w:b/>
      </w:rPr>
      <w:t>LICITACIÓN DE OBRA PÚBLICA DE INFRAESTRUCTURA SOCIAL</w:t>
    </w:r>
  </w:p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33F45"/>
    <w:rsid w:val="00046B56"/>
    <w:rsid w:val="00091875"/>
    <w:rsid w:val="00097BB5"/>
    <w:rsid w:val="000A0BB9"/>
    <w:rsid w:val="000A2F3B"/>
    <w:rsid w:val="000C2AAE"/>
    <w:rsid w:val="000E204D"/>
    <w:rsid w:val="000E5886"/>
    <w:rsid w:val="00101037"/>
    <w:rsid w:val="00103B17"/>
    <w:rsid w:val="00106362"/>
    <w:rsid w:val="00112670"/>
    <w:rsid w:val="001246B3"/>
    <w:rsid w:val="00136C78"/>
    <w:rsid w:val="00145102"/>
    <w:rsid w:val="001477DE"/>
    <w:rsid w:val="0015658C"/>
    <w:rsid w:val="0015719E"/>
    <w:rsid w:val="00181D80"/>
    <w:rsid w:val="00190D93"/>
    <w:rsid w:val="001D1F23"/>
    <w:rsid w:val="001E7630"/>
    <w:rsid w:val="00270401"/>
    <w:rsid w:val="00277255"/>
    <w:rsid w:val="002A4F63"/>
    <w:rsid w:val="002C15DB"/>
    <w:rsid w:val="002C7E01"/>
    <w:rsid w:val="002D1AFB"/>
    <w:rsid w:val="0032129A"/>
    <w:rsid w:val="00326ACA"/>
    <w:rsid w:val="003322F8"/>
    <w:rsid w:val="0034606D"/>
    <w:rsid w:val="003516E6"/>
    <w:rsid w:val="0035415F"/>
    <w:rsid w:val="0035522B"/>
    <w:rsid w:val="003558EC"/>
    <w:rsid w:val="003674A4"/>
    <w:rsid w:val="00374B32"/>
    <w:rsid w:val="00375454"/>
    <w:rsid w:val="0039239D"/>
    <w:rsid w:val="003B7338"/>
    <w:rsid w:val="003E0614"/>
    <w:rsid w:val="003E331F"/>
    <w:rsid w:val="003E4428"/>
    <w:rsid w:val="003E6D71"/>
    <w:rsid w:val="003F50E3"/>
    <w:rsid w:val="00405EC2"/>
    <w:rsid w:val="004338C5"/>
    <w:rsid w:val="00462D6F"/>
    <w:rsid w:val="004A089E"/>
    <w:rsid w:val="004B02DA"/>
    <w:rsid w:val="004C3913"/>
    <w:rsid w:val="004D7C35"/>
    <w:rsid w:val="004E3B5C"/>
    <w:rsid w:val="004E5054"/>
    <w:rsid w:val="004F2908"/>
    <w:rsid w:val="004F5C6F"/>
    <w:rsid w:val="00507FAA"/>
    <w:rsid w:val="00511F46"/>
    <w:rsid w:val="00513343"/>
    <w:rsid w:val="00513E75"/>
    <w:rsid w:val="00540CF2"/>
    <w:rsid w:val="00545461"/>
    <w:rsid w:val="00574071"/>
    <w:rsid w:val="005752CE"/>
    <w:rsid w:val="0058222E"/>
    <w:rsid w:val="00590DD8"/>
    <w:rsid w:val="005960B2"/>
    <w:rsid w:val="005E5030"/>
    <w:rsid w:val="00686C25"/>
    <w:rsid w:val="006A3288"/>
    <w:rsid w:val="006B01B2"/>
    <w:rsid w:val="006B4FEE"/>
    <w:rsid w:val="006C3AC4"/>
    <w:rsid w:val="006E6D9B"/>
    <w:rsid w:val="006F6287"/>
    <w:rsid w:val="007115DA"/>
    <w:rsid w:val="00721886"/>
    <w:rsid w:val="00762556"/>
    <w:rsid w:val="007633A4"/>
    <w:rsid w:val="0076567A"/>
    <w:rsid w:val="00770FF9"/>
    <w:rsid w:val="00772290"/>
    <w:rsid w:val="0077727E"/>
    <w:rsid w:val="007B33E6"/>
    <w:rsid w:val="007C04E2"/>
    <w:rsid w:val="007C5B18"/>
    <w:rsid w:val="007C702A"/>
    <w:rsid w:val="007E1A1D"/>
    <w:rsid w:val="00805ECB"/>
    <w:rsid w:val="00815604"/>
    <w:rsid w:val="00833F3B"/>
    <w:rsid w:val="00841B5A"/>
    <w:rsid w:val="008532C2"/>
    <w:rsid w:val="008537E3"/>
    <w:rsid w:val="0085653A"/>
    <w:rsid w:val="0085672F"/>
    <w:rsid w:val="008700A4"/>
    <w:rsid w:val="00874392"/>
    <w:rsid w:val="00885039"/>
    <w:rsid w:val="008C3AE4"/>
    <w:rsid w:val="008C48D9"/>
    <w:rsid w:val="008E39CA"/>
    <w:rsid w:val="008F49F3"/>
    <w:rsid w:val="009321E7"/>
    <w:rsid w:val="00933972"/>
    <w:rsid w:val="00937CF9"/>
    <w:rsid w:val="0095009A"/>
    <w:rsid w:val="009771DE"/>
    <w:rsid w:val="009771F1"/>
    <w:rsid w:val="009C4E02"/>
    <w:rsid w:val="009E77AD"/>
    <w:rsid w:val="009F3A90"/>
    <w:rsid w:val="00A03920"/>
    <w:rsid w:val="00A1437D"/>
    <w:rsid w:val="00A232B7"/>
    <w:rsid w:val="00A33A30"/>
    <w:rsid w:val="00A411F2"/>
    <w:rsid w:val="00A4259F"/>
    <w:rsid w:val="00A802EF"/>
    <w:rsid w:val="00A84EAD"/>
    <w:rsid w:val="00A85E3E"/>
    <w:rsid w:val="00A9107A"/>
    <w:rsid w:val="00A92454"/>
    <w:rsid w:val="00A97889"/>
    <w:rsid w:val="00AB5F8B"/>
    <w:rsid w:val="00AE2ECB"/>
    <w:rsid w:val="00B26BD8"/>
    <w:rsid w:val="00B26E25"/>
    <w:rsid w:val="00B60C9E"/>
    <w:rsid w:val="00B74FD2"/>
    <w:rsid w:val="00B76DAD"/>
    <w:rsid w:val="00B773A4"/>
    <w:rsid w:val="00B81B1F"/>
    <w:rsid w:val="00B83621"/>
    <w:rsid w:val="00B91C28"/>
    <w:rsid w:val="00B92158"/>
    <w:rsid w:val="00B94790"/>
    <w:rsid w:val="00B9797D"/>
    <w:rsid w:val="00BA3870"/>
    <w:rsid w:val="00BB40D0"/>
    <w:rsid w:val="00BC48AE"/>
    <w:rsid w:val="00BE0B22"/>
    <w:rsid w:val="00BE515D"/>
    <w:rsid w:val="00BF3A5C"/>
    <w:rsid w:val="00C11E71"/>
    <w:rsid w:val="00C36B0B"/>
    <w:rsid w:val="00C41C6F"/>
    <w:rsid w:val="00C53FEB"/>
    <w:rsid w:val="00C61BDB"/>
    <w:rsid w:val="00C71F76"/>
    <w:rsid w:val="00C91E2C"/>
    <w:rsid w:val="00C940AA"/>
    <w:rsid w:val="00C954B1"/>
    <w:rsid w:val="00CB6E87"/>
    <w:rsid w:val="00CB7D17"/>
    <w:rsid w:val="00CC0987"/>
    <w:rsid w:val="00CD4E92"/>
    <w:rsid w:val="00CF543A"/>
    <w:rsid w:val="00CF7B39"/>
    <w:rsid w:val="00D13765"/>
    <w:rsid w:val="00D5252D"/>
    <w:rsid w:val="00D66122"/>
    <w:rsid w:val="00D70D7B"/>
    <w:rsid w:val="00D802B8"/>
    <w:rsid w:val="00D86ECC"/>
    <w:rsid w:val="00DA2321"/>
    <w:rsid w:val="00DD4300"/>
    <w:rsid w:val="00DF421A"/>
    <w:rsid w:val="00E52F4D"/>
    <w:rsid w:val="00E56873"/>
    <w:rsid w:val="00E734B0"/>
    <w:rsid w:val="00E85C8E"/>
    <w:rsid w:val="00ED5E66"/>
    <w:rsid w:val="00F46773"/>
    <w:rsid w:val="00F6022F"/>
    <w:rsid w:val="00F63350"/>
    <w:rsid w:val="00F77C04"/>
    <w:rsid w:val="00F86A14"/>
    <w:rsid w:val="00FD3BD6"/>
    <w:rsid w:val="00FD3DFC"/>
    <w:rsid w:val="00FE0128"/>
    <w:rsid w:val="00FF37BF"/>
    <w:rsid w:val="120E0CB1"/>
    <w:rsid w:val="208A25DF"/>
    <w:rsid w:val="32C12A3F"/>
    <w:rsid w:val="38A4A234"/>
    <w:rsid w:val="4FC1D61E"/>
    <w:rsid w:val="5FB75BC8"/>
    <w:rsid w:val="6E6EA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Puesto">
    <w:name w:val="Title"/>
    <w:basedOn w:val="Normal"/>
    <w:next w:val="ParrafoNmerado"/>
    <w:link w:val="Puest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FD3DF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8700A4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8700A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5B993-6E72-4903-BE0F-53B5C8DF6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openxmlformats.org/package/2006/metadata/core-properties"/>
    <ds:schemaRef ds:uri="http://purl.org/dc/terms/"/>
    <ds:schemaRef ds:uri="9d85dbaf-23eb-4e57-a637-93dcacc8b1a1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a6cb9e4b-f1d1-4245-83ec-6cad768d538a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334366-77FB-4BD2-A01E-2281F8ED4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972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Ana Milena Cardenas Tobon - CT Obras Públicas</cp:lastModifiedBy>
  <cp:revision>12</cp:revision>
  <cp:lastPrinted>2021-08-03T20:55:00Z</cp:lastPrinted>
  <dcterms:created xsi:type="dcterms:W3CDTF">2022-08-03T21:07:00Z</dcterms:created>
  <dcterms:modified xsi:type="dcterms:W3CDTF">2026-02-11T16:01:00Z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