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6C941" w14:textId="77777777" w:rsidR="00F313CB" w:rsidRPr="001A78E1" w:rsidRDefault="00F313CB" w:rsidP="00F313CB">
      <w:pPr>
        <w:pStyle w:val="Sinespaciado"/>
        <w:tabs>
          <w:tab w:val="center" w:pos="4420"/>
          <w:tab w:val="left" w:pos="6210"/>
        </w:tabs>
        <w:jc w:val="center"/>
        <w:rPr>
          <w:rFonts w:ascii="Arial" w:hAnsi="Arial" w:cs="Arial"/>
          <w:b/>
          <w:sz w:val="20"/>
          <w:szCs w:val="20"/>
        </w:rPr>
      </w:pPr>
      <w:r w:rsidRPr="001A78E1">
        <w:rPr>
          <w:rFonts w:ascii="Arial" w:hAnsi="Arial" w:cs="Arial"/>
          <w:b/>
          <w:sz w:val="20"/>
          <w:szCs w:val="20"/>
        </w:rPr>
        <w:t>ANÁLISIS ECONÓMICO DEL SECTOR</w:t>
      </w:r>
    </w:p>
    <w:p w14:paraId="2A839B7B" w14:textId="77777777" w:rsidR="00F313CB" w:rsidRPr="001A78E1" w:rsidRDefault="00F313CB" w:rsidP="00F313CB">
      <w:pPr>
        <w:pStyle w:val="Sinespaciado"/>
        <w:tabs>
          <w:tab w:val="center" w:pos="4420"/>
          <w:tab w:val="left" w:pos="6210"/>
        </w:tabs>
        <w:jc w:val="center"/>
        <w:rPr>
          <w:rFonts w:ascii="Arial" w:hAnsi="Arial" w:cs="Arial"/>
          <w:b/>
          <w:sz w:val="20"/>
          <w:szCs w:val="20"/>
        </w:rPr>
      </w:pPr>
    </w:p>
    <w:p w14:paraId="15F0817F" w14:textId="77777777" w:rsidR="00F313CB" w:rsidRPr="001A78E1" w:rsidRDefault="00F313CB" w:rsidP="00F313CB">
      <w:pPr>
        <w:pStyle w:val="Sinespaciado"/>
        <w:tabs>
          <w:tab w:val="center" w:pos="4420"/>
          <w:tab w:val="left" w:pos="6210"/>
        </w:tabs>
        <w:jc w:val="center"/>
        <w:rPr>
          <w:rFonts w:ascii="Arial" w:hAnsi="Arial" w:cs="Arial"/>
          <w:b/>
          <w:sz w:val="20"/>
          <w:szCs w:val="20"/>
        </w:rPr>
      </w:pPr>
      <w:r w:rsidRPr="001A78E1">
        <w:rPr>
          <w:rFonts w:ascii="Arial" w:hAnsi="Arial" w:cs="Arial"/>
          <w:b/>
          <w:sz w:val="20"/>
          <w:szCs w:val="20"/>
        </w:rPr>
        <w:t>INTRODUCCIÓN</w:t>
      </w:r>
    </w:p>
    <w:p w14:paraId="46A4A760" w14:textId="77777777" w:rsidR="00F313CB" w:rsidRPr="001A78E1" w:rsidRDefault="00F313CB" w:rsidP="00F313CB">
      <w:pPr>
        <w:pStyle w:val="Sinespaciado"/>
        <w:tabs>
          <w:tab w:val="center" w:pos="4420"/>
          <w:tab w:val="left" w:pos="6210"/>
        </w:tabs>
        <w:jc w:val="center"/>
        <w:rPr>
          <w:rFonts w:ascii="Arial" w:hAnsi="Arial" w:cs="Arial"/>
          <w:b/>
          <w:sz w:val="20"/>
          <w:szCs w:val="20"/>
        </w:rPr>
      </w:pPr>
    </w:p>
    <w:tbl>
      <w:tblPr>
        <w:tblpPr w:leftFromText="141" w:rightFromText="141" w:vertAnchor="text" w:horzAnchor="margin" w:tblpXSpec="center" w:tblpY="57"/>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4"/>
        <w:gridCol w:w="5033"/>
        <w:gridCol w:w="1617"/>
      </w:tblGrid>
      <w:tr w:rsidR="00F313CB" w:rsidRPr="001A78E1" w14:paraId="3A01CD91" w14:textId="77777777" w:rsidTr="006C3074">
        <w:trPr>
          <w:cantSplit/>
          <w:trHeight w:val="339"/>
        </w:trPr>
        <w:tc>
          <w:tcPr>
            <w:tcW w:w="1468" w:type="pct"/>
            <w:vAlign w:val="center"/>
            <w:hideMark/>
          </w:tcPr>
          <w:p w14:paraId="35B5D73B" w14:textId="77777777" w:rsidR="00F313CB" w:rsidRPr="001A78E1" w:rsidRDefault="00F313CB" w:rsidP="00E00B10">
            <w:pPr>
              <w:pStyle w:val="Sinespaciado"/>
              <w:jc w:val="center"/>
              <w:rPr>
                <w:rFonts w:ascii="Arial" w:hAnsi="Arial" w:cs="Arial"/>
                <w:b/>
                <w:color w:val="000000"/>
                <w:sz w:val="20"/>
                <w:szCs w:val="20"/>
              </w:rPr>
            </w:pPr>
            <w:r w:rsidRPr="001A78E1">
              <w:rPr>
                <w:rFonts w:ascii="Arial" w:hAnsi="Arial" w:cs="Arial"/>
                <w:b/>
                <w:color w:val="000000"/>
                <w:sz w:val="20"/>
                <w:szCs w:val="20"/>
              </w:rPr>
              <w:t>NOMBRE DEL RESPONSABLE</w:t>
            </w:r>
          </w:p>
        </w:tc>
        <w:tc>
          <w:tcPr>
            <w:tcW w:w="2673" w:type="pct"/>
            <w:vAlign w:val="center"/>
            <w:hideMark/>
          </w:tcPr>
          <w:p w14:paraId="1C0EC59B" w14:textId="77777777" w:rsidR="00F313CB" w:rsidRPr="001A78E1" w:rsidRDefault="00F313CB" w:rsidP="00E00B10">
            <w:pPr>
              <w:pStyle w:val="Sinespaciado"/>
              <w:jc w:val="center"/>
              <w:rPr>
                <w:rFonts w:ascii="Arial" w:hAnsi="Arial" w:cs="Arial"/>
                <w:b/>
                <w:color w:val="000000"/>
                <w:sz w:val="20"/>
                <w:szCs w:val="20"/>
              </w:rPr>
            </w:pPr>
            <w:r w:rsidRPr="001A78E1">
              <w:rPr>
                <w:rFonts w:ascii="Arial" w:hAnsi="Arial" w:cs="Arial"/>
                <w:b/>
                <w:color w:val="000000"/>
                <w:sz w:val="20"/>
                <w:szCs w:val="20"/>
              </w:rPr>
              <w:t>CARGO</w:t>
            </w:r>
          </w:p>
        </w:tc>
        <w:tc>
          <w:tcPr>
            <w:tcW w:w="859" w:type="pct"/>
            <w:vAlign w:val="center"/>
            <w:hideMark/>
          </w:tcPr>
          <w:p w14:paraId="7DBF969C" w14:textId="77777777" w:rsidR="00F313CB" w:rsidRPr="001A78E1" w:rsidRDefault="00F313CB" w:rsidP="00E00B10">
            <w:pPr>
              <w:pStyle w:val="Sinespaciado"/>
              <w:jc w:val="center"/>
              <w:rPr>
                <w:rFonts w:ascii="Arial" w:hAnsi="Arial" w:cs="Arial"/>
                <w:b/>
                <w:color w:val="000000"/>
                <w:sz w:val="20"/>
                <w:szCs w:val="20"/>
              </w:rPr>
            </w:pPr>
            <w:r w:rsidRPr="001A78E1">
              <w:rPr>
                <w:rFonts w:ascii="Arial" w:hAnsi="Arial" w:cs="Arial"/>
                <w:b/>
                <w:color w:val="000000"/>
                <w:sz w:val="20"/>
                <w:szCs w:val="20"/>
              </w:rPr>
              <w:t>FECHA</w:t>
            </w:r>
          </w:p>
        </w:tc>
      </w:tr>
      <w:tr w:rsidR="00F313CB" w:rsidRPr="001A78E1" w14:paraId="0D650D57" w14:textId="77777777" w:rsidTr="006C3074">
        <w:trPr>
          <w:cantSplit/>
          <w:trHeight w:val="354"/>
        </w:trPr>
        <w:tc>
          <w:tcPr>
            <w:tcW w:w="1468" w:type="pct"/>
            <w:vAlign w:val="center"/>
            <w:hideMark/>
          </w:tcPr>
          <w:p w14:paraId="723806EB" w14:textId="1330ADE2" w:rsidR="00F313CB" w:rsidRPr="001A78E1" w:rsidRDefault="007853B5" w:rsidP="00E00B10">
            <w:pPr>
              <w:pStyle w:val="Sinespaciado"/>
              <w:jc w:val="center"/>
              <w:rPr>
                <w:rFonts w:ascii="Arial" w:hAnsi="Arial" w:cs="Arial"/>
                <w:sz w:val="20"/>
                <w:szCs w:val="20"/>
              </w:rPr>
            </w:pPr>
            <w:r>
              <w:rPr>
                <w:rFonts w:ascii="Arial" w:hAnsi="Arial" w:cs="Arial"/>
                <w:sz w:val="20"/>
                <w:szCs w:val="20"/>
              </w:rPr>
              <w:t>DAVID ENRIQUE LEON CHICO</w:t>
            </w:r>
          </w:p>
        </w:tc>
        <w:tc>
          <w:tcPr>
            <w:tcW w:w="2673" w:type="pct"/>
            <w:vAlign w:val="center"/>
            <w:hideMark/>
          </w:tcPr>
          <w:p w14:paraId="6A6E5E01" w14:textId="786AA299" w:rsidR="00F313CB" w:rsidRPr="001A78E1" w:rsidRDefault="00F313CB" w:rsidP="00E00B10">
            <w:pPr>
              <w:pStyle w:val="Sinespaciado"/>
              <w:jc w:val="center"/>
              <w:rPr>
                <w:rFonts w:ascii="Arial" w:hAnsi="Arial" w:cs="Arial"/>
                <w:sz w:val="20"/>
                <w:szCs w:val="20"/>
              </w:rPr>
            </w:pPr>
            <w:r w:rsidRPr="001A78E1">
              <w:rPr>
                <w:rFonts w:ascii="Arial" w:hAnsi="Arial" w:cs="Arial"/>
                <w:sz w:val="20"/>
                <w:szCs w:val="20"/>
                <w:lang w:val="es-ES_tradnl"/>
              </w:rPr>
              <w:t>SECRETARI</w:t>
            </w:r>
            <w:r w:rsidR="007853B5">
              <w:rPr>
                <w:rFonts w:ascii="Arial" w:hAnsi="Arial" w:cs="Arial"/>
                <w:sz w:val="20"/>
                <w:szCs w:val="20"/>
                <w:lang w:val="es-ES_tradnl"/>
              </w:rPr>
              <w:t>O</w:t>
            </w:r>
            <w:r w:rsidRPr="001A78E1">
              <w:rPr>
                <w:rFonts w:ascii="Arial" w:hAnsi="Arial" w:cs="Arial"/>
                <w:sz w:val="20"/>
                <w:szCs w:val="20"/>
                <w:lang w:val="es-ES_tradnl"/>
              </w:rPr>
              <w:t xml:space="preserve"> DE GOBIERNO Y SERVICIOS ADMINISTRATIVOS</w:t>
            </w:r>
          </w:p>
        </w:tc>
        <w:tc>
          <w:tcPr>
            <w:tcW w:w="859" w:type="pct"/>
            <w:vAlign w:val="center"/>
            <w:hideMark/>
          </w:tcPr>
          <w:p w14:paraId="27193723" w14:textId="1C41086A" w:rsidR="00F313CB" w:rsidRPr="001A78E1" w:rsidRDefault="00891D02" w:rsidP="00E00B10">
            <w:pPr>
              <w:pStyle w:val="Sinespaciado"/>
              <w:jc w:val="center"/>
              <w:rPr>
                <w:rFonts w:ascii="Arial" w:hAnsi="Arial" w:cs="Arial"/>
                <w:sz w:val="20"/>
                <w:szCs w:val="20"/>
              </w:rPr>
            </w:pPr>
            <w:r>
              <w:rPr>
                <w:rFonts w:ascii="Arial" w:hAnsi="Arial" w:cs="Arial"/>
                <w:sz w:val="20"/>
                <w:szCs w:val="20"/>
              </w:rPr>
              <w:t>06</w:t>
            </w:r>
            <w:r w:rsidR="00F313CB" w:rsidRPr="001A78E1">
              <w:rPr>
                <w:rFonts w:ascii="Arial" w:hAnsi="Arial" w:cs="Arial"/>
                <w:sz w:val="20"/>
                <w:szCs w:val="20"/>
              </w:rPr>
              <w:t>/0</w:t>
            </w:r>
            <w:r>
              <w:rPr>
                <w:rFonts w:ascii="Arial" w:hAnsi="Arial" w:cs="Arial"/>
                <w:sz w:val="20"/>
                <w:szCs w:val="20"/>
              </w:rPr>
              <w:t>4</w:t>
            </w:r>
            <w:r w:rsidR="00F313CB" w:rsidRPr="001A78E1">
              <w:rPr>
                <w:rFonts w:ascii="Arial" w:hAnsi="Arial" w:cs="Arial"/>
                <w:sz w:val="20"/>
                <w:szCs w:val="20"/>
              </w:rPr>
              <w:t>/202</w:t>
            </w:r>
            <w:r>
              <w:rPr>
                <w:rFonts w:ascii="Arial" w:hAnsi="Arial" w:cs="Arial"/>
                <w:sz w:val="20"/>
                <w:szCs w:val="20"/>
              </w:rPr>
              <w:t>5</w:t>
            </w:r>
          </w:p>
        </w:tc>
      </w:tr>
    </w:tbl>
    <w:p w14:paraId="78BD6AFD" w14:textId="77777777" w:rsidR="00F313CB" w:rsidRPr="001A78E1" w:rsidRDefault="00F313CB" w:rsidP="00F313CB">
      <w:pPr>
        <w:pStyle w:val="Sinespaciado"/>
        <w:tabs>
          <w:tab w:val="center" w:pos="4420"/>
          <w:tab w:val="left" w:pos="6210"/>
        </w:tabs>
        <w:jc w:val="center"/>
        <w:rPr>
          <w:rFonts w:ascii="Arial" w:hAnsi="Arial" w:cs="Arial"/>
          <w:b/>
          <w:sz w:val="20"/>
          <w:szCs w:val="20"/>
        </w:rPr>
      </w:pPr>
    </w:p>
    <w:p w14:paraId="15BE6872" w14:textId="7777777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 xml:space="preserve">La función de compras debe estar orientada a satisfacer las necesidades de las Entidades </w:t>
      </w:r>
      <w:r w:rsidRPr="001A78E1">
        <w:rPr>
          <w:rFonts w:ascii="Arial" w:hAnsi="Arial" w:cs="Arial"/>
          <w:color w:val="000000"/>
          <w:sz w:val="20"/>
          <w:szCs w:val="20"/>
        </w:rPr>
        <w:t>Estatales y a obtener el mayor valor por el dinero público</w:t>
      </w:r>
      <w:r w:rsidRPr="001A78E1">
        <w:rPr>
          <w:rFonts w:ascii="Arial" w:hAnsi="Arial" w:cs="Arial"/>
          <w:sz w:val="20"/>
          <w:szCs w:val="20"/>
        </w:rPr>
        <w:t>. Las Entidades Estatales deben entender claramente cuál es su necesidad y cómo pueden satisfacerla, por lo cual, deben conocer y entender cómo y con quién pueden establecer la relación que permite satisfacer la necesidad identificada. Para el efecto es necesario que las Entidades Estatales conozcan el contexto en el cual los posibles proveedores desarrollan su actividad.</w:t>
      </w:r>
    </w:p>
    <w:p w14:paraId="44B98C8B" w14:textId="77777777" w:rsidR="00F313CB" w:rsidRPr="001A78E1" w:rsidRDefault="00F313CB" w:rsidP="00F313CB">
      <w:pPr>
        <w:pStyle w:val="Sinespaciado"/>
        <w:jc w:val="both"/>
        <w:rPr>
          <w:rFonts w:ascii="Arial" w:hAnsi="Arial" w:cs="Arial"/>
          <w:sz w:val="20"/>
          <w:szCs w:val="20"/>
        </w:rPr>
      </w:pPr>
    </w:p>
    <w:p w14:paraId="1D519401" w14:textId="7777777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14:paraId="5DA7A63B" w14:textId="77777777" w:rsidR="00F313CB" w:rsidRPr="001A78E1" w:rsidRDefault="00F313CB" w:rsidP="00F313CB">
      <w:pPr>
        <w:pStyle w:val="Sinespaciado"/>
        <w:jc w:val="both"/>
        <w:rPr>
          <w:rFonts w:ascii="Arial" w:hAnsi="Arial" w:cs="Arial"/>
          <w:sz w:val="20"/>
          <w:szCs w:val="20"/>
        </w:rPr>
      </w:pPr>
    </w:p>
    <w:p w14:paraId="03A1044C" w14:textId="386A95A1"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 xml:space="preserve">En desarrollo de lo señalado en el </w:t>
      </w:r>
      <w:r w:rsidRPr="001A78E1">
        <w:rPr>
          <w:rFonts w:ascii="Arial" w:hAnsi="Arial" w:cs="Arial"/>
          <w:b/>
          <w:sz w:val="20"/>
          <w:szCs w:val="20"/>
        </w:rPr>
        <w:t xml:space="preserve">Artículo 2.2.1.1.1.6.1 </w:t>
      </w:r>
      <w:r w:rsidRPr="001A78E1">
        <w:rPr>
          <w:rFonts w:ascii="Arial" w:hAnsi="Arial" w:cs="Arial"/>
          <w:sz w:val="20"/>
          <w:szCs w:val="20"/>
        </w:rPr>
        <w:t>del</w:t>
      </w:r>
      <w:r w:rsidRPr="001A78E1">
        <w:rPr>
          <w:rFonts w:ascii="Arial" w:hAnsi="Arial" w:cs="Arial"/>
          <w:b/>
          <w:sz w:val="20"/>
          <w:szCs w:val="20"/>
        </w:rPr>
        <w:t xml:space="preserve"> </w:t>
      </w:r>
      <w:r w:rsidR="00891D02">
        <w:rPr>
          <w:rFonts w:ascii="Arial" w:hAnsi="Arial" w:cs="Arial"/>
          <w:b/>
          <w:sz w:val="20"/>
          <w:szCs w:val="20"/>
        </w:rPr>
        <w:t>D</w:t>
      </w:r>
      <w:r w:rsidRPr="001A78E1">
        <w:rPr>
          <w:rFonts w:ascii="Arial" w:hAnsi="Arial" w:cs="Arial"/>
          <w:b/>
          <w:sz w:val="20"/>
          <w:szCs w:val="20"/>
        </w:rPr>
        <w:t>ecreto 1082 de 2015</w:t>
      </w:r>
      <w:r w:rsidRPr="001A78E1">
        <w:rPr>
          <w:rFonts w:ascii="Arial" w:hAnsi="Arial" w:cs="Arial"/>
          <w:sz w:val="20"/>
          <w:szCs w:val="20"/>
        </w:rPr>
        <w:t>, el Análisis relativo al objeto del Proceso de Contratación, por parte de las entidades Estatales estarán conformados por las siguientes perspectivas, dejando constancia de este análisis en los Documentos del Proceso contractual.</w:t>
      </w:r>
    </w:p>
    <w:p w14:paraId="532E8970" w14:textId="77777777" w:rsidR="00F313CB" w:rsidRPr="001A78E1" w:rsidRDefault="00F313CB" w:rsidP="00F313CB">
      <w:pPr>
        <w:pStyle w:val="Sinespaciado"/>
        <w:jc w:val="both"/>
        <w:rPr>
          <w:rFonts w:ascii="Arial" w:hAnsi="Arial" w:cs="Arial"/>
          <w:sz w:val="20"/>
          <w:szCs w:val="20"/>
        </w:rPr>
      </w:pPr>
    </w:p>
    <w:p w14:paraId="3B5B5F83" w14:textId="77777777" w:rsidR="00F313CB" w:rsidRPr="001A78E1" w:rsidRDefault="00F313CB" w:rsidP="00F313CB">
      <w:pPr>
        <w:pStyle w:val="Sinespaciado"/>
        <w:jc w:val="both"/>
        <w:rPr>
          <w:rFonts w:ascii="Arial" w:hAnsi="Arial" w:cs="Arial"/>
          <w:b/>
          <w:sz w:val="20"/>
          <w:szCs w:val="20"/>
        </w:rPr>
      </w:pPr>
      <w:r w:rsidRPr="001A78E1">
        <w:rPr>
          <w:rFonts w:ascii="Arial" w:hAnsi="Arial" w:cs="Arial"/>
          <w:b/>
          <w:sz w:val="20"/>
          <w:szCs w:val="20"/>
        </w:rPr>
        <w:t>LEGAL</w:t>
      </w:r>
    </w:p>
    <w:p w14:paraId="3B6BE58E" w14:textId="77777777" w:rsidR="00F313CB" w:rsidRPr="001A78E1" w:rsidRDefault="00F313CB" w:rsidP="00F313CB">
      <w:pPr>
        <w:pStyle w:val="Sinespaciado"/>
        <w:tabs>
          <w:tab w:val="left" w:pos="3810"/>
        </w:tabs>
        <w:jc w:val="both"/>
        <w:rPr>
          <w:rFonts w:ascii="Arial" w:hAnsi="Arial" w:cs="Arial"/>
          <w:b/>
          <w:sz w:val="20"/>
          <w:szCs w:val="20"/>
        </w:rPr>
      </w:pPr>
      <w:r w:rsidRPr="001A78E1">
        <w:rPr>
          <w:rFonts w:ascii="Arial" w:hAnsi="Arial" w:cs="Arial"/>
          <w:b/>
          <w:sz w:val="20"/>
          <w:szCs w:val="20"/>
        </w:rPr>
        <w:t>COMERCIAL</w:t>
      </w:r>
      <w:r w:rsidRPr="001A78E1">
        <w:rPr>
          <w:rFonts w:ascii="Arial" w:hAnsi="Arial" w:cs="Arial"/>
          <w:b/>
          <w:sz w:val="20"/>
          <w:szCs w:val="20"/>
        </w:rPr>
        <w:tab/>
      </w:r>
    </w:p>
    <w:p w14:paraId="35523E92" w14:textId="77777777" w:rsidR="00F313CB" w:rsidRPr="001A78E1" w:rsidRDefault="00F313CB" w:rsidP="00F313CB">
      <w:pPr>
        <w:pStyle w:val="Sinespaciado"/>
        <w:jc w:val="both"/>
        <w:rPr>
          <w:rFonts w:ascii="Arial" w:hAnsi="Arial" w:cs="Arial"/>
          <w:b/>
          <w:sz w:val="20"/>
          <w:szCs w:val="20"/>
        </w:rPr>
      </w:pPr>
      <w:r w:rsidRPr="001A78E1">
        <w:rPr>
          <w:rFonts w:ascii="Arial" w:hAnsi="Arial" w:cs="Arial"/>
          <w:b/>
          <w:sz w:val="20"/>
          <w:szCs w:val="20"/>
        </w:rPr>
        <w:t>FINANCIERA</w:t>
      </w:r>
    </w:p>
    <w:p w14:paraId="2F37338B" w14:textId="77777777" w:rsidR="00F313CB" w:rsidRPr="001A78E1" w:rsidRDefault="00F313CB" w:rsidP="00F313CB">
      <w:pPr>
        <w:pStyle w:val="Sinespaciado"/>
        <w:jc w:val="both"/>
        <w:rPr>
          <w:rFonts w:ascii="Arial" w:hAnsi="Arial" w:cs="Arial"/>
          <w:b/>
          <w:sz w:val="20"/>
          <w:szCs w:val="20"/>
        </w:rPr>
      </w:pPr>
      <w:r w:rsidRPr="001A78E1">
        <w:rPr>
          <w:rFonts w:ascii="Arial" w:hAnsi="Arial" w:cs="Arial"/>
          <w:b/>
          <w:sz w:val="20"/>
          <w:szCs w:val="20"/>
        </w:rPr>
        <w:t>ORGANIZACIONAL</w:t>
      </w:r>
    </w:p>
    <w:p w14:paraId="73C1206D" w14:textId="77777777" w:rsidR="00F313CB" w:rsidRPr="001A78E1" w:rsidRDefault="00F313CB" w:rsidP="00F313CB">
      <w:pPr>
        <w:pStyle w:val="Sinespaciado"/>
        <w:jc w:val="both"/>
        <w:rPr>
          <w:rFonts w:ascii="Arial" w:hAnsi="Arial" w:cs="Arial"/>
          <w:sz w:val="20"/>
          <w:szCs w:val="20"/>
        </w:rPr>
      </w:pPr>
      <w:r w:rsidRPr="001A78E1">
        <w:rPr>
          <w:rFonts w:ascii="Arial" w:hAnsi="Arial" w:cs="Arial"/>
          <w:b/>
          <w:sz w:val="20"/>
          <w:szCs w:val="20"/>
        </w:rPr>
        <w:t>TÉCNICA.</w:t>
      </w:r>
    </w:p>
    <w:p w14:paraId="5305F9FF" w14:textId="77777777" w:rsidR="00F313CB" w:rsidRPr="001A78E1" w:rsidRDefault="00F313CB" w:rsidP="00F313CB">
      <w:pPr>
        <w:pStyle w:val="Sinespaciado"/>
        <w:jc w:val="both"/>
        <w:rPr>
          <w:rFonts w:ascii="Arial" w:hAnsi="Arial" w:cs="Arial"/>
          <w:b/>
          <w:sz w:val="20"/>
          <w:szCs w:val="20"/>
        </w:rPr>
      </w:pPr>
      <w:r w:rsidRPr="001A78E1">
        <w:rPr>
          <w:rFonts w:ascii="Arial" w:hAnsi="Arial" w:cs="Arial"/>
          <w:b/>
          <w:sz w:val="20"/>
          <w:szCs w:val="20"/>
        </w:rPr>
        <w:t>ANALISIS DE RIESGOS</w:t>
      </w:r>
    </w:p>
    <w:p w14:paraId="275483FB" w14:textId="77777777" w:rsidR="00F313CB" w:rsidRPr="001A78E1" w:rsidRDefault="00F313CB" w:rsidP="00F313CB">
      <w:pPr>
        <w:pStyle w:val="Sinespaciado"/>
        <w:jc w:val="both"/>
        <w:rPr>
          <w:rFonts w:ascii="Arial" w:hAnsi="Arial" w:cs="Arial"/>
          <w:b/>
          <w:sz w:val="20"/>
          <w:szCs w:val="20"/>
        </w:rPr>
      </w:pPr>
    </w:p>
    <w:p w14:paraId="7057ED93"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OBJETO DEL PROCESO DE CONTRATACIÓN</w:t>
      </w:r>
    </w:p>
    <w:p w14:paraId="784225D9" w14:textId="77777777" w:rsidR="00F313CB" w:rsidRPr="001A78E1" w:rsidRDefault="00F313CB" w:rsidP="00F313CB">
      <w:pPr>
        <w:pStyle w:val="Sinespaciado"/>
        <w:rPr>
          <w:rFonts w:ascii="Arial" w:hAnsi="Arial" w:cs="Arial"/>
          <w:color w:val="000000"/>
          <w:sz w:val="20"/>
          <w:szCs w:val="20"/>
        </w:rPr>
      </w:pPr>
    </w:p>
    <w:p w14:paraId="1CB2E301" w14:textId="61314357" w:rsidR="00F313CB" w:rsidRPr="001A78E1" w:rsidRDefault="00891D02" w:rsidP="00F313CB">
      <w:pPr>
        <w:pStyle w:val="Sinespaciado"/>
        <w:jc w:val="both"/>
        <w:rPr>
          <w:rFonts w:ascii="Arial" w:hAnsi="Arial" w:cs="Arial"/>
          <w:sz w:val="20"/>
          <w:szCs w:val="20"/>
          <w:lang w:eastAsia="es-CO"/>
        </w:rPr>
      </w:pPr>
      <w:bookmarkStart w:id="0" w:name="_Hlk89779020"/>
      <w:r w:rsidRPr="00891D02">
        <w:rPr>
          <w:rFonts w:ascii="Arial" w:hAnsi="Arial" w:cs="Arial"/>
          <w:sz w:val="20"/>
          <w:szCs w:val="20"/>
          <w:lang w:eastAsia="es-CO"/>
        </w:rPr>
        <w:t>ADQUISICIÓN DE LICENCIAS ANTIVIRUS TIPO ENDPOINT PARA LA PROTECCIÓN Y SEGURIDAD INFORMATICA DE LOS EQUIPOS DE COMPUTO Y LA RED INTERNA DE LA ADMINISTRACION MUNICIPAL DE REMEDIOS ANTIOQUIA</w:t>
      </w:r>
      <w:r w:rsidR="00F313CB" w:rsidRPr="001A78E1">
        <w:rPr>
          <w:rFonts w:ascii="Arial" w:hAnsi="Arial" w:cs="Arial"/>
          <w:sz w:val="20"/>
          <w:szCs w:val="20"/>
          <w:lang w:eastAsia="es-CO"/>
        </w:rPr>
        <w:t>.</w:t>
      </w:r>
    </w:p>
    <w:bookmarkEnd w:id="0"/>
    <w:p w14:paraId="15BB69DE" w14:textId="77777777" w:rsidR="00F313CB" w:rsidRPr="001A78E1" w:rsidRDefault="00F313CB" w:rsidP="00F313CB">
      <w:pPr>
        <w:pStyle w:val="Sinespaciado"/>
        <w:jc w:val="center"/>
        <w:rPr>
          <w:rFonts w:ascii="Arial" w:hAnsi="Arial" w:cs="Arial"/>
          <w:sz w:val="20"/>
          <w:szCs w:val="20"/>
          <w:lang w:eastAsia="es-CO"/>
        </w:rPr>
      </w:pPr>
    </w:p>
    <w:p w14:paraId="51D92E95"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PERSPECTIVA LEGAL</w:t>
      </w:r>
    </w:p>
    <w:p w14:paraId="13DCE82B" w14:textId="77777777" w:rsidR="00F313CB" w:rsidRPr="001A78E1" w:rsidRDefault="00F313CB" w:rsidP="00F313CB">
      <w:pPr>
        <w:pStyle w:val="Sinespaciado"/>
        <w:jc w:val="center"/>
        <w:rPr>
          <w:rFonts w:ascii="Arial" w:hAnsi="Arial" w:cs="Arial"/>
          <w:b/>
          <w:sz w:val="20"/>
          <w:szCs w:val="20"/>
        </w:rPr>
      </w:pPr>
    </w:p>
    <w:p w14:paraId="1CC36B87" w14:textId="7777777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La normatividad aplicable en la que se involucran los actores del presente proceso de contratación es la siguiente:</w:t>
      </w:r>
    </w:p>
    <w:p w14:paraId="1000CC79"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Ley 80 de 1993, por medio de la cual se expide el Estatuto General de Contratación de la Administración Pública.</w:t>
      </w:r>
    </w:p>
    <w:p w14:paraId="09B0FACD"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Ley 2069 de 2020</w:t>
      </w:r>
    </w:p>
    <w:p w14:paraId="659250D4"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Ley 1150 de 2007, Se introducen medidas para la eficiencia y la transparencia en la Ley 80 de 1993 y se dictan otras disposiciones generales sobre la contratación con recursos públicos.</w:t>
      </w:r>
    </w:p>
    <w:p w14:paraId="3933C45C"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b/>
          <w:sz w:val="20"/>
          <w:szCs w:val="20"/>
        </w:rPr>
        <w:t>Decreto 1082 de 2015</w:t>
      </w:r>
      <w:r w:rsidRPr="001A78E1">
        <w:rPr>
          <w:rFonts w:ascii="Arial" w:hAnsi="Arial" w:cs="Arial"/>
          <w:sz w:val="20"/>
          <w:szCs w:val="20"/>
        </w:rPr>
        <w:t>, Por el cual se reglamenta el sistema de compras y contratación pública.</w:t>
      </w:r>
    </w:p>
    <w:p w14:paraId="1200D41E"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Ley 2069 de 2020.</w:t>
      </w:r>
    </w:p>
    <w:p w14:paraId="44D63C72" w14:textId="7AE264F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Estatuto </w:t>
      </w:r>
      <w:r w:rsidR="00891D02" w:rsidRPr="001A78E1">
        <w:rPr>
          <w:rFonts w:ascii="Arial" w:hAnsi="Arial" w:cs="Arial"/>
          <w:sz w:val="20"/>
          <w:szCs w:val="20"/>
        </w:rPr>
        <w:t>Anti-trámites</w:t>
      </w:r>
      <w:r w:rsidRPr="001A78E1">
        <w:rPr>
          <w:rFonts w:ascii="Arial" w:hAnsi="Arial" w:cs="Arial"/>
          <w:sz w:val="20"/>
          <w:szCs w:val="20"/>
        </w:rPr>
        <w:t xml:space="preserve"> Decreto 19 de 2012, Por el cual se dictan normas para suprimir o reformar regulaciones, procedimientos y trámites innecesarios existentes en la Administración Pública.</w:t>
      </w:r>
    </w:p>
    <w:p w14:paraId="69D9A812"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lastRenderedPageBreak/>
        <w:t xml:space="preserve"> Decreto 1464 de 2010, Por el cual se reglamenta parcialmente la ley 1150 de 2007 en relación con la verificación de las condiciones de los proponentes y su acreditación para el Registro Único de Proponentes a cargo de las Cámaras de Comercio y se dictan otras disposiciones.</w:t>
      </w:r>
    </w:p>
    <w:p w14:paraId="5E119F64"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 Ley 489 de 1998 Organización y Funcionamiento de la Administración Pública. </w:t>
      </w:r>
    </w:p>
    <w:p w14:paraId="651CABE6"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 Ley 816 de 2003 Apoyo a la industria Nacional. </w:t>
      </w:r>
    </w:p>
    <w:p w14:paraId="17FB77F7"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 Ley 1474 de 2011, por la cual se dictan normas orientadas a fortalecer los mecanismos de prevención, investigación y sanción de actos de corrupción y la efectividad del control de la gestión pública. </w:t>
      </w:r>
    </w:p>
    <w:p w14:paraId="2535F74E"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Ley 1437 de 2011, por la cual se expide el Código de Procedimiento Administrativo y de lo Contencioso Administrativo. </w:t>
      </w:r>
    </w:p>
    <w:p w14:paraId="225D2422"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Decreto 1372 de 1992, reglamentario del Estatuto Tributario y se dictan otras disposiciones. </w:t>
      </w:r>
    </w:p>
    <w:p w14:paraId="6A3FFA0D"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 xml:space="preserve">Decreto 111 de 1996, compilación de normas que conforman el Estatuto Orgánico del Presupuesto. </w:t>
      </w:r>
    </w:p>
    <w:p w14:paraId="3368AC6D"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Ley 1607 de 2012, Por la cual se expiden normas en materia tributaria y se dictan otras disposiciones.</w:t>
      </w:r>
    </w:p>
    <w:p w14:paraId="51AB940F" w14:textId="77777777" w:rsidR="00F313CB" w:rsidRPr="001A78E1" w:rsidRDefault="00F313CB" w:rsidP="00F313CB">
      <w:pPr>
        <w:pStyle w:val="Sinespaciado"/>
        <w:numPr>
          <w:ilvl w:val="0"/>
          <w:numId w:val="15"/>
        </w:numPr>
        <w:ind w:left="0"/>
        <w:jc w:val="both"/>
        <w:rPr>
          <w:rFonts w:ascii="Arial" w:hAnsi="Arial" w:cs="Arial"/>
          <w:sz w:val="20"/>
          <w:szCs w:val="20"/>
        </w:rPr>
      </w:pPr>
      <w:r w:rsidRPr="001A78E1">
        <w:rPr>
          <w:rFonts w:ascii="Arial" w:hAnsi="Arial" w:cs="Arial"/>
          <w:sz w:val="20"/>
          <w:szCs w:val="20"/>
        </w:rPr>
        <w:t>Decreto 0862 de 2013, por medio del cual se reglamenta parcialmente la Ley 1607 de 2012</w:t>
      </w:r>
      <w:r w:rsidRPr="001A78E1">
        <w:rPr>
          <w:rFonts w:ascii="Arial" w:hAnsi="Arial" w:cs="Arial"/>
          <w:sz w:val="20"/>
          <w:szCs w:val="20"/>
        </w:rPr>
        <w:cr/>
      </w:r>
    </w:p>
    <w:p w14:paraId="3E5BE1B6" w14:textId="7777777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Con la Ley 80 de 1993 se dotó a las entidades de la estructura general y los principios de la contratación estatal. Ahora, con la modificación a la Ley 80 de 1993, a través de la Ley 1150 de 2007 y el Decreto 1082 de 2015, se pretende la reducción de costos del proceso contractual y con ello el procedimiento de selección elaborado sobre la base de los principios que rigen la contratación pública, en búsqueda del cumplimiento de los fines estatales.   </w:t>
      </w:r>
    </w:p>
    <w:p w14:paraId="65EEC9EC" w14:textId="77777777" w:rsidR="00F313CB" w:rsidRPr="001A78E1" w:rsidRDefault="00F313CB" w:rsidP="00F313CB">
      <w:pPr>
        <w:pStyle w:val="Sinespaciado"/>
        <w:jc w:val="both"/>
        <w:rPr>
          <w:rFonts w:ascii="Arial" w:hAnsi="Arial" w:cs="Arial"/>
          <w:sz w:val="20"/>
          <w:szCs w:val="20"/>
        </w:rPr>
      </w:pPr>
    </w:p>
    <w:p w14:paraId="14C55587" w14:textId="7777777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 xml:space="preserve">El artículo </w:t>
      </w:r>
      <w:r w:rsidRPr="001A78E1">
        <w:rPr>
          <w:rFonts w:ascii="Arial" w:hAnsi="Arial" w:cs="Arial"/>
          <w:b/>
          <w:bCs/>
          <w:sz w:val="20"/>
          <w:szCs w:val="20"/>
        </w:rPr>
        <w:t>30</w:t>
      </w:r>
      <w:r w:rsidRPr="001A78E1">
        <w:rPr>
          <w:rFonts w:ascii="Arial" w:hAnsi="Arial" w:cs="Arial"/>
          <w:sz w:val="20"/>
          <w:szCs w:val="20"/>
        </w:rPr>
        <w:t xml:space="preserve"> de la Ley </w:t>
      </w:r>
      <w:r w:rsidRPr="001A78E1">
        <w:rPr>
          <w:rFonts w:ascii="Arial" w:hAnsi="Arial" w:cs="Arial"/>
          <w:b/>
          <w:sz w:val="20"/>
          <w:szCs w:val="20"/>
        </w:rPr>
        <w:t>2069 de 2020</w:t>
      </w:r>
      <w:r w:rsidRPr="001A78E1">
        <w:rPr>
          <w:rFonts w:ascii="Arial" w:hAnsi="Arial" w:cs="Arial"/>
          <w:sz w:val="20"/>
          <w:szCs w:val="20"/>
        </w:rPr>
        <w:t xml:space="preserve">, prevé:  </w:t>
      </w:r>
    </w:p>
    <w:p w14:paraId="716EDA02"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bookmarkStart w:id="1" w:name="30"/>
      <w:r w:rsidRPr="001A78E1">
        <w:rPr>
          <w:rFonts w:ascii="Arial" w:hAnsi="Arial" w:cs="Arial"/>
          <w:b/>
          <w:bCs/>
          <w:sz w:val="20"/>
          <w:szCs w:val="20"/>
          <w:lang w:eastAsia="es-ES_tradnl"/>
        </w:rPr>
        <w:t>ARTÍCULO 30. MIPYMES Y MÍNIMA CUANTÍA.</w:t>
      </w:r>
      <w:bookmarkEnd w:id="1"/>
      <w:r w:rsidRPr="001A78E1">
        <w:rPr>
          <w:rFonts w:ascii="Arial" w:hAnsi="Arial" w:cs="Arial"/>
          <w:b/>
          <w:bCs/>
          <w:sz w:val="20"/>
          <w:szCs w:val="20"/>
          <w:lang w:eastAsia="es-ES_tradnl"/>
        </w:rPr>
        <w:t> </w:t>
      </w:r>
      <w:r w:rsidRPr="001A78E1">
        <w:rPr>
          <w:rFonts w:ascii="Arial" w:hAnsi="Arial" w:cs="Arial"/>
          <w:sz w:val="20"/>
          <w:szCs w:val="20"/>
          <w:lang w:eastAsia="es-ES_tradnl"/>
        </w:rPr>
        <w:t>Modifíquese el numeral 5 del artículo </w:t>
      </w:r>
      <w:hyperlink r:id="rId7" w:anchor="2" w:history="1">
        <w:r w:rsidRPr="001A78E1">
          <w:rPr>
            <w:rFonts w:ascii="Arial" w:hAnsi="Arial" w:cs="Arial"/>
            <w:sz w:val="20"/>
            <w:szCs w:val="20"/>
            <w:lang w:eastAsia="es-ES_tradnl"/>
          </w:rPr>
          <w:t>2</w:t>
        </w:r>
      </w:hyperlink>
      <w:r w:rsidRPr="001A78E1">
        <w:rPr>
          <w:rFonts w:ascii="Arial" w:hAnsi="Arial" w:cs="Arial"/>
          <w:sz w:val="20"/>
          <w:szCs w:val="20"/>
          <w:lang w:eastAsia="es-ES_tradnl"/>
        </w:rPr>
        <w:t> de la Ley 1150 de 2007, el cual quedará así:</w:t>
      </w:r>
    </w:p>
    <w:p w14:paraId="44AE60E2"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sz w:val="20"/>
          <w:szCs w:val="20"/>
          <w:lang w:eastAsia="es-ES_tradnl"/>
        </w:rPr>
        <w:t>5) Contratación mínima cuantía. La contratación cuyo valor no excede del 10 por ciento de la menor cuantía de la entidad independientemente de su objeto, se efectuará de conformidad con las siguientes reglas:</w:t>
      </w:r>
    </w:p>
    <w:p w14:paraId="70C795FD"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sz w:val="20"/>
          <w:szCs w:val="20"/>
          <w:lang w:eastAsia="es-ES_tradnl"/>
        </w:rPr>
        <w:t>a) Se publicará una invitación, por un término no inferior a un día hábil, en la cual se señalará el objeto a contratar, el presupuesto destinado para tal fin, así como las condiciones técnicas exigidas;</w:t>
      </w:r>
    </w:p>
    <w:p w14:paraId="33D20D96"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sz w:val="20"/>
          <w:szCs w:val="20"/>
          <w:lang w:eastAsia="es-ES_tradnl"/>
        </w:rPr>
        <w:t>b) El término previsto en la invitación para presentar la oferta no podrá ser inferior a un día hábil;</w:t>
      </w:r>
    </w:p>
    <w:p w14:paraId="1C6004F1"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sz w:val="20"/>
          <w:szCs w:val="20"/>
          <w:lang w:eastAsia="es-ES_tradnl"/>
        </w:rPr>
        <w:t>c) La entidad seleccionará, mediante comunicación de aceptación de la oferta, la propuesta con el menor precio, siempre y cuando cumpla con las condiciones exigidas;</w:t>
      </w:r>
    </w:p>
    <w:p w14:paraId="2AAA5609"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sz w:val="20"/>
          <w:szCs w:val="20"/>
          <w:lang w:eastAsia="es-ES_tradnl"/>
        </w:rPr>
        <w:t>d) La comunicación de aceptación junto con la oferta constituye para todos los efectos el contrato celebrado, con base en lo cual se efectuará el respectivo registro presupuestal.</w:t>
      </w:r>
    </w:p>
    <w:p w14:paraId="63B371DB"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b/>
          <w:bCs/>
          <w:sz w:val="20"/>
          <w:szCs w:val="20"/>
          <w:lang w:eastAsia="es-ES_tradnl"/>
        </w:rPr>
        <w:t>PARÁGRAFO 1o. </w:t>
      </w:r>
      <w:r w:rsidRPr="001A78E1">
        <w:rPr>
          <w:rFonts w:ascii="Arial" w:hAnsi="Arial" w:cs="Arial"/>
          <w:sz w:val="20"/>
          <w:szCs w:val="20"/>
          <w:lang w:eastAsia="es-ES_tradnl"/>
        </w:rPr>
        <w:t>Las particularidades del procedimiento aquí previsto, así como la posibilidad que tengan las entidades de realizar estas adquisiciones a MiPymes o establecimientos que correspondan a la definición de "gran almacén" señalada por la Superintendencia de Industria y Comercio, se determinarán en el reglamento que para el efecto expida el Gobierno Nacional.</w:t>
      </w:r>
    </w:p>
    <w:p w14:paraId="7623CF8C" w14:textId="77777777" w:rsidR="00F313CB" w:rsidRPr="001A78E1" w:rsidRDefault="00F313CB" w:rsidP="00F313CB">
      <w:pPr>
        <w:spacing w:before="100" w:beforeAutospacing="1" w:after="100" w:afterAutospacing="1" w:line="270" w:lineRule="atLeast"/>
        <w:jc w:val="both"/>
        <w:rPr>
          <w:rFonts w:ascii="Arial" w:hAnsi="Arial" w:cs="Arial"/>
          <w:sz w:val="20"/>
          <w:szCs w:val="20"/>
          <w:lang w:eastAsia="es-ES_tradnl"/>
        </w:rPr>
      </w:pPr>
      <w:r w:rsidRPr="001A78E1">
        <w:rPr>
          <w:rFonts w:ascii="Arial" w:hAnsi="Arial" w:cs="Arial"/>
          <w:b/>
          <w:bCs/>
          <w:sz w:val="20"/>
          <w:szCs w:val="20"/>
          <w:lang w:eastAsia="es-ES_tradnl"/>
        </w:rPr>
        <w:lastRenderedPageBreak/>
        <w:t>PARÁGRAFO 2o. </w:t>
      </w:r>
      <w:r w:rsidRPr="001A78E1">
        <w:rPr>
          <w:rFonts w:ascii="Arial" w:hAnsi="Arial" w:cs="Arial"/>
          <w:sz w:val="20"/>
          <w:szCs w:val="20"/>
          <w:lang w:eastAsia="es-ES_tradnl"/>
        </w:rPr>
        <w:t>La contratación a que se refiere el presente artículo se realizará exclusivamente con las reglas en él contempladas y en su reglamentación. En particular no se aplicará lo previsto en la Ley </w:t>
      </w:r>
      <w:hyperlink r:id="rId8" w:anchor="INICIO" w:history="1">
        <w:r w:rsidRPr="001A78E1">
          <w:rPr>
            <w:rFonts w:ascii="Arial" w:hAnsi="Arial" w:cs="Arial"/>
            <w:sz w:val="20"/>
            <w:szCs w:val="20"/>
            <w:lang w:eastAsia="es-ES_tradnl"/>
          </w:rPr>
          <w:t>816</w:t>
        </w:r>
      </w:hyperlink>
      <w:r w:rsidRPr="001A78E1">
        <w:rPr>
          <w:rFonts w:ascii="Arial" w:hAnsi="Arial" w:cs="Arial"/>
          <w:sz w:val="20"/>
          <w:szCs w:val="20"/>
          <w:lang w:eastAsia="es-ES_tradnl"/>
        </w:rPr>
        <w:t> de 2003.</w:t>
      </w:r>
    </w:p>
    <w:p w14:paraId="56DE2AC4" w14:textId="233BED7A" w:rsidR="00F313CB" w:rsidRDefault="00F313CB" w:rsidP="00F313CB">
      <w:pPr>
        <w:pStyle w:val="Sinespaciado"/>
        <w:jc w:val="both"/>
        <w:rPr>
          <w:rFonts w:ascii="Arial" w:hAnsi="Arial" w:cs="Arial"/>
          <w:b/>
          <w:sz w:val="20"/>
          <w:szCs w:val="20"/>
        </w:rPr>
      </w:pPr>
      <w:r w:rsidRPr="001A78E1">
        <w:rPr>
          <w:rFonts w:ascii="Arial" w:hAnsi="Arial" w:cs="Arial"/>
          <w:b/>
          <w:sz w:val="20"/>
          <w:szCs w:val="20"/>
        </w:rPr>
        <w:t>Del Presupuesto del Municipio</w:t>
      </w:r>
    </w:p>
    <w:p w14:paraId="22A4B18B" w14:textId="77777777" w:rsidR="00891D02" w:rsidRPr="001A78E1" w:rsidRDefault="00891D02" w:rsidP="00F313CB">
      <w:pPr>
        <w:pStyle w:val="Sinespaciado"/>
        <w:jc w:val="both"/>
        <w:rPr>
          <w:rFonts w:ascii="Arial" w:hAnsi="Arial" w:cs="Arial"/>
          <w:sz w:val="20"/>
          <w:szCs w:val="20"/>
        </w:rPr>
      </w:pPr>
    </w:p>
    <w:p w14:paraId="241B7340" w14:textId="681BCC35" w:rsidR="00F313CB" w:rsidRPr="001A78E1" w:rsidRDefault="00F313CB" w:rsidP="00F313CB">
      <w:pPr>
        <w:pStyle w:val="Sinespaciado"/>
        <w:jc w:val="both"/>
        <w:rPr>
          <w:rStyle w:val="Textoennegrita"/>
          <w:rFonts w:ascii="Arial" w:hAnsi="Arial" w:cs="Arial"/>
          <w:sz w:val="20"/>
          <w:szCs w:val="20"/>
        </w:rPr>
      </w:pPr>
      <w:r w:rsidRPr="001A78E1">
        <w:rPr>
          <w:rFonts w:ascii="Arial" w:hAnsi="Arial" w:cs="Arial"/>
          <w:sz w:val="20"/>
          <w:szCs w:val="20"/>
        </w:rPr>
        <w:t xml:space="preserve">De acuerdo con el acuerdo Municipal donde se aprobó el presupuesto de ingresos y gastos del Municipio, para la vigencia </w:t>
      </w:r>
      <w:r w:rsidRPr="001A78E1">
        <w:rPr>
          <w:rFonts w:ascii="Arial" w:hAnsi="Arial" w:cs="Arial"/>
          <w:b/>
          <w:sz w:val="20"/>
          <w:szCs w:val="20"/>
        </w:rPr>
        <w:t>202</w:t>
      </w:r>
      <w:r w:rsidR="006C3074">
        <w:rPr>
          <w:rFonts w:ascii="Arial" w:hAnsi="Arial" w:cs="Arial"/>
          <w:b/>
          <w:sz w:val="20"/>
          <w:szCs w:val="20"/>
        </w:rPr>
        <w:t>5</w:t>
      </w:r>
      <w:r w:rsidRPr="001A78E1">
        <w:rPr>
          <w:rFonts w:ascii="Arial" w:hAnsi="Arial" w:cs="Arial"/>
          <w:sz w:val="20"/>
          <w:szCs w:val="20"/>
        </w:rPr>
        <w:t xml:space="preserve">, y según el Decreto Municipal donde se fijó la menor cuantía para la vigencia fiscal </w:t>
      </w:r>
      <w:r w:rsidRPr="001A78E1">
        <w:rPr>
          <w:rFonts w:ascii="Arial" w:hAnsi="Arial" w:cs="Arial"/>
          <w:b/>
          <w:sz w:val="20"/>
          <w:szCs w:val="20"/>
        </w:rPr>
        <w:t>202</w:t>
      </w:r>
      <w:r w:rsidR="006C3074">
        <w:rPr>
          <w:rFonts w:ascii="Arial" w:hAnsi="Arial" w:cs="Arial"/>
          <w:b/>
          <w:sz w:val="20"/>
          <w:szCs w:val="20"/>
        </w:rPr>
        <w:t>5</w:t>
      </w:r>
      <w:r w:rsidRPr="001A78E1">
        <w:rPr>
          <w:rFonts w:ascii="Arial" w:hAnsi="Arial" w:cs="Arial"/>
          <w:sz w:val="20"/>
          <w:szCs w:val="20"/>
        </w:rPr>
        <w:t xml:space="preserve"> y de conformidad con el Plan Anual de Adquisiciones, se ha identificado como la </w:t>
      </w:r>
      <w:r w:rsidRPr="001A78E1">
        <w:rPr>
          <w:rFonts w:ascii="Arial" w:hAnsi="Arial" w:cs="Arial"/>
          <w:b/>
          <w:sz w:val="20"/>
          <w:szCs w:val="20"/>
        </w:rPr>
        <w:t>MINIMA CUANTÍA</w:t>
      </w:r>
      <w:r w:rsidRPr="001A78E1">
        <w:rPr>
          <w:rFonts w:ascii="Arial" w:hAnsi="Arial" w:cs="Arial"/>
          <w:sz w:val="20"/>
          <w:szCs w:val="20"/>
        </w:rPr>
        <w:t>, de conformidad con los preceptos del numeral 2º del artículo 2º de la ley 1150 de 2007, hasta el 10% de la menor cuantía (280 SMLMV), es decir, hasta $</w:t>
      </w:r>
      <w:r w:rsidRPr="001A78E1">
        <w:rPr>
          <w:rStyle w:val="Textoennegrita"/>
          <w:rFonts w:ascii="Arial" w:hAnsi="Arial" w:cs="Arial"/>
          <w:sz w:val="20"/>
          <w:szCs w:val="20"/>
        </w:rPr>
        <w:t xml:space="preserve"> </w:t>
      </w:r>
      <w:r w:rsidR="00891D02" w:rsidRPr="00891D02">
        <w:rPr>
          <w:rStyle w:val="Textoennegrita"/>
          <w:rFonts w:ascii="Arial" w:hAnsi="Arial" w:cs="Arial"/>
          <w:sz w:val="20"/>
          <w:szCs w:val="20"/>
        </w:rPr>
        <w:t>49.025.340</w:t>
      </w:r>
    </w:p>
    <w:p w14:paraId="4C21341E" w14:textId="77777777" w:rsidR="00F313CB" w:rsidRPr="001A78E1" w:rsidRDefault="00F313CB" w:rsidP="00F313CB">
      <w:pPr>
        <w:pStyle w:val="Sinespaciado"/>
        <w:jc w:val="both"/>
        <w:rPr>
          <w:rStyle w:val="Textoennegrita"/>
          <w:rFonts w:ascii="Arial" w:hAnsi="Arial" w:cs="Arial"/>
          <w:sz w:val="20"/>
          <w:szCs w:val="20"/>
        </w:rPr>
      </w:pPr>
    </w:p>
    <w:p w14:paraId="30D942E2"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PERSPECTIVA COMERCIAL</w:t>
      </w:r>
    </w:p>
    <w:p w14:paraId="19E7A5BB" w14:textId="77777777" w:rsidR="00F313CB" w:rsidRPr="001A78E1" w:rsidRDefault="00F313CB" w:rsidP="00F313CB">
      <w:pPr>
        <w:pStyle w:val="Sinespaciado"/>
        <w:jc w:val="center"/>
        <w:rPr>
          <w:rFonts w:ascii="Arial" w:hAnsi="Arial" w:cs="Arial"/>
          <w:b/>
          <w:sz w:val="20"/>
          <w:szCs w:val="20"/>
        </w:rPr>
      </w:pPr>
    </w:p>
    <w:p w14:paraId="4E49DBB2"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La economía clásica establece que son tres los grandes sectores de la economía: sector primario o sector agropecuario, sector secundario o sector Industrial, sector terciario o sector de servicios. </w:t>
      </w:r>
    </w:p>
    <w:p w14:paraId="027E0878" w14:textId="77777777" w:rsidR="00891D02" w:rsidRPr="00891D02" w:rsidRDefault="00891D02" w:rsidP="00891D02">
      <w:pPr>
        <w:autoSpaceDE w:val="0"/>
        <w:spacing w:after="0" w:line="240" w:lineRule="auto"/>
        <w:jc w:val="both"/>
        <w:rPr>
          <w:rFonts w:ascii="Arial" w:eastAsia="Arial" w:hAnsi="Arial" w:cs="Arial"/>
          <w:sz w:val="20"/>
          <w:szCs w:val="20"/>
        </w:rPr>
      </w:pPr>
    </w:p>
    <w:p w14:paraId="38179E0A"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Sector Primario: </w:t>
      </w:r>
    </w:p>
    <w:p w14:paraId="7D16B32F" w14:textId="77777777" w:rsidR="00891D02" w:rsidRPr="00891D02" w:rsidRDefault="00891D02" w:rsidP="00891D02">
      <w:pPr>
        <w:autoSpaceDE w:val="0"/>
        <w:spacing w:after="0" w:line="240" w:lineRule="auto"/>
        <w:jc w:val="both"/>
        <w:rPr>
          <w:rFonts w:ascii="Arial" w:eastAsia="Arial" w:hAnsi="Arial" w:cs="Arial"/>
          <w:sz w:val="20"/>
          <w:szCs w:val="20"/>
        </w:rPr>
      </w:pPr>
    </w:p>
    <w:p w14:paraId="6AE502D7"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Agricultura y Ganadería:</w:t>
      </w:r>
      <w:r w:rsidRPr="00891D02">
        <w:rPr>
          <w:rFonts w:ascii="Arial" w:eastAsia="Arial" w:hAnsi="Arial" w:cs="Arial"/>
          <w:sz w:val="20"/>
          <w:szCs w:val="20"/>
        </w:rPr>
        <w:t xml:space="preserve"> El sector primario en Colombia incluye actividades agrícolas y ganaderas. Colombia es conocida por la producción de café, flores, banano, esmeraldas y otros productos agrícolas. La ganadería también es una parte significativa de este sector. Recursos Naturales: La explotación de recursos naturales, como la minería (carbón, oro, esmeraldas) y la extracción de petróleo y gas, también forma parte del sector primario. </w:t>
      </w:r>
    </w:p>
    <w:p w14:paraId="6EAADA2E" w14:textId="77777777" w:rsidR="00891D02" w:rsidRPr="00891D02" w:rsidRDefault="00891D02" w:rsidP="00891D02">
      <w:pPr>
        <w:autoSpaceDE w:val="0"/>
        <w:spacing w:after="0" w:line="240" w:lineRule="auto"/>
        <w:jc w:val="both"/>
        <w:rPr>
          <w:rFonts w:ascii="Arial" w:eastAsia="Arial" w:hAnsi="Arial" w:cs="Arial"/>
          <w:sz w:val="20"/>
          <w:szCs w:val="20"/>
        </w:rPr>
      </w:pPr>
    </w:p>
    <w:p w14:paraId="2B80FC17"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Sector Secundario: </w:t>
      </w:r>
    </w:p>
    <w:p w14:paraId="0E53CF0E" w14:textId="77777777" w:rsidR="00891D02" w:rsidRPr="00891D02" w:rsidRDefault="00891D02" w:rsidP="00891D02">
      <w:pPr>
        <w:autoSpaceDE w:val="0"/>
        <w:spacing w:after="0" w:line="240" w:lineRule="auto"/>
        <w:jc w:val="both"/>
        <w:rPr>
          <w:rFonts w:ascii="Arial" w:eastAsia="Arial" w:hAnsi="Arial" w:cs="Arial"/>
          <w:sz w:val="20"/>
          <w:szCs w:val="20"/>
        </w:rPr>
      </w:pPr>
    </w:p>
    <w:p w14:paraId="403B179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Manufactura:</w:t>
      </w:r>
      <w:r w:rsidRPr="00891D02">
        <w:rPr>
          <w:rFonts w:ascii="Arial" w:eastAsia="Arial" w:hAnsi="Arial" w:cs="Arial"/>
          <w:sz w:val="20"/>
          <w:szCs w:val="20"/>
        </w:rPr>
        <w:t xml:space="preserve"> El sector secundario abarca las actividades de manufactura. Colombia tiene una industria manufacturera diversa que incluye la producción de textiles, prendas de vestir, productos químicos, productos farmacéuticos, alimentos procesados, entre otros. Construcción: La construcción de infraestructuras, edificios residenciales y comerciales, así como proyectos de ingeniería civil, también está incluida en el sector secundario. </w:t>
      </w:r>
    </w:p>
    <w:p w14:paraId="3605BF79" w14:textId="77777777" w:rsidR="00891D02" w:rsidRPr="00891D02" w:rsidRDefault="00891D02" w:rsidP="00891D02">
      <w:pPr>
        <w:autoSpaceDE w:val="0"/>
        <w:spacing w:after="0" w:line="240" w:lineRule="auto"/>
        <w:jc w:val="both"/>
        <w:rPr>
          <w:rFonts w:ascii="Arial" w:eastAsia="Arial" w:hAnsi="Arial" w:cs="Arial"/>
          <w:sz w:val="20"/>
          <w:szCs w:val="20"/>
        </w:rPr>
      </w:pPr>
    </w:p>
    <w:p w14:paraId="158F4BD8"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Sector Terciario: </w:t>
      </w:r>
    </w:p>
    <w:p w14:paraId="355D4A80" w14:textId="77777777" w:rsidR="00891D02" w:rsidRPr="00891D02" w:rsidRDefault="00891D02" w:rsidP="00891D02">
      <w:pPr>
        <w:autoSpaceDE w:val="0"/>
        <w:spacing w:after="0" w:line="240" w:lineRule="auto"/>
        <w:jc w:val="both"/>
        <w:rPr>
          <w:rFonts w:ascii="Arial" w:eastAsia="Arial" w:hAnsi="Arial" w:cs="Arial"/>
          <w:sz w:val="20"/>
          <w:szCs w:val="20"/>
        </w:rPr>
      </w:pPr>
    </w:p>
    <w:p w14:paraId="56FFF0B5"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Servicios:</w:t>
      </w:r>
      <w:r w:rsidRPr="00891D02">
        <w:rPr>
          <w:rFonts w:ascii="Arial" w:eastAsia="Arial" w:hAnsi="Arial" w:cs="Arial"/>
          <w:sz w:val="20"/>
          <w:szCs w:val="20"/>
        </w:rPr>
        <w:t xml:space="preserve"> El sector terciario se centra en la prestación de servicios. Aquí se encuentran una variedad de actividades, como servicios financieros, educación, salud, turismo, tecnología de la información, consultoría y otros servicios profesionales. </w:t>
      </w:r>
    </w:p>
    <w:p w14:paraId="33C23249" w14:textId="77777777" w:rsidR="00891D02" w:rsidRPr="00891D02" w:rsidRDefault="00891D02" w:rsidP="00891D02">
      <w:pPr>
        <w:autoSpaceDE w:val="0"/>
        <w:spacing w:after="0" w:line="240" w:lineRule="auto"/>
        <w:jc w:val="both"/>
        <w:rPr>
          <w:rFonts w:ascii="Arial" w:eastAsia="Arial" w:hAnsi="Arial" w:cs="Arial"/>
          <w:sz w:val="20"/>
          <w:szCs w:val="20"/>
        </w:rPr>
      </w:pPr>
    </w:p>
    <w:p w14:paraId="3C0FEEE4"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Comercio:</w:t>
      </w:r>
      <w:r w:rsidRPr="00891D02">
        <w:rPr>
          <w:rFonts w:ascii="Arial" w:eastAsia="Arial" w:hAnsi="Arial" w:cs="Arial"/>
          <w:sz w:val="20"/>
          <w:szCs w:val="20"/>
        </w:rPr>
        <w:t xml:space="preserve"> Las actividades comerciales, incluido el comercio minorista y mayorista, también forman parte del sector terciario. Este sector abarca desde pequeñas tiendas locales hasta grandes centros comerciales. </w:t>
      </w:r>
    </w:p>
    <w:p w14:paraId="4A4C6889" w14:textId="77777777" w:rsidR="00891D02" w:rsidRPr="00891D02" w:rsidRDefault="00891D02" w:rsidP="00891D02">
      <w:pPr>
        <w:autoSpaceDE w:val="0"/>
        <w:spacing w:after="0" w:line="240" w:lineRule="auto"/>
        <w:jc w:val="both"/>
        <w:rPr>
          <w:rFonts w:ascii="Arial" w:eastAsia="Arial" w:hAnsi="Arial" w:cs="Arial"/>
          <w:sz w:val="20"/>
          <w:szCs w:val="20"/>
        </w:rPr>
      </w:pPr>
    </w:p>
    <w:p w14:paraId="70532316"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Transporte y Comunicaciones:</w:t>
      </w:r>
      <w:r w:rsidRPr="00891D02">
        <w:rPr>
          <w:rFonts w:ascii="Arial" w:eastAsia="Arial" w:hAnsi="Arial" w:cs="Arial"/>
          <w:sz w:val="20"/>
          <w:szCs w:val="20"/>
        </w:rPr>
        <w:t xml:space="preserve"> El transporte y las comunicaciones son esenciales en el sector terciario para facilitar el movimiento de bienes y personas. Esto incluye carreteras, ferrocarriles, puertos, aeropuertos, servicios postales y telecomunicaciones. </w:t>
      </w:r>
    </w:p>
    <w:p w14:paraId="40760298" w14:textId="77777777" w:rsidR="00891D02" w:rsidRPr="00891D02" w:rsidRDefault="00891D02" w:rsidP="00891D02">
      <w:pPr>
        <w:autoSpaceDE w:val="0"/>
        <w:spacing w:after="0" w:line="240" w:lineRule="auto"/>
        <w:jc w:val="both"/>
        <w:rPr>
          <w:rFonts w:ascii="Arial" w:eastAsia="Arial" w:hAnsi="Arial" w:cs="Arial"/>
          <w:sz w:val="20"/>
          <w:szCs w:val="20"/>
        </w:rPr>
      </w:pPr>
    </w:p>
    <w:p w14:paraId="0A4E67F3"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lastRenderedPageBreak/>
        <w:t xml:space="preserve">Es importante destacar que estos sectores están interrelacionados, y el desarrollo en un sector puede tener impactos significativos en los otros. Además, la economía colombiana ha experimentado cambios y diversificación a lo largo del tiempo, con un crecimiento notable en los sectores de servicios y tecnología en las últimas décadas. </w:t>
      </w:r>
    </w:p>
    <w:p w14:paraId="7CF689E0" w14:textId="77777777" w:rsidR="00891D02" w:rsidRPr="00891D02" w:rsidRDefault="00891D02" w:rsidP="00891D02">
      <w:pPr>
        <w:autoSpaceDE w:val="0"/>
        <w:spacing w:after="0" w:line="240" w:lineRule="auto"/>
        <w:jc w:val="both"/>
        <w:rPr>
          <w:rFonts w:ascii="Arial" w:eastAsia="Arial" w:hAnsi="Arial" w:cs="Arial"/>
          <w:sz w:val="20"/>
          <w:szCs w:val="20"/>
        </w:rPr>
      </w:pPr>
    </w:p>
    <w:p w14:paraId="191443D9"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El objeto de la presente contratación se encuentra dentro del macrosector de "Servicios". </w:t>
      </w:r>
    </w:p>
    <w:p w14:paraId="397B9DD8" w14:textId="77777777" w:rsidR="00891D02" w:rsidRPr="00891D02" w:rsidRDefault="00891D02" w:rsidP="00891D02">
      <w:pPr>
        <w:autoSpaceDE w:val="0"/>
        <w:spacing w:after="0" w:line="240" w:lineRule="auto"/>
        <w:jc w:val="both"/>
        <w:rPr>
          <w:rFonts w:ascii="Arial" w:eastAsia="Arial" w:hAnsi="Arial" w:cs="Arial"/>
          <w:sz w:val="20"/>
          <w:szCs w:val="20"/>
        </w:rPr>
      </w:pPr>
    </w:p>
    <w:p w14:paraId="56634248"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El sector analizado en el presente estudio se ubica dentro del sector terciario o de servicios el cual relaciona actividades relacionadas con los servicios no productores o transformadores de bienes materiales. Generan servicios que se ofrecen para satisfacer las necesidades de cualquier población en el mundo. Entre los subsectores encontramos el subsector de: comercio, turismo, administración pública, finanzas, consultoría e interventoría, entre otros más. Pese a que la teoría económica define estos grandes sectores de la economía, existen diferentes especialidades que llevan a establecer aún más sectores análogos a los ya mencionados y dan una aproximación mayor al mercado en su totalidad. Además, este macrosector abarca una amplia gama de actividades económicas que no están directamente relacionadas con la producción de bienes tangibles, sino más bien con la prestación de los servicios necesarios para el funcionamiento de la economía.</w:t>
      </w:r>
    </w:p>
    <w:p w14:paraId="38F2A3B1" w14:textId="77777777" w:rsidR="00891D02" w:rsidRPr="00891D02" w:rsidRDefault="00891D02" w:rsidP="00891D02">
      <w:pPr>
        <w:autoSpaceDE w:val="0"/>
        <w:spacing w:after="0" w:line="240" w:lineRule="auto"/>
        <w:jc w:val="both"/>
        <w:rPr>
          <w:rFonts w:ascii="Arial" w:eastAsia="Arial" w:hAnsi="Arial" w:cs="Arial"/>
          <w:sz w:val="20"/>
          <w:szCs w:val="20"/>
        </w:rPr>
      </w:pPr>
    </w:p>
    <w:p w14:paraId="4F7E877B"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Transporte y almacenamiento:</w:t>
      </w:r>
      <w:r w:rsidRPr="00891D02">
        <w:rPr>
          <w:rFonts w:ascii="Arial" w:eastAsia="Arial" w:hAnsi="Arial" w:cs="Arial"/>
          <w:sz w:val="20"/>
          <w:szCs w:val="20"/>
        </w:rPr>
        <w:t xml:space="preserve"> por actividad transportadora se entiende un conjunto organizado de operaciones tendientes a ejecutar el traslado de personas o cosas, separada o conjuntamente, de un lugar a otro, utilizando uno o varios modos de transporte. </w:t>
      </w:r>
    </w:p>
    <w:p w14:paraId="44204CC7" w14:textId="77777777" w:rsidR="00891D02" w:rsidRPr="00891D02" w:rsidRDefault="00891D02" w:rsidP="00891D02">
      <w:pPr>
        <w:autoSpaceDE w:val="0"/>
        <w:spacing w:after="0" w:line="240" w:lineRule="auto"/>
        <w:jc w:val="both"/>
        <w:rPr>
          <w:rFonts w:ascii="Arial" w:eastAsia="Arial" w:hAnsi="Arial" w:cs="Arial"/>
          <w:sz w:val="20"/>
          <w:szCs w:val="20"/>
        </w:rPr>
      </w:pPr>
    </w:p>
    <w:p w14:paraId="262E58FE"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Alojamiento y servicios de comida:</w:t>
      </w:r>
      <w:r w:rsidRPr="00891D02">
        <w:rPr>
          <w:rFonts w:ascii="Arial" w:eastAsia="Arial" w:hAnsi="Arial" w:cs="Arial"/>
          <w:sz w:val="20"/>
          <w:szCs w:val="20"/>
        </w:rPr>
        <w:t xml:space="preserve"> comprende la provisión de alojamiento por tiempo limitado, y la provisión de comidas completas y bebidas listas para el consumo inmediato.</w:t>
      </w:r>
    </w:p>
    <w:p w14:paraId="5B18D4EC" w14:textId="77777777" w:rsidR="00891D02" w:rsidRPr="00891D02" w:rsidRDefault="00891D02" w:rsidP="00891D02">
      <w:pPr>
        <w:autoSpaceDE w:val="0"/>
        <w:spacing w:after="0" w:line="240" w:lineRule="auto"/>
        <w:jc w:val="both"/>
        <w:rPr>
          <w:rFonts w:ascii="Arial" w:eastAsia="Arial" w:hAnsi="Arial" w:cs="Arial"/>
          <w:sz w:val="20"/>
          <w:szCs w:val="20"/>
        </w:rPr>
      </w:pPr>
    </w:p>
    <w:p w14:paraId="62AD5AF7"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Comercio al por mayor y al por menor</w:t>
      </w:r>
      <w:r w:rsidRPr="00891D02">
        <w:rPr>
          <w:rFonts w:ascii="Arial" w:eastAsia="Arial" w:hAnsi="Arial" w:cs="Arial"/>
          <w:sz w:val="20"/>
          <w:szCs w:val="20"/>
        </w:rPr>
        <w:t>: incluye la venta al por mayor y al por menor (venta sin transformación) de cualquier tipo de productos y la prestación de servicios relacionados con la venta de mercancía.</w:t>
      </w:r>
    </w:p>
    <w:p w14:paraId="2F87B1E3" w14:textId="77777777" w:rsidR="00891D02" w:rsidRPr="00891D02" w:rsidRDefault="00891D02" w:rsidP="00891D02">
      <w:pPr>
        <w:autoSpaceDE w:val="0"/>
        <w:spacing w:after="0" w:line="240" w:lineRule="auto"/>
        <w:jc w:val="both"/>
        <w:rPr>
          <w:rFonts w:ascii="Arial" w:eastAsia="Arial" w:hAnsi="Arial" w:cs="Arial"/>
          <w:sz w:val="20"/>
          <w:szCs w:val="20"/>
        </w:rPr>
      </w:pPr>
    </w:p>
    <w:p w14:paraId="03C02A7C"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SECCIÓN H Transporte y almacenamiento:</w:t>
      </w:r>
      <w:r w:rsidRPr="00891D02">
        <w:rPr>
          <w:rFonts w:ascii="Arial" w:eastAsia="Arial" w:hAnsi="Arial" w:cs="Arial"/>
          <w:sz w:val="20"/>
          <w:szCs w:val="20"/>
        </w:rPr>
        <w:t xml:space="preserve"> Teniendo en cuenta la Clasificación Industrial Internacional Uniforme de todas las actividades económicas Revisión 4 Adaptada para Colombia CIIU Rev. 4 A.C. (2020) - DANE, esta sección incluye la provisión de transporte regular y no regular de pasajeros y de carga por ferrocarril, por carretera, por vía acuática y por vía aérea, al igual que el servicio de transporte de productos por tuberías. El transporte de línea regular es aquel sistema de gestión de los tráficos que se caracteriza por tener unos horarios definidos, rutas previamente diseñadas, tráficos determinados y tarifas o fletes establecidos para los diferentes trayectos.</w:t>
      </w:r>
    </w:p>
    <w:p w14:paraId="7E2A826D"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3FDA9652"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DIVISIÓN 49 Transporte terrestre; transporte por tuberías </w:t>
      </w:r>
    </w:p>
    <w:p w14:paraId="3FC5920B"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19808A10"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El transporte de pasajeros y carga por ferrocarril y carretera y el transporte de carga por tuberías.</w:t>
      </w:r>
    </w:p>
    <w:p w14:paraId="733D4806" w14:textId="77777777" w:rsidR="00891D02" w:rsidRPr="00891D02" w:rsidRDefault="00891D02" w:rsidP="00891D02">
      <w:pPr>
        <w:autoSpaceDE w:val="0"/>
        <w:spacing w:after="0" w:line="240" w:lineRule="auto"/>
        <w:jc w:val="both"/>
        <w:rPr>
          <w:rFonts w:ascii="Arial" w:eastAsia="Arial" w:hAnsi="Arial" w:cs="Arial"/>
          <w:sz w:val="20"/>
          <w:szCs w:val="20"/>
        </w:rPr>
      </w:pPr>
    </w:p>
    <w:p w14:paraId="11010193"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492 Transporte terrestre público automotor:</w:t>
      </w:r>
      <w:r w:rsidRPr="00891D02">
        <w:rPr>
          <w:rFonts w:ascii="Arial" w:eastAsia="Arial" w:hAnsi="Arial" w:cs="Arial"/>
          <w:sz w:val="20"/>
          <w:szCs w:val="20"/>
        </w:rPr>
        <w:t xml:space="preserve"> Este grupo comprende el transporte de pasajeros, transporte mixto y transporte de carga por carretera.</w:t>
      </w:r>
    </w:p>
    <w:p w14:paraId="6EA60D63" w14:textId="77777777" w:rsidR="00891D02" w:rsidRPr="00891D02" w:rsidRDefault="00891D02" w:rsidP="00891D02">
      <w:pPr>
        <w:autoSpaceDE w:val="0"/>
        <w:spacing w:after="0" w:line="240" w:lineRule="auto"/>
        <w:jc w:val="both"/>
        <w:rPr>
          <w:rFonts w:ascii="Arial" w:eastAsia="Arial" w:hAnsi="Arial" w:cs="Arial"/>
          <w:sz w:val="20"/>
          <w:szCs w:val="20"/>
        </w:rPr>
      </w:pPr>
    </w:p>
    <w:p w14:paraId="735C7683"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4921 Transporte de pasajeros:</w:t>
      </w:r>
    </w:p>
    <w:p w14:paraId="3D3B80FE" w14:textId="77777777" w:rsidR="00891D02" w:rsidRPr="00891D02" w:rsidRDefault="00891D02" w:rsidP="00891D02">
      <w:pPr>
        <w:autoSpaceDE w:val="0"/>
        <w:spacing w:after="0" w:line="240" w:lineRule="auto"/>
        <w:jc w:val="both"/>
        <w:rPr>
          <w:rFonts w:ascii="Arial" w:eastAsia="Arial" w:hAnsi="Arial" w:cs="Arial"/>
          <w:sz w:val="20"/>
          <w:szCs w:val="20"/>
        </w:rPr>
      </w:pPr>
    </w:p>
    <w:p w14:paraId="2ED05E6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Esta clase incluye: </w:t>
      </w:r>
    </w:p>
    <w:p w14:paraId="0AC34063" w14:textId="77777777" w:rsidR="00891D02" w:rsidRPr="00891D02" w:rsidRDefault="00891D02" w:rsidP="00891D02">
      <w:pPr>
        <w:autoSpaceDE w:val="0"/>
        <w:spacing w:after="0" w:line="240" w:lineRule="auto"/>
        <w:jc w:val="both"/>
        <w:rPr>
          <w:rFonts w:ascii="Arial" w:eastAsia="Arial" w:hAnsi="Arial" w:cs="Arial"/>
          <w:sz w:val="20"/>
          <w:szCs w:val="20"/>
        </w:rPr>
      </w:pPr>
    </w:p>
    <w:p w14:paraId="7F89BFB2"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 El transporte terrestre de pasajeros por sistemas de transporte urbanos y suburbanos, que abarca transporte colectivo (buses, microbuses y busetas), individual (taxis), y los sistemas de transporte masivo a través de operadores (articulados), y la integración de estas líneas con servicios conexos como metrocable. </w:t>
      </w:r>
    </w:p>
    <w:p w14:paraId="628C1688" w14:textId="77777777" w:rsidR="00891D02" w:rsidRPr="00891D02" w:rsidRDefault="00891D02" w:rsidP="00891D02">
      <w:pPr>
        <w:autoSpaceDE w:val="0"/>
        <w:spacing w:after="0" w:line="240" w:lineRule="auto"/>
        <w:jc w:val="both"/>
        <w:rPr>
          <w:rFonts w:ascii="Arial" w:eastAsia="Arial" w:hAnsi="Arial" w:cs="Arial"/>
          <w:sz w:val="20"/>
          <w:szCs w:val="20"/>
        </w:rPr>
      </w:pPr>
    </w:p>
    <w:p w14:paraId="33495DD0"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El transporte también se realiza en origen y destino utilizando rutas y horarios establecidos, los cuales han sido determinados durante el proceso de habilitación y asignación de la ruta.</w:t>
      </w:r>
    </w:p>
    <w:p w14:paraId="20A0B873" w14:textId="77777777" w:rsidR="00891D02" w:rsidRPr="00891D02" w:rsidRDefault="00891D02" w:rsidP="00891D02">
      <w:pPr>
        <w:autoSpaceDE w:val="0"/>
        <w:spacing w:after="0" w:line="240" w:lineRule="auto"/>
        <w:jc w:val="both"/>
        <w:rPr>
          <w:rFonts w:ascii="Arial" w:eastAsia="Arial" w:hAnsi="Arial" w:cs="Arial"/>
          <w:sz w:val="20"/>
          <w:szCs w:val="20"/>
        </w:rPr>
      </w:pPr>
    </w:p>
    <w:p w14:paraId="50D0DCFB"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 Los servicios especiales de transporte de pasajeros por carretera que incluyen; servicios de viajes contratados, excursiones, transporte de trabajadores (actividades de asalariados), chiva turística y transporte escolar. </w:t>
      </w:r>
    </w:p>
    <w:p w14:paraId="77BA74C7" w14:textId="77777777" w:rsidR="00891D02" w:rsidRPr="00891D02" w:rsidRDefault="00891D02" w:rsidP="00891D02">
      <w:pPr>
        <w:autoSpaceDE w:val="0"/>
        <w:spacing w:after="0" w:line="240" w:lineRule="auto"/>
        <w:jc w:val="both"/>
        <w:rPr>
          <w:rFonts w:ascii="Arial" w:eastAsia="Arial" w:hAnsi="Arial" w:cs="Arial"/>
          <w:sz w:val="20"/>
          <w:szCs w:val="20"/>
        </w:rPr>
      </w:pPr>
    </w:p>
    <w:p w14:paraId="471EF034"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 El transporte de pasajeros en vehículos de tracción humana como los bicitaxis. El transporte de pasajeros en vehículos de tracción animal como los carruajes turísticos. </w:t>
      </w:r>
    </w:p>
    <w:p w14:paraId="08F1C2C0" w14:textId="77777777" w:rsidR="00891D02" w:rsidRPr="00891D02" w:rsidRDefault="00891D02" w:rsidP="00891D02">
      <w:pPr>
        <w:autoSpaceDE w:val="0"/>
        <w:spacing w:after="0" w:line="240" w:lineRule="auto"/>
        <w:jc w:val="both"/>
        <w:rPr>
          <w:rFonts w:ascii="Arial" w:eastAsia="Arial" w:hAnsi="Arial" w:cs="Arial"/>
          <w:sz w:val="20"/>
          <w:szCs w:val="20"/>
        </w:rPr>
      </w:pPr>
    </w:p>
    <w:p w14:paraId="3DC8FAA5"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El alquiler o el arrendamiento de vehículos de pasajeros con conductor.</w:t>
      </w:r>
    </w:p>
    <w:p w14:paraId="62445CF0" w14:textId="77777777" w:rsidR="00891D02" w:rsidRPr="00891D02" w:rsidRDefault="00891D02" w:rsidP="00891D02">
      <w:pPr>
        <w:autoSpaceDE w:val="0"/>
        <w:spacing w:after="0" w:line="240" w:lineRule="auto"/>
        <w:jc w:val="both"/>
        <w:rPr>
          <w:rFonts w:ascii="Arial" w:eastAsia="Arial" w:hAnsi="Arial" w:cs="Arial"/>
          <w:sz w:val="20"/>
          <w:szCs w:val="20"/>
        </w:rPr>
      </w:pPr>
    </w:p>
    <w:p w14:paraId="73AE4A96"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SECCIÓN I Alojamiento y servicios de comida:</w:t>
      </w:r>
      <w:r w:rsidRPr="00891D02">
        <w:rPr>
          <w:rFonts w:ascii="Arial" w:eastAsia="Arial" w:hAnsi="Arial" w:cs="Arial"/>
          <w:sz w:val="20"/>
          <w:szCs w:val="20"/>
        </w:rPr>
        <w:t xml:space="preserve"> esta sección comprende la provisión de alojamiento por tiempo limitado, y la provisión de comidas completas y bebidas listas para el consumo inmediato. La cantidad y el tipo de servicios complementarios provistos en esta sección puede variar significativamente.</w:t>
      </w:r>
    </w:p>
    <w:p w14:paraId="00704FD0" w14:textId="77777777" w:rsidR="00891D02" w:rsidRPr="00891D02" w:rsidRDefault="00891D02" w:rsidP="00891D02">
      <w:pPr>
        <w:autoSpaceDE w:val="0"/>
        <w:spacing w:after="0" w:line="240" w:lineRule="auto"/>
        <w:jc w:val="both"/>
        <w:rPr>
          <w:rFonts w:ascii="Arial" w:eastAsia="Arial" w:hAnsi="Arial" w:cs="Arial"/>
          <w:sz w:val="20"/>
          <w:szCs w:val="20"/>
        </w:rPr>
      </w:pPr>
    </w:p>
    <w:p w14:paraId="6FB280A7"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DIVISIÓN 56 Actividades de servicios de comidas y bebidas.</w:t>
      </w:r>
    </w:p>
    <w:p w14:paraId="2DFE7950"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1680ADA2"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Esta división comprende las actividades de servicio de comidas y bebidas, que proveen comidas completas o no, o bebidas listas para su consumo inmediato, ya sea en restaurantes tradicionales, restaurantes de autoservicio o restaurantes de comida para llevar, en lugares permanentes o temporales con o sin espacio para sentarse. Es factor decisivo que las comidas ofrecidas estén listas para su consumo inmediato, no el tipo de establecimiento en que se sirven.</w:t>
      </w:r>
    </w:p>
    <w:p w14:paraId="6191E2D6" w14:textId="77777777" w:rsidR="00891D02" w:rsidRPr="00891D02" w:rsidRDefault="00891D02" w:rsidP="00891D02">
      <w:pPr>
        <w:autoSpaceDE w:val="0"/>
        <w:spacing w:after="0" w:line="240" w:lineRule="auto"/>
        <w:jc w:val="both"/>
        <w:rPr>
          <w:rFonts w:ascii="Arial" w:eastAsia="Arial" w:hAnsi="Arial" w:cs="Arial"/>
          <w:sz w:val="20"/>
          <w:szCs w:val="20"/>
        </w:rPr>
      </w:pPr>
    </w:p>
    <w:p w14:paraId="34B8146B"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561 actividades de restaurantes, cafeterías y servicio móvil de comidas:</w:t>
      </w:r>
      <w:r w:rsidRPr="00891D02">
        <w:rPr>
          <w:rFonts w:ascii="Arial" w:eastAsia="Arial" w:hAnsi="Arial" w:cs="Arial"/>
          <w:sz w:val="20"/>
          <w:szCs w:val="20"/>
        </w:rPr>
        <w:t xml:space="preserve"> Este grupo comprende la actividad de los establecimientos dedicados a la preparación y el expendio de comidas para el consumo inmediato, tales como: restaurantes, cafeterías, asaderos, merenderos, salones de onces, puestos de refrigerios, el servicio de expendio móvil de comidas (ambulantes), etc.</w:t>
      </w:r>
    </w:p>
    <w:p w14:paraId="14F41D32" w14:textId="77777777" w:rsidR="00891D02" w:rsidRPr="00891D02" w:rsidRDefault="00891D02" w:rsidP="00891D02">
      <w:pPr>
        <w:autoSpaceDE w:val="0"/>
        <w:spacing w:after="0" w:line="240" w:lineRule="auto"/>
        <w:jc w:val="both"/>
        <w:rPr>
          <w:rFonts w:ascii="Arial" w:eastAsia="Arial" w:hAnsi="Arial" w:cs="Arial"/>
          <w:sz w:val="20"/>
          <w:szCs w:val="20"/>
        </w:rPr>
      </w:pPr>
    </w:p>
    <w:p w14:paraId="7410D636"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5611 Expendio a la mesa de comidas preparadas:</w:t>
      </w:r>
      <w:r w:rsidRPr="00891D02">
        <w:rPr>
          <w:rFonts w:ascii="Arial" w:eastAsia="Calibri" w:hAnsi="Arial" w:cs="Arial"/>
          <w:sz w:val="20"/>
          <w:szCs w:val="20"/>
        </w:rPr>
        <w:t xml:space="preserve"> </w:t>
      </w:r>
      <w:r w:rsidRPr="00891D02">
        <w:rPr>
          <w:rFonts w:ascii="Arial" w:eastAsia="Arial" w:hAnsi="Arial" w:cs="Arial"/>
          <w:sz w:val="20"/>
          <w:szCs w:val="20"/>
        </w:rPr>
        <w:t>Esta clase incluye la preparación y el expendio de alimentos a la carta y/o menú del día (comidas completas principalmente) para su consumo inmediato, mediante el servicio a la mesa. Pueden o no prestar servicio a domicilio, suministrar bebidas alcohólicas o algún tipo de espectáculo.</w:t>
      </w:r>
    </w:p>
    <w:p w14:paraId="44F6C7A8" w14:textId="77777777" w:rsidR="00891D02" w:rsidRPr="00891D02" w:rsidRDefault="00891D02" w:rsidP="00891D02">
      <w:pPr>
        <w:autoSpaceDE w:val="0"/>
        <w:spacing w:after="0" w:line="240" w:lineRule="auto"/>
        <w:jc w:val="both"/>
        <w:rPr>
          <w:rFonts w:ascii="Arial" w:eastAsia="Arial" w:hAnsi="Arial" w:cs="Arial"/>
          <w:sz w:val="20"/>
          <w:szCs w:val="20"/>
        </w:rPr>
      </w:pPr>
    </w:p>
    <w:p w14:paraId="4A56638E"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562 Actividades de catering para eventos y otros servicios de comidas:</w:t>
      </w:r>
      <w:r w:rsidRPr="00891D02">
        <w:rPr>
          <w:rFonts w:ascii="Arial" w:eastAsia="Arial" w:hAnsi="Arial" w:cs="Arial"/>
          <w:sz w:val="20"/>
          <w:szCs w:val="20"/>
        </w:rPr>
        <w:t xml:space="preserve"> Este grupo comprende las actividades de catering para eventos individuales o para un periodo específico de tiempo, y la operación de concesiones de alimentación, tales como las realizadas en instalaciones deportivas o similares.</w:t>
      </w:r>
    </w:p>
    <w:p w14:paraId="6F360B29" w14:textId="77777777" w:rsidR="00891D02" w:rsidRPr="00891D02" w:rsidRDefault="00891D02" w:rsidP="00891D02">
      <w:pPr>
        <w:autoSpaceDE w:val="0"/>
        <w:spacing w:after="0" w:line="240" w:lineRule="auto"/>
        <w:jc w:val="both"/>
        <w:rPr>
          <w:rFonts w:ascii="Arial" w:eastAsia="Arial" w:hAnsi="Arial" w:cs="Arial"/>
          <w:sz w:val="20"/>
          <w:szCs w:val="20"/>
        </w:rPr>
      </w:pPr>
    </w:p>
    <w:p w14:paraId="0757162A"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5621 catering para eventos</w:t>
      </w:r>
      <w:r w:rsidRPr="00891D02">
        <w:rPr>
          <w:rFonts w:ascii="Arial" w:eastAsia="Arial" w:hAnsi="Arial" w:cs="Arial"/>
          <w:sz w:val="20"/>
          <w:szCs w:val="20"/>
        </w:rPr>
        <w:t xml:space="preserve">: Esta clase incluye: </w:t>
      </w:r>
    </w:p>
    <w:p w14:paraId="32F9FCE2" w14:textId="77777777" w:rsidR="00891D02" w:rsidRPr="00891D02" w:rsidRDefault="00891D02" w:rsidP="00891D02">
      <w:pPr>
        <w:autoSpaceDE w:val="0"/>
        <w:spacing w:after="0" w:line="240" w:lineRule="auto"/>
        <w:jc w:val="both"/>
        <w:rPr>
          <w:rFonts w:ascii="Arial" w:eastAsia="Arial" w:hAnsi="Arial" w:cs="Arial"/>
          <w:sz w:val="20"/>
          <w:szCs w:val="20"/>
        </w:rPr>
      </w:pPr>
    </w:p>
    <w:p w14:paraId="3B6749B6"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El catering para eventos, es decir, la provisión de servicios de comida, con base en acuerdos contractuales con el cliente, que se realiza en el lugar por él señalado y para un evento específico. Estos eventos pueden ser:</w:t>
      </w:r>
    </w:p>
    <w:p w14:paraId="04839C45" w14:textId="77777777" w:rsidR="00891D02" w:rsidRPr="00891D02" w:rsidRDefault="00891D02" w:rsidP="00891D02">
      <w:pPr>
        <w:autoSpaceDE w:val="0"/>
        <w:spacing w:after="0" w:line="240" w:lineRule="auto"/>
        <w:jc w:val="both"/>
        <w:rPr>
          <w:rFonts w:ascii="Arial" w:eastAsia="Arial" w:hAnsi="Arial" w:cs="Arial"/>
          <w:sz w:val="20"/>
          <w:szCs w:val="20"/>
        </w:rPr>
      </w:pPr>
    </w:p>
    <w:p w14:paraId="480EABA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 Banquetes, recepciones de empresas (casas de banquetes). </w:t>
      </w:r>
    </w:p>
    <w:p w14:paraId="75DCF6EB"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Bodas, fiestas y otras celebraciones o reuniones.</w:t>
      </w:r>
    </w:p>
    <w:p w14:paraId="38F984DD"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576AF6EA"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SECCIÓN G Comercio al por mayor y al por menor; reparación de vehículos automotores y motocicletas:</w:t>
      </w:r>
      <w:r w:rsidRPr="00891D02">
        <w:rPr>
          <w:rFonts w:ascii="Arial" w:eastAsia="Arial" w:hAnsi="Arial" w:cs="Arial"/>
          <w:sz w:val="20"/>
          <w:szCs w:val="20"/>
        </w:rPr>
        <w:t xml:space="preserve"> Teniendo en cuenta la Clasificación Industrial Internacional Uniforme de todas las actividades económicas Revisión 4 Adaptada para Colombia CIIU Rev. 4 A.C. (2020) - DANE, esta sección incluye la venta al por mayor y al por menor (venta sin transformación) de cualquier tipo de productos y la </w:t>
      </w:r>
      <w:r w:rsidRPr="00891D02">
        <w:rPr>
          <w:rFonts w:ascii="Arial" w:eastAsia="Arial" w:hAnsi="Arial" w:cs="Arial"/>
          <w:sz w:val="20"/>
          <w:szCs w:val="20"/>
        </w:rPr>
        <w:lastRenderedPageBreak/>
        <w:t>prestación de servicios relacionados con la venta de mercancía. El comercio al por mayor consiste en la reventa (venta sin transformación) de productos nuevos y usados a minoristas, a usuarios industriales, comerciales, institucionales o profesionales y a otros mayoristas, o la actuación como agente o intermediario en la compra o la venta de mercancías para esas personas o compañías.</w:t>
      </w:r>
    </w:p>
    <w:p w14:paraId="3D8F46AD"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3C972241"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 xml:space="preserve">476 Comercio al por menor de artículos culturales y de entretenimiento en establecimientos especializados: </w:t>
      </w:r>
      <w:r w:rsidRPr="00891D02">
        <w:rPr>
          <w:rFonts w:ascii="Arial" w:eastAsia="Arial" w:hAnsi="Arial" w:cs="Arial"/>
          <w:sz w:val="20"/>
          <w:szCs w:val="20"/>
        </w:rPr>
        <w:t>Este grupo comprende el comercio al por menor de productos culturales y recreativos como libros, periódicos, grabaciones de música y de video, equipo de deporte, juegos y juguetes, en establecimientos especializados.</w:t>
      </w:r>
    </w:p>
    <w:p w14:paraId="0D09F56D"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521919F5"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4761 Comercio al por menor de libros, periódicos, materiales y artículos de papelería y escritorio, en establecimientos especializados. </w:t>
      </w:r>
    </w:p>
    <w:p w14:paraId="2805B129"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7D6A2D9C"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Esta clase incluye: </w:t>
      </w:r>
    </w:p>
    <w:p w14:paraId="6D64B0F5" w14:textId="77777777" w:rsidR="00891D02" w:rsidRPr="00891D02" w:rsidRDefault="00891D02" w:rsidP="00891D02">
      <w:pPr>
        <w:autoSpaceDE w:val="0"/>
        <w:spacing w:after="0" w:line="240" w:lineRule="auto"/>
        <w:jc w:val="both"/>
        <w:rPr>
          <w:rFonts w:ascii="Arial" w:eastAsia="Arial" w:hAnsi="Arial" w:cs="Arial"/>
          <w:sz w:val="20"/>
          <w:szCs w:val="20"/>
        </w:rPr>
      </w:pPr>
    </w:p>
    <w:p w14:paraId="4AE58770"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 El comercio al por menor de libros, revistas, periódicos y artículos de papelería y útiles escolares, de escritorio, distintos de los de uso específico en oficina. </w:t>
      </w:r>
    </w:p>
    <w:p w14:paraId="6289A4D5" w14:textId="77777777" w:rsidR="00891D02" w:rsidRPr="00891D02" w:rsidRDefault="00891D02" w:rsidP="00891D02">
      <w:pPr>
        <w:autoSpaceDE w:val="0"/>
        <w:spacing w:after="0" w:line="240" w:lineRule="auto"/>
        <w:jc w:val="both"/>
        <w:rPr>
          <w:rFonts w:ascii="Arial" w:eastAsia="Arial" w:hAnsi="Arial" w:cs="Arial"/>
          <w:sz w:val="20"/>
          <w:szCs w:val="20"/>
        </w:rPr>
      </w:pPr>
    </w:p>
    <w:p w14:paraId="558574B7"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Esta clase excluye: </w:t>
      </w:r>
    </w:p>
    <w:p w14:paraId="7BDB7B8D" w14:textId="77777777" w:rsidR="00891D02" w:rsidRPr="00891D02" w:rsidRDefault="00891D02" w:rsidP="00891D02">
      <w:pPr>
        <w:autoSpaceDE w:val="0"/>
        <w:spacing w:after="0" w:line="240" w:lineRule="auto"/>
        <w:jc w:val="both"/>
        <w:rPr>
          <w:rFonts w:ascii="Arial" w:eastAsia="Arial" w:hAnsi="Arial" w:cs="Arial"/>
          <w:sz w:val="20"/>
          <w:szCs w:val="20"/>
        </w:rPr>
      </w:pPr>
    </w:p>
    <w:p w14:paraId="2E1FBFB8"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El comercio al por menor de libros antiguos o de segunda mano. Se incluye en la clase 4775 «Comercio al por menor de artículos de segunda mano».</w:t>
      </w:r>
    </w:p>
    <w:p w14:paraId="130AB41D" w14:textId="77777777" w:rsidR="00891D02" w:rsidRPr="00891D02" w:rsidRDefault="00891D02" w:rsidP="00891D02">
      <w:pPr>
        <w:autoSpaceDE w:val="0"/>
        <w:spacing w:after="0" w:line="240" w:lineRule="auto"/>
        <w:jc w:val="both"/>
        <w:rPr>
          <w:rFonts w:ascii="Arial" w:eastAsia="Arial" w:hAnsi="Arial" w:cs="Arial"/>
          <w:sz w:val="20"/>
          <w:szCs w:val="20"/>
        </w:rPr>
      </w:pPr>
    </w:p>
    <w:p w14:paraId="1CAC6DD7"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ASPECTOS GENERALES</w:t>
      </w:r>
    </w:p>
    <w:p w14:paraId="1DFE9884"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4B2DB766"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Aspectos Macroeconómicos </w:t>
      </w:r>
    </w:p>
    <w:p w14:paraId="33E1ADC8"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73D49071"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Producto Interno Bruto Colombia </w:t>
      </w:r>
    </w:p>
    <w:p w14:paraId="3CB6477F"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37E1A423"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Es el valor total de los bienes y servicios finales producidos por el país durante un trimestre definido. Sirve para encontrar la evolución, la tendencia y las transformaciones estructurales de la economía, a partir de datos comparables entre sí y con aquellos calculados para el año base. </w:t>
      </w:r>
    </w:p>
    <w:p w14:paraId="666293C0"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El PIB mide el tamaño de la economía, siendo este, la magnitud macroeconómica que expresa el valor en moneda de los bienes y servicios de demanda final para el país, durante un lapso, generalmente un año. Para el caso colombiano, el DANE tiene estudiado al país con los mismos sectores económicos establecidos por las Naciones Unidas. El PIB se compone por los macro sectores de servicios, industria, agropecuario, comercio, construcción y otros.</w:t>
      </w:r>
    </w:p>
    <w:p w14:paraId="6ECB2010" w14:textId="77777777" w:rsidR="00891D02" w:rsidRPr="00891D02" w:rsidRDefault="00891D02" w:rsidP="00891D02">
      <w:pPr>
        <w:autoSpaceDE w:val="0"/>
        <w:spacing w:after="0" w:line="240" w:lineRule="auto"/>
        <w:jc w:val="both"/>
        <w:rPr>
          <w:rFonts w:ascii="Arial" w:eastAsia="Arial" w:hAnsi="Arial" w:cs="Arial"/>
          <w:sz w:val="20"/>
          <w:szCs w:val="20"/>
        </w:rPr>
      </w:pPr>
    </w:p>
    <w:p w14:paraId="0199F490"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Este indicador es útil para encontrar la evolución, la tendencia y las transformaciones estructurales de la economía, a partir de datos comparables entre sí y con aquellos calculados para el año base, además, se constituye en un insumo importante para la toma de decisiones en materia económica del país. </w:t>
      </w:r>
    </w:p>
    <w:p w14:paraId="0A47D769" w14:textId="77777777" w:rsidR="00891D02" w:rsidRPr="00891D02" w:rsidRDefault="00891D02" w:rsidP="00891D02">
      <w:pPr>
        <w:autoSpaceDE w:val="0"/>
        <w:spacing w:after="0" w:line="240" w:lineRule="auto"/>
        <w:jc w:val="both"/>
        <w:rPr>
          <w:rFonts w:ascii="Arial" w:eastAsia="Arial" w:hAnsi="Arial" w:cs="Arial"/>
          <w:sz w:val="20"/>
          <w:szCs w:val="20"/>
        </w:rPr>
      </w:pPr>
    </w:p>
    <w:p w14:paraId="011F993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Según el último boletín técnico emitido el 16 de febrero de 2026 por el DANE, en el cuarto trimestre de 2025, el Producto Interno Bruto en su serie original, crece 2,6% respecto al mismo periodo de 2024.</w:t>
      </w:r>
    </w:p>
    <w:p w14:paraId="344659B8" w14:textId="77777777" w:rsidR="00891D02" w:rsidRPr="00891D02" w:rsidRDefault="00891D02" w:rsidP="00891D02">
      <w:pPr>
        <w:autoSpaceDE w:val="0"/>
        <w:spacing w:after="0" w:line="240" w:lineRule="auto"/>
        <w:jc w:val="both"/>
        <w:rPr>
          <w:rFonts w:ascii="Arial" w:eastAsia="Arial" w:hAnsi="Arial" w:cs="Arial"/>
          <w:sz w:val="20"/>
          <w:szCs w:val="20"/>
        </w:rPr>
      </w:pPr>
    </w:p>
    <w:p w14:paraId="09ECAB8C"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Según el último boletín técnico emitido el 16 de febrero de 2026 por el DANE, en el cuarto trimestre de 2025, el Producto Interno Bruto en su serie original, crece 2,6% respecto al mismo periodo de 2024.</w:t>
      </w:r>
    </w:p>
    <w:p w14:paraId="577DC9F6" w14:textId="77777777" w:rsidR="00891D02" w:rsidRPr="00891D02" w:rsidRDefault="00891D02" w:rsidP="00891D02">
      <w:pPr>
        <w:autoSpaceDE w:val="0"/>
        <w:spacing w:after="0" w:line="240" w:lineRule="auto"/>
        <w:jc w:val="both"/>
        <w:rPr>
          <w:rFonts w:ascii="Arial" w:eastAsia="Arial" w:hAnsi="Arial" w:cs="Arial"/>
          <w:sz w:val="20"/>
          <w:szCs w:val="20"/>
        </w:rPr>
      </w:pPr>
    </w:p>
    <w:p w14:paraId="0FB9D3BD" w14:textId="77777777" w:rsidR="00891D02" w:rsidRPr="00891D02" w:rsidRDefault="00891D02" w:rsidP="00891D02">
      <w:pPr>
        <w:autoSpaceDE w:val="0"/>
        <w:spacing w:after="0" w:line="240" w:lineRule="auto"/>
        <w:jc w:val="center"/>
        <w:rPr>
          <w:rFonts w:ascii="Arial" w:eastAsia="Arial" w:hAnsi="Arial" w:cs="Arial"/>
          <w:sz w:val="20"/>
          <w:szCs w:val="20"/>
        </w:rPr>
      </w:pPr>
      <w:r w:rsidRPr="00891D02">
        <w:rPr>
          <w:rFonts w:ascii="Arial" w:eastAsia="Arial" w:hAnsi="Arial" w:cs="Arial"/>
          <w:noProof/>
          <w:sz w:val="20"/>
          <w:szCs w:val="20"/>
        </w:rPr>
        <w:lastRenderedPageBreak/>
        <w:drawing>
          <wp:inline distT="0" distB="0" distL="0" distR="0" wp14:anchorId="487C48DA" wp14:editId="6303A889">
            <wp:extent cx="3571875" cy="2152650"/>
            <wp:effectExtent l="0" t="0" r="9525" b="0"/>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875" cy="2152650"/>
                    </a:xfrm>
                    <a:prstGeom prst="rect">
                      <a:avLst/>
                    </a:prstGeom>
                    <a:noFill/>
                    <a:ln>
                      <a:noFill/>
                    </a:ln>
                  </pic:spPr>
                </pic:pic>
              </a:graphicData>
            </a:graphic>
          </wp:inline>
        </w:drawing>
      </w:r>
    </w:p>
    <w:p w14:paraId="66FCA651"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Las actividades económicas que más contribuyen a la dinámica del valor agregado son: </w:t>
      </w:r>
    </w:p>
    <w:p w14:paraId="05855529" w14:textId="77777777" w:rsidR="00891D02" w:rsidRPr="00891D02" w:rsidRDefault="00891D02" w:rsidP="00891D02">
      <w:pPr>
        <w:autoSpaceDE w:val="0"/>
        <w:spacing w:after="0" w:line="240" w:lineRule="auto"/>
        <w:jc w:val="both"/>
        <w:rPr>
          <w:rFonts w:ascii="Arial" w:eastAsia="Arial" w:hAnsi="Arial" w:cs="Arial"/>
          <w:sz w:val="20"/>
          <w:szCs w:val="20"/>
        </w:rPr>
      </w:pPr>
    </w:p>
    <w:p w14:paraId="6720B04D" w14:textId="77777777" w:rsidR="00891D02" w:rsidRPr="00891D02" w:rsidRDefault="00891D02" w:rsidP="00891D02">
      <w:pPr>
        <w:widowControl w:val="0"/>
        <w:numPr>
          <w:ilvl w:val="0"/>
          <w:numId w:val="36"/>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 xml:space="preserve">Comercio al por mayor y al por menor; reparación de vehículos automotores y motocicletas; Transporte y almacenamiento; Alojamiento y servicios de comida crece 4,6% (contribuye 0,9 puntos porcentuales a la variación anual). </w:t>
      </w:r>
    </w:p>
    <w:p w14:paraId="6C1872D4" w14:textId="77777777" w:rsidR="00891D02" w:rsidRPr="00891D02" w:rsidRDefault="00891D02" w:rsidP="00891D02">
      <w:pPr>
        <w:autoSpaceDE w:val="0"/>
        <w:spacing w:after="0" w:line="240" w:lineRule="auto"/>
        <w:jc w:val="both"/>
        <w:rPr>
          <w:rFonts w:ascii="Arial" w:eastAsia="Arial" w:hAnsi="Arial" w:cs="Arial"/>
          <w:sz w:val="20"/>
          <w:szCs w:val="20"/>
        </w:rPr>
      </w:pPr>
    </w:p>
    <w:p w14:paraId="00FA2EB3" w14:textId="77777777" w:rsidR="00891D02" w:rsidRPr="00891D02" w:rsidRDefault="00891D02" w:rsidP="00891D02">
      <w:pPr>
        <w:widowControl w:val="0"/>
        <w:numPr>
          <w:ilvl w:val="0"/>
          <w:numId w:val="36"/>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 xml:space="preserve">Administración pública y defensa; planes de seguridad social de afiliación obligatoria; Educación; Actividades de atención de la salud humana y de servicios sociales crece 4,5% (contribuye 0,8 puntos porcentuales a la variación anual). </w:t>
      </w:r>
    </w:p>
    <w:p w14:paraId="18DE29EC" w14:textId="77777777" w:rsidR="00891D02" w:rsidRPr="00891D02" w:rsidRDefault="00891D02" w:rsidP="00891D02">
      <w:pPr>
        <w:autoSpaceDE w:val="0"/>
        <w:spacing w:after="0" w:line="240" w:lineRule="auto"/>
        <w:jc w:val="both"/>
        <w:rPr>
          <w:rFonts w:ascii="Arial" w:eastAsia="Arial" w:hAnsi="Arial" w:cs="Arial"/>
          <w:sz w:val="20"/>
          <w:szCs w:val="20"/>
        </w:rPr>
      </w:pPr>
    </w:p>
    <w:p w14:paraId="1DFB129D" w14:textId="77777777" w:rsidR="00891D02" w:rsidRPr="00891D02" w:rsidRDefault="00891D02" w:rsidP="00891D02">
      <w:pPr>
        <w:widowControl w:val="0"/>
        <w:numPr>
          <w:ilvl w:val="0"/>
          <w:numId w:val="36"/>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w:t>
      </w:r>
    </w:p>
    <w:p w14:paraId="58812B61" w14:textId="77777777" w:rsidR="00891D02" w:rsidRDefault="00891D02" w:rsidP="00891D02">
      <w:pPr>
        <w:autoSpaceDE w:val="0"/>
        <w:spacing w:after="0" w:line="240" w:lineRule="auto"/>
        <w:jc w:val="both"/>
        <w:rPr>
          <w:rFonts w:ascii="Arial" w:eastAsia="Arial" w:hAnsi="Arial" w:cs="Arial"/>
          <w:sz w:val="20"/>
          <w:szCs w:val="20"/>
        </w:rPr>
      </w:pPr>
    </w:p>
    <w:p w14:paraId="4405C1C7" w14:textId="5415844C"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el cuarto trimestre de 2025, el Producto Interno Bruto en su serie original, crece 2,3% respecto al mismo periodo de 2024. Las actividades económicas que más contribuyen a la dinámica del valor agregado son:</w:t>
      </w:r>
    </w:p>
    <w:p w14:paraId="2BE7BBFC" w14:textId="77777777" w:rsidR="00891D02" w:rsidRPr="00891D02" w:rsidRDefault="00891D02" w:rsidP="00891D02">
      <w:pPr>
        <w:autoSpaceDE w:val="0"/>
        <w:spacing w:after="0" w:line="240" w:lineRule="auto"/>
        <w:jc w:val="both"/>
        <w:rPr>
          <w:rFonts w:ascii="Arial" w:eastAsia="Arial" w:hAnsi="Arial" w:cs="Arial"/>
          <w:sz w:val="20"/>
          <w:szCs w:val="20"/>
        </w:rPr>
      </w:pPr>
    </w:p>
    <w:p w14:paraId="742375AE" w14:textId="77777777" w:rsidR="00891D02" w:rsidRPr="00891D02" w:rsidRDefault="00891D02" w:rsidP="00891D02">
      <w:pPr>
        <w:widowControl w:val="0"/>
        <w:numPr>
          <w:ilvl w:val="0"/>
          <w:numId w:val="37"/>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Administración pública y defensa; planes de seguridad social de afiliación obligatoria; Educación; Actividades de atención de la salud humana y de servicios sociales crece 4,8% (contribuye 0,9 puntos porcentuales a la variación anual).</w:t>
      </w:r>
    </w:p>
    <w:p w14:paraId="0F668AD3" w14:textId="77777777" w:rsidR="00891D02" w:rsidRPr="00891D02" w:rsidRDefault="00891D02" w:rsidP="00891D02">
      <w:pPr>
        <w:autoSpaceDE w:val="0"/>
        <w:spacing w:after="0" w:line="240" w:lineRule="auto"/>
        <w:jc w:val="both"/>
        <w:rPr>
          <w:rFonts w:ascii="Arial" w:eastAsia="Arial" w:hAnsi="Arial" w:cs="Arial"/>
          <w:sz w:val="20"/>
          <w:szCs w:val="20"/>
        </w:rPr>
      </w:pPr>
    </w:p>
    <w:p w14:paraId="6BE888CE" w14:textId="77777777" w:rsidR="00891D02" w:rsidRPr="00891D02" w:rsidRDefault="00891D02" w:rsidP="00891D02">
      <w:pPr>
        <w:widowControl w:val="0"/>
        <w:numPr>
          <w:ilvl w:val="0"/>
          <w:numId w:val="37"/>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 xml:space="preserve">Comercio al por mayor y al por menor; reparación de vehículos automotores y motocicletas; Transporte y almacenamiento; Alojamiento y servicios de comida crece 3,4% (contribuye 0,7 puntos porcentuales a la variación anual). </w:t>
      </w:r>
    </w:p>
    <w:p w14:paraId="52D543F7" w14:textId="77777777" w:rsidR="00891D02" w:rsidRPr="00891D02" w:rsidRDefault="00891D02" w:rsidP="00891D02">
      <w:pPr>
        <w:autoSpaceDE w:val="0"/>
        <w:spacing w:after="0" w:line="240" w:lineRule="auto"/>
        <w:jc w:val="both"/>
        <w:rPr>
          <w:rFonts w:ascii="Arial" w:eastAsia="Arial" w:hAnsi="Arial" w:cs="Arial"/>
          <w:sz w:val="20"/>
          <w:szCs w:val="20"/>
        </w:rPr>
      </w:pPr>
    </w:p>
    <w:p w14:paraId="5A9D41C1" w14:textId="77777777" w:rsidR="00891D02" w:rsidRPr="00891D02" w:rsidRDefault="00891D02" w:rsidP="00891D02">
      <w:pPr>
        <w:widowControl w:val="0"/>
        <w:numPr>
          <w:ilvl w:val="0"/>
          <w:numId w:val="37"/>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5DF07FF3" w14:textId="77777777" w:rsidR="00891D02" w:rsidRPr="00891D02" w:rsidRDefault="00891D02" w:rsidP="00891D02">
      <w:pPr>
        <w:autoSpaceDE w:val="0"/>
        <w:spacing w:after="0" w:line="240" w:lineRule="auto"/>
        <w:jc w:val="both"/>
        <w:rPr>
          <w:rFonts w:ascii="Arial" w:eastAsia="Arial" w:hAnsi="Arial" w:cs="Arial"/>
          <w:sz w:val="20"/>
          <w:szCs w:val="20"/>
        </w:rPr>
      </w:pPr>
    </w:p>
    <w:p w14:paraId="6E696A43"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Respecto al trimestre inmediatamente anterior, el Producto Interno Bruto en su serie ajustada por efecto estacional y calendario crece 0,1%. Cuando se observa el comportamiento de las actividades económicas relacionadas: </w:t>
      </w:r>
    </w:p>
    <w:p w14:paraId="5D1E7623" w14:textId="77777777" w:rsidR="00891D02" w:rsidRPr="00891D02" w:rsidRDefault="00891D02" w:rsidP="00891D02">
      <w:pPr>
        <w:autoSpaceDE w:val="0"/>
        <w:spacing w:after="0" w:line="240" w:lineRule="auto"/>
        <w:jc w:val="both"/>
        <w:rPr>
          <w:rFonts w:ascii="Arial" w:eastAsia="Arial" w:hAnsi="Arial" w:cs="Arial"/>
          <w:sz w:val="20"/>
          <w:szCs w:val="20"/>
        </w:rPr>
      </w:pPr>
    </w:p>
    <w:p w14:paraId="74A708D5" w14:textId="77777777" w:rsidR="00891D02" w:rsidRPr="00891D02" w:rsidRDefault="00891D02" w:rsidP="00891D02">
      <w:pPr>
        <w:widowControl w:val="0"/>
        <w:numPr>
          <w:ilvl w:val="0"/>
          <w:numId w:val="38"/>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lastRenderedPageBreak/>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4,6%. </w:t>
      </w:r>
    </w:p>
    <w:p w14:paraId="470AD7B4" w14:textId="77777777" w:rsidR="00891D02" w:rsidRPr="00891D02" w:rsidRDefault="00891D02" w:rsidP="00891D02">
      <w:pPr>
        <w:autoSpaceDE w:val="0"/>
        <w:spacing w:after="0" w:line="240" w:lineRule="auto"/>
        <w:jc w:val="both"/>
        <w:rPr>
          <w:rFonts w:ascii="Arial" w:eastAsia="Arial" w:hAnsi="Arial" w:cs="Arial"/>
          <w:sz w:val="20"/>
          <w:szCs w:val="20"/>
        </w:rPr>
      </w:pPr>
    </w:p>
    <w:p w14:paraId="0601E5D7" w14:textId="77777777" w:rsidR="00891D02" w:rsidRPr="00891D02" w:rsidRDefault="00891D02" w:rsidP="00891D02">
      <w:pPr>
        <w:widowControl w:val="0"/>
        <w:numPr>
          <w:ilvl w:val="0"/>
          <w:numId w:val="38"/>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 xml:space="preserve">Comercio al por mayor y al por menor; reparación de vehículos automotores y motocicletas; Transporte y almacenamiento; Alojamiento y servicios de comida crece 1,6%. </w:t>
      </w:r>
    </w:p>
    <w:p w14:paraId="11DB2D98" w14:textId="77777777" w:rsidR="00891D02" w:rsidRPr="00891D02" w:rsidRDefault="00891D02" w:rsidP="00891D02">
      <w:pPr>
        <w:autoSpaceDE w:val="0"/>
        <w:spacing w:after="0" w:line="240" w:lineRule="auto"/>
        <w:jc w:val="both"/>
        <w:rPr>
          <w:rFonts w:ascii="Arial" w:eastAsia="Arial" w:hAnsi="Arial" w:cs="Arial"/>
          <w:sz w:val="20"/>
          <w:szCs w:val="20"/>
        </w:rPr>
      </w:pPr>
    </w:p>
    <w:p w14:paraId="2070D472" w14:textId="77777777" w:rsidR="00891D02" w:rsidRPr="00891D02" w:rsidRDefault="00891D02" w:rsidP="00891D02">
      <w:pPr>
        <w:widowControl w:val="0"/>
        <w:numPr>
          <w:ilvl w:val="0"/>
          <w:numId w:val="38"/>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Explotación de minas y canteras crece 1,2%.</w:t>
      </w:r>
    </w:p>
    <w:p w14:paraId="2392E40B"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5543508A"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Actividades artísticas, de entretenimiento y recreación y otras actividades de servicios </w:t>
      </w:r>
    </w:p>
    <w:p w14:paraId="1275901C"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43262AB5"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Para el año 2025,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9,9%, respecto al año 2024. Esta dinámica se explica por los siguientes comportamientos:</w:t>
      </w:r>
    </w:p>
    <w:p w14:paraId="2A4145DC" w14:textId="77777777" w:rsidR="00891D02" w:rsidRPr="00891D02" w:rsidRDefault="00891D02" w:rsidP="00891D02">
      <w:pPr>
        <w:autoSpaceDE w:val="0"/>
        <w:spacing w:after="0" w:line="240" w:lineRule="auto"/>
        <w:jc w:val="both"/>
        <w:rPr>
          <w:rFonts w:ascii="Arial" w:eastAsia="Arial" w:hAnsi="Arial" w:cs="Arial"/>
          <w:sz w:val="20"/>
          <w:szCs w:val="20"/>
        </w:rPr>
      </w:pPr>
    </w:p>
    <w:p w14:paraId="2521D62D" w14:textId="77777777" w:rsidR="00891D02" w:rsidRPr="00891D02" w:rsidRDefault="00891D02" w:rsidP="00891D02">
      <w:pPr>
        <w:widowControl w:val="0"/>
        <w:numPr>
          <w:ilvl w:val="0"/>
          <w:numId w:val="39"/>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 xml:space="preserve">Actividades artísticas, de entretenimiento y recreación y otras actividades de servicios crece 11,5%. </w:t>
      </w:r>
    </w:p>
    <w:p w14:paraId="1E223A3E" w14:textId="77777777" w:rsidR="00891D02" w:rsidRPr="00891D02" w:rsidRDefault="00891D02" w:rsidP="00891D02">
      <w:pPr>
        <w:autoSpaceDE w:val="0"/>
        <w:spacing w:after="0" w:line="240" w:lineRule="auto"/>
        <w:jc w:val="both"/>
        <w:rPr>
          <w:rFonts w:ascii="Arial" w:eastAsia="Arial" w:hAnsi="Arial" w:cs="Arial"/>
          <w:sz w:val="20"/>
          <w:szCs w:val="20"/>
        </w:rPr>
      </w:pPr>
    </w:p>
    <w:p w14:paraId="2221115A" w14:textId="77777777" w:rsidR="00891D02" w:rsidRPr="00891D02" w:rsidRDefault="00891D02" w:rsidP="00891D02">
      <w:pPr>
        <w:widowControl w:val="0"/>
        <w:numPr>
          <w:ilvl w:val="0"/>
          <w:numId w:val="39"/>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de los hogares individuales en calidad de empleadores; actividades no diferenciadas de los hogares individuales como productores de bienes y servicios para uso propio crece 1,6%.</w:t>
      </w:r>
    </w:p>
    <w:p w14:paraId="69A35F57"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el cuarto trimestre de 2025,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11,5% en su serie original, respecto al mismo periodo de 2024. Esta dinámica se explica por los siguientes comportamientos:</w:t>
      </w:r>
    </w:p>
    <w:p w14:paraId="3B8D8EE8" w14:textId="77777777" w:rsidR="00891D02" w:rsidRPr="00891D02" w:rsidRDefault="00891D02" w:rsidP="00891D02">
      <w:pPr>
        <w:autoSpaceDE w:val="0"/>
        <w:spacing w:after="0" w:line="240" w:lineRule="auto"/>
        <w:jc w:val="both"/>
        <w:rPr>
          <w:rFonts w:ascii="Arial" w:eastAsia="Arial" w:hAnsi="Arial" w:cs="Arial"/>
          <w:sz w:val="20"/>
          <w:szCs w:val="20"/>
        </w:rPr>
      </w:pPr>
    </w:p>
    <w:p w14:paraId="40B02F40" w14:textId="77777777" w:rsidR="00891D02" w:rsidRPr="00891D02" w:rsidRDefault="00891D02" w:rsidP="00891D02">
      <w:pPr>
        <w:widowControl w:val="0"/>
        <w:numPr>
          <w:ilvl w:val="0"/>
          <w:numId w:val="40"/>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artísticas, de entretenimiento y recreación y otras actividades de servicios crece 14,0%.</w:t>
      </w:r>
    </w:p>
    <w:p w14:paraId="42118357" w14:textId="77777777" w:rsidR="00891D02" w:rsidRPr="00891D02" w:rsidRDefault="00891D02" w:rsidP="00891D02">
      <w:pPr>
        <w:autoSpaceDE w:val="0"/>
        <w:spacing w:after="0" w:line="240" w:lineRule="auto"/>
        <w:jc w:val="both"/>
        <w:rPr>
          <w:rFonts w:ascii="Arial" w:eastAsia="Arial" w:hAnsi="Arial" w:cs="Arial"/>
          <w:sz w:val="20"/>
          <w:szCs w:val="20"/>
        </w:rPr>
      </w:pPr>
    </w:p>
    <w:p w14:paraId="34E87952" w14:textId="77777777" w:rsidR="00891D02" w:rsidRPr="00891D02" w:rsidRDefault="00891D02" w:rsidP="00891D02">
      <w:pPr>
        <w:widowControl w:val="0"/>
        <w:numPr>
          <w:ilvl w:val="0"/>
          <w:numId w:val="40"/>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de los hogares individuales en calidad de empleadores; actividades no diferenciadas de los hogares individuales como productores de bienes y servicios para uso propio decrece 1,7%.</w:t>
      </w:r>
    </w:p>
    <w:p w14:paraId="55831B06" w14:textId="77777777" w:rsidR="00891D02" w:rsidRPr="00891D02" w:rsidRDefault="00891D02" w:rsidP="00891D02">
      <w:pPr>
        <w:autoSpaceDN w:val="0"/>
        <w:spacing w:after="0" w:line="276" w:lineRule="auto"/>
        <w:ind w:left="720"/>
        <w:contextualSpacing/>
        <w:rPr>
          <w:rFonts w:ascii="Arial" w:eastAsia="Arial" w:hAnsi="Arial" w:cs="Arial"/>
          <w:sz w:val="20"/>
          <w:szCs w:val="20"/>
        </w:rPr>
      </w:pPr>
    </w:p>
    <w:p w14:paraId="21B0A606"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4,6%, cuando se observa el comportamiento de las actividades económicas relacionadas:</w:t>
      </w:r>
    </w:p>
    <w:p w14:paraId="10DDFCCA" w14:textId="77777777" w:rsidR="00891D02" w:rsidRPr="00891D02" w:rsidRDefault="00891D02" w:rsidP="00891D02">
      <w:pPr>
        <w:autoSpaceDE w:val="0"/>
        <w:spacing w:after="0" w:line="240" w:lineRule="auto"/>
        <w:jc w:val="both"/>
        <w:rPr>
          <w:rFonts w:ascii="Arial" w:eastAsia="Arial" w:hAnsi="Arial" w:cs="Arial"/>
          <w:sz w:val="20"/>
          <w:szCs w:val="20"/>
        </w:rPr>
      </w:pPr>
    </w:p>
    <w:p w14:paraId="2F37853C" w14:textId="77777777" w:rsidR="00891D02" w:rsidRPr="00891D02" w:rsidRDefault="00891D02" w:rsidP="00891D02">
      <w:pPr>
        <w:widowControl w:val="0"/>
        <w:numPr>
          <w:ilvl w:val="0"/>
          <w:numId w:val="41"/>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artísticas, de entretenimiento y recreación y otras actividades de servicios crece 5,5%.</w:t>
      </w:r>
    </w:p>
    <w:p w14:paraId="7FFF1CF2" w14:textId="77777777" w:rsidR="00891D02" w:rsidRPr="00891D02" w:rsidRDefault="00891D02" w:rsidP="00891D02">
      <w:pPr>
        <w:autoSpaceDE w:val="0"/>
        <w:spacing w:after="0" w:line="240" w:lineRule="auto"/>
        <w:jc w:val="both"/>
        <w:rPr>
          <w:rFonts w:ascii="Arial" w:eastAsia="Arial" w:hAnsi="Arial" w:cs="Arial"/>
          <w:sz w:val="20"/>
          <w:szCs w:val="20"/>
        </w:rPr>
      </w:pPr>
    </w:p>
    <w:p w14:paraId="79065B0F" w14:textId="77777777" w:rsidR="00891D02" w:rsidRPr="00891D02" w:rsidRDefault="00891D02" w:rsidP="00891D02">
      <w:pPr>
        <w:widowControl w:val="0"/>
        <w:numPr>
          <w:ilvl w:val="0"/>
          <w:numId w:val="41"/>
        </w:numPr>
        <w:autoSpaceDE w:val="0"/>
        <w:autoSpaceDN w:val="0"/>
        <w:spacing w:after="0" w:line="256" w:lineRule="auto"/>
        <w:jc w:val="both"/>
        <w:rPr>
          <w:rFonts w:ascii="Arial" w:eastAsia="Arial" w:hAnsi="Arial" w:cs="Arial"/>
          <w:sz w:val="20"/>
          <w:szCs w:val="20"/>
        </w:rPr>
      </w:pPr>
      <w:r w:rsidRPr="00891D02">
        <w:rPr>
          <w:rFonts w:ascii="Arial" w:eastAsia="Arial" w:hAnsi="Arial" w:cs="Arial"/>
          <w:sz w:val="20"/>
          <w:szCs w:val="20"/>
        </w:rPr>
        <w:t>Actividades de los hogares individuales en calidad de empleadores; actividades no diferenciadas de los hogares individuales como productores de bienes y servicios para uso propio crece 1,2%.</w:t>
      </w:r>
    </w:p>
    <w:p w14:paraId="03E04511" w14:textId="77777777" w:rsidR="00891D02" w:rsidRPr="00891D02" w:rsidRDefault="00891D02" w:rsidP="00891D02">
      <w:pPr>
        <w:autoSpaceDE w:val="0"/>
        <w:spacing w:after="0" w:line="240" w:lineRule="auto"/>
        <w:jc w:val="both"/>
        <w:rPr>
          <w:rFonts w:ascii="Arial" w:eastAsia="Arial" w:hAnsi="Arial" w:cs="Arial"/>
          <w:sz w:val="20"/>
          <w:szCs w:val="20"/>
        </w:rPr>
      </w:pPr>
    </w:p>
    <w:p w14:paraId="4DC63EF8"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Índice de Precios al Consumidor (IPC)</w:t>
      </w:r>
    </w:p>
    <w:p w14:paraId="496A86DC" w14:textId="77777777" w:rsidR="00891D02" w:rsidRPr="00891D02" w:rsidRDefault="00891D02" w:rsidP="00891D02">
      <w:pPr>
        <w:autoSpaceDE w:val="0"/>
        <w:spacing w:after="0" w:line="240" w:lineRule="auto"/>
        <w:jc w:val="both"/>
        <w:rPr>
          <w:rFonts w:ascii="Arial" w:eastAsia="Arial" w:hAnsi="Arial" w:cs="Arial"/>
          <w:sz w:val="20"/>
          <w:szCs w:val="20"/>
        </w:rPr>
      </w:pPr>
    </w:p>
    <w:p w14:paraId="16C48CC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Según el último boletín técnico emitido el 06 de febrero de 2026 por el DANE, el Índice de Precios al Consumidor - IPC en enero de 2026 presentó una variación mensual del 0,18% y la anual de 5,35%.</w:t>
      </w:r>
    </w:p>
    <w:p w14:paraId="0D5A5703" w14:textId="77777777" w:rsidR="00891D02" w:rsidRPr="00891D02" w:rsidRDefault="00891D02" w:rsidP="00891D02">
      <w:pPr>
        <w:autoSpaceDE w:val="0"/>
        <w:spacing w:after="0" w:line="240" w:lineRule="auto"/>
        <w:jc w:val="center"/>
        <w:rPr>
          <w:rFonts w:ascii="Arial" w:eastAsia="Arial" w:hAnsi="Arial" w:cs="Arial"/>
          <w:b/>
          <w:bCs/>
          <w:sz w:val="20"/>
          <w:szCs w:val="20"/>
        </w:rPr>
      </w:pPr>
      <w:r w:rsidRPr="00891D02">
        <w:rPr>
          <w:rFonts w:ascii="Arial" w:eastAsia="Arial" w:hAnsi="Arial" w:cs="Arial"/>
          <w:b/>
          <w:noProof/>
          <w:sz w:val="20"/>
          <w:szCs w:val="20"/>
        </w:rPr>
        <w:lastRenderedPageBreak/>
        <w:drawing>
          <wp:inline distT="0" distB="0" distL="0" distR="0" wp14:anchorId="1E658BB4" wp14:editId="267EC438">
            <wp:extent cx="4114800" cy="25146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b="6104"/>
                    <a:stretch>
                      <a:fillRect/>
                    </a:stretch>
                  </pic:blipFill>
                  <pic:spPr bwMode="auto">
                    <a:xfrm>
                      <a:off x="0" y="0"/>
                      <a:ext cx="4114800" cy="2514600"/>
                    </a:xfrm>
                    <a:prstGeom prst="rect">
                      <a:avLst/>
                    </a:prstGeom>
                    <a:noFill/>
                    <a:ln>
                      <a:noFill/>
                    </a:ln>
                  </pic:spPr>
                </pic:pic>
              </a:graphicData>
            </a:graphic>
          </wp:inline>
        </w:drawing>
      </w:r>
    </w:p>
    <w:p w14:paraId="5DC8CCF4"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el mes de enero de 2026, el IPC registró una variación de 1,18% en comparación con diciembre de 2025, seis divisiones se ubicaron por encima del promedio nacional (1,18%): Restaurantes y hoteles (2,94%), Transporte (2,14%), Bebidas alcohólicas y tabaco (1,79%), Alimentos y bebidas no alcohólicas (1,66%), Muebles, artículos para el hogar y para la conservación ordinaria del hogar (1,50%) y por último, Salud (1,21%). Por debajo se ubicaron: Bienes y servicios diversos (0,79%), Recreación y cultura (0,50%), Alojamiento, agua, electricidad, gas y otros combustibles (0,23%), Prendas de vestir y calzado (0,18%), Información y comunicación (0,06%) y por último, Educación (0,00%).</w:t>
      </w:r>
    </w:p>
    <w:p w14:paraId="7B6B95B0" w14:textId="77777777" w:rsidR="00891D02" w:rsidRPr="00891D02" w:rsidRDefault="00891D02" w:rsidP="00891D02">
      <w:pPr>
        <w:autoSpaceDE w:val="0"/>
        <w:spacing w:after="0" w:line="240" w:lineRule="auto"/>
        <w:jc w:val="both"/>
        <w:rPr>
          <w:rFonts w:ascii="Arial" w:eastAsia="Arial" w:hAnsi="Arial" w:cs="Arial"/>
          <w:sz w:val="20"/>
          <w:szCs w:val="20"/>
        </w:rPr>
      </w:pPr>
    </w:p>
    <w:p w14:paraId="695A741A"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sz w:val="20"/>
          <w:szCs w:val="20"/>
        </w:rPr>
        <w:t>Los mayores aportes a la variación mensual del IPC (1,18%), se ubicaron en las divisiones de: Restaurantes y hoteles, Alimentos y bebidas no alcohólicas, Transporte y Alojamiento, agua, electricidad, gas y otros combustibles, las cuales aportaron 1,00 puntos porcentuales a la variación total</w:t>
      </w:r>
      <w:r w:rsidRPr="00891D02">
        <w:rPr>
          <w:rFonts w:ascii="Arial" w:eastAsia="Arial" w:hAnsi="Arial" w:cs="Arial"/>
          <w:b/>
          <w:bCs/>
          <w:sz w:val="20"/>
          <w:szCs w:val="20"/>
        </w:rPr>
        <w:t>.</w:t>
      </w:r>
    </w:p>
    <w:p w14:paraId="28DD7D1D" w14:textId="77777777" w:rsidR="00891D02" w:rsidRDefault="00891D02" w:rsidP="00891D02">
      <w:pPr>
        <w:autoSpaceDE w:val="0"/>
        <w:spacing w:after="0" w:line="240" w:lineRule="auto"/>
        <w:jc w:val="both"/>
        <w:rPr>
          <w:rFonts w:ascii="Arial" w:eastAsia="Arial" w:hAnsi="Arial" w:cs="Arial"/>
          <w:b/>
          <w:bCs/>
          <w:sz w:val="20"/>
          <w:szCs w:val="20"/>
        </w:rPr>
      </w:pPr>
    </w:p>
    <w:p w14:paraId="4E24EA54" w14:textId="328B663A"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Índice de Precios del Productor (IPP)</w:t>
      </w:r>
    </w:p>
    <w:p w14:paraId="793E6D08" w14:textId="77777777" w:rsidR="00891D02" w:rsidRPr="00891D02" w:rsidRDefault="00891D02" w:rsidP="00891D02">
      <w:pPr>
        <w:autoSpaceDE w:val="0"/>
        <w:spacing w:after="0" w:line="240" w:lineRule="auto"/>
        <w:jc w:val="both"/>
        <w:rPr>
          <w:rFonts w:ascii="Arial" w:eastAsia="Arial" w:hAnsi="Arial" w:cs="Arial"/>
          <w:sz w:val="20"/>
          <w:szCs w:val="20"/>
        </w:rPr>
      </w:pPr>
    </w:p>
    <w:p w14:paraId="6AE9C7E9"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Según el último boletín técnico emitido el 05 de febrero de 2026 por el DANE, el IPP de la producción nacional, en enero de 2026 presentó una variación de 1,51% respecto a diciembre de 2025.</w:t>
      </w:r>
    </w:p>
    <w:p w14:paraId="25A7272A" w14:textId="77777777" w:rsidR="00891D02" w:rsidRPr="00891D02" w:rsidRDefault="00891D02" w:rsidP="00891D02">
      <w:pPr>
        <w:autoSpaceDE w:val="0"/>
        <w:spacing w:after="0" w:line="240" w:lineRule="auto"/>
        <w:jc w:val="center"/>
        <w:rPr>
          <w:rFonts w:ascii="Arial" w:eastAsia="Arial" w:hAnsi="Arial" w:cs="Arial"/>
          <w:sz w:val="20"/>
          <w:szCs w:val="20"/>
        </w:rPr>
      </w:pPr>
      <w:r w:rsidRPr="00891D02">
        <w:rPr>
          <w:rFonts w:ascii="Arial" w:eastAsia="Arial" w:hAnsi="Arial" w:cs="Arial"/>
          <w:noProof/>
          <w:sz w:val="20"/>
          <w:szCs w:val="20"/>
        </w:rPr>
        <w:drawing>
          <wp:inline distT="0" distB="0" distL="0" distR="0" wp14:anchorId="68F6D89C" wp14:editId="16C3ADD2">
            <wp:extent cx="4181475" cy="2085975"/>
            <wp:effectExtent l="0" t="0" r="9525" b="9525"/>
            <wp:docPr id="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1475" cy="2085975"/>
                    </a:xfrm>
                    <a:prstGeom prst="rect">
                      <a:avLst/>
                    </a:prstGeom>
                    <a:noFill/>
                    <a:ln>
                      <a:noFill/>
                    </a:ln>
                  </pic:spPr>
                </pic:pic>
              </a:graphicData>
            </a:graphic>
          </wp:inline>
        </w:drawing>
      </w:r>
    </w:p>
    <w:p w14:paraId="189630EE" w14:textId="77777777" w:rsidR="00891D02" w:rsidRPr="00891D02" w:rsidRDefault="00891D02" w:rsidP="00891D02">
      <w:pPr>
        <w:autoSpaceDE w:val="0"/>
        <w:spacing w:after="0" w:line="240" w:lineRule="auto"/>
        <w:jc w:val="both"/>
        <w:rPr>
          <w:rFonts w:ascii="Arial" w:eastAsia="Arial" w:hAnsi="Arial" w:cs="Arial"/>
          <w:sz w:val="20"/>
          <w:szCs w:val="20"/>
        </w:rPr>
      </w:pPr>
    </w:p>
    <w:p w14:paraId="54DFD68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enero de 2026, el único sector que registró una variación superior a la media fue Agricultura, ganadería, silvicultura, caza y pesca con 5,41%. Los sectores Explotación de minas y canteras (0,55%) e Industrias manufactureras (0,40%) presentaron variaciones inferiores a la media (1,51%).</w:t>
      </w:r>
    </w:p>
    <w:p w14:paraId="1448FFBE"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lastRenderedPageBreak/>
        <w:t>Salario Mínimo 2026</w:t>
      </w:r>
    </w:p>
    <w:p w14:paraId="4F87C89B" w14:textId="77777777" w:rsidR="00891D02" w:rsidRPr="00891D02" w:rsidRDefault="00891D02" w:rsidP="00891D02">
      <w:pPr>
        <w:autoSpaceDE w:val="0"/>
        <w:spacing w:after="0" w:line="240" w:lineRule="auto"/>
        <w:jc w:val="both"/>
        <w:rPr>
          <w:rFonts w:ascii="Arial" w:eastAsia="Arial" w:hAnsi="Arial" w:cs="Arial"/>
          <w:b/>
          <w:bCs/>
          <w:sz w:val="20"/>
          <w:szCs w:val="20"/>
        </w:rPr>
      </w:pPr>
    </w:p>
    <w:p w14:paraId="2727BF12"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 xml:space="preserve">El presidente de la república mediante el Decreto 1469 del 29 de diciembre de 2025, estableció en 23% el alza del salario mínimo que empezó a regir en el país a partir del pasado primero de enero de 2026, es decir un aumento de $327.405, lo que significa que la nueva asignación será de $1.750.905. </w:t>
      </w:r>
    </w:p>
    <w:p w14:paraId="3AD9EA6F" w14:textId="77777777" w:rsidR="00891D02" w:rsidRPr="00891D02" w:rsidRDefault="00891D02" w:rsidP="00891D02">
      <w:pPr>
        <w:autoSpaceDE w:val="0"/>
        <w:spacing w:after="0" w:line="240" w:lineRule="auto"/>
        <w:jc w:val="both"/>
        <w:rPr>
          <w:rFonts w:ascii="Arial" w:eastAsia="Arial" w:hAnsi="Arial" w:cs="Arial"/>
          <w:sz w:val="20"/>
          <w:szCs w:val="20"/>
        </w:rPr>
      </w:pPr>
    </w:p>
    <w:p w14:paraId="55037672"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Además, el subsidio del transporte fue incrementado en $49.095, y pasó de $200.000 a $249.095, lo que significa que el nuevo salario mínimo nominal, incluido el subsidio de transporte, queda en $2.000.000.</w:t>
      </w:r>
    </w:p>
    <w:p w14:paraId="00E3D041" w14:textId="77777777" w:rsidR="00891D02" w:rsidRPr="00891D02" w:rsidRDefault="00891D02" w:rsidP="00891D02">
      <w:pPr>
        <w:autoSpaceDE w:val="0"/>
        <w:spacing w:after="0" w:line="240" w:lineRule="auto"/>
        <w:jc w:val="both"/>
        <w:rPr>
          <w:rFonts w:ascii="Arial" w:eastAsia="Arial" w:hAnsi="Arial" w:cs="Arial"/>
          <w:sz w:val="20"/>
          <w:szCs w:val="20"/>
        </w:rPr>
      </w:pPr>
    </w:p>
    <w:p w14:paraId="3EB9031D"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Encuesta Mensual de Servicios (EMS)</w:t>
      </w:r>
      <w:r w:rsidRPr="00891D02">
        <w:rPr>
          <w:rFonts w:ascii="Arial" w:eastAsia="Arial" w:hAnsi="Arial" w:cs="Arial"/>
          <w:sz w:val="20"/>
          <w:szCs w:val="20"/>
        </w:rPr>
        <w:t xml:space="preserve"> </w:t>
      </w:r>
    </w:p>
    <w:p w14:paraId="5AB93D89" w14:textId="77777777" w:rsidR="00891D02" w:rsidRPr="00891D02" w:rsidRDefault="00891D02" w:rsidP="00891D02">
      <w:pPr>
        <w:autoSpaceDE w:val="0"/>
        <w:spacing w:after="0" w:line="240" w:lineRule="auto"/>
        <w:jc w:val="both"/>
        <w:rPr>
          <w:rFonts w:ascii="Arial" w:eastAsia="Arial" w:hAnsi="Arial" w:cs="Arial"/>
          <w:sz w:val="20"/>
          <w:szCs w:val="20"/>
        </w:rPr>
      </w:pPr>
    </w:p>
    <w:p w14:paraId="0F7A9973" w14:textId="77777777" w:rsid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b/>
          <w:bCs/>
          <w:sz w:val="20"/>
          <w:szCs w:val="20"/>
        </w:rPr>
        <w:t>Variación anual de los ingresos nominales y contribución por tipo de ingresos, según subsector de servicios</w:t>
      </w:r>
      <w:r w:rsidRPr="00891D02">
        <w:rPr>
          <w:rFonts w:ascii="Arial" w:eastAsia="Arial" w:hAnsi="Arial" w:cs="Arial"/>
          <w:sz w:val="20"/>
          <w:szCs w:val="20"/>
        </w:rPr>
        <w:t xml:space="preserve">. </w:t>
      </w:r>
    </w:p>
    <w:p w14:paraId="744BC605" w14:textId="77777777" w:rsidR="00891D02" w:rsidRPr="00891D02" w:rsidRDefault="00891D02" w:rsidP="00891D02">
      <w:pPr>
        <w:autoSpaceDE w:val="0"/>
        <w:spacing w:after="0" w:line="240" w:lineRule="auto"/>
        <w:jc w:val="both"/>
        <w:rPr>
          <w:rFonts w:ascii="Arial" w:eastAsia="Arial" w:hAnsi="Arial" w:cs="Arial"/>
          <w:sz w:val="20"/>
          <w:szCs w:val="20"/>
        </w:rPr>
      </w:pPr>
    </w:p>
    <w:p w14:paraId="6D5D7ABC"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Según el último boletín técnico emitido el 13 de febrero de 2026 por el DANE, en diciembre de 2025, quince de los dieciocho subsectores de servicios presentaron variación positiva en los ingresos totales, en comparación con diciembre de 2024.</w:t>
      </w:r>
    </w:p>
    <w:p w14:paraId="363A73B6" w14:textId="77777777" w:rsidR="00891D02" w:rsidRPr="00891D02" w:rsidRDefault="00891D02" w:rsidP="00891D02">
      <w:pPr>
        <w:autoSpaceDE w:val="0"/>
        <w:spacing w:after="0" w:line="240" w:lineRule="auto"/>
        <w:jc w:val="center"/>
        <w:rPr>
          <w:rFonts w:ascii="Arial" w:eastAsia="Arial" w:hAnsi="Arial" w:cs="Arial"/>
          <w:sz w:val="20"/>
          <w:szCs w:val="20"/>
        </w:rPr>
      </w:pPr>
      <w:r w:rsidRPr="00891D02">
        <w:rPr>
          <w:rFonts w:ascii="Arial" w:eastAsia="Arial" w:hAnsi="Arial" w:cs="Arial"/>
          <w:noProof/>
          <w:sz w:val="20"/>
          <w:szCs w:val="20"/>
        </w:rPr>
        <w:drawing>
          <wp:inline distT="0" distB="0" distL="0" distR="0" wp14:anchorId="27FC13F4" wp14:editId="38217F27">
            <wp:extent cx="4162425" cy="4086225"/>
            <wp:effectExtent l="0" t="0" r="9525" b="9525"/>
            <wp:docPr id="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2425" cy="4086225"/>
                    </a:xfrm>
                    <a:prstGeom prst="rect">
                      <a:avLst/>
                    </a:prstGeom>
                    <a:noFill/>
                    <a:ln>
                      <a:noFill/>
                    </a:ln>
                  </pic:spPr>
                </pic:pic>
              </a:graphicData>
            </a:graphic>
          </wp:inline>
        </w:drawing>
      </w:r>
    </w:p>
    <w:p w14:paraId="7B75D8DE"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Variación anual del personal ocupado total y contribución por tipo de contratación, según subsector de servicios.</w:t>
      </w:r>
    </w:p>
    <w:p w14:paraId="730DAEFC" w14:textId="77777777" w:rsidR="00891D02" w:rsidRPr="00891D02" w:rsidRDefault="00891D02" w:rsidP="00891D02">
      <w:pPr>
        <w:autoSpaceDE w:val="0"/>
        <w:spacing w:after="0" w:line="240" w:lineRule="auto"/>
        <w:jc w:val="both"/>
        <w:rPr>
          <w:rFonts w:ascii="Arial" w:eastAsia="Arial" w:hAnsi="Arial" w:cs="Arial"/>
          <w:sz w:val="20"/>
          <w:szCs w:val="20"/>
        </w:rPr>
      </w:pPr>
    </w:p>
    <w:p w14:paraId="6EFF00F1"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diciembre de 2025, nueve de los dieciocho subsectores de servicios presentaron variación positiva en el personal ocupado total, en comparación con diciembre de 2024.</w:t>
      </w:r>
    </w:p>
    <w:p w14:paraId="47D40015" w14:textId="77777777" w:rsidR="00891D02" w:rsidRPr="00891D02" w:rsidRDefault="00891D02" w:rsidP="00891D02">
      <w:pPr>
        <w:autoSpaceDE w:val="0"/>
        <w:spacing w:after="0" w:line="240" w:lineRule="auto"/>
        <w:jc w:val="both"/>
        <w:rPr>
          <w:rFonts w:ascii="Arial" w:eastAsia="Arial" w:hAnsi="Arial" w:cs="Arial"/>
          <w:sz w:val="20"/>
          <w:szCs w:val="20"/>
        </w:rPr>
      </w:pPr>
    </w:p>
    <w:p w14:paraId="2B13FA13" w14:textId="77777777" w:rsidR="00891D02" w:rsidRPr="00891D02" w:rsidRDefault="00891D02" w:rsidP="00891D02">
      <w:pPr>
        <w:autoSpaceDE w:val="0"/>
        <w:spacing w:after="0" w:line="240" w:lineRule="auto"/>
        <w:jc w:val="center"/>
        <w:rPr>
          <w:rFonts w:ascii="Arial" w:eastAsia="Arial" w:hAnsi="Arial" w:cs="Arial"/>
          <w:sz w:val="20"/>
          <w:szCs w:val="20"/>
        </w:rPr>
      </w:pPr>
      <w:r w:rsidRPr="00891D02">
        <w:rPr>
          <w:rFonts w:ascii="Arial" w:eastAsia="Arial" w:hAnsi="Arial" w:cs="Arial"/>
          <w:noProof/>
          <w:sz w:val="20"/>
          <w:szCs w:val="20"/>
        </w:rPr>
        <w:lastRenderedPageBreak/>
        <w:drawing>
          <wp:inline distT="0" distB="0" distL="0" distR="0" wp14:anchorId="79769EC1" wp14:editId="0D589A63">
            <wp:extent cx="4019550" cy="2705100"/>
            <wp:effectExtent l="0" t="0" r="0" b="0"/>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19550" cy="2705100"/>
                    </a:xfrm>
                    <a:prstGeom prst="rect">
                      <a:avLst/>
                    </a:prstGeom>
                    <a:noFill/>
                    <a:ln>
                      <a:noFill/>
                    </a:ln>
                  </pic:spPr>
                </pic:pic>
              </a:graphicData>
            </a:graphic>
          </wp:inline>
        </w:drawing>
      </w:r>
    </w:p>
    <w:p w14:paraId="386D7994" w14:textId="77777777" w:rsidR="00891D02" w:rsidRPr="00891D02" w:rsidRDefault="00891D02" w:rsidP="00891D02">
      <w:pPr>
        <w:autoSpaceDE w:val="0"/>
        <w:spacing w:after="0" w:line="240" w:lineRule="auto"/>
        <w:jc w:val="both"/>
        <w:rPr>
          <w:rFonts w:ascii="Arial" w:eastAsia="Arial" w:hAnsi="Arial" w:cs="Arial"/>
          <w:b/>
          <w:bCs/>
          <w:sz w:val="20"/>
          <w:szCs w:val="20"/>
        </w:rPr>
      </w:pPr>
      <w:r w:rsidRPr="00891D02">
        <w:rPr>
          <w:rFonts w:ascii="Arial" w:eastAsia="Arial" w:hAnsi="Arial" w:cs="Arial"/>
          <w:b/>
          <w:bCs/>
          <w:sz w:val="20"/>
          <w:szCs w:val="20"/>
        </w:rPr>
        <w:t xml:space="preserve">Variación anual de los salarios y contribución por tipo de contratación, según subsector de servicios. </w:t>
      </w:r>
    </w:p>
    <w:p w14:paraId="5ADDF1F7" w14:textId="77777777" w:rsidR="00891D02" w:rsidRPr="00891D02" w:rsidRDefault="00891D02" w:rsidP="00891D02">
      <w:pPr>
        <w:autoSpaceDE w:val="0"/>
        <w:spacing w:after="0" w:line="240" w:lineRule="auto"/>
        <w:jc w:val="both"/>
        <w:rPr>
          <w:rFonts w:ascii="Arial" w:eastAsia="Arial" w:hAnsi="Arial" w:cs="Arial"/>
          <w:sz w:val="20"/>
          <w:szCs w:val="20"/>
        </w:rPr>
      </w:pPr>
    </w:p>
    <w:p w14:paraId="0F986A59" w14:textId="77777777" w:rsidR="00891D02" w:rsidRPr="00891D02" w:rsidRDefault="00891D02" w:rsidP="00891D02">
      <w:pPr>
        <w:autoSpaceDE w:val="0"/>
        <w:spacing w:after="0" w:line="240" w:lineRule="auto"/>
        <w:jc w:val="both"/>
        <w:rPr>
          <w:rFonts w:ascii="Arial" w:eastAsia="Arial" w:hAnsi="Arial" w:cs="Arial"/>
          <w:sz w:val="20"/>
          <w:szCs w:val="20"/>
        </w:rPr>
      </w:pPr>
      <w:r w:rsidRPr="00891D02">
        <w:rPr>
          <w:rFonts w:ascii="Arial" w:eastAsia="Arial" w:hAnsi="Arial" w:cs="Arial"/>
          <w:sz w:val="20"/>
          <w:szCs w:val="20"/>
        </w:rPr>
        <w:t>En diciembre de 2025, todos los subsectores de servicios presentaron variación positiva en los salarios, en comparación con diciembre de 2024.</w:t>
      </w:r>
    </w:p>
    <w:p w14:paraId="65349519" w14:textId="77777777" w:rsidR="00891D02" w:rsidRPr="00891D02" w:rsidRDefault="00891D02" w:rsidP="00891D02">
      <w:pPr>
        <w:autoSpaceDE w:val="0"/>
        <w:spacing w:after="0" w:line="240" w:lineRule="auto"/>
        <w:jc w:val="both"/>
        <w:rPr>
          <w:rFonts w:ascii="Arial" w:eastAsia="Arial" w:hAnsi="Arial" w:cs="Arial"/>
        </w:rPr>
      </w:pPr>
    </w:p>
    <w:p w14:paraId="2D48C5D6" w14:textId="77777777" w:rsidR="00891D02" w:rsidRPr="00891D02" w:rsidRDefault="00891D02" w:rsidP="00891D02">
      <w:pPr>
        <w:autoSpaceDE w:val="0"/>
        <w:spacing w:after="0" w:line="240" w:lineRule="auto"/>
        <w:jc w:val="center"/>
        <w:rPr>
          <w:rFonts w:ascii="Arial" w:eastAsia="Arial" w:hAnsi="Arial" w:cs="Arial"/>
        </w:rPr>
      </w:pPr>
      <w:r w:rsidRPr="00891D02">
        <w:rPr>
          <w:rFonts w:ascii="Arial" w:eastAsia="Arial" w:hAnsi="Arial" w:cs="Arial"/>
          <w:noProof/>
        </w:rPr>
        <w:drawing>
          <wp:inline distT="0" distB="0" distL="0" distR="0" wp14:anchorId="05463DA0" wp14:editId="11597C5D">
            <wp:extent cx="3895725" cy="2705100"/>
            <wp:effectExtent l="0" t="0" r="9525"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5725" cy="2705100"/>
                    </a:xfrm>
                    <a:prstGeom prst="rect">
                      <a:avLst/>
                    </a:prstGeom>
                    <a:noFill/>
                    <a:ln>
                      <a:noFill/>
                    </a:ln>
                  </pic:spPr>
                </pic:pic>
              </a:graphicData>
            </a:graphic>
          </wp:inline>
        </w:drawing>
      </w:r>
    </w:p>
    <w:p w14:paraId="3BDF21AB" w14:textId="77777777" w:rsidR="0029356C" w:rsidRDefault="0029356C" w:rsidP="0029356C">
      <w:pPr>
        <w:autoSpaceDN w:val="0"/>
        <w:spacing w:after="0" w:line="240" w:lineRule="auto"/>
        <w:jc w:val="both"/>
        <w:rPr>
          <w:rFonts w:ascii="Arial" w:eastAsia="Calibri" w:hAnsi="Arial" w:cs="Arial"/>
          <w:color w:val="000000"/>
          <w:sz w:val="20"/>
          <w:szCs w:val="20"/>
        </w:rPr>
      </w:pPr>
    </w:p>
    <w:p w14:paraId="689A4CC7" w14:textId="77777777" w:rsidR="0029356C" w:rsidRPr="001A78E1" w:rsidRDefault="0029356C" w:rsidP="0029356C">
      <w:pPr>
        <w:pStyle w:val="Norma"/>
        <w:spacing w:after="0" w:line="240" w:lineRule="auto"/>
        <w:jc w:val="both"/>
        <w:rPr>
          <w:rFonts w:ascii="Arial" w:hAnsi="Arial" w:cs="Arial"/>
          <w:color w:val="000000"/>
          <w:sz w:val="20"/>
          <w:szCs w:val="20"/>
          <w:lang w:eastAsia="es-CO"/>
        </w:rPr>
      </w:pPr>
      <w:r w:rsidRPr="001A78E1">
        <w:rPr>
          <w:rFonts w:ascii="Arial" w:hAnsi="Arial" w:cs="Arial"/>
          <w:b/>
          <w:sz w:val="20"/>
          <w:szCs w:val="20"/>
        </w:rPr>
        <w:t xml:space="preserve">ANALISIS ECONOMICO DE LA PRESTACIÓN DE SERVICIOS INFORMATICOS, </w:t>
      </w:r>
      <w:r w:rsidRPr="0029356C">
        <w:rPr>
          <w:rFonts w:ascii="Arial" w:hAnsi="Arial" w:cs="Arial"/>
          <w:bCs/>
          <w:sz w:val="20"/>
          <w:szCs w:val="20"/>
        </w:rPr>
        <w:t xml:space="preserve">el </w:t>
      </w:r>
      <w:r w:rsidRPr="001A78E1">
        <w:rPr>
          <w:rFonts w:ascii="Arial" w:hAnsi="Arial" w:cs="Arial"/>
          <w:sz w:val="20"/>
          <w:szCs w:val="20"/>
        </w:rPr>
        <w:t>objeto del proceso de contratación pertenece al sector servicios y permite consolidar estrategias de participación ciudadana y generación de confianza por parte de la población en sus mandatarios y administradores de turno.</w:t>
      </w:r>
    </w:p>
    <w:p w14:paraId="02806818" w14:textId="77777777" w:rsidR="0029356C" w:rsidRPr="001A78E1" w:rsidRDefault="0029356C" w:rsidP="0029356C">
      <w:pPr>
        <w:pStyle w:val="Sinespaciado"/>
        <w:jc w:val="both"/>
        <w:rPr>
          <w:rFonts w:ascii="Arial" w:hAnsi="Arial" w:cs="Arial"/>
          <w:sz w:val="20"/>
          <w:szCs w:val="20"/>
        </w:rPr>
      </w:pPr>
    </w:p>
    <w:p w14:paraId="13260AD5" w14:textId="77777777" w:rsidR="0029356C" w:rsidRPr="001A78E1" w:rsidRDefault="0029356C" w:rsidP="0029356C">
      <w:pPr>
        <w:pStyle w:val="Sinespaciado"/>
        <w:jc w:val="both"/>
        <w:rPr>
          <w:rFonts w:ascii="Arial" w:hAnsi="Arial" w:cs="Arial"/>
          <w:sz w:val="20"/>
          <w:szCs w:val="20"/>
        </w:rPr>
      </w:pPr>
      <w:r w:rsidRPr="001A78E1">
        <w:rPr>
          <w:rFonts w:ascii="Arial" w:hAnsi="Arial" w:cs="Arial"/>
          <w:sz w:val="20"/>
          <w:szCs w:val="20"/>
        </w:rPr>
        <w:t xml:space="preserve">Las empresas que ofertan en esta modalidad pertenecen al </w:t>
      </w:r>
      <w:r w:rsidRPr="001A78E1">
        <w:rPr>
          <w:rFonts w:ascii="Arial" w:hAnsi="Arial" w:cs="Arial"/>
          <w:b/>
          <w:sz w:val="20"/>
          <w:szCs w:val="20"/>
        </w:rPr>
        <w:t xml:space="preserve">sector servicios, </w:t>
      </w:r>
      <w:r w:rsidRPr="001A78E1">
        <w:rPr>
          <w:rFonts w:ascii="Arial" w:hAnsi="Arial" w:cs="Arial"/>
          <w:bCs/>
          <w:sz w:val="20"/>
          <w:szCs w:val="20"/>
        </w:rPr>
        <w:t>son</w:t>
      </w:r>
      <w:r w:rsidRPr="001A78E1">
        <w:rPr>
          <w:rFonts w:ascii="Arial" w:hAnsi="Arial" w:cs="Arial"/>
          <w:sz w:val="20"/>
          <w:szCs w:val="20"/>
        </w:rPr>
        <w:t xml:space="preserve"> protagonistas en la economía local y su participación dinamiza los procesos económicos y sociales del territorio.</w:t>
      </w:r>
    </w:p>
    <w:p w14:paraId="357A4401" w14:textId="77777777" w:rsidR="0029356C" w:rsidRPr="001A78E1" w:rsidRDefault="0029356C" w:rsidP="0029356C">
      <w:pPr>
        <w:pStyle w:val="Sinespaciado"/>
        <w:jc w:val="both"/>
        <w:rPr>
          <w:rFonts w:ascii="Arial" w:hAnsi="Arial" w:cs="Arial"/>
          <w:b/>
          <w:sz w:val="20"/>
          <w:szCs w:val="20"/>
        </w:rPr>
      </w:pPr>
    </w:p>
    <w:p w14:paraId="2E8FB4CE" w14:textId="77777777" w:rsidR="0029356C" w:rsidRDefault="0029356C" w:rsidP="0029356C">
      <w:pPr>
        <w:pStyle w:val="Sinespaciado"/>
        <w:jc w:val="center"/>
        <w:rPr>
          <w:rFonts w:ascii="Arial" w:hAnsi="Arial" w:cs="Arial"/>
          <w:color w:val="000000"/>
          <w:sz w:val="20"/>
          <w:szCs w:val="20"/>
        </w:rPr>
      </w:pPr>
      <w:r w:rsidRPr="001A78E1">
        <w:rPr>
          <w:rFonts w:ascii="Arial" w:hAnsi="Arial" w:cs="Arial"/>
          <w:b/>
          <w:sz w:val="20"/>
          <w:szCs w:val="20"/>
        </w:rPr>
        <w:lastRenderedPageBreak/>
        <w:t>ANALISIS DE LA PRESTACIÓN DE SERVICIOS INFORMATICOS</w:t>
      </w:r>
    </w:p>
    <w:p w14:paraId="5A17FF87" w14:textId="77777777" w:rsidR="0029356C" w:rsidRPr="001A78E1" w:rsidRDefault="0029356C" w:rsidP="0029356C">
      <w:pPr>
        <w:pStyle w:val="Sinespaciado"/>
        <w:jc w:val="both"/>
        <w:rPr>
          <w:rFonts w:ascii="Arial" w:hAnsi="Arial" w:cs="Arial"/>
          <w:color w:val="000000"/>
          <w:sz w:val="20"/>
          <w:szCs w:val="20"/>
        </w:rPr>
      </w:pPr>
    </w:p>
    <w:p w14:paraId="65B2BCD3" w14:textId="77777777" w:rsidR="0029356C" w:rsidRPr="001A78E1" w:rsidRDefault="0029356C" w:rsidP="0029356C">
      <w:pPr>
        <w:pStyle w:val="Sinespaciado"/>
        <w:jc w:val="both"/>
        <w:rPr>
          <w:rFonts w:ascii="Arial" w:hAnsi="Arial" w:cs="Arial"/>
          <w:sz w:val="20"/>
          <w:szCs w:val="20"/>
        </w:rPr>
      </w:pPr>
      <w:r w:rsidRPr="001A78E1">
        <w:rPr>
          <w:rFonts w:ascii="Arial" w:hAnsi="Arial" w:cs="Arial"/>
          <w:sz w:val="20"/>
          <w:szCs w:val="20"/>
        </w:rPr>
        <w:t>Para este proceso se tuvo en cuenta para el análisis de la Demanda el histórico de la Entidad y de diferentes entidades, con contratos de objeto similar publicados en el SECOP</w:t>
      </w:r>
      <w:r>
        <w:rPr>
          <w:rFonts w:ascii="Arial" w:hAnsi="Arial" w:cs="Arial"/>
          <w:sz w:val="20"/>
          <w:szCs w:val="20"/>
        </w:rPr>
        <w:t>.</w:t>
      </w:r>
    </w:p>
    <w:p w14:paraId="20E3E095" w14:textId="77777777" w:rsidR="0029356C" w:rsidRDefault="0029356C" w:rsidP="00891D02">
      <w:pPr>
        <w:autoSpaceDN w:val="0"/>
        <w:spacing w:after="0" w:line="240" w:lineRule="auto"/>
        <w:jc w:val="both"/>
        <w:rPr>
          <w:rFonts w:ascii="Arial" w:eastAsia="Calibri" w:hAnsi="Arial" w:cs="Arial"/>
          <w:color w:val="000000"/>
          <w:sz w:val="20"/>
          <w:szCs w:val="20"/>
        </w:rPr>
      </w:pPr>
    </w:p>
    <w:p w14:paraId="5BDA6FD8" w14:textId="2B2AB80F" w:rsidR="00891D02" w:rsidRDefault="00891D02" w:rsidP="00891D02">
      <w:pPr>
        <w:autoSpaceDN w:val="0"/>
        <w:spacing w:after="0" w:line="240" w:lineRule="auto"/>
        <w:jc w:val="both"/>
        <w:rPr>
          <w:rFonts w:ascii="Arial" w:eastAsia="Calibri" w:hAnsi="Arial" w:cs="Arial"/>
          <w:sz w:val="20"/>
          <w:szCs w:val="20"/>
        </w:rPr>
      </w:pPr>
      <w:r w:rsidRPr="00891D02">
        <w:rPr>
          <w:rFonts w:ascii="Arial" w:eastAsia="Calibri" w:hAnsi="Arial" w:cs="Arial"/>
          <w:color w:val="000000"/>
          <w:sz w:val="20"/>
          <w:szCs w:val="20"/>
        </w:rPr>
        <w:t xml:space="preserve">La </w:t>
      </w:r>
      <w:r w:rsidRPr="00891D02">
        <w:rPr>
          <w:rFonts w:ascii="Arial" w:eastAsia="Calibri" w:hAnsi="Arial" w:cs="Arial"/>
          <w:b/>
          <w:color w:val="000000"/>
          <w:sz w:val="20"/>
          <w:szCs w:val="20"/>
        </w:rPr>
        <w:t>Administración Central del Municipio,</w:t>
      </w:r>
      <w:r w:rsidRPr="00891D02">
        <w:rPr>
          <w:rFonts w:ascii="Arial" w:eastAsia="Calibri" w:hAnsi="Arial" w:cs="Arial"/>
          <w:color w:val="000000"/>
          <w:sz w:val="20"/>
          <w:szCs w:val="20"/>
        </w:rPr>
        <w:t xml:space="preserve"> en pro de garantizar la ADQUISICIÓN DE LICENCIAS ANTIVIRUS TIPO ENDPOINT PARA LA PROTECCIÓN Y SEGURIDAD INFORMATICA DE LOS EQUIPOS DE COMPUTO Y LA RED INTERNA DE LA ADMINISTRACION MUNICIPAL DE REMEDIOS ANTIOQUIA</w:t>
      </w:r>
      <w:r w:rsidRPr="00891D02">
        <w:rPr>
          <w:rFonts w:ascii="Arial" w:eastAsia="Calibri" w:hAnsi="Arial" w:cs="Arial"/>
          <w:color w:val="000000"/>
          <w:sz w:val="20"/>
          <w:szCs w:val="20"/>
          <w:lang w:val="es-MX"/>
        </w:rPr>
        <w:t xml:space="preserve">, </w:t>
      </w:r>
      <w:r w:rsidRPr="00891D02">
        <w:rPr>
          <w:rFonts w:ascii="Arial" w:eastAsia="Calibri" w:hAnsi="Arial" w:cs="Arial"/>
          <w:color w:val="000000"/>
          <w:sz w:val="20"/>
          <w:szCs w:val="20"/>
        </w:rPr>
        <w:t xml:space="preserve">pretende adelantar un proceso de contratación con el fin de satisfacer la mencionada necesidad, por lo que previamente se realizó un </w:t>
      </w:r>
      <w:r w:rsidRPr="00891D02">
        <w:rPr>
          <w:rFonts w:ascii="Arial" w:eastAsia="Times New Roman" w:hAnsi="Arial" w:cs="Arial"/>
          <w:b/>
          <w:sz w:val="20"/>
          <w:szCs w:val="20"/>
        </w:rPr>
        <w:t>estudio del sector económico</w:t>
      </w:r>
      <w:r w:rsidRPr="00891D02">
        <w:rPr>
          <w:rFonts w:ascii="Arial" w:eastAsia="Times New Roman" w:hAnsi="Arial" w:cs="Arial"/>
          <w:sz w:val="20"/>
          <w:szCs w:val="20"/>
        </w:rPr>
        <w:t xml:space="preserve"> (Mercado)</w:t>
      </w:r>
      <w:r w:rsidRPr="00891D02">
        <w:rPr>
          <w:rFonts w:ascii="Arial" w:eastAsia="Calibri" w:hAnsi="Arial" w:cs="Arial"/>
          <w:b/>
          <w:color w:val="FF0000"/>
          <w:sz w:val="20"/>
          <w:szCs w:val="20"/>
        </w:rPr>
        <w:t xml:space="preserve"> </w:t>
      </w:r>
      <w:r w:rsidRPr="00891D02">
        <w:rPr>
          <w:rFonts w:ascii="Arial" w:eastAsia="Calibri" w:hAnsi="Arial" w:cs="Arial"/>
          <w:sz w:val="20"/>
          <w:szCs w:val="20"/>
        </w:rPr>
        <w:t>y se</w:t>
      </w:r>
      <w:r w:rsidRPr="00891D02">
        <w:rPr>
          <w:rFonts w:ascii="Arial" w:eastAsia="Calibri" w:hAnsi="Arial" w:cs="Arial"/>
          <w:b/>
          <w:color w:val="FF0000"/>
          <w:sz w:val="20"/>
          <w:szCs w:val="20"/>
        </w:rPr>
        <w:t xml:space="preserve"> </w:t>
      </w:r>
      <w:r w:rsidRPr="00891D02">
        <w:rPr>
          <w:rFonts w:ascii="Arial" w:eastAsia="Times New Roman" w:hAnsi="Arial" w:cs="Arial"/>
          <w:sz w:val="20"/>
          <w:szCs w:val="20"/>
        </w:rPr>
        <w:t>consideran las siguientes cifras económicas y comerciales que influyeron en la dinámica del proceso, en especial lo relacionado con el cálculo de los precios unitarios y de los costos administrativos del proyecto, el cual fue realizado mediante</w:t>
      </w:r>
      <w:r w:rsidRPr="00891D02">
        <w:rPr>
          <w:rFonts w:ascii="Arial" w:eastAsia="Calibri" w:hAnsi="Arial" w:cs="Arial"/>
          <w:sz w:val="20"/>
          <w:szCs w:val="20"/>
        </w:rPr>
        <w:t>:</w:t>
      </w:r>
    </w:p>
    <w:p w14:paraId="2AAE141B" w14:textId="77777777" w:rsidR="0029356C" w:rsidRPr="00891D02" w:rsidRDefault="0029356C" w:rsidP="00891D02">
      <w:pPr>
        <w:autoSpaceDN w:val="0"/>
        <w:spacing w:after="0" w:line="240" w:lineRule="auto"/>
        <w:jc w:val="both"/>
        <w:rPr>
          <w:rFonts w:ascii="Arial" w:eastAsia="Times New Roman" w:hAnsi="Arial" w:cs="Arial"/>
          <w:sz w:val="20"/>
          <w:szCs w:val="20"/>
          <w:lang w:eastAsia="es-CO"/>
        </w:rPr>
      </w:pPr>
    </w:p>
    <w:p w14:paraId="63C30D73" w14:textId="77777777" w:rsidR="00891D02" w:rsidRPr="00891D02" w:rsidRDefault="00891D02" w:rsidP="00891D02">
      <w:pPr>
        <w:autoSpaceDN w:val="0"/>
        <w:spacing w:after="0" w:line="240" w:lineRule="auto"/>
        <w:jc w:val="both"/>
        <w:rPr>
          <w:rFonts w:ascii="Arial" w:eastAsia="Times New Roman" w:hAnsi="Arial" w:cs="Arial"/>
          <w:color w:val="FF0000"/>
          <w:sz w:val="20"/>
          <w:szCs w:val="20"/>
        </w:rPr>
      </w:pPr>
      <w:r w:rsidRPr="00891D02">
        <w:rPr>
          <w:rFonts w:ascii="Arial" w:eastAsia="Times New Roman" w:hAnsi="Arial" w:cs="Arial"/>
          <w:b/>
          <w:bCs/>
          <w:sz w:val="20"/>
          <w:szCs w:val="20"/>
        </w:rPr>
        <w:t>Históricos del municipio en vigencias anteriores</w:t>
      </w:r>
      <w:r w:rsidRPr="00891D02">
        <w:rPr>
          <w:rFonts w:ascii="Arial" w:eastAsia="Times New Roman" w:hAnsi="Arial" w:cs="Arial"/>
          <w:color w:val="000000" w:themeColor="text1"/>
          <w:sz w:val="20"/>
          <w:szCs w:val="20"/>
        </w:rPr>
        <w:t>:</w:t>
      </w:r>
    </w:p>
    <w:p w14:paraId="4CE7D00A" w14:textId="77777777" w:rsidR="00891D02" w:rsidRPr="00891D02" w:rsidRDefault="00891D02" w:rsidP="00891D02">
      <w:pPr>
        <w:autoSpaceDN w:val="0"/>
        <w:spacing w:after="0" w:line="240" w:lineRule="auto"/>
        <w:jc w:val="both"/>
        <w:rPr>
          <w:rFonts w:ascii="Arial" w:eastAsia="Times New Roman" w:hAnsi="Arial" w:cs="Arial"/>
          <w:sz w:val="20"/>
          <w:szCs w:val="20"/>
        </w:rPr>
      </w:pPr>
    </w:p>
    <w:p w14:paraId="7424F29C" w14:textId="77777777" w:rsidR="00891D02" w:rsidRPr="00891D02" w:rsidRDefault="00891D02" w:rsidP="00891D02">
      <w:pPr>
        <w:autoSpaceDN w:val="0"/>
        <w:spacing w:after="0" w:line="240" w:lineRule="auto"/>
        <w:jc w:val="both"/>
        <w:rPr>
          <w:rFonts w:ascii="Arial" w:eastAsia="Times New Roman" w:hAnsi="Arial" w:cs="Arial"/>
          <w:sz w:val="20"/>
          <w:szCs w:val="20"/>
        </w:rPr>
      </w:pPr>
      <w:r w:rsidRPr="00891D02">
        <w:rPr>
          <w:rFonts w:ascii="Arial" w:eastAsia="Times New Roman" w:hAnsi="Arial" w:cs="Arial"/>
          <w:sz w:val="20"/>
          <w:szCs w:val="20"/>
        </w:rPr>
        <w:t xml:space="preserve">Revisada la página del SECOP I y SECOP II del municipio se encontró que hubo realizado convocatorias similares: </w:t>
      </w:r>
    </w:p>
    <w:p w14:paraId="1F3248D7" w14:textId="77777777" w:rsidR="00F313CB" w:rsidRPr="001A78E1" w:rsidRDefault="00F313CB" w:rsidP="00F313CB">
      <w:pPr>
        <w:autoSpaceDE w:val="0"/>
        <w:autoSpaceDN w:val="0"/>
        <w:adjustRightInd w:val="0"/>
        <w:spacing w:after="0" w:line="240" w:lineRule="auto"/>
        <w:jc w:val="both"/>
        <w:rPr>
          <w:rFonts w:ascii="Arial" w:hAnsi="Arial" w:cs="Arial"/>
          <w:b/>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1129"/>
        <w:gridCol w:w="4221"/>
        <w:gridCol w:w="1252"/>
        <w:gridCol w:w="1310"/>
        <w:gridCol w:w="1438"/>
      </w:tblGrid>
      <w:tr w:rsidR="00F313CB" w:rsidRPr="001A78E1" w14:paraId="20900264" w14:textId="77777777" w:rsidTr="0099771B">
        <w:trPr>
          <w:trHeight w:val="450"/>
          <w:jc w:val="center"/>
        </w:trPr>
        <w:tc>
          <w:tcPr>
            <w:tcW w:w="6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2127F6" w14:textId="77777777" w:rsidR="00F313CB" w:rsidRPr="001A78E1" w:rsidRDefault="00F313CB" w:rsidP="00E00B10">
            <w:pPr>
              <w:spacing w:after="0" w:line="240" w:lineRule="auto"/>
              <w:jc w:val="center"/>
              <w:rPr>
                <w:rFonts w:ascii="Arial" w:hAnsi="Arial" w:cs="Arial"/>
                <w:b/>
                <w:bCs/>
                <w:sz w:val="16"/>
                <w:szCs w:val="16"/>
                <w:lang w:eastAsia="es-CO"/>
              </w:rPr>
            </w:pPr>
            <w:r w:rsidRPr="001A78E1">
              <w:rPr>
                <w:rFonts w:ascii="Arial" w:hAnsi="Arial" w:cs="Arial"/>
                <w:b/>
                <w:bCs/>
                <w:sz w:val="16"/>
                <w:szCs w:val="16"/>
                <w:lang w:eastAsia="es-CO"/>
              </w:rPr>
              <w:t xml:space="preserve">CÓDIGO </w:t>
            </w:r>
            <w:r w:rsidRPr="001A78E1">
              <w:rPr>
                <w:rFonts w:ascii="Arial" w:hAnsi="Arial" w:cs="Arial"/>
                <w:b/>
                <w:bCs/>
                <w:sz w:val="16"/>
                <w:szCs w:val="16"/>
                <w:lang w:eastAsia="es-CO"/>
              </w:rPr>
              <w:br/>
              <w:t>CONTRATO</w:t>
            </w:r>
          </w:p>
        </w:tc>
        <w:tc>
          <w:tcPr>
            <w:tcW w:w="23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06E99F" w14:textId="77777777" w:rsidR="00F313CB" w:rsidRPr="001A78E1" w:rsidRDefault="00F313CB" w:rsidP="00E00B10">
            <w:pPr>
              <w:spacing w:after="0" w:line="240" w:lineRule="auto"/>
              <w:jc w:val="center"/>
              <w:rPr>
                <w:rFonts w:ascii="Arial" w:hAnsi="Arial" w:cs="Arial"/>
                <w:b/>
                <w:bCs/>
                <w:sz w:val="16"/>
                <w:szCs w:val="16"/>
                <w:lang w:eastAsia="es-CO"/>
              </w:rPr>
            </w:pPr>
            <w:r w:rsidRPr="001A78E1">
              <w:rPr>
                <w:rFonts w:ascii="Arial" w:hAnsi="Arial" w:cs="Arial"/>
                <w:b/>
                <w:bCs/>
                <w:sz w:val="16"/>
                <w:szCs w:val="16"/>
                <w:lang w:eastAsia="es-CO"/>
              </w:rPr>
              <w:t xml:space="preserve">OBJETO DEL </w:t>
            </w:r>
            <w:r w:rsidRPr="001A78E1">
              <w:rPr>
                <w:rFonts w:ascii="Arial" w:hAnsi="Arial" w:cs="Arial"/>
                <w:b/>
                <w:bCs/>
                <w:sz w:val="16"/>
                <w:szCs w:val="16"/>
                <w:lang w:eastAsia="es-CO"/>
              </w:rPr>
              <w:br/>
              <w:t>CONTRATO</w:t>
            </w:r>
          </w:p>
        </w:tc>
        <w:tc>
          <w:tcPr>
            <w:tcW w:w="53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A3D701F" w14:textId="77777777" w:rsidR="00F313CB" w:rsidRPr="001A78E1" w:rsidRDefault="00F313CB" w:rsidP="00E00B10">
            <w:pPr>
              <w:spacing w:after="0" w:line="240" w:lineRule="auto"/>
              <w:jc w:val="center"/>
              <w:rPr>
                <w:rFonts w:ascii="Arial" w:hAnsi="Arial" w:cs="Arial"/>
                <w:b/>
                <w:bCs/>
                <w:sz w:val="16"/>
                <w:szCs w:val="16"/>
                <w:lang w:eastAsia="es-CO"/>
              </w:rPr>
            </w:pPr>
            <w:r w:rsidRPr="001A78E1">
              <w:rPr>
                <w:rFonts w:ascii="Arial" w:hAnsi="Arial" w:cs="Arial"/>
                <w:b/>
                <w:bCs/>
                <w:sz w:val="16"/>
                <w:szCs w:val="16"/>
                <w:lang w:eastAsia="es-CO"/>
              </w:rPr>
              <w:t>FECHA SUSCRIPCIÓN</w:t>
            </w:r>
          </w:p>
        </w:tc>
        <w:tc>
          <w:tcPr>
            <w:tcW w:w="7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033CBD" w14:textId="77777777" w:rsidR="00F313CB" w:rsidRPr="001A78E1" w:rsidRDefault="00F313CB" w:rsidP="00E00B10">
            <w:pPr>
              <w:spacing w:after="0" w:line="240" w:lineRule="auto"/>
              <w:jc w:val="center"/>
              <w:rPr>
                <w:rFonts w:ascii="Arial" w:hAnsi="Arial" w:cs="Arial"/>
                <w:b/>
                <w:bCs/>
                <w:sz w:val="16"/>
                <w:szCs w:val="16"/>
                <w:lang w:eastAsia="es-CO"/>
              </w:rPr>
            </w:pPr>
            <w:r w:rsidRPr="001A78E1">
              <w:rPr>
                <w:rFonts w:ascii="Arial" w:hAnsi="Arial" w:cs="Arial"/>
                <w:b/>
                <w:bCs/>
                <w:sz w:val="16"/>
                <w:szCs w:val="16"/>
                <w:lang w:eastAsia="es-CO"/>
              </w:rPr>
              <w:t xml:space="preserve">VALOR </w:t>
            </w:r>
            <w:r w:rsidRPr="001A78E1">
              <w:rPr>
                <w:rFonts w:ascii="Arial" w:hAnsi="Arial" w:cs="Arial"/>
                <w:b/>
                <w:bCs/>
                <w:sz w:val="16"/>
                <w:szCs w:val="16"/>
                <w:lang w:eastAsia="es-CO"/>
              </w:rPr>
              <w:br/>
              <w:t>CONTRATO</w:t>
            </w:r>
          </w:p>
        </w:tc>
        <w:tc>
          <w:tcPr>
            <w:tcW w:w="76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3DF294" w14:textId="77777777" w:rsidR="00F313CB" w:rsidRPr="001A78E1" w:rsidRDefault="00F313CB" w:rsidP="00E00B10">
            <w:pPr>
              <w:spacing w:after="0" w:line="240" w:lineRule="auto"/>
              <w:jc w:val="center"/>
              <w:rPr>
                <w:rFonts w:ascii="Arial" w:hAnsi="Arial" w:cs="Arial"/>
                <w:b/>
                <w:bCs/>
                <w:sz w:val="16"/>
                <w:szCs w:val="16"/>
                <w:lang w:eastAsia="es-CO"/>
              </w:rPr>
            </w:pPr>
            <w:r w:rsidRPr="001A78E1">
              <w:rPr>
                <w:rFonts w:ascii="Arial" w:hAnsi="Arial" w:cs="Arial"/>
                <w:b/>
                <w:bCs/>
                <w:sz w:val="16"/>
                <w:szCs w:val="16"/>
                <w:lang w:eastAsia="es-CO"/>
              </w:rPr>
              <w:t xml:space="preserve">PROCESO DE </w:t>
            </w:r>
            <w:r w:rsidRPr="001A78E1">
              <w:rPr>
                <w:rFonts w:ascii="Arial" w:hAnsi="Arial" w:cs="Arial"/>
                <w:b/>
                <w:bCs/>
                <w:sz w:val="16"/>
                <w:szCs w:val="16"/>
                <w:lang w:eastAsia="es-CO"/>
              </w:rPr>
              <w:br/>
              <w:t>CONTRATACIÓN</w:t>
            </w:r>
          </w:p>
        </w:tc>
      </w:tr>
      <w:tr w:rsidR="00F313CB" w:rsidRPr="001A78E1" w14:paraId="1A7D963F" w14:textId="77777777" w:rsidTr="0099771B">
        <w:trPr>
          <w:trHeight w:val="1125"/>
          <w:jc w:val="center"/>
        </w:trPr>
        <w:tc>
          <w:tcPr>
            <w:tcW w:w="650" w:type="pct"/>
            <w:tcBorders>
              <w:top w:val="single" w:sz="4" w:space="0" w:color="auto"/>
              <w:left w:val="single" w:sz="4" w:space="0" w:color="auto"/>
              <w:bottom w:val="single" w:sz="4" w:space="0" w:color="auto"/>
              <w:right w:val="single" w:sz="4" w:space="0" w:color="auto"/>
            </w:tcBorders>
            <w:shd w:val="clear" w:color="F8FAFC" w:fill="FFFFFF"/>
            <w:vAlign w:val="center"/>
            <w:hideMark/>
          </w:tcPr>
          <w:p w14:paraId="7FCCE5B0" w14:textId="77777777" w:rsidR="00F313CB" w:rsidRPr="001A78E1" w:rsidRDefault="00F313CB" w:rsidP="0099771B">
            <w:pPr>
              <w:spacing w:after="0" w:line="240" w:lineRule="auto"/>
              <w:jc w:val="center"/>
              <w:rPr>
                <w:rFonts w:ascii="Arial" w:hAnsi="Arial" w:cs="Arial"/>
                <w:sz w:val="16"/>
                <w:szCs w:val="16"/>
                <w:lang w:eastAsia="es-CO"/>
              </w:rPr>
            </w:pPr>
            <w:r w:rsidRPr="001A78E1">
              <w:rPr>
                <w:rFonts w:ascii="Arial" w:hAnsi="Arial" w:cs="Arial"/>
                <w:sz w:val="16"/>
                <w:szCs w:val="16"/>
                <w:lang w:eastAsia="es-CO"/>
              </w:rPr>
              <w:t>SGSA-504-2019</w:t>
            </w:r>
          </w:p>
        </w:tc>
        <w:tc>
          <w:tcPr>
            <w:tcW w:w="2304" w:type="pct"/>
            <w:tcBorders>
              <w:top w:val="single" w:sz="4" w:space="0" w:color="auto"/>
              <w:left w:val="single" w:sz="4" w:space="0" w:color="auto"/>
              <w:bottom w:val="single" w:sz="4" w:space="0" w:color="auto"/>
              <w:right w:val="single" w:sz="4" w:space="0" w:color="auto"/>
            </w:tcBorders>
            <w:shd w:val="clear" w:color="F8FAFC" w:fill="FFFFFF"/>
            <w:vAlign w:val="center"/>
            <w:hideMark/>
          </w:tcPr>
          <w:p w14:paraId="72949FF9" w14:textId="7C34F3A6" w:rsidR="00F313CB" w:rsidRPr="001A78E1" w:rsidRDefault="00F313CB" w:rsidP="0099771B">
            <w:pPr>
              <w:spacing w:after="0" w:line="240" w:lineRule="auto"/>
              <w:jc w:val="both"/>
              <w:rPr>
                <w:rFonts w:ascii="Arial" w:hAnsi="Arial" w:cs="Arial"/>
                <w:sz w:val="16"/>
                <w:szCs w:val="16"/>
                <w:lang w:eastAsia="es-CO"/>
              </w:rPr>
            </w:pPr>
            <w:r w:rsidRPr="001A78E1">
              <w:rPr>
                <w:rFonts w:ascii="Arial" w:hAnsi="Arial" w:cs="Arial"/>
                <w:sz w:val="16"/>
                <w:szCs w:val="16"/>
                <w:lang w:eastAsia="es-CO"/>
              </w:rPr>
              <w:t>ADQUISICIÓN DE 40 LICENCIAS DE CORREOS ELECTRÓNICOS INSTITUCIONALES CON UNA CAPACIDAD DE 50GB Y 1 TERA DE ALMACENAMIENTO EN LA NUBE, PARA EL FORTALECIMIENTO INSTITUCIONAL DEL MUNICIPIO DE REMEDIOS</w:t>
            </w:r>
            <w:r w:rsidR="0099771B">
              <w:rPr>
                <w:rFonts w:ascii="Arial" w:hAnsi="Arial" w:cs="Arial"/>
                <w:sz w:val="16"/>
                <w:szCs w:val="16"/>
                <w:lang w:eastAsia="es-CO"/>
              </w:rPr>
              <w:t>.</w:t>
            </w:r>
          </w:p>
        </w:tc>
        <w:tc>
          <w:tcPr>
            <w:tcW w:w="530" w:type="pct"/>
            <w:tcBorders>
              <w:top w:val="single" w:sz="4" w:space="0" w:color="auto"/>
              <w:left w:val="nil"/>
              <w:bottom w:val="single" w:sz="4" w:space="0" w:color="auto"/>
              <w:right w:val="single" w:sz="4" w:space="0" w:color="auto"/>
            </w:tcBorders>
            <w:shd w:val="clear" w:color="F8FAFC" w:fill="FFFFFF"/>
            <w:vAlign w:val="center"/>
            <w:hideMark/>
          </w:tcPr>
          <w:p w14:paraId="4ACA0A38" w14:textId="77777777" w:rsidR="00F313CB" w:rsidRPr="001A78E1" w:rsidRDefault="00F313CB" w:rsidP="0099771B">
            <w:pPr>
              <w:spacing w:after="0" w:line="240" w:lineRule="auto"/>
              <w:jc w:val="center"/>
              <w:rPr>
                <w:rFonts w:ascii="Arial" w:hAnsi="Arial" w:cs="Arial"/>
                <w:sz w:val="16"/>
                <w:szCs w:val="16"/>
                <w:lang w:eastAsia="es-CO"/>
              </w:rPr>
            </w:pPr>
            <w:r w:rsidRPr="001A78E1">
              <w:rPr>
                <w:rFonts w:ascii="Arial" w:hAnsi="Arial" w:cs="Arial"/>
                <w:sz w:val="16"/>
                <w:szCs w:val="16"/>
                <w:lang w:eastAsia="es-CO"/>
              </w:rPr>
              <w:t>20/12/2019</w:t>
            </w:r>
          </w:p>
        </w:tc>
        <w:tc>
          <w:tcPr>
            <w:tcW w:w="747" w:type="pct"/>
            <w:tcBorders>
              <w:top w:val="single" w:sz="4" w:space="0" w:color="auto"/>
              <w:left w:val="single" w:sz="4" w:space="0" w:color="auto"/>
              <w:bottom w:val="single" w:sz="4" w:space="0" w:color="auto"/>
              <w:right w:val="single" w:sz="4" w:space="0" w:color="auto"/>
            </w:tcBorders>
            <w:shd w:val="clear" w:color="F8FAFC" w:fill="FFFFFF"/>
            <w:vAlign w:val="center"/>
            <w:hideMark/>
          </w:tcPr>
          <w:p w14:paraId="43F6DC70" w14:textId="77777777" w:rsidR="00F313CB" w:rsidRPr="001A78E1" w:rsidRDefault="00F313CB" w:rsidP="00E00B10">
            <w:pPr>
              <w:spacing w:after="0" w:line="240" w:lineRule="auto"/>
              <w:jc w:val="right"/>
              <w:rPr>
                <w:rFonts w:ascii="Arial" w:hAnsi="Arial" w:cs="Arial"/>
                <w:sz w:val="16"/>
                <w:szCs w:val="16"/>
                <w:lang w:eastAsia="es-CO"/>
              </w:rPr>
            </w:pPr>
            <w:r w:rsidRPr="001A78E1">
              <w:rPr>
                <w:rFonts w:ascii="Arial" w:hAnsi="Arial" w:cs="Arial"/>
                <w:sz w:val="16"/>
                <w:szCs w:val="16"/>
                <w:lang w:eastAsia="es-CO"/>
              </w:rPr>
              <w:t>$15.241.040,00</w:t>
            </w:r>
          </w:p>
        </w:tc>
        <w:tc>
          <w:tcPr>
            <w:tcW w:w="769" w:type="pct"/>
            <w:tcBorders>
              <w:top w:val="single" w:sz="4" w:space="0" w:color="auto"/>
              <w:left w:val="nil"/>
              <w:bottom w:val="single" w:sz="4" w:space="0" w:color="auto"/>
              <w:right w:val="single" w:sz="4" w:space="0" w:color="auto"/>
            </w:tcBorders>
            <w:shd w:val="clear" w:color="F8FAFC" w:fill="FFFFFF"/>
            <w:vAlign w:val="center"/>
            <w:hideMark/>
          </w:tcPr>
          <w:p w14:paraId="70738336" w14:textId="77777777" w:rsidR="00F313CB" w:rsidRPr="001A78E1" w:rsidRDefault="00F313CB" w:rsidP="0099771B">
            <w:pPr>
              <w:spacing w:after="0" w:line="240" w:lineRule="auto"/>
              <w:jc w:val="center"/>
              <w:rPr>
                <w:rFonts w:ascii="Arial" w:hAnsi="Arial" w:cs="Arial"/>
                <w:sz w:val="16"/>
                <w:szCs w:val="16"/>
                <w:lang w:eastAsia="es-CO"/>
              </w:rPr>
            </w:pPr>
            <w:r w:rsidRPr="001A78E1">
              <w:rPr>
                <w:rFonts w:ascii="Arial" w:hAnsi="Arial" w:cs="Arial"/>
                <w:sz w:val="16"/>
                <w:szCs w:val="16"/>
                <w:lang w:eastAsia="es-CO"/>
              </w:rPr>
              <w:t>Mínima Cuantía</w:t>
            </w:r>
          </w:p>
        </w:tc>
      </w:tr>
      <w:tr w:rsidR="007853B5" w:rsidRPr="001A78E1" w14:paraId="1EC84922" w14:textId="77777777" w:rsidTr="0099771B">
        <w:trPr>
          <w:trHeight w:val="695"/>
          <w:jc w:val="center"/>
        </w:trPr>
        <w:tc>
          <w:tcPr>
            <w:tcW w:w="650" w:type="pct"/>
            <w:tcBorders>
              <w:top w:val="single" w:sz="4" w:space="0" w:color="auto"/>
              <w:left w:val="single" w:sz="4" w:space="0" w:color="auto"/>
              <w:bottom w:val="single" w:sz="4" w:space="0" w:color="auto"/>
              <w:right w:val="single" w:sz="4" w:space="0" w:color="auto"/>
            </w:tcBorders>
            <w:shd w:val="clear" w:color="F8FAFC" w:fill="FFFFFF"/>
            <w:vAlign w:val="center"/>
          </w:tcPr>
          <w:p w14:paraId="0700536E" w14:textId="7B051DAF" w:rsidR="007853B5" w:rsidRPr="001A78E1" w:rsidRDefault="007853B5" w:rsidP="0099771B">
            <w:pPr>
              <w:spacing w:after="0" w:line="240" w:lineRule="auto"/>
              <w:jc w:val="center"/>
              <w:rPr>
                <w:rFonts w:ascii="Arial" w:hAnsi="Arial" w:cs="Arial"/>
                <w:sz w:val="16"/>
                <w:szCs w:val="16"/>
                <w:lang w:eastAsia="es-CO"/>
              </w:rPr>
            </w:pPr>
            <w:r>
              <w:rPr>
                <w:rFonts w:ascii="Arial" w:hAnsi="Arial" w:cs="Arial"/>
                <w:sz w:val="16"/>
                <w:szCs w:val="16"/>
                <w:lang w:eastAsia="es-CO"/>
              </w:rPr>
              <w:t>SGSA-110-202</w:t>
            </w:r>
            <w:r w:rsidR="006C3074">
              <w:rPr>
                <w:rFonts w:ascii="Arial" w:hAnsi="Arial" w:cs="Arial"/>
                <w:sz w:val="16"/>
                <w:szCs w:val="16"/>
                <w:lang w:eastAsia="es-CO"/>
              </w:rPr>
              <w:t>3</w:t>
            </w:r>
          </w:p>
        </w:tc>
        <w:tc>
          <w:tcPr>
            <w:tcW w:w="2304" w:type="pct"/>
            <w:tcBorders>
              <w:top w:val="single" w:sz="4" w:space="0" w:color="auto"/>
              <w:left w:val="single" w:sz="4" w:space="0" w:color="auto"/>
              <w:bottom w:val="single" w:sz="4" w:space="0" w:color="auto"/>
              <w:right w:val="single" w:sz="4" w:space="0" w:color="auto"/>
            </w:tcBorders>
            <w:shd w:val="clear" w:color="F8FAFC" w:fill="FFFFFF"/>
            <w:vAlign w:val="center"/>
          </w:tcPr>
          <w:p w14:paraId="328D4EB8" w14:textId="1674106F" w:rsidR="007853B5" w:rsidRPr="001A78E1" w:rsidRDefault="007853B5" w:rsidP="0099771B">
            <w:pPr>
              <w:spacing w:after="0" w:line="240" w:lineRule="auto"/>
              <w:jc w:val="both"/>
              <w:rPr>
                <w:rFonts w:ascii="Arial" w:hAnsi="Arial" w:cs="Arial"/>
                <w:sz w:val="16"/>
                <w:szCs w:val="16"/>
                <w:lang w:eastAsia="es-CO"/>
              </w:rPr>
            </w:pPr>
            <w:r w:rsidRPr="007853B5">
              <w:rPr>
                <w:rFonts w:ascii="Arial" w:hAnsi="Arial" w:cs="Arial"/>
                <w:sz w:val="16"/>
                <w:szCs w:val="16"/>
                <w:lang w:eastAsia="es-CO"/>
              </w:rPr>
              <w:t>ADQUISICÓN DE LICENCIAS ANTIVIRUS TIPO ENDPOINT PARA LA PROTECCIÓN Y SEGURIDAD INFORMATICA DE LOS EQUIPOS DE COMPUTO Y LA RED INTERNA DE LA ADMINISTRACION MUNICIPAL DE REMEDIOS</w:t>
            </w:r>
            <w:r w:rsidR="0099771B">
              <w:rPr>
                <w:rFonts w:ascii="Arial" w:hAnsi="Arial" w:cs="Arial"/>
                <w:sz w:val="16"/>
                <w:szCs w:val="16"/>
                <w:lang w:eastAsia="es-CO"/>
              </w:rPr>
              <w:t>.</w:t>
            </w:r>
          </w:p>
        </w:tc>
        <w:tc>
          <w:tcPr>
            <w:tcW w:w="530" w:type="pct"/>
            <w:tcBorders>
              <w:top w:val="single" w:sz="4" w:space="0" w:color="auto"/>
              <w:left w:val="nil"/>
              <w:bottom w:val="single" w:sz="4" w:space="0" w:color="auto"/>
              <w:right w:val="single" w:sz="4" w:space="0" w:color="auto"/>
            </w:tcBorders>
            <w:shd w:val="clear" w:color="F8FAFC" w:fill="FFFFFF"/>
            <w:vAlign w:val="center"/>
          </w:tcPr>
          <w:p w14:paraId="7211C5AD" w14:textId="525CFD5D" w:rsidR="007853B5" w:rsidRPr="001A78E1" w:rsidRDefault="007853B5" w:rsidP="0099771B">
            <w:pPr>
              <w:spacing w:after="0" w:line="240" w:lineRule="auto"/>
              <w:jc w:val="center"/>
              <w:rPr>
                <w:rFonts w:ascii="Arial" w:hAnsi="Arial" w:cs="Arial"/>
                <w:sz w:val="16"/>
                <w:szCs w:val="16"/>
                <w:lang w:eastAsia="es-CO"/>
              </w:rPr>
            </w:pPr>
            <w:r>
              <w:rPr>
                <w:rFonts w:ascii="Arial" w:hAnsi="Arial" w:cs="Arial"/>
                <w:sz w:val="16"/>
                <w:szCs w:val="16"/>
                <w:lang w:eastAsia="es-CO"/>
              </w:rPr>
              <w:t>21/02/2023</w:t>
            </w:r>
          </w:p>
        </w:tc>
        <w:tc>
          <w:tcPr>
            <w:tcW w:w="747" w:type="pct"/>
            <w:tcBorders>
              <w:top w:val="single" w:sz="4" w:space="0" w:color="auto"/>
              <w:left w:val="single" w:sz="4" w:space="0" w:color="auto"/>
              <w:bottom w:val="single" w:sz="4" w:space="0" w:color="auto"/>
              <w:right w:val="single" w:sz="4" w:space="0" w:color="auto"/>
            </w:tcBorders>
            <w:shd w:val="clear" w:color="F8FAFC" w:fill="FFFFFF"/>
            <w:vAlign w:val="center"/>
          </w:tcPr>
          <w:p w14:paraId="2ED98013" w14:textId="34338DA7" w:rsidR="007853B5" w:rsidRPr="001A78E1" w:rsidRDefault="007853B5" w:rsidP="007853B5">
            <w:pPr>
              <w:spacing w:after="0" w:line="240" w:lineRule="auto"/>
              <w:jc w:val="center"/>
              <w:rPr>
                <w:rFonts w:ascii="Arial" w:hAnsi="Arial" w:cs="Arial"/>
                <w:sz w:val="16"/>
                <w:szCs w:val="16"/>
                <w:lang w:eastAsia="es-CO"/>
              </w:rPr>
            </w:pPr>
            <w:r>
              <w:rPr>
                <w:rFonts w:ascii="Arial" w:hAnsi="Arial" w:cs="Arial"/>
                <w:sz w:val="16"/>
                <w:szCs w:val="16"/>
                <w:lang w:eastAsia="es-CO"/>
              </w:rPr>
              <w:t>$6.000.000</w:t>
            </w:r>
          </w:p>
        </w:tc>
        <w:tc>
          <w:tcPr>
            <w:tcW w:w="769" w:type="pct"/>
            <w:tcBorders>
              <w:top w:val="single" w:sz="4" w:space="0" w:color="auto"/>
              <w:left w:val="nil"/>
              <w:bottom w:val="single" w:sz="4" w:space="0" w:color="auto"/>
              <w:right w:val="single" w:sz="4" w:space="0" w:color="auto"/>
            </w:tcBorders>
            <w:shd w:val="clear" w:color="F8FAFC" w:fill="FFFFFF"/>
            <w:vAlign w:val="center"/>
          </w:tcPr>
          <w:p w14:paraId="691326E7" w14:textId="0CCF1385" w:rsidR="007853B5" w:rsidRPr="001A78E1" w:rsidRDefault="007853B5" w:rsidP="0099771B">
            <w:pPr>
              <w:spacing w:after="0" w:line="240" w:lineRule="auto"/>
              <w:jc w:val="center"/>
              <w:rPr>
                <w:rFonts w:ascii="Arial" w:hAnsi="Arial" w:cs="Arial"/>
                <w:sz w:val="16"/>
                <w:szCs w:val="16"/>
                <w:lang w:eastAsia="es-CO"/>
              </w:rPr>
            </w:pPr>
            <w:r>
              <w:rPr>
                <w:rFonts w:ascii="Arial" w:hAnsi="Arial" w:cs="Arial"/>
                <w:sz w:val="16"/>
                <w:szCs w:val="16"/>
                <w:lang w:eastAsia="es-CO"/>
              </w:rPr>
              <w:t>Mínima Cuantía</w:t>
            </w:r>
          </w:p>
        </w:tc>
      </w:tr>
      <w:tr w:rsidR="006C3074" w:rsidRPr="001A78E1" w14:paraId="4783B496" w14:textId="77777777" w:rsidTr="0099771B">
        <w:trPr>
          <w:trHeight w:val="608"/>
          <w:jc w:val="center"/>
        </w:trPr>
        <w:tc>
          <w:tcPr>
            <w:tcW w:w="650" w:type="pct"/>
            <w:tcBorders>
              <w:top w:val="single" w:sz="4" w:space="0" w:color="auto"/>
              <w:left w:val="single" w:sz="4" w:space="0" w:color="auto"/>
              <w:bottom w:val="single" w:sz="4" w:space="0" w:color="auto"/>
              <w:right w:val="single" w:sz="4" w:space="0" w:color="auto"/>
            </w:tcBorders>
            <w:shd w:val="clear" w:color="F8FAFC" w:fill="FFFFFF"/>
            <w:vAlign w:val="center"/>
          </w:tcPr>
          <w:p w14:paraId="2CC76917" w14:textId="1A8169CF" w:rsidR="006C3074" w:rsidRDefault="006C3074" w:rsidP="0099771B">
            <w:pPr>
              <w:spacing w:after="0" w:line="240" w:lineRule="auto"/>
              <w:jc w:val="center"/>
              <w:rPr>
                <w:rFonts w:ascii="Arial" w:hAnsi="Arial" w:cs="Arial"/>
                <w:sz w:val="16"/>
                <w:szCs w:val="16"/>
                <w:lang w:eastAsia="es-CO"/>
              </w:rPr>
            </w:pPr>
            <w:r>
              <w:rPr>
                <w:rFonts w:ascii="Arial" w:hAnsi="Arial" w:cs="Arial"/>
                <w:sz w:val="16"/>
                <w:szCs w:val="16"/>
                <w:lang w:eastAsia="es-CO"/>
              </w:rPr>
              <w:t>SGSA-136-20</w:t>
            </w:r>
            <w:r w:rsidR="0099771B">
              <w:rPr>
                <w:rFonts w:ascii="Arial" w:hAnsi="Arial" w:cs="Arial"/>
                <w:sz w:val="16"/>
                <w:szCs w:val="16"/>
                <w:lang w:eastAsia="es-CO"/>
              </w:rPr>
              <w:t>2</w:t>
            </w:r>
            <w:r>
              <w:rPr>
                <w:rFonts w:ascii="Arial" w:hAnsi="Arial" w:cs="Arial"/>
                <w:sz w:val="16"/>
                <w:szCs w:val="16"/>
                <w:lang w:eastAsia="es-CO"/>
              </w:rPr>
              <w:t>4</w:t>
            </w:r>
          </w:p>
        </w:tc>
        <w:tc>
          <w:tcPr>
            <w:tcW w:w="2304" w:type="pct"/>
            <w:tcBorders>
              <w:top w:val="single" w:sz="4" w:space="0" w:color="auto"/>
              <w:left w:val="single" w:sz="4" w:space="0" w:color="auto"/>
              <w:bottom w:val="single" w:sz="4" w:space="0" w:color="auto"/>
              <w:right w:val="single" w:sz="4" w:space="0" w:color="auto"/>
            </w:tcBorders>
            <w:shd w:val="clear" w:color="F8FAFC" w:fill="FFFFFF"/>
            <w:vAlign w:val="center"/>
          </w:tcPr>
          <w:p w14:paraId="79175159" w14:textId="7DA71FCD" w:rsidR="006C3074" w:rsidRPr="007853B5" w:rsidRDefault="006C3074" w:rsidP="0099771B">
            <w:pPr>
              <w:spacing w:after="0" w:line="240" w:lineRule="auto"/>
              <w:jc w:val="both"/>
              <w:rPr>
                <w:rFonts w:ascii="Arial" w:hAnsi="Arial" w:cs="Arial"/>
                <w:sz w:val="16"/>
                <w:szCs w:val="16"/>
                <w:lang w:eastAsia="es-CO"/>
              </w:rPr>
            </w:pPr>
            <w:r w:rsidRPr="007853B5">
              <w:rPr>
                <w:rFonts w:ascii="Arial" w:hAnsi="Arial" w:cs="Arial"/>
                <w:sz w:val="16"/>
                <w:szCs w:val="16"/>
                <w:lang w:eastAsia="es-CO"/>
              </w:rPr>
              <w:t>ADQUISICÓN DE LICENCIAS ANTIVIRUS TIPO ENDPOINT PARA LA PROTECCIÓN Y SEGURIDAD INFORMATICA DE LOS EQUIPOS DE COMPUTO Y LA RED INTERNA DE LA ADMINISTRACION MUNICIPAL DE REMEDIOS</w:t>
            </w:r>
            <w:r w:rsidR="0099771B">
              <w:rPr>
                <w:rFonts w:ascii="Arial" w:hAnsi="Arial" w:cs="Arial"/>
                <w:sz w:val="16"/>
                <w:szCs w:val="16"/>
                <w:lang w:eastAsia="es-CO"/>
              </w:rPr>
              <w:t>.</w:t>
            </w:r>
          </w:p>
        </w:tc>
        <w:tc>
          <w:tcPr>
            <w:tcW w:w="530" w:type="pct"/>
            <w:tcBorders>
              <w:top w:val="single" w:sz="4" w:space="0" w:color="auto"/>
              <w:left w:val="nil"/>
              <w:bottom w:val="single" w:sz="4" w:space="0" w:color="auto"/>
              <w:right w:val="single" w:sz="4" w:space="0" w:color="auto"/>
            </w:tcBorders>
            <w:shd w:val="clear" w:color="F8FAFC" w:fill="FFFFFF"/>
            <w:vAlign w:val="center"/>
          </w:tcPr>
          <w:p w14:paraId="0E98B3CE" w14:textId="18C05D23" w:rsidR="006C3074" w:rsidRDefault="006C3074" w:rsidP="0099771B">
            <w:pPr>
              <w:spacing w:after="0" w:line="240" w:lineRule="auto"/>
              <w:jc w:val="center"/>
              <w:rPr>
                <w:rFonts w:ascii="Arial" w:hAnsi="Arial" w:cs="Arial"/>
                <w:sz w:val="16"/>
                <w:szCs w:val="16"/>
                <w:lang w:eastAsia="es-CO"/>
              </w:rPr>
            </w:pPr>
            <w:r>
              <w:rPr>
                <w:rFonts w:ascii="Arial" w:hAnsi="Arial" w:cs="Arial"/>
                <w:sz w:val="16"/>
                <w:szCs w:val="16"/>
                <w:lang w:eastAsia="es-CO"/>
              </w:rPr>
              <w:t>23/02/2024</w:t>
            </w:r>
          </w:p>
        </w:tc>
        <w:tc>
          <w:tcPr>
            <w:tcW w:w="747" w:type="pct"/>
            <w:tcBorders>
              <w:top w:val="single" w:sz="4" w:space="0" w:color="auto"/>
              <w:left w:val="single" w:sz="4" w:space="0" w:color="auto"/>
              <w:bottom w:val="single" w:sz="4" w:space="0" w:color="auto"/>
              <w:right w:val="single" w:sz="4" w:space="0" w:color="auto"/>
            </w:tcBorders>
            <w:shd w:val="clear" w:color="F8FAFC" w:fill="FFFFFF"/>
            <w:vAlign w:val="center"/>
          </w:tcPr>
          <w:p w14:paraId="13368BAE" w14:textId="1FAC5B47" w:rsidR="006C3074" w:rsidRDefault="0099771B" w:rsidP="007853B5">
            <w:pPr>
              <w:spacing w:after="0" w:line="240" w:lineRule="auto"/>
              <w:jc w:val="center"/>
              <w:rPr>
                <w:rFonts w:ascii="Arial" w:hAnsi="Arial" w:cs="Arial"/>
                <w:sz w:val="16"/>
                <w:szCs w:val="16"/>
                <w:lang w:eastAsia="es-CO"/>
              </w:rPr>
            </w:pPr>
            <w:r>
              <w:rPr>
                <w:rFonts w:ascii="Arial" w:hAnsi="Arial" w:cs="Arial"/>
                <w:sz w:val="16"/>
                <w:szCs w:val="16"/>
                <w:lang w:eastAsia="es-CO"/>
              </w:rPr>
              <w:t>$</w:t>
            </w:r>
            <w:r w:rsidR="006C3074">
              <w:rPr>
                <w:rFonts w:ascii="Arial" w:hAnsi="Arial" w:cs="Arial"/>
                <w:sz w:val="16"/>
                <w:szCs w:val="16"/>
                <w:lang w:eastAsia="es-CO"/>
              </w:rPr>
              <w:t>7.100.352,32</w:t>
            </w:r>
          </w:p>
        </w:tc>
        <w:tc>
          <w:tcPr>
            <w:tcW w:w="769" w:type="pct"/>
            <w:tcBorders>
              <w:top w:val="single" w:sz="4" w:space="0" w:color="auto"/>
              <w:left w:val="nil"/>
              <w:bottom w:val="single" w:sz="4" w:space="0" w:color="auto"/>
              <w:right w:val="single" w:sz="4" w:space="0" w:color="auto"/>
            </w:tcBorders>
            <w:shd w:val="clear" w:color="F8FAFC" w:fill="FFFFFF"/>
            <w:vAlign w:val="center"/>
          </w:tcPr>
          <w:p w14:paraId="2E993B46" w14:textId="0E387F23" w:rsidR="006C3074" w:rsidRDefault="006C3074" w:rsidP="0099771B">
            <w:pPr>
              <w:spacing w:after="0" w:line="240" w:lineRule="auto"/>
              <w:jc w:val="center"/>
              <w:rPr>
                <w:rFonts w:ascii="Arial" w:hAnsi="Arial" w:cs="Arial"/>
                <w:sz w:val="16"/>
                <w:szCs w:val="16"/>
                <w:lang w:eastAsia="es-CO"/>
              </w:rPr>
            </w:pPr>
            <w:r>
              <w:rPr>
                <w:rFonts w:ascii="Arial" w:hAnsi="Arial" w:cs="Arial"/>
                <w:sz w:val="16"/>
                <w:szCs w:val="16"/>
                <w:lang w:eastAsia="es-CO"/>
              </w:rPr>
              <w:t>Mínima Cuantía</w:t>
            </w:r>
          </w:p>
        </w:tc>
      </w:tr>
      <w:tr w:rsidR="0099771B" w:rsidRPr="001A78E1" w14:paraId="7F77CC75" w14:textId="77777777" w:rsidTr="0099771B">
        <w:trPr>
          <w:trHeight w:val="679"/>
          <w:jc w:val="center"/>
        </w:trPr>
        <w:tc>
          <w:tcPr>
            <w:tcW w:w="650" w:type="pct"/>
            <w:tcBorders>
              <w:top w:val="single" w:sz="4" w:space="0" w:color="auto"/>
              <w:left w:val="single" w:sz="4" w:space="0" w:color="auto"/>
              <w:bottom w:val="single" w:sz="4" w:space="0" w:color="auto"/>
              <w:right w:val="single" w:sz="4" w:space="0" w:color="auto"/>
            </w:tcBorders>
            <w:shd w:val="clear" w:color="F8FAFC" w:fill="FFFFFF"/>
            <w:vAlign w:val="center"/>
          </w:tcPr>
          <w:p w14:paraId="0435A5F1" w14:textId="5B75E7DB" w:rsidR="0099771B" w:rsidRDefault="0099771B" w:rsidP="0099771B">
            <w:pPr>
              <w:spacing w:after="0" w:line="240" w:lineRule="auto"/>
              <w:jc w:val="center"/>
              <w:rPr>
                <w:rFonts w:ascii="Arial" w:hAnsi="Arial" w:cs="Arial"/>
                <w:sz w:val="16"/>
                <w:szCs w:val="16"/>
                <w:lang w:eastAsia="es-CO"/>
              </w:rPr>
            </w:pPr>
            <w:r w:rsidRPr="0099771B">
              <w:rPr>
                <w:rFonts w:ascii="Arial" w:hAnsi="Arial" w:cs="Arial"/>
                <w:sz w:val="16"/>
                <w:szCs w:val="16"/>
                <w:lang w:eastAsia="es-CO"/>
              </w:rPr>
              <w:t>MC–SGSA–012-2025</w:t>
            </w:r>
          </w:p>
        </w:tc>
        <w:tc>
          <w:tcPr>
            <w:tcW w:w="2304" w:type="pct"/>
            <w:tcBorders>
              <w:top w:val="single" w:sz="4" w:space="0" w:color="auto"/>
              <w:left w:val="single" w:sz="4" w:space="0" w:color="auto"/>
              <w:bottom w:val="single" w:sz="4" w:space="0" w:color="auto"/>
              <w:right w:val="single" w:sz="4" w:space="0" w:color="auto"/>
            </w:tcBorders>
            <w:shd w:val="clear" w:color="F8FAFC" w:fill="FFFFFF"/>
            <w:vAlign w:val="center"/>
          </w:tcPr>
          <w:p w14:paraId="192BC16E" w14:textId="63DEFA4B" w:rsidR="0099771B" w:rsidRPr="007853B5" w:rsidRDefault="0099771B" w:rsidP="0099771B">
            <w:pPr>
              <w:spacing w:after="0" w:line="240" w:lineRule="auto"/>
              <w:jc w:val="both"/>
              <w:rPr>
                <w:rFonts w:ascii="Arial" w:hAnsi="Arial" w:cs="Arial"/>
                <w:sz w:val="16"/>
                <w:szCs w:val="16"/>
                <w:lang w:eastAsia="es-CO"/>
              </w:rPr>
            </w:pPr>
            <w:r w:rsidRPr="0099771B">
              <w:rPr>
                <w:rFonts w:ascii="Arial" w:hAnsi="Arial" w:cs="Arial"/>
                <w:sz w:val="16"/>
                <w:szCs w:val="16"/>
                <w:lang w:eastAsia="es-CO"/>
              </w:rPr>
              <w:t>ADQUISICIÓN DE LICENCIAS ANTIVIRUS TIPO ENDPOINT PARA LA PROTECCIÓN Y SEGURIDAD INFORMATICA DE LOS EQUIPOS DE COMPUTO Y LA RED INTERNA DE LA ADMINISTRACION MUNICIPAL DE REMEDIOS</w:t>
            </w:r>
            <w:r>
              <w:rPr>
                <w:rFonts w:ascii="Arial" w:hAnsi="Arial" w:cs="Arial"/>
                <w:sz w:val="16"/>
                <w:szCs w:val="16"/>
                <w:lang w:eastAsia="es-CO"/>
              </w:rPr>
              <w:t>.</w:t>
            </w:r>
          </w:p>
        </w:tc>
        <w:tc>
          <w:tcPr>
            <w:tcW w:w="530" w:type="pct"/>
            <w:tcBorders>
              <w:top w:val="single" w:sz="4" w:space="0" w:color="auto"/>
              <w:left w:val="nil"/>
              <w:bottom w:val="single" w:sz="4" w:space="0" w:color="auto"/>
              <w:right w:val="single" w:sz="4" w:space="0" w:color="auto"/>
            </w:tcBorders>
            <w:shd w:val="clear" w:color="F8FAFC" w:fill="FFFFFF"/>
            <w:vAlign w:val="center"/>
          </w:tcPr>
          <w:p w14:paraId="3EA85940" w14:textId="7C795E05" w:rsidR="0099771B" w:rsidRDefault="0099771B" w:rsidP="0099771B">
            <w:pPr>
              <w:spacing w:after="0" w:line="240" w:lineRule="auto"/>
              <w:jc w:val="center"/>
              <w:rPr>
                <w:rFonts w:ascii="Arial" w:hAnsi="Arial" w:cs="Arial"/>
                <w:sz w:val="16"/>
                <w:szCs w:val="16"/>
                <w:lang w:eastAsia="es-CO"/>
              </w:rPr>
            </w:pPr>
            <w:r>
              <w:rPr>
                <w:rFonts w:ascii="Arial" w:hAnsi="Arial" w:cs="Arial"/>
                <w:sz w:val="16"/>
                <w:szCs w:val="16"/>
                <w:lang w:eastAsia="es-CO"/>
              </w:rPr>
              <w:t>21/04/2025</w:t>
            </w:r>
          </w:p>
        </w:tc>
        <w:tc>
          <w:tcPr>
            <w:tcW w:w="747" w:type="pct"/>
            <w:tcBorders>
              <w:top w:val="single" w:sz="4" w:space="0" w:color="auto"/>
              <w:left w:val="single" w:sz="4" w:space="0" w:color="auto"/>
              <w:bottom w:val="single" w:sz="4" w:space="0" w:color="auto"/>
              <w:right w:val="single" w:sz="4" w:space="0" w:color="auto"/>
            </w:tcBorders>
            <w:shd w:val="clear" w:color="F8FAFC" w:fill="FFFFFF"/>
            <w:vAlign w:val="center"/>
          </w:tcPr>
          <w:p w14:paraId="5B74C03E" w14:textId="428FBF58" w:rsidR="0099771B" w:rsidRDefault="0099771B" w:rsidP="007853B5">
            <w:pPr>
              <w:spacing w:after="0" w:line="240" w:lineRule="auto"/>
              <w:jc w:val="center"/>
              <w:rPr>
                <w:rFonts w:ascii="Arial" w:hAnsi="Arial" w:cs="Arial"/>
                <w:sz w:val="16"/>
                <w:szCs w:val="16"/>
                <w:lang w:eastAsia="es-CO"/>
              </w:rPr>
            </w:pPr>
            <w:r w:rsidRPr="0099771B">
              <w:rPr>
                <w:rFonts w:ascii="Arial" w:hAnsi="Arial" w:cs="Arial"/>
                <w:sz w:val="16"/>
                <w:szCs w:val="16"/>
                <w:lang w:eastAsia="es-CO"/>
              </w:rPr>
              <w:t>$8.376.974</w:t>
            </w:r>
          </w:p>
        </w:tc>
        <w:tc>
          <w:tcPr>
            <w:tcW w:w="769" w:type="pct"/>
            <w:tcBorders>
              <w:top w:val="single" w:sz="4" w:space="0" w:color="auto"/>
              <w:left w:val="nil"/>
              <w:bottom w:val="single" w:sz="4" w:space="0" w:color="auto"/>
              <w:right w:val="single" w:sz="4" w:space="0" w:color="auto"/>
            </w:tcBorders>
            <w:shd w:val="clear" w:color="F8FAFC" w:fill="FFFFFF"/>
            <w:vAlign w:val="center"/>
          </w:tcPr>
          <w:p w14:paraId="79E73EDF" w14:textId="77777777" w:rsidR="0099771B" w:rsidRPr="0099771B" w:rsidRDefault="0099771B" w:rsidP="0099771B">
            <w:pPr>
              <w:spacing w:after="0" w:line="240" w:lineRule="auto"/>
              <w:jc w:val="center"/>
              <w:rPr>
                <w:rFonts w:ascii="Arial" w:hAnsi="Arial" w:cs="Arial"/>
                <w:sz w:val="16"/>
                <w:szCs w:val="16"/>
                <w:lang w:eastAsia="es-CO"/>
              </w:rPr>
            </w:pPr>
            <w:r w:rsidRPr="0099771B">
              <w:rPr>
                <w:rFonts w:ascii="Arial" w:hAnsi="Arial" w:cs="Arial"/>
                <w:sz w:val="16"/>
                <w:szCs w:val="16"/>
                <w:lang w:eastAsia="es-CO"/>
              </w:rPr>
              <w:t>Mínima Cuantía</w:t>
            </w:r>
          </w:p>
          <w:p w14:paraId="28FFFC1E" w14:textId="1F56673F" w:rsidR="0099771B" w:rsidRDefault="0099771B" w:rsidP="0099771B">
            <w:pPr>
              <w:spacing w:after="0" w:line="240" w:lineRule="auto"/>
              <w:jc w:val="center"/>
              <w:rPr>
                <w:rFonts w:ascii="Arial" w:hAnsi="Arial" w:cs="Arial"/>
                <w:sz w:val="16"/>
                <w:szCs w:val="16"/>
                <w:lang w:eastAsia="es-CO"/>
              </w:rPr>
            </w:pPr>
          </w:p>
        </w:tc>
      </w:tr>
    </w:tbl>
    <w:p w14:paraId="5EF9AA74" w14:textId="77777777" w:rsidR="00F313CB" w:rsidRPr="001A78E1" w:rsidRDefault="00F313CB" w:rsidP="00F313CB">
      <w:pPr>
        <w:autoSpaceDE w:val="0"/>
        <w:autoSpaceDN w:val="0"/>
        <w:adjustRightInd w:val="0"/>
        <w:spacing w:after="0" w:line="240" w:lineRule="auto"/>
        <w:jc w:val="both"/>
        <w:rPr>
          <w:rFonts w:ascii="Arial" w:hAnsi="Arial" w:cs="Arial"/>
          <w:b/>
          <w:sz w:val="20"/>
          <w:szCs w:val="20"/>
          <w:lang w:eastAsia="es-CO"/>
        </w:rPr>
      </w:pPr>
    </w:p>
    <w:p w14:paraId="2B0D0D7E" w14:textId="56AACFFD" w:rsidR="00F313CB" w:rsidRPr="001A78E1" w:rsidRDefault="00F313CB" w:rsidP="00F313CB">
      <w:pPr>
        <w:tabs>
          <w:tab w:val="left" w:pos="5472"/>
        </w:tabs>
        <w:autoSpaceDE w:val="0"/>
        <w:autoSpaceDN w:val="0"/>
        <w:adjustRightInd w:val="0"/>
        <w:spacing w:after="0" w:line="240" w:lineRule="auto"/>
        <w:jc w:val="both"/>
        <w:rPr>
          <w:rFonts w:ascii="Arial" w:hAnsi="Arial" w:cs="Arial"/>
          <w:sz w:val="20"/>
          <w:szCs w:val="20"/>
          <w:lang w:eastAsia="es-CO"/>
        </w:rPr>
      </w:pPr>
      <w:r w:rsidRPr="001A78E1">
        <w:rPr>
          <w:rFonts w:ascii="Arial" w:hAnsi="Arial" w:cs="Arial"/>
          <w:b/>
          <w:sz w:val="20"/>
          <w:szCs w:val="20"/>
          <w:lang w:eastAsia="es-CO"/>
        </w:rPr>
        <w:t>Sondeos de página del SECOP</w:t>
      </w:r>
      <w:r w:rsidRPr="001A78E1">
        <w:rPr>
          <w:rFonts w:ascii="Arial" w:hAnsi="Arial" w:cs="Arial"/>
          <w:sz w:val="20"/>
          <w:szCs w:val="20"/>
          <w:lang w:eastAsia="es-CO"/>
        </w:rPr>
        <w:t>.</w:t>
      </w:r>
      <w:r w:rsidRPr="001A78E1">
        <w:rPr>
          <w:rFonts w:ascii="Arial" w:hAnsi="Arial" w:cs="Arial"/>
          <w:sz w:val="20"/>
          <w:szCs w:val="20"/>
          <w:lang w:eastAsia="es-CO"/>
        </w:rPr>
        <w:tab/>
      </w:r>
    </w:p>
    <w:p w14:paraId="363AB65E" w14:textId="77777777" w:rsidR="0099771B" w:rsidRDefault="0099771B" w:rsidP="00F313CB">
      <w:pPr>
        <w:autoSpaceDE w:val="0"/>
        <w:autoSpaceDN w:val="0"/>
        <w:adjustRightInd w:val="0"/>
        <w:spacing w:after="0" w:line="240" w:lineRule="auto"/>
        <w:jc w:val="both"/>
        <w:rPr>
          <w:rFonts w:ascii="Arial" w:hAnsi="Arial" w:cs="Arial"/>
          <w:sz w:val="20"/>
          <w:szCs w:val="20"/>
          <w:lang w:eastAsia="es-CO"/>
        </w:rPr>
      </w:pPr>
    </w:p>
    <w:p w14:paraId="2ECB5D16" w14:textId="19F71058" w:rsidR="00F313CB" w:rsidRPr="001A78E1" w:rsidRDefault="00F313CB" w:rsidP="00F313CB">
      <w:pPr>
        <w:autoSpaceDE w:val="0"/>
        <w:autoSpaceDN w:val="0"/>
        <w:adjustRightInd w:val="0"/>
        <w:spacing w:after="0" w:line="240" w:lineRule="auto"/>
        <w:jc w:val="both"/>
        <w:rPr>
          <w:rFonts w:ascii="Arial" w:hAnsi="Arial" w:cs="Arial"/>
          <w:sz w:val="20"/>
          <w:szCs w:val="20"/>
          <w:lang w:eastAsia="es-CO"/>
        </w:rPr>
      </w:pPr>
      <w:r w:rsidRPr="001A78E1">
        <w:rPr>
          <w:rFonts w:ascii="Arial" w:hAnsi="Arial" w:cs="Arial"/>
          <w:sz w:val="20"/>
          <w:szCs w:val="20"/>
          <w:lang w:eastAsia="es-CO"/>
        </w:rPr>
        <w:t xml:space="preserve">Se acudió a las páginas del SECOP, de otras entidades territoriales y nos encontramos la siguiente información: </w:t>
      </w:r>
    </w:p>
    <w:p w14:paraId="4ABEE551" w14:textId="1FD1B8E8" w:rsidR="00F313CB" w:rsidRPr="001A78E1" w:rsidRDefault="0099771B" w:rsidP="00F313CB">
      <w:pPr>
        <w:pStyle w:val="Sinespaciado"/>
        <w:jc w:val="both"/>
        <w:rPr>
          <w:rFonts w:ascii="Arial" w:hAnsi="Arial" w:cs="Arial"/>
          <w:sz w:val="20"/>
          <w:szCs w:val="20"/>
        </w:rPr>
      </w:pPr>
      <w:r w:rsidRPr="0099771B">
        <w:rPr>
          <w:rFonts w:ascii="Arial" w:hAnsi="Arial" w:cs="Arial"/>
          <w:noProof/>
          <w:sz w:val="20"/>
          <w:szCs w:val="20"/>
        </w:rPr>
        <w:lastRenderedPageBreak/>
        <w:drawing>
          <wp:inline distT="0" distB="0" distL="0" distR="0" wp14:anchorId="4BAF614A" wp14:editId="7F0CD34D">
            <wp:extent cx="5943600" cy="3343275"/>
            <wp:effectExtent l="0" t="0" r="0" b="9525"/>
            <wp:docPr id="20611727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72766" name=""/>
                    <pic:cNvPicPr/>
                  </pic:nvPicPr>
                  <pic:blipFill>
                    <a:blip r:embed="rId15"/>
                    <a:stretch>
                      <a:fillRect/>
                    </a:stretch>
                  </pic:blipFill>
                  <pic:spPr>
                    <a:xfrm>
                      <a:off x="0" y="0"/>
                      <a:ext cx="5943600" cy="3343275"/>
                    </a:xfrm>
                    <a:prstGeom prst="rect">
                      <a:avLst/>
                    </a:prstGeom>
                  </pic:spPr>
                </pic:pic>
              </a:graphicData>
            </a:graphic>
          </wp:inline>
        </w:drawing>
      </w:r>
    </w:p>
    <w:p w14:paraId="3949B9D6" w14:textId="1E75D6A0" w:rsidR="00F313CB" w:rsidRDefault="0099771B" w:rsidP="00F313CB">
      <w:pPr>
        <w:pStyle w:val="Sinespaciado"/>
        <w:jc w:val="both"/>
        <w:rPr>
          <w:rFonts w:ascii="Arial" w:hAnsi="Arial" w:cs="Arial"/>
          <w:sz w:val="20"/>
          <w:szCs w:val="20"/>
        </w:rPr>
      </w:pPr>
      <w:r w:rsidRPr="0099771B">
        <w:rPr>
          <w:rFonts w:ascii="Arial" w:hAnsi="Arial" w:cs="Arial"/>
          <w:noProof/>
          <w:sz w:val="20"/>
          <w:szCs w:val="20"/>
        </w:rPr>
        <w:drawing>
          <wp:inline distT="0" distB="0" distL="0" distR="0" wp14:anchorId="29B7800F" wp14:editId="299FD1C0">
            <wp:extent cx="5943600" cy="4210050"/>
            <wp:effectExtent l="0" t="0" r="0" b="0"/>
            <wp:docPr id="812514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14734" name=""/>
                    <pic:cNvPicPr/>
                  </pic:nvPicPr>
                  <pic:blipFill>
                    <a:blip r:embed="rId16"/>
                    <a:stretch>
                      <a:fillRect/>
                    </a:stretch>
                  </pic:blipFill>
                  <pic:spPr>
                    <a:xfrm>
                      <a:off x="0" y="0"/>
                      <a:ext cx="5943600" cy="4210050"/>
                    </a:xfrm>
                    <a:prstGeom prst="rect">
                      <a:avLst/>
                    </a:prstGeom>
                  </pic:spPr>
                </pic:pic>
              </a:graphicData>
            </a:graphic>
          </wp:inline>
        </w:drawing>
      </w:r>
    </w:p>
    <w:p w14:paraId="73884BF4" w14:textId="64323614" w:rsidR="0099771B" w:rsidRPr="001A78E1" w:rsidRDefault="0016644B" w:rsidP="00F313CB">
      <w:pPr>
        <w:pStyle w:val="Sinespaciado"/>
        <w:jc w:val="both"/>
        <w:rPr>
          <w:rFonts w:ascii="Arial" w:hAnsi="Arial" w:cs="Arial"/>
          <w:sz w:val="20"/>
          <w:szCs w:val="20"/>
        </w:rPr>
      </w:pPr>
      <w:r w:rsidRPr="0016644B">
        <w:rPr>
          <w:rFonts w:ascii="Arial" w:hAnsi="Arial" w:cs="Arial"/>
          <w:noProof/>
          <w:sz w:val="20"/>
          <w:szCs w:val="20"/>
        </w:rPr>
        <w:lastRenderedPageBreak/>
        <w:drawing>
          <wp:inline distT="0" distB="0" distL="0" distR="0" wp14:anchorId="7551815E" wp14:editId="2FA07935">
            <wp:extent cx="5943600" cy="1047750"/>
            <wp:effectExtent l="0" t="0" r="0" b="0"/>
            <wp:docPr id="20946248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624866" name=""/>
                    <pic:cNvPicPr/>
                  </pic:nvPicPr>
                  <pic:blipFill>
                    <a:blip r:embed="rId17"/>
                    <a:stretch>
                      <a:fillRect/>
                    </a:stretch>
                  </pic:blipFill>
                  <pic:spPr>
                    <a:xfrm>
                      <a:off x="0" y="0"/>
                      <a:ext cx="5943600" cy="1047750"/>
                    </a:xfrm>
                    <a:prstGeom prst="rect">
                      <a:avLst/>
                    </a:prstGeom>
                  </pic:spPr>
                </pic:pic>
              </a:graphicData>
            </a:graphic>
          </wp:inline>
        </w:drawing>
      </w:r>
    </w:p>
    <w:p w14:paraId="2C36D45A" w14:textId="77777777" w:rsidR="0016644B" w:rsidRDefault="0016644B" w:rsidP="00F313CB">
      <w:pPr>
        <w:spacing w:after="0" w:line="240" w:lineRule="auto"/>
        <w:contextualSpacing/>
        <w:jc w:val="both"/>
        <w:rPr>
          <w:rFonts w:ascii="Arial" w:hAnsi="Arial" w:cs="Arial"/>
          <w:sz w:val="20"/>
          <w:szCs w:val="20"/>
          <w:highlight w:val="yellow"/>
        </w:rPr>
      </w:pPr>
    </w:p>
    <w:p w14:paraId="120D857D" w14:textId="77777777" w:rsidR="00F313CB" w:rsidRPr="001A78E1" w:rsidRDefault="00F313CB" w:rsidP="00F313CB">
      <w:pPr>
        <w:spacing w:after="0" w:line="240" w:lineRule="auto"/>
        <w:contextualSpacing/>
        <w:jc w:val="both"/>
        <w:rPr>
          <w:rFonts w:ascii="Arial" w:hAnsi="Arial" w:cs="Arial"/>
          <w:sz w:val="20"/>
          <w:szCs w:val="20"/>
        </w:rPr>
      </w:pPr>
    </w:p>
    <w:p w14:paraId="2BC6CBA7" w14:textId="77777777" w:rsidR="00F313CB" w:rsidRPr="0016644B" w:rsidRDefault="00F313CB" w:rsidP="00F313CB">
      <w:pPr>
        <w:autoSpaceDE w:val="0"/>
        <w:autoSpaceDN w:val="0"/>
        <w:adjustRightInd w:val="0"/>
        <w:spacing w:after="0" w:line="240" w:lineRule="auto"/>
        <w:jc w:val="both"/>
        <w:rPr>
          <w:rFonts w:ascii="Arial" w:hAnsi="Arial" w:cs="Arial"/>
          <w:b/>
          <w:sz w:val="20"/>
          <w:szCs w:val="20"/>
          <w:lang w:eastAsia="es-CO"/>
        </w:rPr>
      </w:pPr>
      <w:r w:rsidRPr="0016644B">
        <w:rPr>
          <w:rFonts w:ascii="Arial" w:hAnsi="Arial" w:cs="Arial"/>
          <w:b/>
          <w:sz w:val="20"/>
          <w:szCs w:val="20"/>
          <w:lang w:eastAsia="es-CO"/>
        </w:rPr>
        <w:t>Sondeos de mercado o Cotizaciones a proveedores del mercado:</w:t>
      </w:r>
    </w:p>
    <w:p w14:paraId="292EBD1F" w14:textId="77777777" w:rsidR="0099771B" w:rsidRPr="0099771B" w:rsidRDefault="0099771B" w:rsidP="00F313CB">
      <w:pPr>
        <w:autoSpaceDE w:val="0"/>
        <w:autoSpaceDN w:val="0"/>
        <w:adjustRightInd w:val="0"/>
        <w:spacing w:after="0" w:line="240" w:lineRule="auto"/>
        <w:jc w:val="both"/>
        <w:rPr>
          <w:rFonts w:ascii="Arial" w:hAnsi="Arial" w:cs="Arial"/>
          <w:b/>
          <w:sz w:val="20"/>
          <w:szCs w:val="20"/>
          <w:highlight w:val="yellow"/>
          <w:lang w:eastAsia="es-CO"/>
        </w:rPr>
      </w:pPr>
    </w:p>
    <w:p w14:paraId="047F84D6" w14:textId="7037C917" w:rsidR="00F313CB" w:rsidRPr="0099771B" w:rsidRDefault="0016644B" w:rsidP="00F313CB">
      <w:pPr>
        <w:pStyle w:val="Sinespaciado"/>
        <w:jc w:val="both"/>
        <w:rPr>
          <w:rFonts w:ascii="Arial" w:hAnsi="Arial" w:cs="Arial"/>
          <w:sz w:val="20"/>
          <w:szCs w:val="20"/>
          <w:highlight w:val="yellow"/>
          <w:lang w:eastAsia="es-CO"/>
        </w:rPr>
      </w:pPr>
      <w:r w:rsidRPr="0016644B">
        <w:rPr>
          <w:rFonts w:ascii="Arial" w:hAnsi="Arial" w:cs="Arial"/>
          <w:sz w:val="20"/>
          <w:szCs w:val="20"/>
        </w:rPr>
        <w:t>Para el análisis económico que soporta el valor estimado del contrato, se consideraron los precios del mercado teniendo en cuenta, los impuestos nacionales y locales que recaen sobre los bienes obras o servicios requeridos, fueron solicitadas cotizaciones a partir de las cuales se toman los valores promedio para determinar el presupuesto oficial</w:t>
      </w:r>
      <w:r w:rsidR="00F313CB" w:rsidRPr="0016644B">
        <w:rPr>
          <w:rFonts w:ascii="Arial" w:hAnsi="Arial" w:cs="Arial"/>
          <w:sz w:val="20"/>
          <w:szCs w:val="20"/>
          <w:lang w:eastAsia="es-CO"/>
        </w:rPr>
        <w:t>.</w:t>
      </w:r>
    </w:p>
    <w:p w14:paraId="2B17BDF1" w14:textId="77777777" w:rsidR="00F313CB" w:rsidRPr="0099771B" w:rsidRDefault="00F313CB" w:rsidP="00F313CB">
      <w:pPr>
        <w:pStyle w:val="Sinespaciado"/>
        <w:jc w:val="both"/>
        <w:rPr>
          <w:rFonts w:ascii="Arial" w:hAnsi="Arial" w:cs="Arial"/>
          <w:b/>
          <w:sz w:val="20"/>
          <w:szCs w:val="20"/>
          <w:highlight w:val="yellow"/>
        </w:rPr>
      </w:pPr>
    </w:p>
    <w:p w14:paraId="4CBBCD1C" w14:textId="77777777" w:rsidR="0016644B" w:rsidRDefault="0016644B" w:rsidP="0016644B">
      <w:pPr>
        <w:spacing w:after="0" w:line="240" w:lineRule="auto"/>
        <w:jc w:val="both"/>
        <w:rPr>
          <w:rFonts w:ascii="Arial" w:hAnsi="Arial" w:cs="Arial"/>
          <w:b/>
          <w:bCs/>
          <w:sz w:val="20"/>
          <w:szCs w:val="20"/>
          <w:lang w:val="es-ES"/>
        </w:rPr>
      </w:pPr>
      <w:bookmarkStart w:id="2" w:name="_Hlk87455335"/>
      <w:r w:rsidRPr="00CA19D3">
        <w:rPr>
          <w:rFonts w:ascii="Arial" w:hAnsi="Arial" w:cs="Arial"/>
          <w:b/>
          <w:bCs/>
          <w:sz w:val="20"/>
          <w:szCs w:val="20"/>
          <w:lang w:val="es-ES"/>
        </w:rPr>
        <w:t xml:space="preserve">COTIZACIÓN </w:t>
      </w:r>
      <w:r>
        <w:rPr>
          <w:rFonts w:ascii="Arial" w:hAnsi="Arial" w:cs="Arial"/>
          <w:b/>
          <w:bCs/>
          <w:sz w:val="20"/>
          <w:szCs w:val="20"/>
          <w:lang w:val="es-ES"/>
        </w:rPr>
        <w:t>N.°</w:t>
      </w:r>
      <w:r w:rsidRPr="00CA19D3">
        <w:rPr>
          <w:rFonts w:ascii="Arial" w:hAnsi="Arial" w:cs="Arial"/>
          <w:b/>
          <w:bCs/>
          <w:sz w:val="20"/>
          <w:szCs w:val="20"/>
          <w:lang w:val="es-ES"/>
        </w:rPr>
        <w:t xml:space="preserve">1 ANDROMEDA </w:t>
      </w:r>
    </w:p>
    <w:p w14:paraId="5BB87CEB" w14:textId="77777777" w:rsidR="0016644B" w:rsidRPr="00CA19D3" w:rsidRDefault="0016644B" w:rsidP="0016644B">
      <w:pPr>
        <w:spacing w:after="0" w:line="240" w:lineRule="auto"/>
        <w:jc w:val="both"/>
        <w:rPr>
          <w:rFonts w:ascii="Arial" w:hAnsi="Arial" w:cs="Arial"/>
          <w:b/>
          <w:bCs/>
          <w:sz w:val="20"/>
          <w:szCs w:val="20"/>
          <w:lang w:val="es-ES"/>
        </w:rPr>
      </w:pPr>
    </w:p>
    <w:tbl>
      <w:tblPr>
        <w:tblW w:w="9300" w:type="dxa"/>
        <w:tblCellMar>
          <w:left w:w="70" w:type="dxa"/>
          <w:right w:w="70" w:type="dxa"/>
        </w:tblCellMar>
        <w:tblLook w:val="04A0" w:firstRow="1" w:lastRow="0" w:firstColumn="1" w:lastColumn="0" w:noHBand="0" w:noVBand="1"/>
      </w:tblPr>
      <w:tblGrid>
        <w:gridCol w:w="376"/>
        <w:gridCol w:w="3658"/>
        <w:gridCol w:w="696"/>
        <w:gridCol w:w="1400"/>
        <w:gridCol w:w="1400"/>
        <w:gridCol w:w="1770"/>
      </w:tblGrid>
      <w:tr w:rsidR="0016644B" w:rsidRPr="00CA19D3" w14:paraId="23020FF5" w14:textId="77777777" w:rsidTr="00FA1A3A">
        <w:trPr>
          <w:trHeight w:val="510"/>
        </w:trPr>
        <w:tc>
          <w:tcPr>
            <w:tcW w:w="3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F9D23BA"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bookmarkStart w:id="3" w:name="RANGE!A8"/>
            <w:r w:rsidRPr="00CA19D3">
              <w:rPr>
                <w:rFonts w:ascii="Arial" w:eastAsia="Times New Roman" w:hAnsi="Arial" w:cs="Arial"/>
                <w:b/>
                <w:bCs/>
                <w:color w:val="000000"/>
                <w:sz w:val="20"/>
                <w:szCs w:val="20"/>
                <w:lang w:eastAsia="es-CO"/>
              </w:rPr>
              <w:t>#</w:t>
            </w:r>
            <w:bookmarkEnd w:id="3"/>
          </w:p>
        </w:tc>
        <w:tc>
          <w:tcPr>
            <w:tcW w:w="3720" w:type="dxa"/>
            <w:tcBorders>
              <w:top w:val="single" w:sz="4" w:space="0" w:color="auto"/>
              <w:left w:val="nil"/>
              <w:bottom w:val="single" w:sz="4" w:space="0" w:color="auto"/>
              <w:right w:val="single" w:sz="4" w:space="0" w:color="auto"/>
            </w:tcBorders>
            <w:shd w:val="clear" w:color="000000" w:fill="BFBFBF"/>
            <w:vAlign w:val="center"/>
            <w:hideMark/>
          </w:tcPr>
          <w:p w14:paraId="5A708709"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DESCRIPCIÓN</w:t>
            </w:r>
          </w:p>
        </w:tc>
        <w:tc>
          <w:tcPr>
            <w:tcW w:w="620" w:type="dxa"/>
            <w:tcBorders>
              <w:top w:val="single" w:sz="4" w:space="0" w:color="auto"/>
              <w:left w:val="nil"/>
              <w:bottom w:val="single" w:sz="4" w:space="0" w:color="auto"/>
              <w:right w:val="single" w:sz="4" w:space="0" w:color="auto"/>
            </w:tcBorders>
            <w:shd w:val="clear" w:color="000000" w:fill="BFBFBF"/>
            <w:vAlign w:val="center"/>
            <w:hideMark/>
          </w:tcPr>
          <w:p w14:paraId="29F956C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CANT</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5D823F4B"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UNIDAD</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68C312E2"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IVA</w:t>
            </w:r>
          </w:p>
        </w:tc>
        <w:tc>
          <w:tcPr>
            <w:tcW w:w="1780" w:type="dxa"/>
            <w:tcBorders>
              <w:top w:val="single" w:sz="4" w:space="0" w:color="auto"/>
              <w:left w:val="nil"/>
              <w:bottom w:val="single" w:sz="4" w:space="0" w:color="auto"/>
              <w:right w:val="single" w:sz="4" w:space="0" w:color="auto"/>
            </w:tcBorders>
            <w:shd w:val="clear" w:color="000000" w:fill="BFBFBF"/>
            <w:vAlign w:val="center"/>
            <w:hideMark/>
          </w:tcPr>
          <w:p w14:paraId="1EB864DC"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TOTAL</w:t>
            </w:r>
          </w:p>
        </w:tc>
      </w:tr>
      <w:tr w:rsidR="0016644B" w:rsidRPr="00CA19D3" w14:paraId="2C75C2A7" w14:textId="77777777" w:rsidTr="00FA1A3A">
        <w:trPr>
          <w:trHeight w:val="510"/>
        </w:trPr>
        <w:tc>
          <w:tcPr>
            <w:tcW w:w="380" w:type="dxa"/>
            <w:tcBorders>
              <w:top w:val="nil"/>
              <w:left w:val="single" w:sz="4" w:space="0" w:color="auto"/>
              <w:bottom w:val="single" w:sz="4" w:space="0" w:color="auto"/>
              <w:right w:val="single" w:sz="4" w:space="0" w:color="auto"/>
            </w:tcBorders>
            <w:vAlign w:val="center"/>
            <w:hideMark/>
          </w:tcPr>
          <w:p w14:paraId="212B0126"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3720" w:type="dxa"/>
            <w:tcBorders>
              <w:top w:val="nil"/>
              <w:left w:val="nil"/>
              <w:bottom w:val="single" w:sz="4" w:space="0" w:color="auto"/>
              <w:right w:val="single" w:sz="4" w:space="0" w:color="auto"/>
            </w:tcBorders>
            <w:vAlign w:val="center"/>
            <w:hideMark/>
          </w:tcPr>
          <w:p w14:paraId="09D7CBCD"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Bitdefender GravityZone Business Security Enterprise</w:t>
            </w:r>
          </w:p>
        </w:tc>
        <w:tc>
          <w:tcPr>
            <w:tcW w:w="620" w:type="dxa"/>
            <w:tcBorders>
              <w:top w:val="nil"/>
              <w:left w:val="nil"/>
              <w:bottom w:val="single" w:sz="4" w:space="0" w:color="auto"/>
              <w:right w:val="single" w:sz="4" w:space="0" w:color="auto"/>
            </w:tcBorders>
            <w:vAlign w:val="center"/>
            <w:hideMark/>
          </w:tcPr>
          <w:p w14:paraId="36B22568"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100</w:t>
            </w:r>
          </w:p>
        </w:tc>
        <w:tc>
          <w:tcPr>
            <w:tcW w:w="1400" w:type="dxa"/>
            <w:tcBorders>
              <w:top w:val="nil"/>
              <w:left w:val="nil"/>
              <w:bottom w:val="single" w:sz="4" w:space="0" w:color="auto"/>
              <w:right w:val="single" w:sz="4" w:space="0" w:color="auto"/>
            </w:tcBorders>
            <w:noWrap/>
            <w:vAlign w:val="center"/>
            <w:hideMark/>
          </w:tcPr>
          <w:p w14:paraId="6B51C784"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$ 157.114,11</w:t>
            </w:r>
          </w:p>
        </w:tc>
        <w:tc>
          <w:tcPr>
            <w:tcW w:w="1400" w:type="dxa"/>
            <w:tcBorders>
              <w:top w:val="nil"/>
              <w:left w:val="nil"/>
              <w:bottom w:val="single" w:sz="4" w:space="0" w:color="auto"/>
              <w:right w:val="single" w:sz="4" w:space="0" w:color="auto"/>
            </w:tcBorders>
            <w:noWrap/>
            <w:vAlign w:val="center"/>
            <w:hideMark/>
          </w:tcPr>
          <w:p w14:paraId="3B6010C2"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$ 0,00</w:t>
            </w:r>
          </w:p>
        </w:tc>
        <w:tc>
          <w:tcPr>
            <w:tcW w:w="1780" w:type="dxa"/>
            <w:tcBorders>
              <w:top w:val="nil"/>
              <w:left w:val="nil"/>
              <w:bottom w:val="single" w:sz="4" w:space="0" w:color="auto"/>
              <w:right w:val="single" w:sz="4" w:space="0" w:color="auto"/>
            </w:tcBorders>
            <w:vAlign w:val="center"/>
            <w:hideMark/>
          </w:tcPr>
          <w:p w14:paraId="6F6FBB6A"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$ 15.711.411,00</w:t>
            </w:r>
          </w:p>
        </w:tc>
      </w:tr>
      <w:tr w:rsidR="0016644B" w:rsidRPr="00CA19D3" w14:paraId="632C461A" w14:textId="77777777" w:rsidTr="00FA1A3A">
        <w:trPr>
          <w:trHeight w:val="255"/>
        </w:trPr>
        <w:tc>
          <w:tcPr>
            <w:tcW w:w="380" w:type="dxa"/>
            <w:tcBorders>
              <w:top w:val="nil"/>
              <w:left w:val="single" w:sz="4" w:space="0" w:color="auto"/>
              <w:bottom w:val="single" w:sz="4" w:space="0" w:color="auto"/>
              <w:right w:val="single" w:sz="4" w:space="0" w:color="auto"/>
            </w:tcBorders>
            <w:vAlign w:val="center"/>
            <w:hideMark/>
          </w:tcPr>
          <w:p w14:paraId="3CB93EEF"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2</w:t>
            </w:r>
          </w:p>
        </w:tc>
        <w:tc>
          <w:tcPr>
            <w:tcW w:w="3720" w:type="dxa"/>
            <w:tcBorders>
              <w:top w:val="nil"/>
              <w:left w:val="nil"/>
              <w:bottom w:val="single" w:sz="4" w:space="0" w:color="auto"/>
              <w:right w:val="single" w:sz="4" w:space="0" w:color="auto"/>
            </w:tcBorders>
            <w:vAlign w:val="center"/>
            <w:hideMark/>
          </w:tcPr>
          <w:p w14:paraId="29B02E7E"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Hora de servicio (Soporte Técnico)</w:t>
            </w:r>
          </w:p>
        </w:tc>
        <w:tc>
          <w:tcPr>
            <w:tcW w:w="620" w:type="dxa"/>
            <w:tcBorders>
              <w:top w:val="nil"/>
              <w:left w:val="nil"/>
              <w:bottom w:val="single" w:sz="4" w:space="0" w:color="auto"/>
              <w:right w:val="single" w:sz="4" w:space="0" w:color="auto"/>
            </w:tcBorders>
            <w:vAlign w:val="center"/>
            <w:hideMark/>
          </w:tcPr>
          <w:p w14:paraId="66F45F2E"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1400" w:type="dxa"/>
            <w:tcBorders>
              <w:top w:val="nil"/>
              <w:left w:val="nil"/>
              <w:bottom w:val="single" w:sz="4" w:space="0" w:color="auto"/>
              <w:right w:val="single" w:sz="4" w:space="0" w:color="auto"/>
            </w:tcBorders>
            <w:noWrap/>
            <w:vAlign w:val="center"/>
            <w:hideMark/>
          </w:tcPr>
          <w:p w14:paraId="47F44585"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$ 1.279.411,25</w:t>
            </w:r>
          </w:p>
        </w:tc>
        <w:tc>
          <w:tcPr>
            <w:tcW w:w="1400" w:type="dxa"/>
            <w:tcBorders>
              <w:top w:val="nil"/>
              <w:left w:val="nil"/>
              <w:bottom w:val="single" w:sz="4" w:space="0" w:color="auto"/>
              <w:right w:val="single" w:sz="4" w:space="0" w:color="auto"/>
            </w:tcBorders>
            <w:noWrap/>
            <w:vAlign w:val="center"/>
            <w:hideMark/>
          </w:tcPr>
          <w:p w14:paraId="011BE90B"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$ 243.088,14</w:t>
            </w:r>
          </w:p>
        </w:tc>
        <w:tc>
          <w:tcPr>
            <w:tcW w:w="1780" w:type="dxa"/>
            <w:tcBorders>
              <w:top w:val="nil"/>
              <w:left w:val="nil"/>
              <w:bottom w:val="single" w:sz="4" w:space="0" w:color="auto"/>
              <w:right w:val="single" w:sz="4" w:space="0" w:color="auto"/>
            </w:tcBorders>
            <w:vAlign w:val="center"/>
            <w:hideMark/>
          </w:tcPr>
          <w:p w14:paraId="26C809CA"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$ 1.522.499,39</w:t>
            </w:r>
          </w:p>
        </w:tc>
      </w:tr>
      <w:tr w:rsidR="0016644B" w:rsidRPr="00CA19D3" w14:paraId="0A11C014" w14:textId="77777777" w:rsidTr="00FA1A3A">
        <w:trPr>
          <w:trHeight w:val="300"/>
        </w:trPr>
        <w:tc>
          <w:tcPr>
            <w:tcW w:w="6120"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14:paraId="348A2FDF"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SUBTOTAL ANTIVIRUS&gt;</w:t>
            </w:r>
          </w:p>
        </w:tc>
        <w:tc>
          <w:tcPr>
            <w:tcW w:w="1400" w:type="dxa"/>
            <w:tcBorders>
              <w:top w:val="nil"/>
              <w:left w:val="nil"/>
              <w:bottom w:val="single" w:sz="4" w:space="0" w:color="auto"/>
              <w:right w:val="single" w:sz="4" w:space="0" w:color="auto"/>
            </w:tcBorders>
            <w:shd w:val="clear" w:color="000000" w:fill="BFBFBF"/>
            <w:vAlign w:val="center"/>
            <w:hideMark/>
          </w:tcPr>
          <w:p w14:paraId="345B46B1"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w:t>
            </w:r>
          </w:p>
        </w:tc>
        <w:tc>
          <w:tcPr>
            <w:tcW w:w="1780" w:type="dxa"/>
            <w:tcBorders>
              <w:top w:val="nil"/>
              <w:left w:val="nil"/>
              <w:bottom w:val="single" w:sz="4" w:space="0" w:color="auto"/>
              <w:right w:val="single" w:sz="4" w:space="0" w:color="auto"/>
            </w:tcBorders>
            <w:vAlign w:val="center"/>
            <w:hideMark/>
          </w:tcPr>
          <w:p w14:paraId="2CB3D57C"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 $    17.233.910,39 </w:t>
            </w:r>
          </w:p>
        </w:tc>
      </w:tr>
    </w:tbl>
    <w:p w14:paraId="6602846C" w14:textId="77777777" w:rsidR="0016644B" w:rsidRDefault="0016644B" w:rsidP="0016644B">
      <w:pPr>
        <w:spacing w:after="0" w:line="240" w:lineRule="auto"/>
        <w:jc w:val="both"/>
        <w:rPr>
          <w:rFonts w:ascii="Arial" w:hAnsi="Arial" w:cs="Arial"/>
          <w:sz w:val="20"/>
          <w:szCs w:val="20"/>
          <w:lang w:val="es-ES"/>
        </w:rPr>
      </w:pPr>
    </w:p>
    <w:p w14:paraId="099F162E" w14:textId="77777777" w:rsidR="0016644B" w:rsidRPr="00CA19D3" w:rsidRDefault="0016644B" w:rsidP="0016644B">
      <w:pPr>
        <w:spacing w:after="0" w:line="240" w:lineRule="auto"/>
        <w:jc w:val="both"/>
        <w:rPr>
          <w:rFonts w:ascii="Arial" w:hAnsi="Arial" w:cs="Arial"/>
          <w:b/>
          <w:bCs/>
          <w:sz w:val="20"/>
          <w:szCs w:val="20"/>
          <w:lang w:val="es-ES"/>
        </w:rPr>
      </w:pPr>
      <w:r w:rsidRPr="00CA19D3">
        <w:rPr>
          <w:rFonts w:ascii="Arial" w:hAnsi="Arial" w:cs="Arial"/>
          <w:b/>
          <w:bCs/>
          <w:sz w:val="20"/>
          <w:szCs w:val="20"/>
          <w:lang w:val="es-ES"/>
        </w:rPr>
        <w:t xml:space="preserve">COTIZACIÓN </w:t>
      </w:r>
      <w:r>
        <w:rPr>
          <w:rFonts w:ascii="Arial" w:hAnsi="Arial" w:cs="Arial"/>
          <w:b/>
          <w:bCs/>
          <w:sz w:val="20"/>
          <w:szCs w:val="20"/>
          <w:lang w:val="es-ES"/>
        </w:rPr>
        <w:t>N.°</w:t>
      </w:r>
      <w:r w:rsidRPr="00CA19D3">
        <w:rPr>
          <w:rFonts w:ascii="Arial" w:hAnsi="Arial" w:cs="Arial"/>
          <w:b/>
          <w:bCs/>
          <w:sz w:val="20"/>
          <w:szCs w:val="20"/>
          <w:lang w:val="es-ES"/>
        </w:rPr>
        <w:t>2 NESS</w:t>
      </w:r>
    </w:p>
    <w:p w14:paraId="37228840" w14:textId="77777777" w:rsidR="0016644B" w:rsidRDefault="0016644B" w:rsidP="0016644B">
      <w:pPr>
        <w:spacing w:after="0" w:line="240" w:lineRule="auto"/>
        <w:jc w:val="both"/>
        <w:rPr>
          <w:rFonts w:ascii="Arial" w:hAnsi="Arial" w:cs="Arial"/>
          <w:sz w:val="20"/>
          <w:szCs w:val="20"/>
          <w:lang w:val="es-ES"/>
        </w:rPr>
      </w:pPr>
    </w:p>
    <w:tbl>
      <w:tblPr>
        <w:tblW w:w="9300" w:type="dxa"/>
        <w:tblCellMar>
          <w:left w:w="70" w:type="dxa"/>
          <w:right w:w="70" w:type="dxa"/>
        </w:tblCellMar>
        <w:tblLook w:val="04A0" w:firstRow="1" w:lastRow="0" w:firstColumn="1" w:lastColumn="0" w:noHBand="0" w:noVBand="1"/>
      </w:tblPr>
      <w:tblGrid>
        <w:gridCol w:w="376"/>
        <w:gridCol w:w="3658"/>
        <w:gridCol w:w="696"/>
        <w:gridCol w:w="1400"/>
        <w:gridCol w:w="1400"/>
        <w:gridCol w:w="1770"/>
      </w:tblGrid>
      <w:tr w:rsidR="0016644B" w:rsidRPr="00CA19D3" w14:paraId="4ABBABB9" w14:textId="77777777" w:rsidTr="00FA1A3A">
        <w:trPr>
          <w:trHeight w:val="510"/>
        </w:trPr>
        <w:tc>
          <w:tcPr>
            <w:tcW w:w="3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2D1D92A"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w:t>
            </w:r>
          </w:p>
        </w:tc>
        <w:tc>
          <w:tcPr>
            <w:tcW w:w="3720" w:type="dxa"/>
            <w:tcBorders>
              <w:top w:val="single" w:sz="4" w:space="0" w:color="auto"/>
              <w:left w:val="nil"/>
              <w:bottom w:val="single" w:sz="4" w:space="0" w:color="auto"/>
              <w:right w:val="single" w:sz="4" w:space="0" w:color="auto"/>
            </w:tcBorders>
            <w:shd w:val="clear" w:color="000000" w:fill="BFBFBF"/>
            <w:vAlign w:val="center"/>
            <w:hideMark/>
          </w:tcPr>
          <w:p w14:paraId="0784F8E7"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DESCRIPCIÓN</w:t>
            </w:r>
          </w:p>
        </w:tc>
        <w:tc>
          <w:tcPr>
            <w:tcW w:w="620" w:type="dxa"/>
            <w:tcBorders>
              <w:top w:val="single" w:sz="4" w:space="0" w:color="auto"/>
              <w:left w:val="nil"/>
              <w:bottom w:val="single" w:sz="4" w:space="0" w:color="auto"/>
              <w:right w:val="single" w:sz="4" w:space="0" w:color="auto"/>
            </w:tcBorders>
            <w:shd w:val="clear" w:color="000000" w:fill="BFBFBF"/>
            <w:vAlign w:val="center"/>
            <w:hideMark/>
          </w:tcPr>
          <w:p w14:paraId="134D64D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CANT</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1B21C141"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UNIDAD</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78FFA2D7"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IVA</w:t>
            </w:r>
          </w:p>
        </w:tc>
        <w:tc>
          <w:tcPr>
            <w:tcW w:w="1780" w:type="dxa"/>
            <w:tcBorders>
              <w:top w:val="single" w:sz="4" w:space="0" w:color="auto"/>
              <w:left w:val="nil"/>
              <w:bottom w:val="single" w:sz="4" w:space="0" w:color="auto"/>
              <w:right w:val="single" w:sz="4" w:space="0" w:color="auto"/>
            </w:tcBorders>
            <w:shd w:val="clear" w:color="000000" w:fill="BFBFBF"/>
            <w:vAlign w:val="center"/>
            <w:hideMark/>
          </w:tcPr>
          <w:p w14:paraId="02171635"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TOTAL</w:t>
            </w:r>
          </w:p>
        </w:tc>
      </w:tr>
      <w:tr w:rsidR="0016644B" w:rsidRPr="00CA19D3" w14:paraId="350786CC" w14:textId="77777777" w:rsidTr="00FA1A3A">
        <w:trPr>
          <w:trHeight w:val="510"/>
        </w:trPr>
        <w:tc>
          <w:tcPr>
            <w:tcW w:w="380" w:type="dxa"/>
            <w:tcBorders>
              <w:top w:val="nil"/>
              <w:left w:val="single" w:sz="4" w:space="0" w:color="auto"/>
              <w:bottom w:val="single" w:sz="4" w:space="0" w:color="auto"/>
              <w:right w:val="single" w:sz="4" w:space="0" w:color="auto"/>
            </w:tcBorders>
            <w:vAlign w:val="center"/>
            <w:hideMark/>
          </w:tcPr>
          <w:p w14:paraId="1CB7A217"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3720" w:type="dxa"/>
            <w:tcBorders>
              <w:top w:val="nil"/>
              <w:left w:val="nil"/>
              <w:bottom w:val="single" w:sz="4" w:space="0" w:color="auto"/>
              <w:right w:val="single" w:sz="4" w:space="0" w:color="auto"/>
            </w:tcBorders>
            <w:vAlign w:val="center"/>
            <w:hideMark/>
          </w:tcPr>
          <w:p w14:paraId="4BD21A95"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Bitdefender GravityZone Business Security Enterprise</w:t>
            </w:r>
          </w:p>
        </w:tc>
        <w:tc>
          <w:tcPr>
            <w:tcW w:w="620" w:type="dxa"/>
            <w:tcBorders>
              <w:top w:val="nil"/>
              <w:left w:val="nil"/>
              <w:bottom w:val="single" w:sz="4" w:space="0" w:color="auto"/>
              <w:right w:val="single" w:sz="4" w:space="0" w:color="auto"/>
            </w:tcBorders>
            <w:vAlign w:val="center"/>
            <w:hideMark/>
          </w:tcPr>
          <w:p w14:paraId="565291E1"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100</w:t>
            </w:r>
          </w:p>
        </w:tc>
        <w:tc>
          <w:tcPr>
            <w:tcW w:w="1400" w:type="dxa"/>
            <w:tcBorders>
              <w:top w:val="nil"/>
              <w:left w:val="nil"/>
              <w:bottom w:val="single" w:sz="4" w:space="0" w:color="auto"/>
              <w:right w:val="single" w:sz="4" w:space="0" w:color="auto"/>
            </w:tcBorders>
            <w:noWrap/>
            <w:vAlign w:val="center"/>
            <w:hideMark/>
          </w:tcPr>
          <w:p w14:paraId="38B35714"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$ 147.872,10</w:t>
            </w:r>
          </w:p>
        </w:tc>
        <w:tc>
          <w:tcPr>
            <w:tcW w:w="1400" w:type="dxa"/>
            <w:tcBorders>
              <w:top w:val="nil"/>
              <w:left w:val="nil"/>
              <w:bottom w:val="single" w:sz="4" w:space="0" w:color="auto"/>
              <w:right w:val="single" w:sz="4" w:space="0" w:color="auto"/>
            </w:tcBorders>
            <w:noWrap/>
            <w:vAlign w:val="center"/>
            <w:hideMark/>
          </w:tcPr>
          <w:p w14:paraId="53207B26"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$ 0,00</w:t>
            </w:r>
          </w:p>
        </w:tc>
        <w:tc>
          <w:tcPr>
            <w:tcW w:w="1780" w:type="dxa"/>
            <w:tcBorders>
              <w:top w:val="nil"/>
              <w:left w:val="nil"/>
              <w:bottom w:val="single" w:sz="4" w:space="0" w:color="auto"/>
              <w:right w:val="single" w:sz="4" w:space="0" w:color="auto"/>
            </w:tcBorders>
            <w:vAlign w:val="center"/>
            <w:hideMark/>
          </w:tcPr>
          <w:p w14:paraId="20213553"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$ 14.787.210,00</w:t>
            </w:r>
          </w:p>
        </w:tc>
      </w:tr>
      <w:tr w:rsidR="0016644B" w:rsidRPr="00CA19D3" w14:paraId="53187237" w14:textId="77777777" w:rsidTr="00FA1A3A">
        <w:trPr>
          <w:trHeight w:val="255"/>
        </w:trPr>
        <w:tc>
          <w:tcPr>
            <w:tcW w:w="380" w:type="dxa"/>
            <w:tcBorders>
              <w:top w:val="nil"/>
              <w:left w:val="single" w:sz="4" w:space="0" w:color="auto"/>
              <w:bottom w:val="single" w:sz="4" w:space="0" w:color="auto"/>
              <w:right w:val="single" w:sz="4" w:space="0" w:color="auto"/>
            </w:tcBorders>
            <w:vAlign w:val="center"/>
            <w:hideMark/>
          </w:tcPr>
          <w:p w14:paraId="7CCB0B2F"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2</w:t>
            </w:r>
          </w:p>
        </w:tc>
        <w:tc>
          <w:tcPr>
            <w:tcW w:w="3720" w:type="dxa"/>
            <w:tcBorders>
              <w:top w:val="nil"/>
              <w:left w:val="nil"/>
              <w:bottom w:val="single" w:sz="4" w:space="0" w:color="auto"/>
              <w:right w:val="single" w:sz="4" w:space="0" w:color="auto"/>
            </w:tcBorders>
            <w:vAlign w:val="center"/>
            <w:hideMark/>
          </w:tcPr>
          <w:p w14:paraId="14790A6E"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Hora de servicio (Soporte Técnico)</w:t>
            </w:r>
          </w:p>
        </w:tc>
        <w:tc>
          <w:tcPr>
            <w:tcW w:w="620" w:type="dxa"/>
            <w:tcBorders>
              <w:top w:val="nil"/>
              <w:left w:val="nil"/>
              <w:bottom w:val="single" w:sz="4" w:space="0" w:color="auto"/>
              <w:right w:val="single" w:sz="4" w:space="0" w:color="auto"/>
            </w:tcBorders>
            <w:vAlign w:val="center"/>
            <w:hideMark/>
          </w:tcPr>
          <w:p w14:paraId="0291D749"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1400" w:type="dxa"/>
            <w:tcBorders>
              <w:top w:val="nil"/>
              <w:left w:val="nil"/>
              <w:bottom w:val="single" w:sz="4" w:space="0" w:color="auto"/>
              <w:right w:val="single" w:sz="4" w:space="0" w:color="auto"/>
            </w:tcBorders>
            <w:noWrap/>
            <w:vAlign w:val="center"/>
            <w:hideMark/>
          </w:tcPr>
          <w:p w14:paraId="2FFCBD46"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$ 1.204.151,76</w:t>
            </w:r>
          </w:p>
        </w:tc>
        <w:tc>
          <w:tcPr>
            <w:tcW w:w="1400" w:type="dxa"/>
            <w:tcBorders>
              <w:top w:val="nil"/>
              <w:left w:val="nil"/>
              <w:bottom w:val="single" w:sz="4" w:space="0" w:color="auto"/>
              <w:right w:val="single" w:sz="4" w:space="0" w:color="auto"/>
            </w:tcBorders>
            <w:noWrap/>
            <w:vAlign w:val="center"/>
            <w:hideMark/>
          </w:tcPr>
          <w:p w14:paraId="0DF5F14A"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$ 228.788,83</w:t>
            </w:r>
          </w:p>
        </w:tc>
        <w:tc>
          <w:tcPr>
            <w:tcW w:w="1780" w:type="dxa"/>
            <w:tcBorders>
              <w:top w:val="nil"/>
              <w:left w:val="nil"/>
              <w:bottom w:val="single" w:sz="4" w:space="0" w:color="auto"/>
              <w:right w:val="single" w:sz="4" w:space="0" w:color="auto"/>
            </w:tcBorders>
            <w:vAlign w:val="center"/>
            <w:hideMark/>
          </w:tcPr>
          <w:p w14:paraId="2F36599C"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$ 1.432.940,59</w:t>
            </w:r>
          </w:p>
        </w:tc>
      </w:tr>
      <w:tr w:rsidR="0016644B" w:rsidRPr="00CA19D3" w14:paraId="335BFC1D" w14:textId="77777777" w:rsidTr="00FA1A3A">
        <w:trPr>
          <w:trHeight w:val="300"/>
        </w:trPr>
        <w:tc>
          <w:tcPr>
            <w:tcW w:w="6120"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14:paraId="6BE278D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SUBTOTAL ANTIVIRUS&gt;</w:t>
            </w:r>
          </w:p>
        </w:tc>
        <w:tc>
          <w:tcPr>
            <w:tcW w:w="1400" w:type="dxa"/>
            <w:tcBorders>
              <w:top w:val="nil"/>
              <w:left w:val="nil"/>
              <w:bottom w:val="single" w:sz="4" w:space="0" w:color="auto"/>
              <w:right w:val="single" w:sz="4" w:space="0" w:color="auto"/>
            </w:tcBorders>
            <w:shd w:val="clear" w:color="000000" w:fill="BFBFBF"/>
            <w:vAlign w:val="center"/>
            <w:hideMark/>
          </w:tcPr>
          <w:p w14:paraId="6A42367A"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w:t>
            </w:r>
          </w:p>
        </w:tc>
        <w:tc>
          <w:tcPr>
            <w:tcW w:w="1780" w:type="dxa"/>
            <w:tcBorders>
              <w:top w:val="nil"/>
              <w:left w:val="nil"/>
              <w:bottom w:val="single" w:sz="4" w:space="0" w:color="auto"/>
              <w:right w:val="single" w:sz="4" w:space="0" w:color="auto"/>
            </w:tcBorders>
            <w:vAlign w:val="center"/>
            <w:hideMark/>
          </w:tcPr>
          <w:p w14:paraId="0930E208"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 $    16.220.150,59 </w:t>
            </w:r>
          </w:p>
        </w:tc>
      </w:tr>
    </w:tbl>
    <w:p w14:paraId="6AE3A8A5" w14:textId="77777777" w:rsidR="0016644B" w:rsidRPr="00CA19D3" w:rsidRDefault="0016644B" w:rsidP="0016644B">
      <w:pPr>
        <w:spacing w:after="0" w:line="240" w:lineRule="auto"/>
        <w:jc w:val="both"/>
        <w:rPr>
          <w:rFonts w:ascii="Arial" w:hAnsi="Arial" w:cs="Arial"/>
          <w:sz w:val="20"/>
          <w:szCs w:val="20"/>
          <w:lang w:val="es-ES"/>
        </w:rPr>
      </w:pPr>
    </w:p>
    <w:p w14:paraId="3AC9A00D" w14:textId="77777777" w:rsidR="0016644B" w:rsidRDefault="0016644B" w:rsidP="0016644B">
      <w:pPr>
        <w:spacing w:after="0" w:line="240" w:lineRule="auto"/>
        <w:jc w:val="both"/>
        <w:rPr>
          <w:rFonts w:ascii="Arial" w:hAnsi="Arial" w:cs="Arial"/>
          <w:b/>
          <w:bCs/>
          <w:sz w:val="20"/>
          <w:szCs w:val="20"/>
          <w:lang w:val="es-ES"/>
        </w:rPr>
      </w:pPr>
      <w:r w:rsidRPr="00CA19D3">
        <w:rPr>
          <w:rFonts w:ascii="Arial" w:hAnsi="Arial" w:cs="Arial"/>
          <w:b/>
          <w:bCs/>
          <w:sz w:val="20"/>
          <w:szCs w:val="20"/>
          <w:lang w:val="es-ES"/>
        </w:rPr>
        <w:t>COTIZACIÓN N.°</w:t>
      </w:r>
      <w:r>
        <w:rPr>
          <w:rFonts w:ascii="Arial" w:hAnsi="Arial" w:cs="Arial"/>
          <w:b/>
          <w:bCs/>
          <w:sz w:val="20"/>
          <w:szCs w:val="20"/>
          <w:lang w:val="es-ES"/>
        </w:rPr>
        <w:t>3</w:t>
      </w:r>
      <w:r w:rsidRPr="00CA19D3">
        <w:rPr>
          <w:rFonts w:ascii="Arial" w:hAnsi="Arial" w:cs="Arial"/>
          <w:b/>
          <w:bCs/>
          <w:sz w:val="20"/>
          <w:szCs w:val="20"/>
          <w:lang w:val="es-ES"/>
        </w:rPr>
        <w:t xml:space="preserve"> </w:t>
      </w:r>
      <w:r>
        <w:rPr>
          <w:rFonts w:ascii="Arial" w:hAnsi="Arial" w:cs="Arial"/>
          <w:b/>
          <w:bCs/>
          <w:sz w:val="20"/>
          <w:szCs w:val="20"/>
          <w:lang w:val="es-ES"/>
        </w:rPr>
        <w:t>1A</w:t>
      </w:r>
    </w:p>
    <w:tbl>
      <w:tblPr>
        <w:tblW w:w="9300" w:type="dxa"/>
        <w:tblCellMar>
          <w:left w:w="70" w:type="dxa"/>
          <w:right w:w="70" w:type="dxa"/>
        </w:tblCellMar>
        <w:tblLook w:val="04A0" w:firstRow="1" w:lastRow="0" w:firstColumn="1" w:lastColumn="0" w:noHBand="0" w:noVBand="1"/>
      </w:tblPr>
      <w:tblGrid>
        <w:gridCol w:w="379"/>
        <w:gridCol w:w="3713"/>
        <w:gridCol w:w="695"/>
        <w:gridCol w:w="1398"/>
        <w:gridCol w:w="1398"/>
        <w:gridCol w:w="1777"/>
      </w:tblGrid>
      <w:tr w:rsidR="0016644B" w:rsidRPr="00CA19D3" w14:paraId="060A2D6F" w14:textId="77777777" w:rsidTr="00FA1A3A">
        <w:trPr>
          <w:trHeight w:val="255"/>
        </w:trPr>
        <w:tc>
          <w:tcPr>
            <w:tcW w:w="380" w:type="dxa"/>
            <w:tcBorders>
              <w:top w:val="nil"/>
              <w:left w:val="nil"/>
              <w:bottom w:val="nil"/>
              <w:right w:val="nil"/>
            </w:tcBorders>
            <w:noWrap/>
            <w:vAlign w:val="bottom"/>
            <w:hideMark/>
          </w:tcPr>
          <w:p w14:paraId="640DF1F4" w14:textId="77777777" w:rsidR="0016644B" w:rsidRPr="00CA19D3" w:rsidRDefault="0016644B" w:rsidP="00FA1A3A">
            <w:pPr>
              <w:spacing w:after="0" w:line="240" w:lineRule="auto"/>
              <w:rPr>
                <w:rFonts w:ascii="Times New Roman" w:eastAsia="Times New Roman" w:hAnsi="Times New Roman" w:cs="Times New Roman"/>
                <w:sz w:val="24"/>
                <w:szCs w:val="24"/>
                <w:lang w:eastAsia="es-CO"/>
              </w:rPr>
            </w:pPr>
          </w:p>
        </w:tc>
        <w:tc>
          <w:tcPr>
            <w:tcW w:w="3720" w:type="dxa"/>
            <w:tcBorders>
              <w:top w:val="nil"/>
              <w:left w:val="nil"/>
              <w:bottom w:val="nil"/>
              <w:right w:val="nil"/>
            </w:tcBorders>
            <w:noWrap/>
            <w:vAlign w:val="bottom"/>
            <w:hideMark/>
          </w:tcPr>
          <w:p w14:paraId="060818AD" w14:textId="77777777" w:rsidR="0016644B" w:rsidRPr="00CA19D3" w:rsidRDefault="0016644B" w:rsidP="00FA1A3A">
            <w:pPr>
              <w:spacing w:after="0" w:line="240" w:lineRule="auto"/>
              <w:rPr>
                <w:rFonts w:ascii="Times New Roman" w:eastAsia="Times New Roman" w:hAnsi="Times New Roman" w:cs="Times New Roman"/>
                <w:sz w:val="20"/>
                <w:szCs w:val="20"/>
                <w:lang w:eastAsia="es-CO"/>
              </w:rPr>
            </w:pPr>
          </w:p>
        </w:tc>
        <w:tc>
          <w:tcPr>
            <w:tcW w:w="620" w:type="dxa"/>
            <w:tcBorders>
              <w:top w:val="nil"/>
              <w:left w:val="nil"/>
              <w:bottom w:val="nil"/>
              <w:right w:val="nil"/>
            </w:tcBorders>
            <w:noWrap/>
            <w:vAlign w:val="bottom"/>
            <w:hideMark/>
          </w:tcPr>
          <w:p w14:paraId="7FA7620F" w14:textId="77777777" w:rsidR="0016644B" w:rsidRPr="00CA19D3" w:rsidRDefault="0016644B" w:rsidP="00FA1A3A">
            <w:pPr>
              <w:spacing w:after="0" w:line="240" w:lineRule="auto"/>
              <w:rPr>
                <w:rFonts w:ascii="Times New Roman" w:eastAsia="Times New Roman" w:hAnsi="Times New Roman" w:cs="Times New Roman"/>
                <w:sz w:val="20"/>
                <w:szCs w:val="20"/>
                <w:lang w:eastAsia="es-CO"/>
              </w:rPr>
            </w:pPr>
          </w:p>
        </w:tc>
        <w:tc>
          <w:tcPr>
            <w:tcW w:w="1400" w:type="dxa"/>
            <w:tcBorders>
              <w:top w:val="nil"/>
              <w:left w:val="nil"/>
              <w:bottom w:val="nil"/>
              <w:right w:val="nil"/>
            </w:tcBorders>
            <w:noWrap/>
            <w:vAlign w:val="bottom"/>
            <w:hideMark/>
          </w:tcPr>
          <w:p w14:paraId="5369E903" w14:textId="77777777" w:rsidR="0016644B" w:rsidRPr="00CA19D3" w:rsidRDefault="0016644B" w:rsidP="00FA1A3A">
            <w:pPr>
              <w:spacing w:after="0" w:line="240" w:lineRule="auto"/>
              <w:rPr>
                <w:rFonts w:ascii="Times New Roman" w:eastAsia="Times New Roman" w:hAnsi="Times New Roman" w:cs="Times New Roman"/>
                <w:sz w:val="20"/>
                <w:szCs w:val="20"/>
                <w:lang w:eastAsia="es-CO"/>
              </w:rPr>
            </w:pPr>
          </w:p>
        </w:tc>
        <w:tc>
          <w:tcPr>
            <w:tcW w:w="1400" w:type="dxa"/>
            <w:tcBorders>
              <w:top w:val="nil"/>
              <w:left w:val="nil"/>
              <w:bottom w:val="nil"/>
              <w:right w:val="nil"/>
            </w:tcBorders>
            <w:noWrap/>
            <w:vAlign w:val="bottom"/>
            <w:hideMark/>
          </w:tcPr>
          <w:p w14:paraId="211CF2D5" w14:textId="77777777" w:rsidR="0016644B" w:rsidRPr="00CA19D3" w:rsidRDefault="0016644B" w:rsidP="00FA1A3A">
            <w:pPr>
              <w:spacing w:after="0" w:line="240" w:lineRule="auto"/>
              <w:rPr>
                <w:rFonts w:ascii="Times New Roman" w:eastAsia="Times New Roman" w:hAnsi="Times New Roman" w:cs="Times New Roman"/>
                <w:sz w:val="20"/>
                <w:szCs w:val="20"/>
                <w:lang w:eastAsia="es-CO"/>
              </w:rPr>
            </w:pPr>
          </w:p>
        </w:tc>
        <w:tc>
          <w:tcPr>
            <w:tcW w:w="1780" w:type="dxa"/>
            <w:tcBorders>
              <w:top w:val="nil"/>
              <w:left w:val="nil"/>
              <w:bottom w:val="nil"/>
              <w:right w:val="nil"/>
            </w:tcBorders>
            <w:noWrap/>
            <w:vAlign w:val="bottom"/>
            <w:hideMark/>
          </w:tcPr>
          <w:p w14:paraId="6E9C8794" w14:textId="77777777" w:rsidR="0016644B" w:rsidRPr="00CA19D3" w:rsidRDefault="0016644B" w:rsidP="00FA1A3A">
            <w:pPr>
              <w:spacing w:after="0" w:line="240" w:lineRule="auto"/>
              <w:rPr>
                <w:rFonts w:ascii="Times New Roman" w:eastAsia="Times New Roman" w:hAnsi="Times New Roman" w:cs="Times New Roman"/>
                <w:sz w:val="20"/>
                <w:szCs w:val="20"/>
                <w:lang w:eastAsia="es-CO"/>
              </w:rPr>
            </w:pPr>
          </w:p>
        </w:tc>
      </w:tr>
      <w:tr w:rsidR="0016644B" w:rsidRPr="00CA19D3" w14:paraId="648EEF87" w14:textId="77777777" w:rsidTr="00FA1A3A">
        <w:trPr>
          <w:trHeight w:val="510"/>
        </w:trPr>
        <w:tc>
          <w:tcPr>
            <w:tcW w:w="3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F7DA7C2"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w:t>
            </w:r>
          </w:p>
        </w:tc>
        <w:tc>
          <w:tcPr>
            <w:tcW w:w="3720" w:type="dxa"/>
            <w:tcBorders>
              <w:top w:val="single" w:sz="4" w:space="0" w:color="auto"/>
              <w:left w:val="nil"/>
              <w:bottom w:val="single" w:sz="4" w:space="0" w:color="auto"/>
              <w:right w:val="single" w:sz="4" w:space="0" w:color="auto"/>
            </w:tcBorders>
            <w:shd w:val="clear" w:color="000000" w:fill="BFBFBF"/>
            <w:vAlign w:val="center"/>
            <w:hideMark/>
          </w:tcPr>
          <w:p w14:paraId="22998C4E"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DESCRIPCIÓN</w:t>
            </w:r>
          </w:p>
        </w:tc>
        <w:tc>
          <w:tcPr>
            <w:tcW w:w="620" w:type="dxa"/>
            <w:tcBorders>
              <w:top w:val="single" w:sz="4" w:space="0" w:color="auto"/>
              <w:left w:val="nil"/>
              <w:bottom w:val="single" w:sz="4" w:space="0" w:color="auto"/>
              <w:right w:val="single" w:sz="4" w:space="0" w:color="auto"/>
            </w:tcBorders>
            <w:shd w:val="clear" w:color="000000" w:fill="BFBFBF"/>
            <w:vAlign w:val="center"/>
            <w:hideMark/>
          </w:tcPr>
          <w:p w14:paraId="77A8431B"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CANT</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0D235A8C"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UNIDAD</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20556A87"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IVA</w:t>
            </w:r>
          </w:p>
        </w:tc>
        <w:tc>
          <w:tcPr>
            <w:tcW w:w="1780" w:type="dxa"/>
            <w:tcBorders>
              <w:top w:val="single" w:sz="4" w:space="0" w:color="auto"/>
              <w:left w:val="nil"/>
              <w:bottom w:val="single" w:sz="4" w:space="0" w:color="auto"/>
              <w:right w:val="single" w:sz="4" w:space="0" w:color="auto"/>
            </w:tcBorders>
            <w:shd w:val="clear" w:color="000000" w:fill="BFBFBF"/>
            <w:vAlign w:val="center"/>
            <w:hideMark/>
          </w:tcPr>
          <w:p w14:paraId="07E48354"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TOTAL</w:t>
            </w:r>
          </w:p>
        </w:tc>
      </w:tr>
      <w:tr w:rsidR="0016644B" w:rsidRPr="00CA19D3" w14:paraId="3FF80F53" w14:textId="77777777" w:rsidTr="00FA1A3A">
        <w:trPr>
          <w:trHeight w:val="510"/>
        </w:trPr>
        <w:tc>
          <w:tcPr>
            <w:tcW w:w="380" w:type="dxa"/>
            <w:tcBorders>
              <w:top w:val="nil"/>
              <w:left w:val="single" w:sz="4" w:space="0" w:color="auto"/>
              <w:bottom w:val="single" w:sz="4" w:space="0" w:color="auto"/>
              <w:right w:val="single" w:sz="4" w:space="0" w:color="auto"/>
            </w:tcBorders>
            <w:vAlign w:val="center"/>
            <w:hideMark/>
          </w:tcPr>
          <w:p w14:paraId="5A87E8DB"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3720" w:type="dxa"/>
            <w:tcBorders>
              <w:top w:val="nil"/>
              <w:left w:val="nil"/>
              <w:bottom w:val="single" w:sz="4" w:space="0" w:color="auto"/>
              <w:right w:val="single" w:sz="4" w:space="0" w:color="auto"/>
            </w:tcBorders>
            <w:vAlign w:val="center"/>
            <w:hideMark/>
          </w:tcPr>
          <w:p w14:paraId="2AFCF918"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Bitdefender GravityZone Business Security Enterprise</w:t>
            </w:r>
          </w:p>
        </w:tc>
        <w:tc>
          <w:tcPr>
            <w:tcW w:w="620" w:type="dxa"/>
            <w:tcBorders>
              <w:top w:val="nil"/>
              <w:left w:val="nil"/>
              <w:bottom w:val="single" w:sz="4" w:space="0" w:color="auto"/>
              <w:right w:val="single" w:sz="4" w:space="0" w:color="auto"/>
            </w:tcBorders>
            <w:vAlign w:val="center"/>
            <w:hideMark/>
          </w:tcPr>
          <w:p w14:paraId="45ECD7E6"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100</w:t>
            </w:r>
          </w:p>
        </w:tc>
        <w:tc>
          <w:tcPr>
            <w:tcW w:w="1400" w:type="dxa"/>
            <w:tcBorders>
              <w:top w:val="nil"/>
              <w:left w:val="nil"/>
              <w:bottom w:val="single" w:sz="4" w:space="0" w:color="auto"/>
              <w:right w:val="single" w:sz="4" w:space="0" w:color="auto"/>
            </w:tcBorders>
            <w:noWrap/>
            <w:vAlign w:val="center"/>
            <w:hideMark/>
          </w:tcPr>
          <w:p w14:paraId="2A2365A7"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$ 139.656,99</w:t>
            </w:r>
          </w:p>
        </w:tc>
        <w:tc>
          <w:tcPr>
            <w:tcW w:w="1400" w:type="dxa"/>
            <w:tcBorders>
              <w:top w:val="nil"/>
              <w:left w:val="nil"/>
              <w:bottom w:val="single" w:sz="4" w:space="0" w:color="auto"/>
              <w:right w:val="single" w:sz="4" w:space="0" w:color="auto"/>
            </w:tcBorders>
            <w:noWrap/>
            <w:vAlign w:val="center"/>
            <w:hideMark/>
          </w:tcPr>
          <w:p w14:paraId="2AFF7C01"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$ 0,00</w:t>
            </w:r>
          </w:p>
        </w:tc>
        <w:tc>
          <w:tcPr>
            <w:tcW w:w="1780" w:type="dxa"/>
            <w:tcBorders>
              <w:top w:val="nil"/>
              <w:left w:val="nil"/>
              <w:bottom w:val="single" w:sz="4" w:space="0" w:color="auto"/>
              <w:right w:val="single" w:sz="4" w:space="0" w:color="auto"/>
            </w:tcBorders>
            <w:vAlign w:val="center"/>
            <w:hideMark/>
          </w:tcPr>
          <w:p w14:paraId="2644FF04"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$ 13.965.699,00</w:t>
            </w:r>
          </w:p>
        </w:tc>
      </w:tr>
      <w:tr w:rsidR="0016644B" w:rsidRPr="00CA19D3" w14:paraId="0BF954B7" w14:textId="77777777" w:rsidTr="00FA1A3A">
        <w:trPr>
          <w:trHeight w:val="255"/>
        </w:trPr>
        <w:tc>
          <w:tcPr>
            <w:tcW w:w="380" w:type="dxa"/>
            <w:tcBorders>
              <w:top w:val="nil"/>
              <w:left w:val="single" w:sz="4" w:space="0" w:color="auto"/>
              <w:bottom w:val="single" w:sz="4" w:space="0" w:color="auto"/>
              <w:right w:val="single" w:sz="4" w:space="0" w:color="auto"/>
            </w:tcBorders>
            <w:vAlign w:val="center"/>
            <w:hideMark/>
          </w:tcPr>
          <w:p w14:paraId="2A70B8F2"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2</w:t>
            </w:r>
          </w:p>
        </w:tc>
        <w:tc>
          <w:tcPr>
            <w:tcW w:w="3720" w:type="dxa"/>
            <w:tcBorders>
              <w:top w:val="nil"/>
              <w:left w:val="nil"/>
              <w:bottom w:val="single" w:sz="4" w:space="0" w:color="auto"/>
              <w:right w:val="single" w:sz="4" w:space="0" w:color="auto"/>
            </w:tcBorders>
            <w:vAlign w:val="center"/>
            <w:hideMark/>
          </w:tcPr>
          <w:p w14:paraId="4173F4EE"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Hora de servicio (Soporte Técnico)</w:t>
            </w:r>
          </w:p>
        </w:tc>
        <w:tc>
          <w:tcPr>
            <w:tcW w:w="620" w:type="dxa"/>
            <w:tcBorders>
              <w:top w:val="nil"/>
              <w:left w:val="nil"/>
              <w:bottom w:val="single" w:sz="4" w:space="0" w:color="auto"/>
              <w:right w:val="single" w:sz="4" w:space="0" w:color="auto"/>
            </w:tcBorders>
            <w:vAlign w:val="center"/>
            <w:hideMark/>
          </w:tcPr>
          <w:p w14:paraId="18882036"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1400" w:type="dxa"/>
            <w:tcBorders>
              <w:top w:val="nil"/>
              <w:left w:val="nil"/>
              <w:bottom w:val="single" w:sz="4" w:space="0" w:color="auto"/>
              <w:right w:val="single" w:sz="4" w:space="0" w:color="auto"/>
            </w:tcBorders>
            <w:noWrap/>
            <w:vAlign w:val="center"/>
            <w:hideMark/>
          </w:tcPr>
          <w:p w14:paraId="3948719D"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$ 1.137.254,44</w:t>
            </w:r>
          </w:p>
        </w:tc>
        <w:tc>
          <w:tcPr>
            <w:tcW w:w="1400" w:type="dxa"/>
            <w:tcBorders>
              <w:top w:val="nil"/>
              <w:left w:val="nil"/>
              <w:bottom w:val="single" w:sz="4" w:space="0" w:color="auto"/>
              <w:right w:val="single" w:sz="4" w:space="0" w:color="auto"/>
            </w:tcBorders>
            <w:noWrap/>
            <w:vAlign w:val="center"/>
            <w:hideMark/>
          </w:tcPr>
          <w:p w14:paraId="2B3B5E24"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$ 216.078,34</w:t>
            </w:r>
          </w:p>
        </w:tc>
        <w:tc>
          <w:tcPr>
            <w:tcW w:w="1780" w:type="dxa"/>
            <w:tcBorders>
              <w:top w:val="nil"/>
              <w:left w:val="nil"/>
              <w:bottom w:val="single" w:sz="4" w:space="0" w:color="auto"/>
              <w:right w:val="single" w:sz="4" w:space="0" w:color="auto"/>
            </w:tcBorders>
            <w:vAlign w:val="center"/>
            <w:hideMark/>
          </w:tcPr>
          <w:p w14:paraId="1F975735"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$ 1.353.332,78</w:t>
            </w:r>
          </w:p>
        </w:tc>
      </w:tr>
      <w:tr w:rsidR="0016644B" w:rsidRPr="00CA19D3" w14:paraId="4C44028E" w14:textId="77777777" w:rsidTr="00FA1A3A">
        <w:trPr>
          <w:trHeight w:val="300"/>
        </w:trPr>
        <w:tc>
          <w:tcPr>
            <w:tcW w:w="6120" w:type="dxa"/>
            <w:gridSpan w:val="4"/>
            <w:tcBorders>
              <w:top w:val="single" w:sz="4" w:space="0" w:color="auto"/>
              <w:left w:val="single" w:sz="4" w:space="0" w:color="auto"/>
              <w:bottom w:val="single" w:sz="4" w:space="0" w:color="auto"/>
              <w:right w:val="single" w:sz="4" w:space="0" w:color="000000"/>
            </w:tcBorders>
            <w:shd w:val="clear" w:color="000000" w:fill="BFBFBF"/>
            <w:vAlign w:val="center"/>
            <w:hideMark/>
          </w:tcPr>
          <w:p w14:paraId="77339664"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SUBTOTAL ANTIVIRUS&gt;</w:t>
            </w:r>
          </w:p>
        </w:tc>
        <w:tc>
          <w:tcPr>
            <w:tcW w:w="1400" w:type="dxa"/>
            <w:tcBorders>
              <w:top w:val="nil"/>
              <w:left w:val="nil"/>
              <w:bottom w:val="single" w:sz="4" w:space="0" w:color="auto"/>
              <w:right w:val="single" w:sz="4" w:space="0" w:color="auto"/>
            </w:tcBorders>
            <w:shd w:val="clear" w:color="000000" w:fill="BFBFBF"/>
            <w:vAlign w:val="center"/>
            <w:hideMark/>
          </w:tcPr>
          <w:p w14:paraId="111D7716"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w:t>
            </w:r>
          </w:p>
        </w:tc>
        <w:tc>
          <w:tcPr>
            <w:tcW w:w="1780" w:type="dxa"/>
            <w:tcBorders>
              <w:top w:val="nil"/>
              <w:left w:val="nil"/>
              <w:bottom w:val="single" w:sz="4" w:space="0" w:color="auto"/>
              <w:right w:val="single" w:sz="4" w:space="0" w:color="auto"/>
            </w:tcBorders>
            <w:vAlign w:val="center"/>
            <w:hideMark/>
          </w:tcPr>
          <w:p w14:paraId="326E4B1A"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 $    15.319.031,78 </w:t>
            </w:r>
          </w:p>
        </w:tc>
      </w:tr>
    </w:tbl>
    <w:p w14:paraId="6822E0D1" w14:textId="77777777" w:rsidR="0016644B" w:rsidRPr="00CA19D3" w:rsidRDefault="0016644B" w:rsidP="0016644B">
      <w:pPr>
        <w:spacing w:after="0" w:line="240" w:lineRule="auto"/>
        <w:jc w:val="both"/>
        <w:rPr>
          <w:rFonts w:ascii="Arial" w:hAnsi="Arial" w:cs="Arial"/>
          <w:b/>
          <w:bCs/>
          <w:sz w:val="20"/>
          <w:szCs w:val="20"/>
          <w:lang w:val="es-ES"/>
        </w:rPr>
      </w:pPr>
    </w:p>
    <w:p w14:paraId="1D17ACF6" w14:textId="77777777" w:rsidR="0016644B" w:rsidRDefault="0016644B" w:rsidP="0016644B">
      <w:pPr>
        <w:spacing w:after="0" w:line="240" w:lineRule="auto"/>
        <w:jc w:val="both"/>
        <w:rPr>
          <w:rFonts w:ascii="Arial" w:hAnsi="Arial" w:cs="Arial"/>
          <w:b/>
          <w:bCs/>
          <w:sz w:val="20"/>
          <w:szCs w:val="20"/>
          <w:u w:val="single"/>
          <w:lang w:eastAsia="es-CO"/>
        </w:rPr>
      </w:pPr>
      <w:r>
        <w:rPr>
          <w:rFonts w:ascii="Arial" w:hAnsi="Arial" w:cs="Arial"/>
          <w:b/>
          <w:bCs/>
          <w:sz w:val="20"/>
          <w:szCs w:val="20"/>
          <w:u w:val="single"/>
          <w:lang w:eastAsia="es-CO"/>
        </w:rPr>
        <w:lastRenderedPageBreak/>
        <w:t>PROMEDIO</w:t>
      </w:r>
    </w:p>
    <w:p w14:paraId="30531696" w14:textId="77777777" w:rsidR="0016644B" w:rsidRDefault="0016644B" w:rsidP="0016644B">
      <w:pPr>
        <w:spacing w:after="0" w:line="240" w:lineRule="auto"/>
        <w:jc w:val="both"/>
        <w:rPr>
          <w:rFonts w:ascii="Arial" w:hAnsi="Arial" w:cs="Arial"/>
          <w:b/>
          <w:bCs/>
          <w:sz w:val="20"/>
          <w:szCs w:val="20"/>
          <w:u w:val="single"/>
          <w:lang w:eastAsia="es-CO"/>
        </w:rPr>
      </w:pPr>
    </w:p>
    <w:tbl>
      <w:tblPr>
        <w:tblW w:w="9351" w:type="dxa"/>
        <w:tblCellMar>
          <w:left w:w="70" w:type="dxa"/>
          <w:right w:w="70" w:type="dxa"/>
        </w:tblCellMar>
        <w:tblLook w:val="04A0" w:firstRow="1" w:lastRow="0" w:firstColumn="1" w:lastColumn="0" w:noHBand="0" w:noVBand="1"/>
      </w:tblPr>
      <w:tblGrid>
        <w:gridCol w:w="376"/>
        <w:gridCol w:w="3657"/>
        <w:gridCol w:w="1491"/>
        <w:gridCol w:w="1984"/>
        <w:gridCol w:w="1843"/>
      </w:tblGrid>
      <w:tr w:rsidR="0016644B" w:rsidRPr="00CA19D3" w14:paraId="2E6CAD9F" w14:textId="77777777" w:rsidTr="00FA1A3A">
        <w:trPr>
          <w:trHeight w:val="510"/>
        </w:trPr>
        <w:tc>
          <w:tcPr>
            <w:tcW w:w="37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E963B5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w:t>
            </w:r>
          </w:p>
        </w:tc>
        <w:tc>
          <w:tcPr>
            <w:tcW w:w="3657"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646EE040"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DESCRIPCIÓN</w:t>
            </w:r>
          </w:p>
        </w:tc>
        <w:tc>
          <w:tcPr>
            <w:tcW w:w="1491"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0C9DF642"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CANT</w:t>
            </w:r>
          </w:p>
        </w:tc>
        <w:tc>
          <w:tcPr>
            <w:tcW w:w="1984"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22FCF0E2"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UNIDAD</w:t>
            </w:r>
          </w:p>
        </w:tc>
        <w:tc>
          <w:tcPr>
            <w:tcW w:w="1843" w:type="dxa"/>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5CB1DCB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VALOR </w:t>
            </w:r>
            <w:r w:rsidRPr="00CA19D3">
              <w:rPr>
                <w:rFonts w:ascii="Arial" w:eastAsia="Times New Roman" w:hAnsi="Arial" w:cs="Arial"/>
                <w:b/>
                <w:bCs/>
                <w:color w:val="000000"/>
                <w:sz w:val="20"/>
                <w:szCs w:val="20"/>
                <w:lang w:eastAsia="es-CO"/>
              </w:rPr>
              <w:br/>
              <w:t>TOTAL</w:t>
            </w:r>
          </w:p>
        </w:tc>
      </w:tr>
      <w:tr w:rsidR="0016644B" w:rsidRPr="00CA19D3" w14:paraId="716C40B5" w14:textId="77777777" w:rsidTr="00FA1A3A">
        <w:trPr>
          <w:trHeight w:val="510"/>
        </w:trPr>
        <w:tc>
          <w:tcPr>
            <w:tcW w:w="376" w:type="dxa"/>
            <w:tcBorders>
              <w:top w:val="nil"/>
              <w:left w:val="single" w:sz="4" w:space="0" w:color="auto"/>
              <w:bottom w:val="single" w:sz="4" w:space="0" w:color="auto"/>
              <w:right w:val="single" w:sz="4" w:space="0" w:color="auto"/>
            </w:tcBorders>
            <w:vAlign w:val="center"/>
            <w:hideMark/>
          </w:tcPr>
          <w:p w14:paraId="1A4D8A80"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3657" w:type="dxa"/>
            <w:tcBorders>
              <w:top w:val="nil"/>
              <w:left w:val="nil"/>
              <w:bottom w:val="single" w:sz="4" w:space="0" w:color="auto"/>
              <w:right w:val="single" w:sz="4" w:space="0" w:color="auto"/>
            </w:tcBorders>
            <w:vAlign w:val="center"/>
            <w:hideMark/>
          </w:tcPr>
          <w:p w14:paraId="2BC70CE5"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Bitdefender GravityZone Business Security Enterprise</w:t>
            </w:r>
          </w:p>
        </w:tc>
        <w:tc>
          <w:tcPr>
            <w:tcW w:w="1491" w:type="dxa"/>
            <w:tcBorders>
              <w:top w:val="nil"/>
              <w:left w:val="nil"/>
              <w:bottom w:val="single" w:sz="4" w:space="0" w:color="auto"/>
              <w:right w:val="single" w:sz="4" w:space="0" w:color="auto"/>
            </w:tcBorders>
            <w:vAlign w:val="center"/>
            <w:hideMark/>
          </w:tcPr>
          <w:p w14:paraId="0E46701B"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100</w:t>
            </w:r>
          </w:p>
        </w:tc>
        <w:tc>
          <w:tcPr>
            <w:tcW w:w="1984" w:type="dxa"/>
            <w:tcBorders>
              <w:top w:val="nil"/>
              <w:left w:val="nil"/>
              <w:bottom w:val="single" w:sz="4" w:space="0" w:color="auto"/>
              <w:right w:val="single" w:sz="4" w:space="0" w:color="auto"/>
            </w:tcBorders>
            <w:noWrap/>
            <w:vAlign w:val="center"/>
            <w:hideMark/>
          </w:tcPr>
          <w:p w14:paraId="3F477727"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$ 148.214</w:t>
            </w:r>
          </w:p>
        </w:tc>
        <w:tc>
          <w:tcPr>
            <w:tcW w:w="1843" w:type="dxa"/>
            <w:tcBorders>
              <w:top w:val="nil"/>
              <w:left w:val="nil"/>
              <w:bottom w:val="single" w:sz="4" w:space="0" w:color="auto"/>
              <w:right w:val="single" w:sz="4" w:space="0" w:color="auto"/>
            </w:tcBorders>
            <w:vAlign w:val="center"/>
            <w:hideMark/>
          </w:tcPr>
          <w:p w14:paraId="33B2E79D"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$ 14.821.440</w:t>
            </w:r>
          </w:p>
        </w:tc>
      </w:tr>
      <w:tr w:rsidR="0016644B" w:rsidRPr="00CA19D3" w14:paraId="0BF9717B" w14:textId="77777777" w:rsidTr="00FA1A3A">
        <w:trPr>
          <w:trHeight w:val="255"/>
        </w:trPr>
        <w:tc>
          <w:tcPr>
            <w:tcW w:w="376" w:type="dxa"/>
            <w:tcBorders>
              <w:top w:val="nil"/>
              <w:left w:val="single" w:sz="4" w:space="0" w:color="auto"/>
              <w:bottom w:val="single" w:sz="4" w:space="0" w:color="auto"/>
              <w:right w:val="single" w:sz="4" w:space="0" w:color="auto"/>
            </w:tcBorders>
            <w:vAlign w:val="center"/>
            <w:hideMark/>
          </w:tcPr>
          <w:p w14:paraId="60FB5551"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2</w:t>
            </w:r>
          </w:p>
        </w:tc>
        <w:tc>
          <w:tcPr>
            <w:tcW w:w="3657" w:type="dxa"/>
            <w:tcBorders>
              <w:top w:val="nil"/>
              <w:left w:val="nil"/>
              <w:bottom w:val="single" w:sz="4" w:space="0" w:color="auto"/>
              <w:right w:val="single" w:sz="4" w:space="0" w:color="auto"/>
            </w:tcBorders>
            <w:vAlign w:val="center"/>
            <w:hideMark/>
          </w:tcPr>
          <w:p w14:paraId="2504DE1E" w14:textId="77777777" w:rsidR="0016644B" w:rsidRPr="00CA19D3" w:rsidRDefault="0016644B" w:rsidP="00FA1A3A">
            <w:pPr>
              <w:spacing w:after="0" w:line="240" w:lineRule="auto"/>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Hora de servicio (Soporte Técnico)</w:t>
            </w:r>
          </w:p>
        </w:tc>
        <w:tc>
          <w:tcPr>
            <w:tcW w:w="1491" w:type="dxa"/>
            <w:tcBorders>
              <w:top w:val="nil"/>
              <w:left w:val="nil"/>
              <w:bottom w:val="single" w:sz="4" w:space="0" w:color="auto"/>
              <w:right w:val="single" w:sz="4" w:space="0" w:color="auto"/>
            </w:tcBorders>
            <w:vAlign w:val="center"/>
            <w:hideMark/>
          </w:tcPr>
          <w:p w14:paraId="46C9E8A2" w14:textId="77777777" w:rsidR="0016644B" w:rsidRPr="00CA19D3" w:rsidRDefault="0016644B" w:rsidP="00FA1A3A">
            <w:pPr>
              <w:spacing w:after="0" w:line="240" w:lineRule="auto"/>
              <w:jc w:val="center"/>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1</w:t>
            </w:r>
          </w:p>
        </w:tc>
        <w:tc>
          <w:tcPr>
            <w:tcW w:w="1984" w:type="dxa"/>
            <w:tcBorders>
              <w:top w:val="nil"/>
              <w:left w:val="nil"/>
              <w:bottom w:val="single" w:sz="4" w:space="0" w:color="auto"/>
              <w:right w:val="single" w:sz="4" w:space="0" w:color="auto"/>
            </w:tcBorders>
            <w:noWrap/>
            <w:vAlign w:val="center"/>
            <w:hideMark/>
          </w:tcPr>
          <w:p w14:paraId="4AEE707C"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$ 1.436.258</w:t>
            </w:r>
          </w:p>
        </w:tc>
        <w:tc>
          <w:tcPr>
            <w:tcW w:w="1843" w:type="dxa"/>
            <w:tcBorders>
              <w:top w:val="nil"/>
              <w:left w:val="nil"/>
              <w:bottom w:val="single" w:sz="4" w:space="0" w:color="auto"/>
              <w:right w:val="single" w:sz="4" w:space="0" w:color="auto"/>
            </w:tcBorders>
            <w:vAlign w:val="center"/>
            <w:hideMark/>
          </w:tcPr>
          <w:p w14:paraId="385E1286" w14:textId="77777777" w:rsidR="0016644B" w:rsidRPr="00CA19D3" w:rsidRDefault="0016644B" w:rsidP="00FA1A3A">
            <w:pPr>
              <w:spacing w:after="0" w:line="240" w:lineRule="auto"/>
              <w:jc w:val="right"/>
              <w:rPr>
                <w:rFonts w:ascii="Arial" w:eastAsia="Times New Roman" w:hAnsi="Arial" w:cs="Arial"/>
                <w:color w:val="000000"/>
                <w:sz w:val="20"/>
                <w:szCs w:val="20"/>
                <w:lang w:eastAsia="es-CO"/>
              </w:rPr>
            </w:pPr>
            <w:r w:rsidRPr="00CA19D3">
              <w:rPr>
                <w:rFonts w:ascii="Arial" w:eastAsia="Times New Roman" w:hAnsi="Arial" w:cs="Arial"/>
                <w:color w:val="000000"/>
                <w:sz w:val="20"/>
                <w:szCs w:val="20"/>
                <w:lang w:eastAsia="es-CO"/>
              </w:rPr>
              <w:t>$ 1.436.258</w:t>
            </w:r>
          </w:p>
        </w:tc>
      </w:tr>
      <w:tr w:rsidR="0016644B" w:rsidRPr="00CA19D3" w14:paraId="53CE0B36" w14:textId="77777777" w:rsidTr="00FA1A3A">
        <w:trPr>
          <w:trHeight w:val="300"/>
        </w:trPr>
        <w:tc>
          <w:tcPr>
            <w:tcW w:w="7508"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7B832424"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SUBTOTAL ANTIVIRUS&gt;</w:t>
            </w:r>
          </w:p>
        </w:tc>
        <w:tc>
          <w:tcPr>
            <w:tcW w:w="1843" w:type="dxa"/>
            <w:tcBorders>
              <w:top w:val="nil"/>
              <w:left w:val="nil"/>
              <w:bottom w:val="single" w:sz="4" w:space="0" w:color="auto"/>
              <w:right w:val="single" w:sz="4" w:space="0" w:color="auto"/>
            </w:tcBorders>
            <w:vAlign w:val="center"/>
            <w:hideMark/>
          </w:tcPr>
          <w:p w14:paraId="710E7C93" w14:textId="77777777" w:rsidR="0016644B" w:rsidRPr="00CA19D3" w:rsidRDefault="0016644B" w:rsidP="00FA1A3A">
            <w:pPr>
              <w:spacing w:after="0" w:line="240" w:lineRule="auto"/>
              <w:jc w:val="center"/>
              <w:rPr>
                <w:rFonts w:ascii="Arial" w:eastAsia="Times New Roman" w:hAnsi="Arial" w:cs="Arial"/>
                <w:b/>
                <w:bCs/>
                <w:color w:val="000000"/>
                <w:sz w:val="20"/>
                <w:szCs w:val="20"/>
                <w:lang w:eastAsia="es-CO"/>
              </w:rPr>
            </w:pPr>
            <w:r w:rsidRPr="00CA19D3">
              <w:rPr>
                <w:rFonts w:ascii="Arial" w:eastAsia="Times New Roman" w:hAnsi="Arial" w:cs="Arial"/>
                <w:b/>
                <w:bCs/>
                <w:color w:val="000000"/>
                <w:sz w:val="20"/>
                <w:szCs w:val="20"/>
                <w:lang w:eastAsia="es-CO"/>
              </w:rPr>
              <w:t xml:space="preserve"> $   16.257.697,59 </w:t>
            </w:r>
          </w:p>
        </w:tc>
      </w:tr>
    </w:tbl>
    <w:p w14:paraId="2291018B" w14:textId="77777777" w:rsidR="0016644B" w:rsidRDefault="0016644B" w:rsidP="0016644B">
      <w:pPr>
        <w:spacing w:after="0" w:line="240" w:lineRule="auto"/>
        <w:jc w:val="both"/>
        <w:rPr>
          <w:rFonts w:ascii="Arial" w:hAnsi="Arial" w:cs="Arial"/>
          <w:b/>
          <w:bCs/>
          <w:sz w:val="20"/>
          <w:szCs w:val="20"/>
          <w:u w:val="single"/>
          <w:lang w:eastAsia="es-CO"/>
        </w:rPr>
      </w:pPr>
    </w:p>
    <w:p w14:paraId="2FF4ECB1" w14:textId="77777777" w:rsidR="0016644B" w:rsidRPr="0067247C" w:rsidRDefault="0016644B" w:rsidP="0016644B">
      <w:pPr>
        <w:pStyle w:val="Sinespaciado"/>
        <w:jc w:val="both"/>
        <w:rPr>
          <w:rFonts w:ascii="Arial" w:eastAsia="Lucida Sans Unicode" w:hAnsi="Arial" w:cs="Arial"/>
          <w:sz w:val="20"/>
          <w:szCs w:val="20"/>
        </w:rPr>
      </w:pPr>
      <w:r w:rsidRPr="0067247C">
        <w:rPr>
          <w:rFonts w:ascii="Arial" w:eastAsia="Lucida Sans Unicode" w:hAnsi="Arial" w:cs="Arial"/>
          <w:sz w:val="20"/>
          <w:szCs w:val="20"/>
        </w:rPr>
        <w:t xml:space="preserve">El futuro contrato que se genere a partir del presente proceso contractual, involucra necesariamente gastos tributarios, de contratación y administrativos, los cuales también se tuvieron en cuenta y se incluyen para determinar el costo total del presente estudio; en este sentido, </w:t>
      </w:r>
      <w:r w:rsidRPr="0067247C">
        <w:rPr>
          <w:rFonts w:ascii="Arial" w:eastAsia="Lucida Sans Unicode" w:hAnsi="Arial" w:cs="Arial"/>
          <w:sz w:val="20"/>
          <w:szCs w:val="20"/>
          <w:lang w:val="es-ES_tradnl"/>
        </w:rPr>
        <w:t xml:space="preserve">El contratista deberá tener en cuenta que la utilidad del contrato va gravada con el IVA. Las retenciones de ley como son la Retención en la fuente, </w:t>
      </w:r>
      <w:r w:rsidRPr="0067247C">
        <w:rPr>
          <w:rFonts w:ascii="Arial" w:eastAsia="Lucida Sans Unicode" w:hAnsi="Arial" w:cs="Arial"/>
          <w:sz w:val="20"/>
          <w:szCs w:val="20"/>
        </w:rPr>
        <w:t>la Retención de Industria y Comercio – RETEICA, Fondo de seguridad</w:t>
      </w:r>
      <w:r w:rsidRPr="0067247C">
        <w:rPr>
          <w:rFonts w:ascii="Arial" w:eastAsia="Lucida Sans Unicode" w:hAnsi="Arial" w:cs="Arial"/>
          <w:sz w:val="20"/>
          <w:szCs w:val="20"/>
          <w:lang w:val="es-ES_tradnl"/>
        </w:rPr>
        <w:t xml:space="preserve"> y Retención de IVA, se efectuarán de acuerdo a la información de cada contratista teniendo en cuenta si son declarantes o no de renta, grandes contribuyentes, agentes retenedores entre otros, según la información contenida en el RUT</w:t>
      </w:r>
      <w:r w:rsidRPr="0067247C">
        <w:rPr>
          <w:rFonts w:ascii="Arial" w:eastAsia="Lucida Sans Unicode" w:hAnsi="Arial" w:cs="Arial"/>
          <w:sz w:val="20"/>
          <w:szCs w:val="20"/>
        </w:rPr>
        <w:t xml:space="preserve">, ya que son cargas impositivas de responsabilidad del contratista, y no deben cargarse a los costos de los bienes, obras o servicios.  </w:t>
      </w:r>
    </w:p>
    <w:p w14:paraId="622908CE" w14:textId="77777777" w:rsidR="0016644B" w:rsidRPr="0067247C" w:rsidRDefault="0016644B" w:rsidP="0016644B">
      <w:pPr>
        <w:pStyle w:val="Sinespaciado"/>
        <w:jc w:val="both"/>
        <w:rPr>
          <w:rFonts w:ascii="Arial" w:eastAsia="Lucida Sans Unicode" w:hAnsi="Arial" w:cs="Arial"/>
          <w:sz w:val="20"/>
          <w:szCs w:val="20"/>
        </w:rPr>
      </w:pPr>
    </w:p>
    <w:p w14:paraId="5B43C41D" w14:textId="77777777" w:rsidR="0016644B" w:rsidRDefault="0016644B" w:rsidP="0016644B">
      <w:pPr>
        <w:pStyle w:val="Sinespaciado"/>
        <w:jc w:val="both"/>
        <w:rPr>
          <w:rFonts w:ascii="Arial" w:hAnsi="Arial" w:cs="Arial"/>
          <w:sz w:val="20"/>
          <w:szCs w:val="20"/>
        </w:rPr>
      </w:pPr>
      <w:r w:rsidRPr="0067247C">
        <w:rPr>
          <w:rFonts w:ascii="Arial" w:eastAsia="Lucida Sans Unicode" w:hAnsi="Arial" w:cs="Arial"/>
          <w:sz w:val="20"/>
          <w:szCs w:val="20"/>
        </w:rPr>
        <w:t xml:space="preserve">En este orden de ideas, el municipio </w:t>
      </w:r>
      <w:r w:rsidRPr="0067247C">
        <w:rPr>
          <w:rFonts w:ascii="Arial" w:hAnsi="Arial" w:cs="Arial"/>
          <w:sz w:val="20"/>
          <w:szCs w:val="20"/>
        </w:rPr>
        <w:t>al momento de los pagos la entidad realizará las</w:t>
      </w:r>
      <w:r w:rsidRPr="0067247C">
        <w:rPr>
          <w:rFonts w:ascii="Arial" w:eastAsia="Lucida Sans Unicode" w:hAnsi="Arial" w:cs="Arial"/>
          <w:sz w:val="20"/>
          <w:szCs w:val="20"/>
        </w:rPr>
        <w:t xml:space="preserve"> siguientes retenciones por conceptos de estampillas</w:t>
      </w:r>
      <w:r>
        <w:rPr>
          <w:rFonts w:ascii="Arial" w:eastAsia="Lucida Sans Unicode" w:hAnsi="Arial" w:cs="Arial"/>
          <w:sz w:val="20"/>
          <w:szCs w:val="20"/>
        </w:rPr>
        <w:t xml:space="preserve"> contenidos en el Estatuto de Rentas Municipal y en sus modificaciones</w:t>
      </w:r>
      <w:r w:rsidRPr="0067247C">
        <w:rPr>
          <w:rFonts w:ascii="Arial" w:hAnsi="Arial" w:cs="Arial"/>
          <w:sz w:val="20"/>
          <w:szCs w:val="20"/>
        </w:rPr>
        <w:t>.</w:t>
      </w:r>
    </w:p>
    <w:p w14:paraId="61EFE28F" w14:textId="77777777" w:rsidR="0029356C" w:rsidRPr="0067247C" w:rsidRDefault="0029356C" w:rsidP="0016644B">
      <w:pPr>
        <w:pStyle w:val="Sinespaciado"/>
        <w:jc w:val="both"/>
        <w:rPr>
          <w:rFonts w:ascii="Arial" w:eastAsia="Lucida Sans Unicode" w:hAnsi="Arial" w:cs="Arial"/>
          <w:b/>
          <w:sz w:val="20"/>
          <w:szCs w:val="20"/>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88"/>
        <w:gridCol w:w="2755"/>
        <w:gridCol w:w="2607"/>
      </w:tblGrid>
      <w:tr w:rsidR="0016644B" w:rsidRPr="001C438A" w14:paraId="6C813FC8" w14:textId="77777777" w:rsidTr="0029356C">
        <w:trPr>
          <w:trHeight w:val="356"/>
          <w:jc w:val="center"/>
        </w:trPr>
        <w:tc>
          <w:tcPr>
            <w:tcW w:w="2133" w:type="pct"/>
            <w:shd w:val="clear" w:color="auto" w:fill="D9D9D9" w:themeFill="background1" w:themeFillShade="D9"/>
            <w:vAlign w:val="center"/>
          </w:tcPr>
          <w:p w14:paraId="6DBA13FD" w14:textId="77777777" w:rsidR="0016644B" w:rsidRPr="001C438A" w:rsidRDefault="0016644B" w:rsidP="00FA1A3A">
            <w:pPr>
              <w:pStyle w:val="Sinespaciado"/>
              <w:jc w:val="center"/>
              <w:rPr>
                <w:rFonts w:ascii="Arial" w:hAnsi="Arial" w:cs="Arial"/>
                <w:b/>
                <w:color w:val="000000"/>
                <w:sz w:val="18"/>
                <w:szCs w:val="18"/>
              </w:rPr>
            </w:pPr>
            <w:bookmarkStart w:id="4" w:name="_Hlk87454292"/>
            <w:r w:rsidRPr="001C438A">
              <w:rPr>
                <w:rFonts w:ascii="Arial" w:hAnsi="Arial" w:cs="Arial"/>
                <w:b/>
                <w:color w:val="000000"/>
                <w:sz w:val="18"/>
                <w:szCs w:val="18"/>
              </w:rPr>
              <w:t>TRIBUTO</w:t>
            </w:r>
          </w:p>
        </w:tc>
        <w:tc>
          <w:tcPr>
            <w:tcW w:w="1473" w:type="pct"/>
            <w:shd w:val="clear" w:color="auto" w:fill="D9D9D9" w:themeFill="background1" w:themeFillShade="D9"/>
            <w:vAlign w:val="center"/>
          </w:tcPr>
          <w:p w14:paraId="169DB6E4" w14:textId="77777777" w:rsidR="0016644B" w:rsidRPr="001C438A" w:rsidRDefault="0016644B" w:rsidP="00FA1A3A">
            <w:pPr>
              <w:pStyle w:val="Sinespaciado"/>
              <w:jc w:val="center"/>
              <w:rPr>
                <w:rFonts w:ascii="Arial" w:hAnsi="Arial" w:cs="Arial"/>
                <w:b/>
                <w:color w:val="000000"/>
                <w:sz w:val="18"/>
                <w:szCs w:val="18"/>
              </w:rPr>
            </w:pPr>
            <w:r w:rsidRPr="001C438A">
              <w:rPr>
                <w:rFonts w:ascii="Arial" w:hAnsi="Arial" w:cs="Arial"/>
                <w:b/>
                <w:color w:val="000000"/>
                <w:sz w:val="18"/>
                <w:szCs w:val="18"/>
              </w:rPr>
              <w:t>PERSONA NATURAL</w:t>
            </w:r>
          </w:p>
        </w:tc>
        <w:tc>
          <w:tcPr>
            <w:tcW w:w="1394" w:type="pct"/>
            <w:shd w:val="clear" w:color="auto" w:fill="D9D9D9" w:themeFill="background1" w:themeFillShade="D9"/>
            <w:vAlign w:val="center"/>
          </w:tcPr>
          <w:p w14:paraId="3B7E048C" w14:textId="77777777" w:rsidR="0016644B" w:rsidRPr="001C438A" w:rsidRDefault="0016644B" w:rsidP="00FA1A3A">
            <w:pPr>
              <w:pStyle w:val="Sinespaciado"/>
              <w:jc w:val="center"/>
              <w:rPr>
                <w:rFonts w:ascii="Arial" w:hAnsi="Arial" w:cs="Arial"/>
                <w:b/>
                <w:color w:val="000000"/>
                <w:sz w:val="18"/>
                <w:szCs w:val="18"/>
              </w:rPr>
            </w:pPr>
            <w:r w:rsidRPr="001C438A">
              <w:rPr>
                <w:rFonts w:ascii="Arial" w:hAnsi="Arial" w:cs="Arial"/>
                <w:b/>
                <w:color w:val="000000"/>
                <w:sz w:val="18"/>
                <w:szCs w:val="18"/>
              </w:rPr>
              <w:t>PERSONA JURÍDICA</w:t>
            </w:r>
          </w:p>
        </w:tc>
      </w:tr>
      <w:tr w:rsidR="0016644B" w:rsidRPr="001C438A" w14:paraId="4B82FAF7" w14:textId="77777777" w:rsidTr="0029356C">
        <w:trPr>
          <w:trHeight w:val="204"/>
          <w:jc w:val="center"/>
        </w:trPr>
        <w:tc>
          <w:tcPr>
            <w:tcW w:w="2133" w:type="pct"/>
            <w:vAlign w:val="center"/>
          </w:tcPr>
          <w:p w14:paraId="3578BC17" w14:textId="77777777" w:rsidR="0016644B" w:rsidRPr="001C438A" w:rsidRDefault="0016644B" w:rsidP="00FA1A3A">
            <w:pPr>
              <w:pStyle w:val="Sinespaciado"/>
              <w:rPr>
                <w:rFonts w:ascii="Arial" w:hAnsi="Arial" w:cs="Arial"/>
                <w:b/>
                <w:color w:val="FF0000"/>
                <w:sz w:val="18"/>
                <w:szCs w:val="18"/>
              </w:rPr>
            </w:pPr>
            <w:r w:rsidRPr="001C438A">
              <w:rPr>
                <w:rFonts w:ascii="Arial" w:hAnsi="Arial" w:cs="Arial"/>
                <w:sz w:val="18"/>
                <w:szCs w:val="18"/>
              </w:rPr>
              <w:t>Estampilla Pro Cultura</w:t>
            </w:r>
          </w:p>
        </w:tc>
        <w:tc>
          <w:tcPr>
            <w:tcW w:w="1473" w:type="pct"/>
          </w:tcPr>
          <w:p w14:paraId="73D48F80"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c>
          <w:tcPr>
            <w:tcW w:w="1394" w:type="pct"/>
          </w:tcPr>
          <w:p w14:paraId="3C9216D7"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r>
      <w:tr w:rsidR="0016644B" w:rsidRPr="001C438A" w14:paraId="691601D1" w14:textId="77777777" w:rsidTr="0029356C">
        <w:trPr>
          <w:trHeight w:val="214"/>
          <w:jc w:val="center"/>
        </w:trPr>
        <w:tc>
          <w:tcPr>
            <w:tcW w:w="2133" w:type="pct"/>
            <w:vAlign w:val="center"/>
          </w:tcPr>
          <w:p w14:paraId="7AE2ACCB" w14:textId="77777777" w:rsidR="0016644B" w:rsidRPr="001C438A" w:rsidRDefault="0016644B" w:rsidP="00FA1A3A">
            <w:pPr>
              <w:pStyle w:val="Sinespaciado"/>
              <w:rPr>
                <w:rFonts w:ascii="Arial" w:hAnsi="Arial" w:cs="Arial"/>
                <w:sz w:val="18"/>
                <w:szCs w:val="18"/>
              </w:rPr>
            </w:pPr>
            <w:r>
              <w:rPr>
                <w:rFonts w:ascii="Arial" w:hAnsi="Arial" w:cs="Arial"/>
                <w:sz w:val="18"/>
                <w:szCs w:val="18"/>
              </w:rPr>
              <w:t>Estampilla Pro Adulto Mayor</w:t>
            </w:r>
          </w:p>
        </w:tc>
        <w:tc>
          <w:tcPr>
            <w:tcW w:w="1473" w:type="pct"/>
          </w:tcPr>
          <w:p w14:paraId="650BEA7E"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4&amp; del valor total del contrato</w:t>
            </w:r>
          </w:p>
        </w:tc>
        <w:tc>
          <w:tcPr>
            <w:tcW w:w="1394" w:type="pct"/>
          </w:tcPr>
          <w:p w14:paraId="152FE2A1"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4&amp; del valor total del contrato</w:t>
            </w:r>
          </w:p>
        </w:tc>
      </w:tr>
      <w:tr w:rsidR="0016644B" w:rsidRPr="001C438A" w14:paraId="7CD8E721" w14:textId="77777777" w:rsidTr="0029356C">
        <w:trPr>
          <w:trHeight w:val="176"/>
          <w:jc w:val="center"/>
        </w:trPr>
        <w:tc>
          <w:tcPr>
            <w:tcW w:w="2133" w:type="pct"/>
            <w:vAlign w:val="center"/>
          </w:tcPr>
          <w:p w14:paraId="0C50AC22" w14:textId="77777777" w:rsidR="0016644B" w:rsidRPr="001C438A" w:rsidRDefault="0016644B" w:rsidP="00FA1A3A">
            <w:pPr>
              <w:pStyle w:val="Sinespaciado"/>
              <w:rPr>
                <w:rFonts w:ascii="Arial" w:hAnsi="Arial" w:cs="Arial"/>
                <w:b/>
                <w:color w:val="FF0000"/>
                <w:sz w:val="18"/>
                <w:szCs w:val="18"/>
              </w:rPr>
            </w:pPr>
            <w:r w:rsidRPr="001C438A">
              <w:rPr>
                <w:rFonts w:ascii="Arial" w:hAnsi="Arial" w:cs="Arial"/>
                <w:sz w:val="18"/>
                <w:szCs w:val="18"/>
              </w:rPr>
              <w:t>Estampilla Pro Hospitales Públicos</w:t>
            </w:r>
          </w:p>
        </w:tc>
        <w:tc>
          <w:tcPr>
            <w:tcW w:w="1473" w:type="pct"/>
          </w:tcPr>
          <w:p w14:paraId="0DE85BD6"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c>
          <w:tcPr>
            <w:tcW w:w="1394" w:type="pct"/>
          </w:tcPr>
          <w:p w14:paraId="2617DF29"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r>
      <w:tr w:rsidR="0016644B" w:rsidRPr="001C438A" w14:paraId="4FED1F14" w14:textId="77777777" w:rsidTr="0029356C">
        <w:trPr>
          <w:trHeight w:val="176"/>
          <w:jc w:val="center"/>
        </w:trPr>
        <w:tc>
          <w:tcPr>
            <w:tcW w:w="2133" w:type="pct"/>
            <w:vAlign w:val="center"/>
          </w:tcPr>
          <w:p w14:paraId="2827E8E2" w14:textId="77777777" w:rsidR="0016644B" w:rsidRPr="001C438A" w:rsidRDefault="0016644B" w:rsidP="00FA1A3A">
            <w:pPr>
              <w:pStyle w:val="Sinespaciado"/>
              <w:rPr>
                <w:rFonts w:ascii="Arial" w:hAnsi="Arial" w:cs="Arial"/>
                <w:b/>
                <w:color w:val="FF0000"/>
                <w:sz w:val="18"/>
                <w:szCs w:val="18"/>
              </w:rPr>
            </w:pPr>
            <w:r w:rsidRPr="001C438A">
              <w:rPr>
                <w:rFonts w:ascii="Arial" w:hAnsi="Arial" w:cs="Arial"/>
                <w:sz w:val="18"/>
                <w:szCs w:val="18"/>
              </w:rPr>
              <w:t xml:space="preserve">Estampilla </w:t>
            </w:r>
            <w:r>
              <w:rPr>
                <w:rFonts w:ascii="Arial" w:hAnsi="Arial" w:cs="Arial"/>
                <w:sz w:val="18"/>
                <w:szCs w:val="18"/>
              </w:rPr>
              <w:t xml:space="preserve">del impuesto de Industria y comercio </w:t>
            </w:r>
          </w:p>
        </w:tc>
        <w:tc>
          <w:tcPr>
            <w:tcW w:w="1473" w:type="pct"/>
          </w:tcPr>
          <w:p w14:paraId="1E1DDE60"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1</w:t>
            </w:r>
            <w:r w:rsidRPr="001C438A">
              <w:rPr>
                <w:rFonts w:ascii="Arial" w:hAnsi="Arial" w:cs="Arial"/>
                <w:color w:val="000000"/>
                <w:sz w:val="18"/>
                <w:szCs w:val="18"/>
              </w:rPr>
              <w:t>% del valor total del contrato</w:t>
            </w:r>
          </w:p>
        </w:tc>
        <w:tc>
          <w:tcPr>
            <w:tcW w:w="1394" w:type="pct"/>
          </w:tcPr>
          <w:p w14:paraId="7AE8CC28"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1</w:t>
            </w:r>
            <w:r w:rsidRPr="001C438A">
              <w:rPr>
                <w:rFonts w:ascii="Arial" w:hAnsi="Arial" w:cs="Arial"/>
                <w:color w:val="000000"/>
                <w:sz w:val="18"/>
                <w:szCs w:val="18"/>
              </w:rPr>
              <w:t>% del valor total del contrato</w:t>
            </w:r>
          </w:p>
        </w:tc>
      </w:tr>
      <w:tr w:rsidR="0016644B" w:rsidRPr="001C438A" w14:paraId="1FE5E1CA" w14:textId="77777777" w:rsidTr="0029356C">
        <w:trPr>
          <w:trHeight w:val="176"/>
          <w:jc w:val="center"/>
        </w:trPr>
        <w:tc>
          <w:tcPr>
            <w:tcW w:w="2133" w:type="pct"/>
            <w:vAlign w:val="center"/>
          </w:tcPr>
          <w:p w14:paraId="56CE288B" w14:textId="77777777" w:rsidR="0016644B" w:rsidRPr="001C438A" w:rsidRDefault="0016644B" w:rsidP="00FA1A3A">
            <w:pPr>
              <w:pStyle w:val="Sinespaciado"/>
              <w:rPr>
                <w:rFonts w:ascii="Arial" w:hAnsi="Arial" w:cs="Arial"/>
                <w:b/>
                <w:color w:val="FF0000"/>
                <w:sz w:val="18"/>
                <w:szCs w:val="18"/>
              </w:rPr>
            </w:pPr>
            <w:r w:rsidRPr="001C438A">
              <w:rPr>
                <w:rFonts w:ascii="Arial" w:hAnsi="Arial" w:cs="Arial"/>
                <w:sz w:val="18"/>
                <w:szCs w:val="18"/>
              </w:rPr>
              <w:t>Estampilla Pro Electrificación</w:t>
            </w:r>
          </w:p>
        </w:tc>
        <w:tc>
          <w:tcPr>
            <w:tcW w:w="1473" w:type="pct"/>
          </w:tcPr>
          <w:p w14:paraId="3DF63403"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c>
          <w:tcPr>
            <w:tcW w:w="1394" w:type="pct"/>
          </w:tcPr>
          <w:p w14:paraId="293636ED"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1% del valor total del contrato</w:t>
            </w:r>
          </w:p>
        </w:tc>
      </w:tr>
      <w:tr w:rsidR="0016644B" w:rsidRPr="001C438A" w14:paraId="202EF1EF" w14:textId="77777777" w:rsidTr="0029356C">
        <w:trPr>
          <w:trHeight w:val="176"/>
          <w:jc w:val="center"/>
        </w:trPr>
        <w:tc>
          <w:tcPr>
            <w:tcW w:w="2133" w:type="pct"/>
            <w:vAlign w:val="center"/>
          </w:tcPr>
          <w:p w14:paraId="5113C4FE" w14:textId="77777777" w:rsidR="0016644B" w:rsidRPr="001C438A" w:rsidRDefault="0016644B" w:rsidP="00FA1A3A">
            <w:pPr>
              <w:pStyle w:val="Sinespaciado"/>
              <w:rPr>
                <w:rFonts w:ascii="Arial" w:hAnsi="Arial" w:cs="Arial"/>
                <w:b/>
                <w:color w:val="FF0000"/>
                <w:sz w:val="18"/>
                <w:szCs w:val="18"/>
              </w:rPr>
            </w:pPr>
            <w:r w:rsidRPr="001C438A">
              <w:rPr>
                <w:rFonts w:ascii="Arial" w:hAnsi="Arial" w:cs="Arial"/>
                <w:sz w:val="18"/>
                <w:szCs w:val="18"/>
              </w:rPr>
              <w:t>Tasa Pro Deportes</w:t>
            </w:r>
          </w:p>
        </w:tc>
        <w:tc>
          <w:tcPr>
            <w:tcW w:w="1473" w:type="pct"/>
          </w:tcPr>
          <w:p w14:paraId="7E793077"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2.5% del valor total del contrato</w:t>
            </w:r>
          </w:p>
        </w:tc>
        <w:tc>
          <w:tcPr>
            <w:tcW w:w="1394" w:type="pct"/>
          </w:tcPr>
          <w:p w14:paraId="0A455087" w14:textId="77777777" w:rsidR="0016644B" w:rsidRPr="001C438A" w:rsidRDefault="0016644B" w:rsidP="00FA1A3A">
            <w:pPr>
              <w:pStyle w:val="Sinespaciado"/>
              <w:jc w:val="both"/>
              <w:rPr>
                <w:rFonts w:ascii="Arial" w:hAnsi="Arial" w:cs="Arial"/>
                <w:color w:val="000000"/>
                <w:sz w:val="18"/>
                <w:szCs w:val="18"/>
              </w:rPr>
            </w:pPr>
            <w:r w:rsidRPr="001C438A">
              <w:rPr>
                <w:rFonts w:ascii="Arial" w:hAnsi="Arial" w:cs="Arial"/>
                <w:color w:val="000000"/>
                <w:sz w:val="18"/>
                <w:szCs w:val="18"/>
              </w:rPr>
              <w:t>2.5% del valor total del contrato</w:t>
            </w:r>
          </w:p>
        </w:tc>
      </w:tr>
      <w:tr w:rsidR="0016644B" w:rsidRPr="001C438A" w14:paraId="00AC464B" w14:textId="77777777" w:rsidTr="0029356C">
        <w:trPr>
          <w:trHeight w:val="176"/>
          <w:jc w:val="center"/>
        </w:trPr>
        <w:tc>
          <w:tcPr>
            <w:tcW w:w="2133" w:type="pct"/>
            <w:vAlign w:val="center"/>
          </w:tcPr>
          <w:p w14:paraId="44041BB7" w14:textId="77777777" w:rsidR="0016644B" w:rsidRPr="001C438A" w:rsidRDefault="0016644B" w:rsidP="00FA1A3A">
            <w:pPr>
              <w:pStyle w:val="Sinespaciado"/>
              <w:rPr>
                <w:rFonts w:ascii="Arial" w:hAnsi="Arial" w:cs="Arial"/>
                <w:sz w:val="18"/>
                <w:szCs w:val="18"/>
              </w:rPr>
            </w:pPr>
            <w:r>
              <w:rPr>
                <w:rFonts w:ascii="Arial" w:hAnsi="Arial" w:cs="Arial"/>
                <w:sz w:val="18"/>
                <w:szCs w:val="18"/>
              </w:rPr>
              <w:t>Estampilla Para la Justicia Familiar</w:t>
            </w:r>
          </w:p>
        </w:tc>
        <w:tc>
          <w:tcPr>
            <w:tcW w:w="1473" w:type="pct"/>
          </w:tcPr>
          <w:p w14:paraId="6CA816AA"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c>
          <w:tcPr>
            <w:tcW w:w="1394" w:type="pct"/>
          </w:tcPr>
          <w:p w14:paraId="077A7A23" w14:textId="77777777" w:rsidR="0016644B" w:rsidRPr="001C438A" w:rsidRDefault="0016644B" w:rsidP="00FA1A3A">
            <w:pPr>
              <w:pStyle w:val="Sinespaciado"/>
              <w:jc w:val="both"/>
              <w:rPr>
                <w:rFonts w:ascii="Arial" w:hAnsi="Arial" w:cs="Arial"/>
                <w:color w:val="000000"/>
                <w:sz w:val="18"/>
                <w:szCs w:val="18"/>
              </w:rPr>
            </w:pPr>
            <w:r>
              <w:rPr>
                <w:rFonts w:ascii="Arial" w:hAnsi="Arial" w:cs="Arial"/>
                <w:color w:val="000000"/>
                <w:sz w:val="18"/>
                <w:szCs w:val="18"/>
              </w:rPr>
              <w:t>2</w:t>
            </w:r>
            <w:r w:rsidRPr="001C438A">
              <w:rPr>
                <w:rFonts w:ascii="Arial" w:hAnsi="Arial" w:cs="Arial"/>
                <w:color w:val="000000"/>
                <w:sz w:val="18"/>
                <w:szCs w:val="18"/>
              </w:rPr>
              <w:t xml:space="preserve">% del valor total del contrato </w:t>
            </w:r>
          </w:p>
        </w:tc>
      </w:tr>
      <w:tr w:rsidR="0016644B" w:rsidRPr="001C438A" w14:paraId="6E5CCC0F" w14:textId="77777777" w:rsidTr="0029356C">
        <w:trPr>
          <w:trHeight w:val="70"/>
          <w:jc w:val="center"/>
        </w:trPr>
        <w:tc>
          <w:tcPr>
            <w:tcW w:w="2133" w:type="pct"/>
            <w:vAlign w:val="center"/>
          </w:tcPr>
          <w:p w14:paraId="6C1159D9" w14:textId="77777777" w:rsidR="0016644B" w:rsidRPr="001C438A" w:rsidRDefault="0016644B" w:rsidP="00FA1A3A">
            <w:pPr>
              <w:pStyle w:val="Sinespaciado"/>
              <w:jc w:val="center"/>
              <w:rPr>
                <w:rFonts w:ascii="Arial" w:hAnsi="Arial" w:cs="Arial"/>
                <w:b/>
                <w:color w:val="000000"/>
                <w:sz w:val="18"/>
                <w:szCs w:val="18"/>
              </w:rPr>
            </w:pPr>
            <w:r w:rsidRPr="001C438A">
              <w:rPr>
                <w:rFonts w:ascii="Arial" w:hAnsi="Arial" w:cs="Arial"/>
                <w:b/>
                <w:color w:val="000000"/>
                <w:sz w:val="18"/>
                <w:szCs w:val="18"/>
              </w:rPr>
              <w:t>TOTAL</w:t>
            </w:r>
          </w:p>
        </w:tc>
        <w:tc>
          <w:tcPr>
            <w:tcW w:w="1473" w:type="pct"/>
            <w:vAlign w:val="center"/>
          </w:tcPr>
          <w:p w14:paraId="70B0D949" w14:textId="77777777" w:rsidR="0016644B" w:rsidRPr="001C438A" w:rsidRDefault="0016644B" w:rsidP="00FA1A3A">
            <w:pPr>
              <w:pStyle w:val="Sinespaciado"/>
              <w:jc w:val="center"/>
              <w:rPr>
                <w:rFonts w:ascii="Arial" w:hAnsi="Arial" w:cs="Arial"/>
                <w:b/>
                <w:color w:val="000000"/>
                <w:sz w:val="18"/>
                <w:szCs w:val="18"/>
              </w:rPr>
            </w:pPr>
            <w:r w:rsidRPr="001C438A">
              <w:rPr>
                <w:rFonts w:ascii="Arial" w:hAnsi="Arial" w:cs="Arial"/>
                <w:b/>
                <w:color w:val="000000"/>
                <w:sz w:val="18"/>
                <w:szCs w:val="18"/>
              </w:rPr>
              <w:t>1</w:t>
            </w:r>
            <w:r>
              <w:rPr>
                <w:rFonts w:ascii="Arial" w:hAnsi="Arial" w:cs="Arial"/>
                <w:b/>
                <w:color w:val="000000"/>
                <w:sz w:val="18"/>
                <w:szCs w:val="18"/>
              </w:rPr>
              <w:t>3</w:t>
            </w:r>
            <w:r w:rsidRPr="001C438A">
              <w:rPr>
                <w:rFonts w:ascii="Arial" w:hAnsi="Arial" w:cs="Arial"/>
                <w:b/>
                <w:color w:val="000000"/>
                <w:sz w:val="18"/>
                <w:szCs w:val="18"/>
              </w:rPr>
              <w:t>.</w:t>
            </w:r>
            <w:r>
              <w:rPr>
                <w:rFonts w:ascii="Arial" w:hAnsi="Arial" w:cs="Arial"/>
                <w:b/>
                <w:color w:val="000000"/>
                <w:sz w:val="18"/>
                <w:szCs w:val="18"/>
              </w:rPr>
              <w:t>5</w:t>
            </w:r>
            <w:r w:rsidRPr="001C438A">
              <w:rPr>
                <w:rFonts w:ascii="Arial" w:hAnsi="Arial" w:cs="Arial"/>
                <w:b/>
                <w:color w:val="000000"/>
                <w:sz w:val="18"/>
                <w:szCs w:val="18"/>
              </w:rPr>
              <w:t>%</w:t>
            </w:r>
          </w:p>
        </w:tc>
        <w:tc>
          <w:tcPr>
            <w:tcW w:w="1394" w:type="pct"/>
            <w:vAlign w:val="center"/>
          </w:tcPr>
          <w:p w14:paraId="4B8CA9D9" w14:textId="77777777" w:rsidR="0016644B" w:rsidRPr="001C438A" w:rsidRDefault="0016644B" w:rsidP="00FA1A3A">
            <w:pPr>
              <w:pStyle w:val="Sinespaciado"/>
              <w:jc w:val="center"/>
              <w:rPr>
                <w:rFonts w:ascii="Arial" w:hAnsi="Arial" w:cs="Arial"/>
                <w:b/>
                <w:color w:val="000000"/>
                <w:sz w:val="18"/>
                <w:szCs w:val="18"/>
              </w:rPr>
            </w:pPr>
            <w:r>
              <w:rPr>
                <w:rFonts w:ascii="Arial" w:hAnsi="Arial" w:cs="Arial"/>
                <w:b/>
                <w:color w:val="000000"/>
                <w:sz w:val="18"/>
                <w:szCs w:val="18"/>
              </w:rPr>
              <w:t>13.5</w:t>
            </w:r>
            <w:r w:rsidRPr="001C438A">
              <w:rPr>
                <w:rFonts w:ascii="Arial" w:hAnsi="Arial" w:cs="Arial"/>
                <w:b/>
                <w:color w:val="000000"/>
                <w:sz w:val="18"/>
                <w:szCs w:val="18"/>
              </w:rPr>
              <w:t>%</w:t>
            </w:r>
          </w:p>
        </w:tc>
      </w:tr>
      <w:bookmarkEnd w:id="4"/>
    </w:tbl>
    <w:p w14:paraId="41E91507" w14:textId="2F4594B4" w:rsidR="00F313CB" w:rsidRPr="001A78E1" w:rsidRDefault="00F313CB" w:rsidP="00F313CB">
      <w:pPr>
        <w:pStyle w:val="Norma"/>
        <w:spacing w:after="0" w:line="240" w:lineRule="auto"/>
        <w:jc w:val="both"/>
        <w:rPr>
          <w:rFonts w:ascii="Arial" w:hAnsi="Arial" w:cs="Arial"/>
          <w:sz w:val="20"/>
          <w:szCs w:val="20"/>
        </w:rPr>
      </w:pPr>
    </w:p>
    <w:bookmarkEnd w:id="2"/>
    <w:p w14:paraId="24360831" w14:textId="77777777" w:rsidR="00C0617D" w:rsidRDefault="00C0617D" w:rsidP="00C0617D">
      <w:pPr>
        <w:spacing w:after="0" w:line="240" w:lineRule="auto"/>
        <w:jc w:val="center"/>
        <w:rPr>
          <w:rFonts w:ascii="Arial" w:hAnsi="Arial" w:cs="Arial"/>
          <w:b/>
          <w:sz w:val="20"/>
          <w:szCs w:val="20"/>
        </w:rPr>
      </w:pPr>
      <w:r w:rsidRPr="0067247C">
        <w:rPr>
          <w:rFonts w:ascii="Arial" w:hAnsi="Arial" w:cs="Arial"/>
          <w:b/>
          <w:sz w:val="20"/>
          <w:szCs w:val="20"/>
        </w:rPr>
        <w:t>CONDICIONES TÉCNICAS EXIGIDAS</w:t>
      </w:r>
    </w:p>
    <w:p w14:paraId="47E4F5C0" w14:textId="77777777" w:rsidR="00C0617D" w:rsidRDefault="00C0617D" w:rsidP="00C0617D">
      <w:pPr>
        <w:spacing w:after="0" w:line="240" w:lineRule="auto"/>
        <w:rPr>
          <w:rFonts w:ascii="Arial" w:hAnsi="Arial" w:cs="Arial"/>
          <w:b/>
          <w:sz w:val="20"/>
          <w:szCs w:val="20"/>
        </w:rPr>
      </w:pPr>
    </w:p>
    <w:p w14:paraId="5569A140" w14:textId="77777777" w:rsidR="0016644B" w:rsidRPr="008D15EC" w:rsidRDefault="0016644B" w:rsidP="0016644B">
      <w:pPr>
        <w:spacing w:after="0" w:line="240" w:lineRule="auto"/>
        <w:rPr>
          <w:rFonts w:ascii="Arial" w:hAnsi="Arial" w:cs="Arial"/>
          <w:b/>
          <w:sz w:val="20"/>
          <w:szCs w:val="20"/>
          <w:u w:val="single"/>
        </w:rPr>
      </w:pPr>
      <w:r w:rsidRPr="008D15EC">
        <w:rPr>
          <w:rFonts w:ascii="Arial" w:hAnsi="Arial" w:cs="Arial"/>
          <w:b/>
          <w:sz w:val="20"/>
          <w:szCs w:val="20"/>
          <w:u w:val="single"/>
        </w:rPr>
        <w:t>DESCRIPCIÓN TÉCNICA DEL BIEN O SERVICIO</w:t>
      </w:r>
    </w:p>
    <w:p w14:paraId="505BEE2A" w14:textId="77777777" w:rsidR="0016644B" w:rsidRDefault="0016644B" w:rsidP="0016644B">
      <w:pPr>
        <w:spacing w:after="0" w:line="240" w:lineRule="auto"/>
        <w:rPr>
          <w:rFonts w:ascii="Arial" w:hAnsi="Arial" w:cs="Arial"/>
          <w:b/>
          <w:sz w:val="20"/>
          <w:szCs w:val="20"/>
        </w:rPr>
      </w:pPr>
    </w:p>
    <w:p w14:paraId="71CC99E5" w14:textId="77777777" w:rsidR="0016644B" w:rsidRDefault="0016644B" w:rsidP="0016644B">
      <w:pPr>
        <w:spacing w:after="0" w:line="240" w:lineRule="auto"/>
        <w:rPr>
          <w:rFonts w:ascii="Arial" w:hAnsi="Arial" w:cs="Arial"/>
          <w:bCs/>
          <w:sz w:val="20"/>
          <w:szCs w:val="20"/>
        </w:rPr>
      </w:pPr>
      <w:r w:rsidRPr="008D15EC">
        <w:rPr>
          <w:rFonts w:ascii="Arial" w:hAnsi="Arial" w:cs="Arial"/>
          <w:bCs/>
          <w:sz w:val="20"/>
          <w:szCs w:val="20"/>
        </w:rPr>
        <w:t>El contratista deberá suministrar licencias de antivirus tipo endpoint en modalidad de suscripción anual, incluyendo las especificaciones técnicas descritas en el siguiente ítem, soporte técnico y capacitación.</w:t>
      </w:r>
    </w:p>
    <w:p w14:paraId="5138E1D3" w14:textId="77777777" w:rsidR="0016644B" w:rsidRPr="008D15EC" w:rsidRDefault="0016644B" w:rsidP="0016644B">
      <w:pPr>
        <w:spacing w:after="0" w:line="240" w:lineRule="auto"/>
        <w:rPr>
          <w:rFonts w:ascii="Arial" w:hAnsi="Arial" w:cs="Arial"/>
          <w:bCs/>
          <w:sz w:val="20"/>
          <w:szCs w:val="20"/>
          <w:u w:val="single"/>
        </w:rPr>
      </w:pPr>
    </w:p>
    <w:p w14:paraId="0E3C2A68" w14:textId="77777777" w:rsidR="0016644B" w:rsidRPr="008D15EC" w:rsidRDefault="0016644B" w:rsidP="0016644B">
      <w:pPr>
        <w:spacing w:after="0" w:line="240" w:lineRule="auto"/>
        <w:rPr>
          <w:rFonts w:ascii="Arial" w:hAnsi="Arial" w:cs="Arial"/>
          <w:b/>
          <w:sz w:val="20"/>
          <w:szCs w:val="20"/>
          <w:u w:val="single"/>
        </w:rPr>
      </w:pPr>
      <w:r w:rsidRPr="008D15EC">
        <w:rPr>
          <w:rFonts w:ascii="Arial" w:hAnsi="Arial" w:cs="Arial"/>
          <w:b/>
          <w:sz w:val="20"/>
          <w:szCs w:val="20"/>
          <w:u w:val="single"/>
        </w:rPr>
        <w:t>ESPECIFICACIONES TÉCNICAS MÍNIMAS</w:t>
      </w:r>
    </w:p>
    <w:p w14:paraId="35338796" w14:textId="77777777" w:rsidR="0016644B" w:rsidRPr="0067247C" w:rsidRDefault="0016644B" w:rsidP="0016644B">
      <w:pPr>
        <w:spacing w:after="0" w:line="240" w:lineRule="auto"/>
        <w:rPr>
          <w:rFonts w:ascii="Arial" w:hAnsi="Arial" w:cs="Arial"/>
          <w:b/>
          <w:sz w:val="20"/>
          <w:szCs w:val="20"/>
        </w:rPr>
      </w:pPr>
    </w:p>
    <w:tbl>
      <w:tblPr>
        <w:tblStyle w:val="Tablanormal3"/>
        <w:tblW w:w="0" w:type="auto"/>
        <w:jc w:val="center"/>
        <w:tblInd w:w="0" w:type="dxa"/>
        <w:tblLayout w:type="fixed"/>
        <w:tblLook w:val="04A0" w:firstRow="1" w:lastRow="0" w:firstColumn="1" w:lastColumn="0" w:noHBand="0" w:noVBand="1"/>
      </w:tblPr>
      <w:tblGrid>
        <w:gridCol w:w="790"/>
        <w:gridCol w:w="2996"/>
        <w:gridCol w:w="4082"/>
        <w:gridCol w:w="1470"/>
      </w:tblGrid>
      <w:tr w:rsidR="0016644B" w:rsidRPr="0016644B" w14:paraId="05A18AB2" w14:textId="77777777" w:rsidTr="00FA1A3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790" w:type="dxa"/>
            <w:tcBorders>
              <w:top w:val="nil"/>
              <w:left w:val="nil"/>
            </w:tcBorders>
            <w:hideMark/>
          </w:tcPr>
          <w:p w14:paraId="14E55AFD" w14:textId="77777777" w:rsidR="0016644B" w:rsidRPr="0016644B" w:rsidRDefault="0016644B" w:rsidP="00FA1A3A">
            <w:pPr>
              <w:tabs>
                <w:tab w:val="center" w:pos="4419"/>
                <w:tab w:val="right" w:pos="8838"/>
              </w:tabs>
              <w:jc w:val="center"/>
              <w:rPr>
                <w:rFonts w:ascii="Arial" w:hAnsi="Arial" w:cs="Arial"/>
                <w:color w:val="000000" w:themeColor="text1"/>
                <w:sz w:val="20"/>
                <w:szCs w:val="20"/>
                <w:lang w:val="en-US"/>
              </w:rPr>
            </w:pPr>
            <w:r w:rsidRPr="0016644B">
              <w:rPr>
                <w:rFonts w:ascii="Arial" w:hAnsi="Arial" w:cs="Arial"/>
                <w:color w:val="000000" w:themeColor="text1"/>
                <w:sz w:val="20"/>
                <w:szCs w:val="20"/>
                <w:lang w:val="en-US"/>
              </w:rPr>
              <w:t>Ítem</w:t>
            </w:r>
          </w:p>
        </w:tc>
        <w:tc>
          <w:tcPr>
            <w:tcW w:w="2996" w:type="dxa"/>
            <w:tcBorders>
              <w:top w:val="nil"/>
              <w:left w:val="nil"/>
              <w:right w:val="nil"/>
            </w:tcBorders>
            <w:hideMark/>
          </w:tcPr>
          <w:p w14:paraId="3DE0590D" w14:textId="77777777" w:rsidR="0016644B" w:rsidRPr="0016644B" w:rsidRDefault="0016644B" w:rsidP="00FA1A3A">
            <w:pPr>
              <w:tabs>
                <w:tab w:val="center" w:pos="4419"/>
                <w:tab w:val="right" w:pos="8838"/>
              </w:tabs>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US"/>
              </w:rPr>
            </w:pPr>
            <w:r w:rsidRPr="0016644B">
              <w:rPr>
                <w:rFonts w:ascii="Arial" w:hAnsi="Arial" w:cs="Arial"/>
                <w:color w:val="000000" w:themeColor="text1"/>
                <w:sz w:val="20"/>
                <w:szCs w:val="20"/>
                <w:lang w:val="en-US"/>
              </w:rPr>
              <w:t>ID</w:t>
            </w:r>
          </w:p>
        </w:tc>
        <w:tc>
          <w:tcPr>
            <w:tcW w:w="4082" w:type="dxa"/>
            <w:tcBorders>
              <w:top w:val="nil"/>
              <w:left w:val="nil"/>
              <w:right w:val="nil"/>
            </w:tcBorders>
            <w:hideMark/>
          </w:tcPr>
          <w:p w14:paraId="62C529F4" w14:textId="77777777" w:rsidR="0016644B" w:rsidRPr="0016644B" w:rsidRDefault="0016644B" w:rsidP="00FA1A3A">
            <w:pPr>
              <w:tabs>
                <w:tab w:val="center" w:pos="4419"/>
                <w:tab w:val="right" w:pos="8838"/>
              </w:tabs>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US"/>
              </w:rPr>
            </w:pPr>
            <w:r w:rsidRPr="0016644B">
              <w:rPr>
                <w:rFonts w:ascii="Arial" w:hAnsi="Arial" w:cs="Arial"/>
                <w:color w:val="000000" w:themeColor="text1"/>
                <w:sz w:val="20"/>
                <w:szCs w:val="20"/>
                <w:lang w:val="en-US"/>
              </w:rPr>
              <w:t>Descripción</w:t>
            </w:r>
          </w:p>
        </w:tc>
        <w:tc>
          <w:tcPr>
            <w:tcW w:w="1470" w:type="dxa"/>
            <w:tcBorders>
              <w:top w:val="nil"/>
              <w:left w:val="nil"/>
              <w:right w:val="nil"/>
            </w:tcBorders>
            <w:hideMark/>
          </w:tcPr>
          <w:p w14:paraId="40E75480" w14:textId="77777777" w:rsidR="0016644B" w:rsidRPr="0016644B" w:rsidRDefault="0016644B" w:rsidP="00FA1A3A">
            <w:pPr>
              <w:tabs>
                <w:tab w:val="center" w:pos="4419"/>
                <w:tab w:val="right" w:pos="8838"/>
              </w:tabs>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lang w:val="en-US"/>
              </w:rPr>
            </w:pPr>
            <w:r w:rsidRPr="0016644B">
              <w:rPr>
                <w:rFonts w:ascii="Arial" w:hAnsi="Arial" w:cs="Arial"/>
                <w:color w:val="000000" w:themeColor="text1"/>
                <w:sz w:val="20"/>
                <w:szCs w:val="20"/>
                <w:lang w:val="en-US"/>
              </w:rPr>
              <w:t>Cantidad</w:t>
            </w:r>
          </w:p>
        </w:tc>
      </w:tr>
      <w:tr w:rsidR="0016644B" w:rsidRPr="0016644B" w14:paraId="7858C558" w14:textId="77777777" w:rsidTr="00FA1A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0" w:type="dxa"/>
            <w:tcBorders>
              <w:top w:val="nil"/>
              <w:left w:val="nil"/>
              <w:bottom w:val="nil"/>
            </w:tcBorders>
            <w:hideMark/>
          </w:tcPr>
          <w:p w14:paraId="21527A20" w14:textId="77777777" w:rsidR="0016644B" w:rsidRPr="0016644B" w:rsidRDefault="0016644B" w:rsidP="00FA1A3A">
            <w:pPr>
              <w:tabs>
                <w:tab w:val="center" w:pos="4419"/>
                <w:tab w:val="right" w:pos="8838"/>
              </w:tabs>
              <w:jc w:val="center"/>
              <w:rPr>
                <w:rFonts w:ascii="Arial" w:hAnsi="Arial" w:cs="Arial"/>
                <w:color w:val="000000" w:themeColor="text1"/>
                <w:sz w:val="20"/>
                <w:szCs w:val="20"/>
                <w:lang w:val="en-US"/>
              </w:rPr>
            </w:pPr>
            <w:r w:rsidRPr="0016644B">
              <w:rPr>
                <w:rFonts w:ascii="Arial" w:hAnsi="Arial" w:cs="Arial"/>
                <w:color w:val="000000" w:themeColor="text1"/>
                <w:sz w:val="20"/>
                <w:szCs w:val="20"/>
                <w:lang w:val="en-US"/>
              </w:rPr>
              <w:t>1</w:t>
            </w:r>
          </w:p>
        </w:tc>
        <w:tc>
          <w:tcPr>
            <w:tcW w:w="2996" w:type="dxa"/>
            <w:hideMark/>
          </w:tcPr>
          <w:p w14:paraId="7423DE96" w14:textId="77777777" w:rsidR="0016644B" w:rsidRPr="0016644B" w:rsidRDefault="0016644B" w:rsidP="00FA1A3A">
            <w:pPr>
              <w:tabs>
                <w:tab w:val="center" w:pos="4419"/>
                <w:tab w:val="right" w:pos="8838"/>
              </w:tabs>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3111ZZBCN360JLZZ</w:t>
            </w:r>
          </w:p>
        </w:tc>
        <w:tc>
          <w:tcPr>
            <w:tcW w:w="4082" w:type="dxa"/>
            <w:hideMark/>
          </w:tcPr>
          <w:p w14:paraId="1F1F0CD7" w14:textId="77777777" w:rsidR="0016644B" w:rsidRPr="0016644B" w:rsidRDefault="0016644B" w:rsidP="00FA1A3A">
            <w:pPr>
              <w:tabs>
                <w:tab w:val="center" w:pos="4419"/>
                <w:tab w:val="right" w:pos="8838"/>
              </w:tabs>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Bitdefender GravityZone Business Security Enterprise 1 year</w:t>
            </w:r>
          </w:p>
        </w:tc>
        <w:tc>
          <w:tcPr>
            <w:tcW w:w="1470" w:type="dxa"/>
            <w:hideMark/>
          </w:tcPr>
          <w:p w14:paraId="053C60C3" w14:textId="77777777" w:rsidR="0016644B" w:rsidRPr="0016644B" w:rsidRDefault="0016644B" w:rsidP="00FA1A3A">
            <w:pPr>
              <w:tabs>
                <w:tab w:val="center" w:pos="4419"/>
                <w:tab w:val="right" w:pos="8838"/>
              </w:tabs>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100</w:t>
            </w:r>
          </w:p>
        </w:tc>
      </w:tr>
      <w:tr w:rsidR="0016644B" w:rsidRPr="0016644B" w14:paraId="2588661D" w14:textId="77777777" w:rsidTr="00FA1A3A">
        <w:trPr>
          <w:jc w:val="center"/>
        </w:trPr>
        <w:tc>
          <w:tcPr>
            <w:cnfStyle w:val="001000000000" w:firstRow="0" w:lastRow="0" w:firstColumn="1" w:lastColumn="0" w:oddVBand="0" w:evenVBand="0" w:oddHBand="0" w:evenHBand="0" w:firstRowFirstColumn="0" w:firstRowLastColumn="0" w:lastRowFirstColumn="0" w:lastRowLastColumn="0"/>
            <w:tcW w:w="790" w:type="dxa"/>
            <w:tcBorders>
              <w:top w:val="nil"/>
              <w:left w:val="nil"/>
              <w:bottom w:val="nil"/>
            </w:tcBorders>
            <w:hideMark/>
          </w:tcPr>
          <w:p w14:paraId="0097BD21" w14:textId="77777777" w:rsidR="0016644B" w:rsidRPr="0016644B" w:rsidRDefault="0016644B" w:rsidP="00FA1A3A">
            <w:pPr>
              <w:tabs>
                <w:tab w:val="center" w:pos="4419"/>
                <w:tab w:val="right" w:pos="8838"/>
              </w:tabs>
              <w:jc w:val="center"/>
              <w:rPr>
                <w:rFonts w:ascii="Arial" w:hAnsi="Arial" w:cs="Arial"/>
                <w:color w:val="000000" w:themeColor="text1"/>
                <w:sz w:val="20"/>
                <w:szCs w:val="20"/>
                <w:lang w:val="en-US"/>
              </w:rPr>
            </w:pPr>
            <w:r w:rsidRPr="0016644B">
              <w:rPr>
                <w:rFonts w:ascii="Arial" w:hAnsi="Arial" w:cs="Arial"/>
                <w:color w:val="000000" w:themeColor="text1"/>
                <w:sz w:val="20"/>
                <w:szCs w:val="20"/>
                <w:lang w:val="en-US"/>
              </w:rPr>
              <w:t>2</w:t>
            </w:r>
          </w:p>
        </w:tc>
        <w:tc>
          <w:tcPr>
            <w:tcW w:w="2996" w:type="dxa"/>
            <w:hideMark/>
          </w:tcPr>
          <w:p w14:paraId="583F4DB7" w14:textId="77777777" w:rsidR="0016644B" w:rsidRPr="0016644B" w:rsidRDefault="0016644B" w:rsidP="00FA1A3A">
            <w:pPr>
              <w:tabs>
                <w:tab w:val="center" w:pos="4419"/>
                <w:tab w:val="right" w:pos="8838"/>
              </w:tabs>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N/A</w:t>
            </w:r>
          </w:p>
        </w:tc>
        <w:tc>
          <w:tcPr>
            <w:tcW w:w="4082" w:type="dxa"/>
            <w:hideMark/>
          </w:tcPr>
          <w:p w14:paraId="0F953E33" w14:textId="77777777" w:rsidR="0016644B" w:rsidRPr="0016644B" w:rsidRDefault="0016644B" w:rsidP="00FA1A3A">
            <w:pPr>
              <w:tabs>
                <w:tab w:val="center" w:pos="4419"/>
                <w:tab w:val="right" w:pos="8838"/>
              </w:tabs>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Soporte técnico y capacitación</w:t>
            </w:r>
          </w:p>
        </w:tc>
        <w:tc>
          <w:tcPr>
            <w:tcW w:w="1470" w:type="dxa"/>
            <w:hideMark/>
          </w:tcPr>
          <w:p w14:paraId="6B7FEBDD" w14:textId="77777777" w:rsidR="0016644B" w:rsidRPr="0016644B" w:rsidRDefault="0016644B" w:rsidP="00FA1A3A">
            <w:pPr>
              <w:tabs>
                <w:tab w:val="center" w:pos="4419"/>
                <w:tab w:val="right" w:pos="8838"/>
              </w:tabs>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0"/>
                <w:szCs w:val="20"/>
                <w:lang w:val="en-US"/>
              </w:rPr>
            </w:pPr>
            <w:r w:rsidRPr="0016644B">
              <w:rPr>
                <w:rFonts w:ascii="Arial" w:hAnsi="Arial" w:cs="Arial"/>
                <w:bCs/>
                <w:color w:val="000000" w:themeColor="text1"/>
                <w:sz w:val="20"/>
                <w:szCs w:val="20"/>
                <w:lang w:val="en-US"/>
              </w:rPr>
              <w:t>1</w:t>
            </w:r>
          </w:p>
        </w:tc>
      </w:tr>
    </w:tbl>
    <w:p w14:paraId="7CC21E81" w14:textId="77777777" w:rsidR="0016644B" w:rsidRDefault="0016644B" w:rsidP="0016644B">
      <w:pPr>
        <w:spacing w:after="0" w:line="240" w:lineRule="auto"/>
        <w:rPr>
          <w:rFonts w:ascii="Arial" w:hAnsi="Arial" w:cs="Arial"/>
          <w:b/>
          <w:bCs/>
          <w:sz w:val="20"/>
          <w:szCs w:val="20"/>
          <w:u w:val="single"/>
          <w:lang w:eastAsia="es-CO"/>
        </w:rPr>
      </w:pPr>
    </w:p>
    <w:p w14:paraId="3E192F01" w14:textId="77777777" w:rsidR="0016644B" w:rsidRPr="0067247C" w:rsidRDefault="0016644B" w:rsidP="0016644B">
      <w:pPr>
        <w:spacing w:after="0" w:line="240" w:lineRule="auto"/>
        <w:rPr>
          <w:rFonts w:ascii="Arial" w:hAnsi="Arial" w:cs="Arial"/>
          <w:b/>
          <w:bCs/>
          <w:sz w:val="20"/>
          <w:szCs w:val="20"/>
          <w:u w:val="single"/>
          <w:lang w:eastAsia="es-CO"/>
        </w:rPr>
      </w:pPr>
    </w:p>
    <w:p w14:paraId="672D01D1" w14:textId="77777777" w:rsidR="0016644B" w:rsidRDefault="0016644B" w:rsidP="0016644B">
      <w:pPr>
        <w:tabs>
          <w:tab w:val="center" w:pos="4419"/>
          <w:tab w:val="right" w:pos="8838"/>
        </w:tabs>
        <w:spacing w:after="0" w:line="240" w:lineRule="auto"/>
        <w:jc w:val="both"/>
        <w:rPr>
          <w:rFonts w:ascii="Arial" w:hAnsi="Arial" w:cs="Arial"/>
          <w:b/>
          <w:bCs/>
          <w:color w:val="000000" w:themeColor="text1"/>
          <w:sz w:val="20"/>
          <w:szCs w:val="20"/>
          <w:u w:val="single"/>
        </w:rPr>
      </w:pPr>
      <w:r w:rsidRPr="008D15EC">
        <w:rPr>
          <w:rFonts w:ascii="Arial" w:hAnsi="Arial" w:cs="Arial"/>
          <w:b/>
          <w:bCs/>
          <w:color w:val="000000" w:themeColor="text1"/>
          <w:sz w:val="20"/>
          <w:szCs w:val="20"/>
          <w:u w:val="single"/>
        </w:rPr>
        <w:t>CARACTERÍSTICAS TÉCNICAS OBLIGATORIAS</w:t>
      </w:r>
    </w:p>
    <w:p w14:paraId="44ABA191" w14:textId="77777777" w:rsidR="0016644B" w:rsidRDefault="0016644B" w:rsidP="0016644B">
      <w:pPr>
        <w:tabs>
          <w:tab w:val="center" w:pos="4419"/>
          <w:tab w:val="right" w:pos="8838"/>
        </w:tabs>
        <w:spacing w:after="0" w:line="240" w:lineRule="auto"/>
        <w:jc w:val="both"/>
        <w:rPr>
          <w:rFonts w:ascii="Arial" w:hAnsi="Arial" w:cs="Arial"/>
          <w:b/>
          <w:bCs/>
          <w:color w:val="000000" w:themeColor="text1"/>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6429"/>
      </w:tblGrid>
      <w:tr w:rsidR="0016644B" w:rsidRPr="008D15EC" w14:paraId="067062C3" w14:textId="77777777" w:rsidTr="00FA1A3A">
        <w:trPr>
          <w:trHeight w:val="1001"/>
          <w:jc w:val="center"/>
        </w:trPr>
        <w:tc>
          <w:tcPr>
            <w:tcW w:w="2065" w:type="dxa"/>
            <w:vAlign w:val="center"/>
          </w:tcPr>
          <w:p w14:paraId="07620E12" w14:textId="77777777" w:rsidR="0016644B" w:rsidRPr="008D15EC" w:rsidRDefault="0016644B" w:rsidP="00FA1A3A">
            <w:pPr>
              <w:spacing w:after="0"/>
              <w:jc w:val="center"/>
              <w:rPr>
                <w:rFonts w:ascii="Arial" w:hAnsi="Arial" w:cs="Arial"/>
                <w:b/>
                <w:sz w:val="16"/>
                <w:szCs w:val="20"/>
              </w:rPr>
            </w:pPr>
          </w:p>
          <w:p w14:paraId="57C28C93"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Protección estaciones de trabajo y servidores</w:t>
            </w:r>
          </w:p>
          <w:p w14:paraId="5D97BA8B" w14:textId="77777777" w:rsidR="0016644B" w:rsidRPr="008D15EC" w:rsidRDefault="0016644B" w:rsidP="00FA1A3A">
            <w:pPr>
              <w:spacing w:after="0"/>
              <w:jc w:val="center"/>
              <w:rPr>
                <w:rFonts w:ascii="Arial" w:hAnsi="Arial" w:cs="Arial"/>
                <w:b/>
                <w:sz w:val="16"/>
                <w:szCs w:val="20"/>
              </w:rPr>
            </w:pPr>
          </w:p>
          <w:p w14:paraId="20DC49DA" w14:textId="77777777" w:rsidR="0016644B" w:rsidRPr="008D15EC" w:rsidRDefault="0016644B" w:rsidP="00FA1A3A">
            <w:pPr>
              <w:spacing w:after="0"/>
              <w:jc w:val="center"/>
              <w:rPr>
                <w:rFonts w:ascii="Arial" w:hAnsi="Arial" w:cs="Arial"/>
                <w:sz w:val="16"/>
                <w:szCs w:val="20"/>
              </w:rPr>
            </w:pPr>
          </w:p>
        </w:tc>
        <w:tc>
          <w:tcPr>
            <w:tcW w:w="6429" w:type="dxa"/>
          </w:tcPr>
          <w:p w14:paraId="3E0A047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plataforma de seguridad de protección para Endpoints (EPP) debe utilizar e integrar al menos las siguientes tecnologías de protección para todo tipo de amenaza de seguridad para los endpoints y red, sea que se trate de un Amenaza Persistente Avanzada o de malware conocido o desconocido.</w:t>
            </w:r>
          </w:p>
          <w:p w14:paraId="215B1684" w14:textId="77777777" w:rsidR="0016644B" w:rsidRPr="008D15EC" w:rsidRDefault="0016644B" w:rsidP="00FA1A3A">
            <w:pPr>
              <w:spacing w:after="0"/>
              <w:jc w:val="both"/>
              <w:rPr>
                <w:rFonts w:ascii="Arial" w:hAnsi="Arial" w:cs="Arial"/>
                <w:sz w:val="16"/>
                <w:szCs w:val="20"/>
              </w:rPr>
            </w:pPr>
          </w:p>
          <w:p w14:paraId="3E7B7708"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tecnología de detección y protección antimalware de la solución tiene que abarcar las siguientes capas de protección:</w:t>
            </w:r>
          </w:p>
          <w:p w14:paraId="219246C6" w14:textId="77777777" w:rsidR="0016644B" w:rsidRPr="008D15EC" w:rsidRDefault="0016644B" w:rsidP="0016644B">
            <w:pPr>
              <w:numPr>
                <w:ilvl w:val="0"/>
                <w:numId w:val="44"/>
              </w:numPr>
              <w:suppressAutoHyphens/>
              <w:spacing w:after="0" w:line="240" w:lineRule="auto"/>
              <w:jc w:val="both"/>
              <w:rPr>
                <w:rFonts w:ascii="Arial" w:hAnsi="Arial" w:cs="Arial"/>
                <w:b/>
                <w:sz w:val="16"/>
                <w:szCs w:val="20"/>
              </w:rPr>
            </w:pPr>
            <w:r w:rsidRPr="008D15EC">
              <w:rPr>
                <w:rFonts w:ascii="Arial" w:hAnsi="Arial" w:cs="Arial"/>
                <w:sz w:val="16"/>
                <w:szCs w:val="20"/>
              </w:rPr>
              <w:t xml:space="preserve">Sistema unificado de prevención, detección avanzada y respuesta y análisis de riesgos </w:t>
            </w:r>
            <w:r w:rsidRPr="008D15EC">
              <w:rPr>
                <w:rFonts w:ascii="Arial" w:hAnsi="Arial" w:cs="Arial"/>
                <w:b/>
                <w:bCs/>
                <w:sz w:val="16"/>
                <w:szCs w:val="20"/>
              </w:rPr>
              <w:t xml:space="preserve">EDR / XEDR, </w:t>
            </w:r>
            <w:r w:rsidRPr="008D15EC">
              <w:rPr>
                <w:rFonts w:ascii="Arial" w:hAnsi="Arial" w:cs="Arial"/>
                <w:sz w:val="16"/>
                <w:szCs w:val="20"/>
              </w:rPr>
              <w:t>con características extendidas de análisis y correlación de eventos a nivel de endpoint.</w:t>
            </w:r>
          </w:p>
          <w:p w14:paraId="03B1DDBE" w14:textId="77777777" w:rsidR="0016644B" w:rsidRPr="008D15EC" w:rsidRDefault="0016644B" w:rsidP="0016644B">
            <w:pPr>
              <w:numPr>
                <w:ilvl w:val="0"/>
                <w:numId w:val="44"/>
              </w:numPr>
              <w:suppressAutoHyphens/>
              <w:spacing w:after="0" w:line="240" w:lineRule="auto"/>
              <w:jc w:val="both"/>
              <w:rPr>
                <w:rFonts w:ascii="Arial" w:hAnsi="Arial" w:cs="Arial"/>
                <w:b/>
                <w:sz w:val="16"/>
                <w:szCs w:val="20"/>
              </w:rPr>
            </w:pPr>
            <w:r w:rsidRPr="008D15EC">
              <w:rPr>
                <w:rFonts w:ascii="Arial" w:hAnsi="Arial" w:cs="Arial"/>
                <w:bCs/>
                <w:sz w:val="16"/>
                <w:szCs w:val="20"/>
              </w:rPr>
              <w:t xml:space="preserve">Sistema de identificación de amenazas desconocidas a través de </w:t>
            </w:r>
            <w:r w:rsidRPr="008D15EC">
              <w:rPr>
                <w:rFonts w:ascii="Arial" w:hAnsi="Arial" w:cs="Arial"/>
                <w:b/>
                <w:sz w:val="16"/>
                <w:szCs w:val="20"/>
              </w:rPr>
              <w:t>Sandbox Analyzer</w:t>
            </w:r>
          </w:p>
          <w:p w14:paraId="59948442" w14:textId="77777777" w:rsidR="0016644B" w:rsidRPr="008D15EC" w:rsidRDefault="0016644B" w:rsidP="0016644B">
            <w:pPr>
              <w:numPr>
                <w:ilvl w:val="0"/>
                <w:numId w:val="44"/>
              </w:numPr>
              <w:suppressAutoHyphens/>
              <w:spacing w:after="0" w:line="240" w:lineRule="auto"/>
              <w:jc w:val="both"/>
              <w:rPr>
                <w:rFonts w:ascii="Arial" w:hAnsi="Arial" w:cs="Arial"/>
                <w:b/>
                <w:sz w:val="16"/>
                <w:szCs w:val="20"/>
              </w:rPr>
            </w:pPr>
            <w:r w:rsidRPr="008D15EC">
              <w:rPr>
                <w:rFonts w:ascii="Arial" w:hAnsi="Arial" w:cs="Arial"/>
                <w:bCs/>
                <w:sz w:val="16"/>
                <w:szCs w:val="20"/>
              </w:rPr>
              <w:t xml:space="preserve">Análisis integrado de riesgos en los endpoints y Hardening, </w:t>
            </w:r>
            <w:r w:rsidRPr="008D15EC">
              <w:rPr>
                <w:rFonts w:ascii="Arial" w:hAnsi="Arial" w:cs="Arial"/>
                <w:b/>
                <w:sz w:val="16"/>
                <w:szCs w:val="20"/>
              </w:rPr>
              <w:t>Endpoint Risk Managemet</w:t>
            </w:r>
          </w:p>
          <w:p w14:paraId="31A2C7B2" w14:textId="77777777" w:rsidR="0016644B" w:rsidRPr="008D15EC" w:rsidRDefault="0016644B" w:rsidP="0016644B">
            <w:pPr>
              <w:numPr>
                <w:ilvl w:val="0"/>
                <w:numId w:val="44"/>
              </w:numPr>
              <w:suppressAutoHyphens/>
              <w:spacing w:after="0" w:line="240" w:lineRule="auto"/>
              <w:jc w:val="both"/>
              <w:rPr>
                <w:rFonts w:ascii="Arial" w:hAnsi="Arial" w:cs="Arial"/>
                <w:bCs/>
                <w:sz w:val="16"/>
                <w:szCs w:val="20"/>
              </w:rPr>
            </w:pPr>
            <w:r w:rsidRPr="008D15EC">
              <w:rPr>
                <w:rFonts w:ascii="Arial" w:hAnsi="Arial" w:cs="Arial"/>
                <w:bCs/>
                <w:sz w:val="16"/>
                <w:szCs w:val="20"/>
              </w:rPr>
              <w:t>Sistema de prevención de ataques de Red</w:t>
            </w:r>
          </w:p>
          <w:p w14:paraId="4CD3CAD6" w14:textId="77777777" w:rsidR="0016644B" w:rsidRPr="008D15EC" w:rsidRDefault="0016644B" w:rsidP="0016644B">
            <w:pPr>
              <w:numPr>
                <w:ilvl w:val="0"/>
                <w:numId w:val="44"/>
              </w:numPr>
              <w:suppressAutoHyphens/>
              <w:spacing w:after="0" w:line="240" w:lineRule="auto"/>
              <w:jc w:val="both"/>
              <w:rPr>
                <w:rFonts w:ascii="Arial" w:hAnsi="Arial" w:cs="Arial"/>
                <w:bCs/>
                <w:sz w:val="16"/>
                <w:szCs w:val="20"/>
              </w:rPr>
            </w:pPr>
            <w:r w:rsidRPr="008D15EC">
              <w:rPr>
                <w:rFonts w:ascii="Arial" w:hAnsi="Arial" w:cs="Arial"/>
                <w:bCs/>
                <w:sz w:val="16"/>
                <w:szCs w:val="20"/>
              </w:rPr>
              <w:t>Detección y búsqueda basado en la Nube</w:t>
            </w:r>
          </w:p>
          <w:p w14:paraId="74193F0B" w14:textId="77777777" w:rsidR="0016644B" w:rsidRPr="008D15EC" w:rsidRDefault="0016644B" w:rsidP="0016644B">
            <w:pPr>
              <w:numPr>
                <w:ilvl w:val="0"/>
                <w:numId w:val="44"/>
              </w:numPr>
              <w:suppressAutoHyphens/>
              <w:spacing w:after="0" w:line="240" w:lineRule="auto"/>
              <w:jc w:val="both"/>
              <w:rPr>
                <w:rFonts w:ascii="Arial" w:hAnsi="Arial" w:cs="Arial"/>
                <w:bCs/>
                <w:sz w:val="16"/>
                <w:szCs w:val="20"/>
              </w:rPr>
            </w:pPr>
            <w:r w:rsidRPr="008D15EC">
              <w:rPr>
                <w:rFonts w:ascii="Arial" w:hAnsi="Arial" w:cs="Arial"/>
                <w:bCs/>
                <w:sz w:val="16"/>
                <w:szCs w:val="20"/>
              </w:rPr>
              <w:t>Detección basada en heurística Avanzada</w:t>
            </w:r>
          </w:p>
          <w:p w14:paraId="079477E5" w14:textId="77777777" w:rsidR="0016644B" w:rsidRPr="008D15EC" w:rsidRDefault="0016644B" w:rsidP="0016644B">
            <w:pPr>
              <w:numPr>
                <w:ilvl w:val="0"/>
                <w:numId w:val="44"/>
              </w:numPr>
              <w:suppressAutoHyphens/>
              <w:spacing w:after="0" w:line="240" w:lineRule="auto"/>
              <w:jc w:val="both"/>
              <w:rPr>
                <w:rFonts w:ascii="Arial" w:hAnsi="Arial" w:cs="Arial"/>
                <w:bCs/>
                <w:sz w:val="16"/>
                <w:szCs w:val="20"/>
              </w:rPr>
            </w:pPr>
            <w:r w:rsidRPr="008D15EC">
              <w:rPr>
                <w:rFonts w:ascii="Arial" w:hAnsi="Arial" w:cs="Arial"/>
                <w:bCs/>
                <w:sz w:val="16"/>
                <w:szCs w:val="20"/>
              </w:rPr>
              <w:t>Detección en la atapa pre-ejecución basado en Machine Learning.</w:t>
            </w:r>
          </w:p>
          <w:p w14:paraId="65C83912" w14:textId="77777777" w:rsidR="0016644B" w:rsidRPr="008D15EC" w:rsidRDefault="0016644B" w:rsidP="0016644B">
            <w:pPr>
              <w:numPr>
                <w:ilvl w:val="0"/>
                <w:numId w:val="44"/>
              </w:numPr>
              <w:suppressAutoHyphens/>
              <w:spacing w:after="0" w:line="240" w:lineRule="auto"/>
              <w:jc w:val="both"/>
              <w:rPr>
                <w:rFonts w:ascii="Arial" w:hAnsi="Arial" w:cs="Arial"/>
                <w:bCs/>
                <w:sz w:val="16"/>
                <w:szCs w:val="20"/>
              </w:rPr>
            </w:pPr>
            <w:r w:rsidRPr="008D15EC">
              <w:rPr>
                <w:rFonts w:ascii="Arial" w:hAnsi="Arial" w:cs="Arial"/>
                <w:bCs/>
                <w:sz w:val="16"/>
                <w:szCs w:val="20"/>
              </w:rPr>
              <w:t>Sistema de prevención de intrusión basado en el host</w:t>
            </w:r>
          </w:p>
          <w:p w14:paraId="4D42602C" w14:textId="77777777" w:rsidR="0016644B" w:rsidRPr="008D15EC" w:rsidRDefault="0016644B" w:rsidP="00FA1A3A">
            <w:pPr>
              <w:spacing w:after="0"/>
              <w:jc w:val="both"/>
              <w:rPr>
                <w:rFonts w:ascii="Arial" w:hAnsi="Arial" w:cs="Arial"/>
                <w:sz w:val="16"/>
                <w:szCs w:val="20"/>
              </w:rPr>
            </w:pPr>
          </w:p>
        </w:tc>
      </w:tr>
      <w:tr w:rsidR="0016644B" w:rsidRPr="008D15EC" w14:paraId="621A9C72" w14:textId="77777777" w:rsidTr="00FA1A3A">
        <w:trPr>
          <w:trHeight w:val="977"/>
          <w:jc w:val="center"/>
        </w:trPr>
        <w:tc>
          <w:tcPr>
            <w:tcW w:w="2065" w:type="dxa"/>
            <w:vAlign w:val="center"/>
          </w:tcPr>
          <w:p w14:paraId="2089801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Administración Centralizada de la solución</w:t>
            </w:r>
          </w:p>
        </w:tc>
        <w:tc>
          <w:tcPr>
            <w:tcW w:w="6429" w:type="dxa"/>
          </w:tcPr>
          <w:p w14:paraId="56040DD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debe disponer una consola de administración unificada que se administre en la nube </w:t>
            </w:r>
            <w:r w:rsidRPr="008D15EC">
              <w:rPr>
                <w:rFonts w:ascii="Arial" w:hAnsi="Arial" w:cs="Arial"/>
                <w:b/>
                <w:sz w:val="16"/>
                <w:szCs w:val="20"/>
              </w:rPr>
              <w:t xml:space="preserve">(Consola WEB) </w:t>
            </w:r>
            <w:r w:rsidRPr="008D15EC">
              <w:rPr>
                <w:rFonts w:ascii="Arial" w:hAnsi="Arial" w:cs="Arial"/>
                <w:sz w:val="16"/>
                <w:szCs w:val="20"/>
              </w:rPr>
              <w:t>con capacidad de administrar un número ilimitado de equipos.</w:t>
            </w:r>
          </w:p>
          <w:p w14:paraId="74937A8B" w14:textId="77777777" w:rsidR="0016644B" w:rsidRPr="008D15EC" w:rsidRDefault="0016644B" w:rsidP="00FA1A3A">
            <w:pPr>
              <w:spacing w:after="0"/>
              <w:jc w:val="both"/>
              <w:rPr>
                <w:rFonts w:ascii="Arial" w:hAnsi="Arial" w:cs="Arial"/>
                <w:sz w:val="16"/>
                <w:szCs w:val="20"/>
              </w:rPr>
            </w:pPr>
          </w:p>
          <w:p w14:paraId="58D1225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proporcionar un único punto para la implementación, aplicación y administración de las políticas de seguridad para el número de puntos finales solicitados por la institución, siendo estos de cualquier tipo y en cualquier ubicación.</w:t>
            </w:r>
          </w:p>
          <w:p w14:paraId="6A1FBA46" w14:textId="77777777" w:rsidR="0016644B" w:rsidRPr="008D15EC" w:rsidRDefault="0016644B" w:rsidP="00FA1A3A">
            <w:pPr>
              <w:spacing w:after="0"/>
              <w:jc w:val="both"/>
              <w:rPr>
                <w:rFonts w:ascii="Arial" w:hAnsi="Arial" w:cs="Arial"/>
                <w:sz w:val="16"/>
                <w:szCs w:val="20"/>
              </w:rPr>
            </w:pPr>
          </w:p>
          <w:p w14:paraId="5E39F8A1"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aportar múltiples capas de seguridad para puntos finales, incluyendo servidores de correo de Microsoft Exchange, asegurando protección antimalware con monitorización del comportamiento, protección contra amenazas de día cero, control de aplicaciones y entorno de pruebas, cortafuego, control de dispositivos, control de contenidos, antiphishing y antispam.</w:t>
            </w:r>
          </w:p>
          <w:p w14:paraId="71041339" w14:textId="77777777" w:rsidR="0016644B" w:rsidRPr="008D15EC" w:rsidRDefault="0016644B" w:rsidP="00FA1A3A">
            <w:pPr>
              <w:spacing w:after="0"/>
              <w:jc w:val="both"/>
              <w:rPr>
                <w:rFonts w:ascii="Arial" w:hAnsi="Arial" w:cs="Arial"/>
                <w:sz w:val="16"/>
                <w:szCs w:val="20"/>
              </w:rPr>
            </w:pPr>
          </w:p>
          <w:p w14:paraId="446270A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brindar soporte para múltiples plataformas sin importar el número de portátiles, equipos de escritorio y</w:t>
            </w:r>
          </w:p>
          <w:p w14:paraId="0F87EBA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servidores Windows, Linux y Mac OS X, contando con las tecnologías antimalware mejor valoradas. Además, para sistemas Windows debe brindar una seguridad aún más avanzada con un cortafuego bidireccional, detección de intrusiones, control y filtrado de acceso Web, protección de datos sensibles, y control de aplicaciones y de dispositivos, la heurística proactiva dLa solución debe clasificar los procesos maliciosos según su comportamiento, asegurando la detección de nuevas amenazas en tiempo real.</w:t>
            </w:r>
          </w:p>
          <w:p w14:paraId="6C68B96A" w14:textId="77777777" w:rsidR="0016644B" w:rsidRPr="008D15EC" w:rsidRDefault="0016644B" w:rsidP="00FA1A3A">
            <w:pPr>
              <w:spacing w:after="0"/>
              <w:jc w:val="both"/>
              <w:rPr>
                <w:rFonts w:ascii="Arial" w:hAnsi="Arial" w:cs="Arial"/>
                <w:sz w:val="16"/>
                <w:szCs w:val="20"/>
              </w:rPr>
            </w:pPr>
          </w:p>
          <w:p w14:paraId="089DFD7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debe brindar seguridad para centros de datos virtualizados, protegiendo tecnologia de próxima generación pre-ejecución, que utiliza modelos de Machine Learning especializados, técnicas de análisis del comportamiento entrenados para detectar </w:t>
            </w:r>
          </w:p>
          <w:p w14:paraId="30126021" w14:textId="77777777" w:rsidR="0016644B" w:rsidRPr="008D15EC" w:rsidRDefault="0016644B" w:rsidP="00FA1A3A">
            <w:pPr>
              <w:spacing w:after="0"/>
              <w:jc w:val="both"/>
              <w:rPr>
                <w:rFonts w:ascii="Arial" w:hAnsi="Arial" w:cs="Arial"/>
                <w:sz w:val="14"/>
                <w:szCs w:val="20"/>
              </w:rPr>
            </w:pPr>
            <w:r w:rsidRPr="008D15EC">
              <w:rPr>
                <w:rFonts w:ascii="Arial" w:hAnsi="Arial" w:cs="Arial"/>
                <w:sz w:val="16"/>
                <w:szCs w:val="20"/>
              </w:rPr>
              <w:t xml:space="preserve">herramientas de pirateo, exploits y técnicas de ocultación de malware. Bloquea eficazmente los ataques que pasan por alto tanto las defensas tradicionales para endpoints como las denominadas defensas “antivirus de última generacións en sistemas Windows y Linux. La solución debe aporta mejoras significativas de rendimiento e impulsar la consolidación del servidor. </w:t>
            </w:r>
            <w:r w:rsidRPr="008D15EC">
              <w:rPr>
                <w:rFonts w:ascii="Arial" w:eastAsia="Arial" w:hAnsi="Arial" w:cs="Arial"/>
                <w:sz w:val="16"/>
              </w:rPr>
              <w:t>L</w:t>
            </w:r>
            <w:r w:rsidRPr="008D15EC">
              <w:rPr>
                <w:rFonts w:ascii="Arial" w:eastAsia="Arial" w:hAnsi="Arial" w:cs="Arial"/>
                <w:spacing w:val="-1"/>
                <w:sz w:val="16"/>
              </w:rPr>
              <w:t>a</w:t>
            </w:r>
            <w:r w:rsidRPr="008D15EC">
              <w:rPr>
                <w:rFonts w:ascii="Arial" w:eastAsia="Arial" w:hAnsi="Arial" w:cs="Arial"/>
                <w:sz w:val="16"/>
              </w:rPr>
              <w:t>s</w:t>
            </w:r>
            <w:r w:rsidRPr="008D15EC">
              <w:rPr>
                <w:rFonts w:ascii="Arial" w:eastAsia="Arial" w:hAnsi="Arial" w:cs="Arial"/>
                <w:spacing w:val="1"/>
                <w:sz w:val="16"/>
              </w:rPr>
              <w:t xml:space="preserve"> </w:t>
            </w:r>
            <w:r w:rsidRPr="008D15EC">
              <w:rPr>
                <w:rFonts w:ascii="Arial" w:eastAsia="Arial" w:hAnsi="Arial" w:cs="Arial"/>
                <w:sz w:val="16"/>
              </w:rPr>
              <w:t>p</w:t>
            </w:r>
            <w:r w:rsidRPr="008D15EC">
              <w:rPr>
                <w:rFonts w:ascii="Arial" w:eastAsia="Arial" w:hAnsi="Arial" w:cs="Arial"/>
                <w:spacing w:val="-1"/>
                <w:sz w:val="16"/>
              </w:rPr>
              <w:t>ol</w:t>
            </w:r>
            <w:r w:rsidRPr="008D15EC">
              <w:rPr>
                <w:rFonts w:ascii="Arial" w:eastAsia="Arial" w:hAnsi="Arial" w:cs="Arial"/>
                <w:spacing w:val="-4"/>
                <w:sz w:val="16"/>
              </w:rPr>
              <w:t>í</w:t>
            </w:r>
            <w:r w:rsidRPr="008D15EC">
              <w:rPr>
                <w:rFonts w:ascii="Arial" w:eastAsia="Arial" w:hAnsi="Arial" w:cs="Arial"/>
                <w:spacing w:val="1"/>
                <w:sz w:val="16"/>
              </w:rPr>
              <w:t>t</w:t>
            </w:r>
            <w:r w:rsidRPr="008D15EC">
              <w:rPr>
                <w:rFonts w:ascii="Arial" w:eastAsia="Arial" w:hAnsi="Arial" w:cs="Arial"/>
                <w:spacing w:val="-1"/>
                <w:sz w:val="16"/>
              </w:rPr>
              <w:t>i</w:t>
            </w:r>
            <w:r w:rsidRPr="008D15EC">
              <w:rPr>
                <w:rFonts w:ascii="Arial" w:eastAsia="Arial" w:hAnsi="Arial" w:cs="Arial"/>
                <w:sz w:val="16"/>
              </w:rPr>
              <w:t>cas pue</w:t>
            </w:r>
            <w:r w:rsidRPr="008D15EC">
              <w:rPr>
                <w:rFonts w:ascii="Arial" w:eastAsia="Arial" w:hAnsi="Arial" w:cs="Arial"/>
                <w:spacing w:val="-1"/>
                <w:sz w:val="16"/>
              </w:rPr>
              <w:t>d</w:t>
            </w:r>
            <w:r w:rsidRPr="008D15EC">
              <w:rPr>
                <w:rFonts w:ascii="Arial" w:eastAsia="Arial" w:hAnsi="Arial" w:cs="Arial"/>
                <w:sz w:val="16"/>
              </w:rPr>
              <w:t>en</w:t>
            </w:r>
            <w:r w:rsidRPr="008D15EC">
              <w:rPr>
                <w:rFonts w:ascii="Arial" w:eastAsia="Arial" w:hAnsi="Arial" w:cs="Arial"/>
                <w:spacing w:val="1"/>
                <w:sz w:val="16"/>
              </w:rPr>
              <w:t xml:space="preserve"> </w:t>
            </w:r>
            <w:r w:rsidRPr="008D15EC">
              <w:rPr>
                <w:rFonts w:ascii="Arial" w:eastAsia="Arial" w:hAnsi="Arial" w:cs="Arial"/>
                <w:sz w:val="16"/>
              </w:rPr>
              <w:t>a</w:t>
            </w:r>
            <w:r w:rsidRPr="008D15EC">
              <w:rPr>
                <w:rFonts w:ascii="Arial" w:eastAsia="Arial" w:hAnsi="Arial" w:cs="Arial"/>
                <w:spacing w:val="-1"/>
                <w:sz w:val="16"/>
              </w:rPr>
              <w:t>pli</w:t>
            </w:r>
            <w:r w:rsidRPr="008D15EC">
              <w:rPr>
                <w:rFonts w:ascii="Arial" w:eastAsia="Arial" w:hAnsi="Arial" w:cs="Arial"/>
                <w:sz w:val="16"/>
              </w:rPr>
              <w:t>carse</w:t>
            </w:r>
            <w:r w:rsidRPr="008D15EC">
              <w:rPr>
                <w:rFonts w:ascii="Arial" w:eastAsia="Arial" w:hAnsi="Arial" w:cs="Arial"/>
                <w:spacing w:val="1"/>
                <w:sz w:val="16"/>
              </w:rPr>
              <w:t xml:space="preserve"> </w:t>
            </w:r>
            <w:r w:rsidRPr="008D15EC">
              <w:rPr>
                <w:rFonts w:ascii="Arial" w:eastAsia="Arial" w:hAnsi="Arial" w:cs="Arial"/>
                <w:sz w:val="16"/>
              </w:rPr>
              <w:t>a</w:t>
            </w:r>
            <w:r w:rsidRPr="008D15EC">
              <w:rPr>
                <w:rFonts w:ascii="Arial" w:eastAsia="Arial" w:hAnsi="Arial" w:cs="Arial"/>
                <w:spacing w:val="-2"/>
                <w:sz w:val="16"/>
              </w:rPr>
              <w:t xml:space="preserve"> </w:t>
            </w:r>
            <w:r w:rsidRPr="008D15EC">
              <w:rPr>
                <w:rFonts w:ascii="Arial" w:eastAsia="Arial" w:hAnsi="Arial" w:cs="Arial"/>
                <w:sz w:val="16"/>
              </w:rPr>
              <w:t>un</w:t>
            </w:r>
            <w:r w:rsidRPr="008D15EC">
              <w:rPr>
                <w:rFonts w:ascii="Arial" w:eastAsia="Arial" w:hAnsi="Arial" w:cs="Arial"/>
                <w:spacing w:val="1"/>
                <w:sz w:val="16"/>
              </w:rPr>
              <w:t xml:space="preserve"> </w:t>
            </w:r>
            <w:r w:rsidRPr="008D15EC">
              <w:rPr>
                <w:rFonts w:ascii="Arial" w:eastAsia="Arial" w:hAnsi="Arial" w:cs="Arial"/>
                <w:sz w:val="16"/>
              </w:rPr>
              <w:t>p</w:t>
            </w:r>
            <w:r w:rsidRPr="008D15EC">
              <w:rPr>
                <w:rFonts w:ascii="Arial" w:eastAsia="Arial" w:hAnsi="Arial" w:cs="Arial"/>
                <w:spacing w:val="-3"/>
                <w:sz w:val="16"/>
              </w:rPr>
              <w:t>o</w:t>
            </w:r>
            <w:r w:rsidRPr="008D15EC">
              <w:rPr>
                <w:rFonts w:ascii="Arial" w:eastAsia="Arial" w:hAnsi="Arial" w:cs="Arial"/>
                <w:sz w:val="16"/>
              </w:rPr>
              <w:t>ol de</w:t>
            </w:r>
            <w:r w:rsidRPr="008D15EC">
              <w:rPr>
                <w:rFonts w:ascii="Arial" w:eastAsia="Arial" w:hAnsi="Arial" w:cs="Arial"/>
                <w:spacing w:val="-2"/>
                <w:sz w:val="16"/>
              </w:rPr>
              <w:t xml:space="preserve"> </w:t>
            </w:r>
            <w:r w:rsidRPr="008D15EC">
              <w:rPr>
                <w:rFonts w:ascii="Arial" w:eastAsia="Arial" w:hAnsi="Arial" w:cs="Arial"/>
                <w:spacing w:val="1"/>
                <w:sz w:val="16"/>
              </w:rPr>
              <w:t>r</w:t>
            </w:r>
            <w:r w:rsidRPr="008D15EC">
              <w:rPr>
                <w:rFonts w:ascii="Arial" w:eastAsia="Arial" w:hAnsi="Arial" w:cs="Arial"/>
                <w:sz w:val="16"/>
              </w:rPr>
              <w:t>ec</w:t>
            </w:r>
            <w:r w:rsidRPr="008D15EC">
              <w:rPr>
                <w:rFonts w:ascii="Arial" w:eastAsia="Arial" w:hAnsi="Arial" w:cs="Arial"/>
                <w:spacing w:val="-1"/>
                <w:sz w:val="16"/>
              </w:rPr>
              <w:t>u</w:t>
            </w:r>
            <w:r w:rsidRPr="008D15EC">
              <w:rPr>
                <w:rFonts w:ascii="Arial" w:eastAsia="Arial" w:hAnsi="Arial" w:cs="Arial"/>
                <w:spacing w:val="-2"/>
                <w:sz w:val="16"/>
              </w:rPr>
              <w:t>r</w:t>
            </w:r>
            <w:r w:rsidRPr="008D15EC">
              <w:rPr>
                <w:rFonts w:ascii="Arial" w:eastAsia="Arial" w:hAnsi="Arial" w:cs="Arial"/>
                <w:sz w:val="16"/>
              </w:rPr>
              <w:t>sos de</w:t>
            </w:r>
            <w:r w:rsidRPr="008D15EC">
              <w:rPr>
                <w:rFonts w:ascii="Arial" w:eastAsia="Arial" w:hAnsi="Arial" w:cs="Arial"/>
                <w:spacing w:val="1"/>
                <w:sz w:val="16"/>
              </w:rPr>
              <w:t xml:space="preserve"> </w:t>
            </w:r>
            <w:r w:rsidRPr="008D15EC">
              <w:rPr>
                <w:rFonts w:ascii="Arial" w:eastAsia="Arial" w:hAnsi="Arial" w:cs="Arial"/>
                <w:spacing w:val="-1"/>
                <w:sz w:val="16"/>
              </w:rPr>
              <w:t>V</w:t>
            </w:r>
            <w:r w:rsidRPr="008D15EC">
              <w:rPr>
                <w:rFonts w:ascii="Arial" w:eastAsia="Arial" w:hAnsi="Arial" w:cs="Arial"/>
                <w:spacing w:val="-4"/>
                <w:sz w:val="16"/>
              </w:rPr>
              <w:t>M</w:t>
            </w:r>
            <w:r w:rsidRPr="008D15EC">
              <w:rPr>
                <w:rFonts w:ascii="Arial" w:eastAsia="Arial" w:hAnsi="Arial" w:cs="Arial"/>
                <w:spacing w:val="-3"/>
                <w:sz w:val="16"/>
              </w:rPr>
              <w:t>w</w:t>
            </w:r>
            <w:r w:rsidRPr="008D15EC">
              <w:rPr>
                <w:rFonts w:ascii="Arial" w:eastAsia="Arial" w:hAnsi="Arial" w:cs="Arial"/>
                <w:sz w:val="16"/>
              </w:rPr>
              <w:t>are</w:t>
            </w:r>
            <w:r w:rsidRPr="008D15EC">
              <w:rPr>
                <w:rFonts w:ascii="Arial" w:eastAsia="Arial" w:hAnsi="Arial" w:cs="Arial"/>
                <w:spacing w:val="1"/>
                <w:sz w:val="16"/>
              </w:rPr>
              <w:t xml:space="preserve"> </w:t>
            </w:r>
            <w:r w:rsidRPr="008D15EC">
              <w:rPr>
                <w:rFonts w:ascii="Arial" w:eastAsia="Arial" w:hAnsi="Arial" w:cs="Arial"/>
                <w:spacing w:val="-2"/>
                <w:sz w:val="16"/>
              </w:rPr>
              <w:t>v</w:t>
            </w:r>
            <w:r w:rsidRPr="008D15EC">
              <w:rPr>
                <w:rFonts w:ascii="Arial" w:eastAsia="Arial" w:hAnsi="Arial" w:cs="Arial"/>
                <w:spacing w:val="-1"/>
                <w:sz w:val="16"/>
              </w:rPr>
              <w:t>C</w:t>
            </w:r>
            <w:r w:rsidRPr="008D15EC">
              <w:rPr>
                <w:rFonts w:ascii="Arial" w:eastAsia="Arial" w:hAnsi="Arial" w:cs="Arial"/>
                <w:spacing w:val="3"/>
                <w:sz w:val="16"/>
              </w:rPr>
              <w:t>e</w:t>
            </w:r>
            <w:r w:rsidRPr="008D15EC">
              <w:rPr>
                <w:rFonts w:ascii="Arial" w:eastAsia="Arial" w:hAnsi="Arial" w:cs="Arial"/>
                <w:sz w:val="16"/>
              </w:rPr>
              <w:t>nte</w:t>
            </w:r>
            <w:r w:rsidRPr="008D15EC">
              <w:rPr>
                <w:rFonts w:ascii="Arial" w:eastAsia="Arial" w:hAnsi="Arial" w:cs="Arial"/>
                <w:spacing w:val="1"/>
                <w:sz w:val="16"/>
              </w:rPr>
              <w:t>r</w:t>
            </w:r>
          </w:p>
          <w:p w14:paraId="4BFEA2E9" w14:textId="77777777" w:rsidR="0016644B" w:rsidRPr="008D15EC" w:rsidRDefault="0016644B" w:rsidP="00FA1A3A">
            <w:pPr>
              <w:spacing w:after="0"/>
              <w:jc w:val="both"/>
              <w:rPr>
                <w:rFonts w:ascii="Arial" w:hAnsi="Arial" w:cs="Arial"/>
                <w:sz w:val="14"/>
                <w:szCs w:val="20"/>
              </w:rPr>
            </w:pPr>
          </w:p>
          <w:p w14:paraId="02BCA51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incluir un mecanismo automático de detección de redes que le permita detectar otros puntos finales en la red de la institución. Los puntos finales detectados deben mostrase como puntos finales no administrados en la Consola de Administración.</w:t>
            </w:r>
          </w:p>
          <w:p w14:paraId="1A15C157" w14:textId="77777777" w:rsidR="0016644B" w:rsidRPr="008D15EC" w:rsidRDefault="0016644B" w:rsidP="00FA1A3A">
            <w:pPr>
              <w:spacing w:after="0"/>
              <w:jc w:val="both"/>
              <w:rPr>
                <w:rFonts w:ascii="Arial" w:hAnsi="Arial" w:cs="Arial"/>
                <w:sz w:val="16"/>
                <w:szCs w:val="20"/>
              </w:rPr>
            </w:pPr>
          </w:p>
          <w:p w14:paraId="4FA6EE9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lastRenderedPageBreak/>
              <w:t>La solución debe permitir instalar los agentes de seguridad en puntos finales físicos y virtuales ejecutando los paquetes de instalación localmente o ejecutando tareas de instalación remotamente desde la Consola de Administración.</w:t>
            </w:r>
          </w:p>
          <w:p w14:paraId="521CDCD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Adicional la consola WEB de administración, será capaz de gestionar un enlace web (Link de descarga) el cual podrá ser enviado por mail para realizar la instalación remota de clientes fuera de la red corporativa, el mismo que se auto configurará para enlazarse con la consola web, sin intervención del personal de TI</w:t>
            </w:r>
          </w:p>
          <w:p w14:paraId="385216B4" w14:textId="77777777" w:rsidR="0016644B" w:rsidRPr="008D15EC" w:rsidRDefault="0016644B" w:rsidP="00FA1A3A">
            <w:pPr>
              <w:spacing w:after="0"/>
              <w:jc w:val="both"/>
              <w:rPr>
                <w:rFonts w:ascii="Arial" w:hAnsi="Arial" w:cs="Arial"/>
                <w:sz w:val="16"/>
                <w:szCs w:val="20"/>
              </w:rPr>
            </w:pPr>
          </w:p>
          <w:p w14:paraId="403DBA01" w14:textId="77777777" w:rsidR="0016644B" w:rsidRPr="008D15EC" w:rsidRDefault="0016644B" w:rsidP="00FA1A3A">
            <w:pPr>
              <w:spacing w:after="0"/>
              <w:jc w:val="both"/>
              <w:rPr>
                <w:rFonts w:ascii="Arial" w:hAnsi="Arial" w:cs="Arial"/>
                <w:sz w:val="16"/>
                <w:szCs w:val="20"/>
              </w:rPr>
            </w:pPr>
          </w:p>
          <w:p w14:paraId="1B157E3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El kit de instalación para puntos finales además debe permitir instalar la protección en los puntos finales sin conexión a Internet o con conexiones lentas. </w:t>
            </w:r>
          </w:p>
          <w:p w14:paraId="22972918" w14:textId="77777777" w:rsidR="0016644B" w:rsidRPr="008D15EC" w:rsidRDefault="0016644B" w:rsidP="00FA1A3A">
            <w:pPr>
              <w:spacing w:after="0"/>
              <w:jc w:val="both"/>
              <w:rPr>
                <w:rFonts w:ascii="Arial" w:hAnsi="Arial" w:cs="Arial"/>
                <w:sz w:val="16"/>
                <w:szCs w:val="20"/>
              </w:rPr>
            </w:pPr>
          </w:p>
          <w:p w14:paraId="1C104AE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utilizar un solo paquete, tanto para sistemas operativos de 32 bits como de 64 bits:</w:t>
            </w:r>
          </w:p>
          <w:p w14:paraId="3816107A" w14:textId="77777777" w:rsidR="0016644B" w:rsidRPr="008D15EC" w:rsidRDefault="0016644B" w:rsidP="00FA1A3A">
            <w:pPr>
              <w:spacing w:after="0"/>
              <w:jc w:val="both"/>
              <w:rPr>
                <w:rFonts w:ascii="Arial" w:hAnsi="Arial" w:cs="Arial"/>
                <w:sz w:val="16"/>
                <w:szCs w:val="20"/>
              </w:rPr>
            </w:pPr>
          </w:p>
          <w:p w14:paraId="4182F7A1"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SO Windows: sistemas de 32 bits y 64 bits</w:t>
            </w:r>
          </w:p>
          <w:p w14:paraId="5862B72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SO Linux: sistemas de 32 bits y 64 bits</w:t>
            </w:r>
          </w:p>
          <w:p w14:paraId="5E18261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Mac OS X: solo sistemas de 64 bits</w:t>
            </w:r>
          </w:p>
          <w:p w14:paraId="5F79DD34" w14:textId="77777777" w:rsidR="0016644B" w:rsidRPr="008D15EC" w:rsidRDefault="0016644B" w:rsidP="00FA1A3A">
            <w:pPr>
              <w:spacing w:after="0"/>
              <w:jc w:val="both"/>
              <w:rPr>
                <w:rFonts w:ascii="Arial" w:hAnsi="Arial" w:cs="Arial"/>
                <w:sz w:val="16"/>
                <w:szCs w:val="20"/>
              </w:rPr>
            </w:pPr>
          </w:p>
          <w:p w14:paraId="6127EB1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garantizar que el agente en los equipos administrados ejecute el análisis en tiempo real incluso cuando no haya conexión, cumpliendo las tareas, políticas y requerimientos configurados previamente aun cuando no haya conexión con la Consola de Administración.</w:t>
            </w:r>
          </w:p>
          <w:p w14:paraId="5373552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agente de seguridad debe detectar automáticamente</w:t>
            </w:r>
          </w:p>
          <w:p w14:paraId="0A95C987"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configuración del punto final y adaptará la tecnología de análisis.</w:t>
            </w:r>
          </w:p>
          <w:p w14:paraId="2F610128" w14:textId="77777777" w:rsidR="0016644B" w:rsidRPr="008D15EC" w:rsidRDefault="0016644B" w:rsidP="00FA1A3A">
            <w:pPr>
              <w:spacing w:after="0"/>
              <w:jc w:val="both"/>
              <w:rPr>
                <w:rFonts w:ascii="Arial" w:hAnsi="Arial" w:cs="Arial"/>
                <w:sz w:val="16"/>
                <w:szCs w:val="20"/>
              </w:rPr>
            </w:pPr>
          </w:p>
          <w:p w14:paraId="37762F7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permitir la visibilidad, administración y consulta de los puntos finales físicos y virtuales, gestionándolos desde la consola de administración. La consola debe permitir la creación ilimitada de grupos o carpetas o subgrupos con el fin de permitir una mejor organización y administración de políticas.</w:t>
            </w:r>
          </w:p>
          <w:p w14:paraId="4C073966" w14:textId="77777777" w:rsidR="0016644B" w:rsidRPr="008D15EC" w:rsidRDefault="0016644B" w:rsidP="00FA1A3A">
            <w:pPr>
              <w:spacing w:after="0"/>
              <w:jc w:val="both"/>
              <w:rPr>
                <w:rFonts w:ascii="Arial" w:hAnsi="Arial" w:cs="Arial"/>
                <w:sz w:val="16"/>
                <w:szCs w:val="20"/>
              </w:rPr>
            </w:pPr>
          </w:p>
          <w:p w14:paraId="4C31EA1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consola deber permitir la asignación de políticas basado en reglas de asignación, ya sea por IP, Usuario, DNS, puerta de enlace o Gateway, WINS, DHCP, HOST y tipo de red.</w:t>
            </w:r>
          </w:p>
          <w:p w14:paraId="31EEBE70" w14:textId="77777777" w:rsidR="0016644B" w:rsidRPr="008D15EC" w:rsidRDefault="0016644B" w:rsidP="00FA1A3A">
            <w:pPr>
              <w:spacing w:after="0"/>
              <w:jc w:val="both"/>
              <w:rPr>
                <w:rFonts w:ascii="Arial" w:hAnsi="Arial" w:cs="Arial"/>
                <w:b/>
                <w:bCs/>
                <w:sz w:val="16"/>
                <w:szCs w:val="20"/>
              </w:rPr>
            </w:pPr>
          </w:p>
          <w:p w14:paraId="2F0CA41B"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 xml:space="preserve">La consola Cloud o web </w:t>
            </w:r>
          </w:p>
          <w:p w14:paraId="13007C59" w14:textId="77777777" w:rsidR="0016644B" w:rsidRPr="008D15EC" w:rsidRDefault="0016644B" w:rsidP="00FA1A3A">
            <w:pPr>
              <w:spacing w:after="0"/>
              <w:jc w:val="both"/>
              <w:rPr>
                <w:rFonts w:ascii="Arial" w:hAnsi="Arial" w:cs="Arial"/>
                <w:b/>
                <w:bCs/>
                <w:sz w:val="16"/>
                <w:szCs w:val="20"/>
              </w:rPr>
            </w:pPr>
          </w:p>
          <w:p w14:paraId="14AF2253" w14:textId="77777777" w:rsidR="0016644B" w:rsidRPr="008D15EC" w:rsidRDefault="0016644B" w:rsidP="00FA1A3A">
            <w:pPr>
              <w:spacing w:after="0"/>
              <w:jc w:val="both"/>
              <w:rPr>
                <w:rFonts w:ascii="Arial" w:hAnsi="Arial" w:cs="Arial"/>
                <w:bCs/>
                <w:sz w:val="16"/>
                <w:szCs w:val="20"/>
              </w:rPr>
            </w:pPr>
            <w:r w:rsidRPr="008D15EC">
              <w:rPr>
                <w:rFonts w:ascii="Arial" w:hAnsi="Arial" w:cs="Arial"/>
                <w:bCs/>
                <w:sz w:val="16"/>
                <w:szCs w:val="20"/>
              </w:rPr>
              <w:t>La solución de seguridad antimalware debe permitir g</w:t>
            </w:r>
            <w:r w:rsidRPr="008D15EC">
              <w:rPr>
                <w:rFonts w:ascii="Arial" w:hAnsi="Arial" w:cs="Arial"/>
                <w:b/>
                <w:bCs/>
                <w:sz w:val="16"/>
                <w:szCs w:val="20"/>
              </w:rPr>
              <w:t>estionar en la web  a través de una consola alojada en la nube lista y provista en su totalidad por el fabricante</w:t>
            </w:r>
            <w:r w:rsidRPr="008D15EC">
              <w:rPr>
                <w:rFonts w:ascii="Arial" w:hAnsi="Arial" w:cs="Arial"/>
                <w:bCs/>
                <w:sz w:val="16"/>
                <w:szCs w:val="20"/>
              </w:rPr>
              <w:t xml:space="preserve"> (Cloud) desde un único punto de administración  a través de cualquier tipo de dispositivo con acceso internet en cualquier sitios del mundo </w:t>
            </w:r>
            <w:r w:rsidRPr="008D15EC">
              <w:rPr>
                <w:rFonts w:ascii="Arial" w:hAnsi="Arial" w:cs="Arial"/>
                <w:b/>
                <w:bCs/>
                <w:sz w:val="16"/>
                <w:szCs w:val="20"/>
              </w:rPr>
              <w:t>sin límite de usuarios</w:t>
            </w:r>
            <w:r w:rsidRPr="008D15EC">
              <w:rPr>
                <w:rFonts w:ascii="Arial" w:hAnsi="Arial" w:cs="Arial"/>
                <w:bCs/>
                <w:sz w:val="16"/>
                <w:szCs w:val="20"/>
              </w:rPr>
              <w:t>, la consola Web Control Center, facilitara el acceso y la administración de la estrategia general de seguridad, las amenazas a la seguridad global, y el control sobre todos los módulos de seguridad que protegen a los equipos de escritorio virtuales o físicos y a los servidores. El Web Control Center debe ser capaz de abordar las necesidades de incluso las organizaciones más grandes sin la necesidad de utilizar múltiple consola de apoyo.</w:t>
            </w:r>
          </w:p>
          <w:p w14:paraId="1DC48247" w14:textId="77777777" w:rsidR="0016644B" w:rsidRPr="008D15EC" w:rsidRDefault="0016644B" w:rsidP="00FA1A3A">
            <w:pPr>
              <w:spacing w:after="0"/>
              <w:jc w:val="both"/>
              <w:rPr>
                <w:rFonts w:ascii="Arial" w:hAnsi="Arial" w:cs="Arial"/>
                <w:bCs/>
                <w:sz w:val="16"/>
                <w:szCs w:val="20"/>
              </w:rPr>
            </w:pPr>
            <w:r w:rsidRPr="008D15EC">
              <w:rPr>
                <w:rFonts w:ascii="Arial" w:hAnsi="Arial" w:cs="Arial"/>
                <w:bCs/>
                <w:sz w:val="16"/>
                <w:szCs w:val="20"/>
              </w:rPr>
              <w:t>Control Center, una interfaz basada en Web, se debe integrar con los sistemas de monitorización y administración existentes para aplicar fácilmente el sistema de protección a los equipos de escritorio, virtuales y servidores no administrados.</w:t>
            </w:r>
          </w:p>
          <w:p w14:paraId="16C69325" w14:textId="77777777" w:rsidR="0016644B" w:rsidRPr="008D15EC" w:rsidRDefault="0016644B" w:rsidP="00FA1A3A">
            <w:pPr>
              <w:spacing w:after="0"/>
              <w:jc w:val="both"/>
              <w:rPr>
                <w:rFonts w:ascii="Arial" w:hAnsi="Arial" w:cs="Arial"/>
                <w:bCs/>
                <w:sz w:val="16"/>
                <w:szCs w:val="20"/>
              </w:rPr>
            </w:pPr>
          </w:p>
          <w:p w14:paraId="5B07B281" w14:textId="77777777" w:rsidR="0016644B" w:rsidRPr="008D15EC" w:rsidRDefault="0016644B" w:rsidP="00FA1A3A">
            <w:pPr>
              <w:spacing w:after="0"/>
              <w:jc w:val="both"/>
              <w:rPr>
                <w:rFonts w:ascii="Arial" w:hAnsi="Arial" w:cs="Arial"/>
                <w:bCs/>
                <w:sz w:val="16"/>
                <w:szCs w:val="20"/>
              </w:rPr>
            </w:pPr>
            <w:r w:rsidRPr="008D15EC">
              <w:rPr>
                <w:rFonts w:ascii="Arial" w:hAnsi="Arial" w:cs="Arial"/>
                <w:bCs/>
                <w:sz w:val="16"/>
                <w:szCs w:val="20"/>
              </w:rPr>
              <w:t>Permitir la aplicación y gestión de políticas en los endpoint independientemente de que se encuentren o no en las instalaciones locales.</w:t>
            </w:r>
          </w:p>
          <w:p w14:paraId="5157E451" w14:textId="77777777" w:rsidR="0016644B" w:rsidRPr="008D15EC" w:rsidRDefault="0016644B" w:rsidP="00FA1A3A">
            <w:pPr>
              <w:spacing w:after="0"/>
              <w:jc w:val="both"/>
              <w:rPr>
                <w:rFonts w:ascii="Arial" w:hAnsi="Arial" w:cs="Arial"/>
                <w:b/>
                <w:bCs/>
                <w:sz w:val="16"/>
                <w:szCs w:val="20"/>
              </w:rPr>
            </w:pPr>
          </w:p>
          <w:p w14:paraId="33DECF05" w14:textId="77777777" w:rsidR="0016644B" w:rsidRPr="008D15EC" w:rsidRDefault="0016644B" w:rsidP="00FA1A3A">
            <w:pPr>
              <w:spacing w:after="0"/>
              <w:jc w:val="both"/>
              <w:rPr>
                <w:rFonts w:ascii="Arial" w:hAnsi="Arial" w:cs="Arial"/>
                <w:sz w:val="16"/>
                <w:szCs w:val="20"/>
              </w:rPr>
            </w:pPr>
            <w:r w:rsidRPr="008D15EC">
              <w:rPr>
                <w:rFonts w:ascii="Arial" w:hAnsi="Arial" w:cs="Arial"/>
                <w:b/>
                <w:bCs/>
                <w:sz w:val="16"/>
                <w:szCs w:val="20"/>
              </w:rPr>
              <w:t xml:space="preserve">Soporte para múltiples plataformas, </w:t>
            </w:r>
            <w:r w:rsidRPr="008D15EC">
              <w:rPr>
                <w:rFonts w:ascii="Arial" w:hAnsi="Arial" w:cs="Arial"/>
                <w:bCs/>
                <w:sz w:val="16"/>
                <w:szCs w:val="20"/>
              </w:rPr>
              <w:t xml:space="preserve">debe </w:t>
            </w:r>
            <w:r w:rsidRPr="008D15EC">
              <w:rPr>
                <w:rFonts w:ascii="Arial" w:hAnsi="Arial" w:cs="Arial"/>
                <w:sz w:val="16"/>
                <w:szCs w:val="20"/>
              </w:rPr>
              <w:t xml:space="preserve">funcionar tanto en equipos Windows como Linux. Permitiendo instalarse todos los componentes deseados simultáneamente con el programa de instalación general o eligiendo los componentes individuales. También debe desplegar el programa como un dispositivo virtual. </w:t>
            </w:r>
          </w:p>
          <w:p w14:paraId="05B8B342" w14:textId="77777777" w:rsidR="0016644B" w:rsidRPr="008D15EC" w:rsidRDefault="0016644B" w:rsidP="00FA1A3A">
            <w:pPr>
              <w:spacing w:after="0"/>
              <w:jc w:val="both"/>
              <w:rPr>
                <w:rFonts w:ascii="Arial" w:hAnsi="Arial" w:cs="Arial"/>
                <w:sz w:val="16"/>
                <w:szCs w:val="20"/>
              </w:rPr>
            </w:pPr>
          </w:p>
          <w:p w14:paraId="19C1A68C"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b/>
                <w:bCs/>
                <w:color w:val="000000"/>
                <w:sz w:val="16"/>
                <w:szCs w:val="20"/>
                <w:bdr w:val="none" w:sz="0" w:space="0" w:color="auto" w:frame="1"/>
                <w:shd w:val="clear" w:color="auto" w:fill="FFFFFF"/>
              </w:rPr>
              <w:t xml:space="preserve">Incluir un agente independiente que actúe incluso cuando no hay conexión, </w:t>
            </w:r>
            <w:r w:rsidRPr="008D15EC">
              <w:rPr>
                <w:rFonts w:ascii="Arial" w:hAnsi="Arial" w:cs="Arial"/>
                <w:color w:val="000000"/>
                <w:sz w:val="16"/>
                <w:szCs w:val="20"/>
              </w:rPr>
              <w:br/>
            </w:r>
            <w:r w:rsidRPr="008D15EC">
              <w:rPr>
                <w:rFonts w:ascii="Arial" w:hAnsi="Arial" w:cs="Arial"/>
                <w:color w:val="000000"/>
                <w:sz w:val="16"/>
                <w:szCs w:val="20"/>
                <w:shd w:val="clear" w:color="auto" w:fill="FFFFFF"/>
              </w:rPr>
              <w:t>este agente independiente ejecutará todas las tareas, políticas y sucesos directamente en el endpoint, aunque no tenga conexión con la consola.</w:t>
            </w:r>
          </w:p>
          <w:p w14:paraId="351F0BD9" w14:textId="77777777" w:rsidR="0016644B" w:rsidRPr="008D15EC" w:rsidRDefault="0016644B" w:rsidP="00FA1A3A">
            <w:pPr>
              <w:spacing w:after="0"/>
              <w:jc w:val="both"/>
              <w:rPr>
                <w:rFonts w:ascii="Arial" w:hAnsi="Arial" w:cs="Arial"/>
                <w:color w:val="000000"/>
                <w:sz w:val="16"/>
                <w:szCs w:val="20"/>
                <w:shd w:val="clear" w:color="auto" w:fill="FFFFFF"/>
              </w:rPr>
            </w:pPr>
          </w:p>
          <w:p w14:paraId="03164626"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b/>
                <w:bCs/>
                <w:color w:val="000000"/>
                <w:sz w:val="16"/>
                <w:szCs w:val="20"/>
                <w:bdr w:val="none" w:sz="0" w:space="0" w:color="auto" w:frame="1"/>
                <w:shd w:val="clear" w:color="auto" w:fill="FFFFFF"/>
              </w:rPr>
              <w:t>Una arquitectura de replicador y servidor de comunicación tipo Relay para gestionar la red,</w:t>
            </w:r>
            <w:r w:rsidRPr="008D15EC">
              <w:rPr>
                <w:rFonts w:ascii="Arial" w:hAnsi="Arial" w:cs="Arial"/>
                <w:color w:val="000000"/>
                <w:sz w:val="16"/>
                <w:szCs w:val="20"/>
              </w:rPr>
              <w:t xml:space="preserve"> l</w:t>
            </w:r>
            <w:r w:rsidRPr="008D15EC">
              <w:rPr>
                <w:rFonts w:ascii="Arial" w:hAnsi="Arial" w:cs="Arial"/>
                <w:color w:val="000000"/>
                <w:sz w:val="16"/>
                <w:szCs w:val="20"/>
                <w:shd w:val="clear" w:color="auto" w:fill="FFFFFF"/>
              </w:rPr>
              <w:t>as ubicaciones remotas solo necesitan la implementación de un antivirus con este módulo adicional sin la necesidad de instalar una consola de replicación o una consola esclava o un servidor proxy de la consola, el relay recopilará y reenviará los datos agregados al servidor principal.</w:t>
            </w:r>
          </w:p>
          <w:p w14:paraId="088DC9C5" w14:textId="77777777" w:rsidR="0016644B" w:rsidRPr="008D15EC" w:rsidRDefault="0016644B" w:rsidP="00FA1A3A">
            <w:pPr>
              <w:spacing w:after="0"/>
              <w:jc w:val="both"/>
              <w:rPr>
                <w:rFonts w:ascii="Arial" w:hAnsi="Arial" w:cs="Arial"/>
                <w:color w:val="000000"/>
                <w:sz w:val="16"/>
                <w:szCs w:val="20"/>
                <w:shd w:val="clear" w:color="auto" w:fill="FFFFFF"/>
              </w:rPr>
            </w:pPr>
          </w:p>
          <w:p w14:paraId="42823341"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Manejar la comunicación con los agentes, y recopilar y almacenar los datos de las aplicaciones. Ser capaz de manejar decenas de miles de clientes manteniendo su elevada velocidad operativa sin saturar la infraestructura</w:t>
            </w:r>
          </w:p>
          <w:p w14:paraId="17F5274A" w14:textId="77777777" w:rsidR="0016644B" w:rsidRPr="008D15EC" w:rsidRDefault="0016644B" w:rsidP="00FA1A3A">
            <w:pPr>
              <w:spacing w:after="0"/>
              <w:jc w:val="both"/>
              <w:rPr>
                <w:rFonts w:ascii="Arial" w:hAnsi="Arial" w:cs="Arial"/>
                <w:sz w:val="16"/>
                <w:szCs w:val="20"/>
              </w:rPr>
            </w:pPr>
          </w:p>
          <w:p w14:paraId="32F0EE8B"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 xml:space="preserve">Incluir un </w:t>
            </w:r>
            <w:r w:rsidRPr="008D15EC">
              <w:rPr>
                <w:rFonts w:ascii="Arial" w:hAnsi="Arial" w:cs="Arial"/>
                <w:b/>
                <w:bCs/>
                <w:color w:val="000000"/>
                <w:sz w:val="16"/>
                <w:szCs w:val="20"/>
                <w:bdr w:val="none" w:sz="0" w:space="0" w:color="auto" w:frame="1"/>
                <w:shd w:val="clear" w:color="auto" w:fill="FFFFFF"/>
              </w:rPr>
              <w:t xml:space="preserve">sensor detector de equipos no autorizados, </w:t>
            </w:r>
            <w:r w:rsidRPr="008D15EC">
              <w:rPr>
                <w:rFonts w:ascii="Arial" w:hAnsi="Arial" w:cs="Arial"/>
                <w:color w:val="000000"/>
                <w:sz w:val="16"/>
                <w:szCs w:val="20"/>
                <w:shd w:val="clear" w:color="auto" w:fill="FFFFFF"/>
              </w:rPr>
              <w:t>descubrir todos los equipos de la red que no están protegidos ni administrados y mostrárselos al administrador.</w:t>
            </w:r>
          </w:p>
          <w:p w14:paraId="5FFC07DC" w14:textId="77777777" w:rsidR="0016644B" w:rsidRPr="008D15EC" w:rsidRDefault="0016644B" w:rsidP="00FA1A3A">
            <w:pPr>
              <w:spacing w:after="0"/>
              <w:jc w:val="both"/>
              <w:rPr>
                <w:rFonts w:ascii="Arial" w:hAnsi="Arial" w:cs="Arial"/>
                <w:color w:val="000000"/>
                <w:sz w:val="16"/>
                <w:szCs w:val="20"/>
                <w:shd w:val="clear" w:color="auto" w:fill="FFFFFF"/>
              </w:rPr>
            </w:pPr>
          </w:p>
          <w:p w14:paraId="62C67A0E"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El mecanismo automático de detección de red</w:t>
            </w:r>
          </w:p>
          <w:p w14:paraId="734563F1"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Pensado para detectar los equipos del grupo de trabajo.</w:t>
            </w:r>
          </w:p>
          <w:p w14:paraId="4818143A" w14:textId="77777777" w:rsidR="0016644B" w:rsidRPr="008D15EC" w:rsidRDefault="0016644B" w:rsidP="00FA1A3A">
            <w:pPr>
              <w:spacing w:after="0"/>
              <w:jc w:val="both"/>
              <w:rPr>
                <w:rFonts w:ascii="Arial" w:hAnsi="Arial" w:cs="Arial"/>
                <w:color w:val="000000"/>
                <w:sz w:val="16"/>
                <w:szCs w:val="20"/>
                <w:shd w:val="clear" w:color="auto" w:fill="FFFFFF"/>
              </w:rPr>
            </w:pPr>
          </w:p>
          <w:p w14:paraId="5ECCE2B0"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El mecanismo automático de detección debe utilizar el servicio Microsoft Computer Browser para realizar una detección de red. El servicio Computer Browser es una tecnología de red utilizada por los equipos basados en Windows para mantener listas actualizadas de dominios, grupos de trabajo y los equipos en ellos, y para suministrar estas listas a equipos cliente que lo soliciten. Los equipos detectados en la red por el servicio Computer Browser pueden visualizarse ejecutando el comando de net view en una ventana de símbolo del sistema.</w:t>
            </w:r>
          </w:p>
          <w:p w14:paraId="7521702C" w14:textId="77777777" w:rsidR="0016644B" w:rsidRPr="008D15EC" w:rsidRDefault="0016644B" w:rsidP="00FA1A3A">
            <w:pPr>
              <w:spacing w:after="0"/>
              <w:jc w:val="both"/>
              <w:rPr>
                <w:rFonts w:ascii="Arial" w:hAnsi="Arial" w:cs="Arial"/>
                <w:color w:val="000000"/>
                <w:sz w:val="16"/>
                <w:szCs w:val="20"/>
                <w:shd w:val="clear" w:color="auto" w:fill="FFFFFF"/>
              </w:rPr>
            </w:pPr>
          </w:p>
          <w:p w14:paraId="1ED939F4"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Configurar las opciones de notificación siguiendo unos pasos específicos.</w:t>
            </w:r>
          </w:p>
          <w:p w14:paraId="0E9103C2" w14:textId="77777777" w:rsidR="0016644B" w:rsidRPr="008D15EC" w:rsidRDefault="0016644B" w:rsidP="00FA1A3A">
            <w:pPr>
              <w:spacing w:after="0"/>
              <w:jc w:val="both"/>
              <w:rPr>
                <w:rFonts w:ascii="Arial" w:hAnsi="Arial" w:cs="Arial"/>
                <w:color w:val="000000"/>
                <w:sz w:val="16"/>
                <w:szCs w:val="20"/>
                <w:shd w:val="clear" w:color="auto" w:fill="FFFFFF"/>
              </w:rPr>
            </w:pPr>
          </w:p>
          <w:p w14:paraId="6C49F334"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Ejecutar las políticas directamente en el agente y aplicar políticas específicas para los endpoint incluso cuando no haya conexión con el servidor consola. Otra vez del uso de un usuario con permisos configurado previamente en la política.</w:t>
            </w:r>
          </w:p>
          <w:p w14:paraId="6C0407E6" w14:textId="77777777" w:rsidR="0016644B" w:rsidRPr="008D15EC" w:rsidRDefault="0016644B" w:rsidP="00FA1A3A">
            <w:pPr>
              <w:spacing w:after="0"/>
              <w:jc w:val="both"/>
              <w:rPr>
                <w:rFonts w:ascii="Arial" w:hAnsi="Arial" w:cs="Arial"/>
                <w:color w:val="000000"/>
                <w:sz w:val="16"/>
                <w:szCs w:val="20"/>
                <w:shd w:val="clear" w:color="auto" w:fill="FFFFFF"/>
              </w:rPr>
            </w:pPr>
          </w:p>
          <w:p w14:paraId="71B0060D"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Recopilar datos necesarios para generar los informes; los registros restantes se deberán almacenar en el cliente para mejorar el rendimiento de la base de datos.</w:t>
            </w:r>
          </w:p>
          <w:p w14:paraId="08E51889" w14:textId="77777777" w:rsidR="0016644B" w:rsidRPr="008D15EC" w:rsidRDefault="0016644B" w:rsidP="00FA1A3A">
            <w:pPr>
              <w:spacing w:after="0"/>
              <w:jc w:val="both"/>
              <w:rPr>
                <w:rFonts w:ascii="Arial" w:hAnsi="Arial" w:cs="Arial"/>
                <w:color w:val="000000"/>
                <w:sz w:val="16"/>
                <w:szCs w:val="20"/>
                <w:shd w:val="clear" w:color="auto" w:fill="FFFFFF"/>
              </w:rPr>
            </w:pPr>
          </w:p>
          <w:p w14:paraId="57EB0454" w14:textId="77777777" w:rsidR="0016644B" w:rsidRPr="008D15EC" w:rsidRDefault="0016644B" w:rsidP="00FA1A3A">
            <w:pPr>
              <w:spacing w:after="0"/>
              <w:jc w:val="both"/>
              <w:rPr>
                <w:rFonts w:ascii="Arial" w:hAnsi="Arial" w:cs="Arial"/>
                <w:color w:val="000000"/>
                <w:sz w:val="16"/>
                <w:szCs w:val="20"/>
                <w:shd w:val="clear" w:color="auto" w:fill="FFFFFF"/>
              </w:rPr>
            </w:pPr>
          </w:p>
          <w:p w14:paraId="6E11EC12" w14:textId="77777777" w:rsidR="0016644B" w:rsidRPr="008D15EC" w:rsidRDefault="0016644B" w:rsidP="00FA1A3A">
            <w:pPr>
              <w:spacing w:after="0"/>
              <w:jc w:val="both"/>
              <w:rPr>
                <w:rFonts w:ascii="Arial" w:hAnsi="Arial" w:cs="Arial"/>
                <w:color w:val="000000"/>
                <w:sz w:val="16"/>
                <w:szCs w:val="20"/>
                <w:shd w:val="clear" w:color="auto" w:fill="FFFFFF"/>
              </w:rPr>
            </w:pPr>
            <w:r w:rsidRPr="008D15EC">
              <w:rPr>
                <w:rFonts w:ascii="Arial" w:hAnsi="Arial" w:cs="Arial"/>
                <w:color w:val="000000"/>
                <w:sz w:val="16"/>
                <w:szCs w:val="20"/>
                <w:shd w:val="clear" w:color="auto" w:fill="FFFFFF"/>
              </w:rPr>
              <w:t>Crear múltiples cuentas de usuarios y personalizarlas, los privilegios para cada una se podrán personalizar en forma individual. Se podrá usar en muchas ubicaciones distintas y permitir definir políticas corporativas para los administradores locales.</w:t>
            </w:r>
          </w:p>
          <w:p w14:paraId="409A5B69" w14:textId="77777777" w:rsidR="0016644B" w:rsidRPr="008D15EC" w:rsidRDefault="0016644B" w:rsidP="00FA1A3A">
            <w:pPr>
              <w:spacing w:after="0"/>
              <w:jc w:val="both"/>
              <w:rPr>
                <w:rFonts w:ascii="Arial" w:hAnsi="Arial" w:cs="Arial"/>
                <w:sz w:val="16"/>
                <w:szCs w:val="20"/>
              </w:rPr>
            </w:pPr>
          </w:p>
          <w:p w14:paraId="7CB1A22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El administrador de licencias permitirá el manejo de todas las licencias en forma transparente, desde cualquier punto a través de un navegador Web </w:t>
            </w:r>
            <w:r w:rsidRPr="008D15EC">
              <w:rPr>
                <w:rFonts w:ascii="Arial" w:hAnsi="Arial" w:cs="Arial"/>
                <w:b/>
                <w:sz w:val="16"/>
                <w:szCs w:val="20"/>
              </w:rPr>
              <w:t>sin tener la necesidad de publicar ningún servicio a la Web</w:t>
            </w:r>
            <w:r w:rsidRPr="008D15EC">
              <w:rPr>
                <w:rFonts w:ascii="Arial" w:hAnsi="Arial" w:cs="Arial"/>
                <w:sz w:val="16"/>
                <w:szCs w:val="20"/>
              </w:rPr>
              <w:t xml:space="preserve">. </w:t>
            </w:r>
          </w:p>
          <w:p w14:paraId="45A5EE22" w14:textId="77777777" w:rsidR="0016644B" w:rsidRPr="008D15EC" w:rsidRDefault="0016644B" w:rsidP="00FA1A3A">
            <w:pPr>
              <w:spacing w:after="0"/>
              <w:jc w:val="both"/>
              <w:rPr>
                <w:rFonts w:ascii="Arial" w:hAnsi="Arial" w:cs="Arial"/>
                <w:sz w:val="16"/>
                <w:szCs w:val="20"/>
              </w:rPr>
            </w:pPr>
          </w:p>
          <w:p w14:paraId="09AD6AE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Limpieza de equipos terminales y servidores de código malicioso y programas inseguros no autorizados instalados.</w:t>
            </w:r>
          </w:p>
          <w:p w14:paraId="5CEA6CD1" w14:textId="77777777" w:rsidR="0016644B" w:rsidRPr="008D15EC" w:rsidRDefault="0016644B" w:rsidP="00FA1A3A">
            <w:pPr>
              <w:spacing w:after="0"/>
              <w:jc w:val="both"/>
              <w:rPr>
                <w:rFonts w:ascii="Arial" w:hAnsi="Arial" w:cs="Arial"/>
                <w:sz w:val="16"/>
                <w:szCs w:val="20"/>
              </w:rPr>
            </w:pPr>
          </w:p>
          <w:p w14:paraId="285D6C6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herramienta permitirá realizar acciones en caso de ser necesario. Además de mostrar los informes a través de la consola basada en la Web, se pueden exportar en formato PDF, Excel y guardar en una ubicación predefinida, y enviarse como una notificación por correo electrónico.</w:t>
            </w:r>
          </w:p>
          <w:p w14:paraId="2314D3DC" w14:textId="77777777" w:rsidR="0016644B" w:rsidRPr="008D15EC" w:rsidRDefault="0016644B" w:rsidP="00FA1A3A">
            <w:pPr>
              <w:spacing w:after="0"/>
              <w:jc w:val="both"/>
              <w:rPr>
                <w:rFonts w:ascii="Arial" w:hAnsi="Arial" w:cs="Arial"/>
                <w:sz w:val="16"/>
                <w:szCs w:val="20"/>
              </w:rPr>
            </w:pPr>
          </w:p>
          <w:p w14:paraId="71105EFC"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La solución deberá contar con un módulo de protección que proteja las aplicaciones más comunes como: lectores de PDF, navegadores web, clientes de correo, etc en caso de que se trate de explotar una vulnerabilidad.</w:t>
            </w:r>
          </w:p>
          <w:p w14:paraId="1C18CF01"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w:t>
            </w:r>
          </w:p>
          <w:p w14:paraId="7ECA0ABD"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Protección contra vulnerabilidades: Mejora la detección de las Vulnerabilidades y Exposiciones Comunes (CVE) en los protocolos más utilizados, como SMB, RPC y RDP. Brinda protección contra las vulnerabilidades para las cuales aún no se publicó o desarrolló la revisión necesaria.</w:t>
            </w:r>
          </w:p>
          <w:p w14:paraId="280AE966"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w:t>
            </w:r>
          </w:p>
          <w:p w14:paraId="45A8C7E5"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lastRenderedPageBreak/>
              <w:t>Protección ante botnets: Protege ante las infiltraciones por malware de tipo botnet, previniendo el envío de spam y evitando que se lleven a cabo ataques de red desde la endpoint.</w:t>
            </w:r>
          </w:p>
          <w:p w14:paraId="77096DDC"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w:t>
            </w:r>
          </w:p>
          <w:p w14:paraId="3FC890AD"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Desinstalación de soluciones de seguridad: la solución deberá ser capaz de desinstalar la solución que se encuentra instalada actualmente.</w:t>
            </w:r>
          </w:p>
          <w:p w14:paraId="0C630B27"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w:t>
            </w:r>
          </w:p>
          <w:p w14:paraId="4EAF838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Deberá contar con la posibilidad de sincronizarse con Active directory en su versión clous y  on premise </w:t>
            </w:r>
          </w:p>
          <w:p w14:paraId="3E5599E6" w14:textId="77777777" w:rsidR="0016644B" w:rsidRPr="008D15EC" w:rsidRDefault="0016644B" w:rsidP="00FA1A3A">
            <w:pPr>
              <w:spacing w:after="0"/>
              <w:jc w:val="both"/>
              <w:rPr>
                <w:rFonts w:ascii="Arial" w:hAnsi="Arial" w:cs="Arial"/>
                <w:sz w:val="16"/>
                <w:szCs w:val="20"/>
              </w:rPr>
            </w:pPr>
          </w:p>
          <w:p w14:paraId="74FDEDC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permitir generar grupos de clientes dinámicos (paramétricos).</w:t>
            </w:r>
          </w:p>
          <w:p w14:paraId="4C99158F" w14:textId="77777777" w:rsidR="0016644B" w:rsidRPr="008D15EC" w:rsidRDefault="0016644B" w:rsidP="00FA1A3A">
            <w:pPr>
              <w:spacing w:after="0"/>
              <w:jc w:val="both"/>
              <w:rPr>
                <w:rFonts w:ascii="Arial" w:hAnsi="Arial" w:cs="Arial"/>
                <w:sz w:val="16"/>
                <w:szCs w:val="20"/>
              </w:rPr>
            </w:pPr>
          </w:p>
          <w:p w14:paraId="27DCF66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consola de gestión debe mostrar la lista de servidores y estaciones que tienen el antivirus instalado, conteniendo la siguiente información mínima: nombre de la máquina, versión de antivirus, versión del motor, fecha de la vacuna, la última fecha de verificación, política aplacada, ip, sistema operativo y el estado.</w:t>
            </w:r>
          </w:p>
          <w:p w14:paraId="62E68784" w14:textId="77777777" w:rsidR="0016644B" w:rsidRPr="008D15EC" w:rsidRDefault="0016644B" w:rsidP="00FA1A3A">
            <w:pPr>
              <w:spacing w:after="0"/>
              <w:jc w:val="both"/>
              <w:rPr>
                <w:rFonts w:ascii="Arial" w:hAnsi="Arial" w:cs="Arial"/>
                <w:sz w:val="16"/>
                <w:szCs w:val="20"/>
              </w:rPr>
            </w:pPr>
          </w:p>
          <w:p w14:paraId="40E9BD9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Se deberá poder visualizar el estado de la red desde paneles portlets o widgets</w:t>
            </w:r>
            <w:r w:rsidRPr="008D15EC">
              <w:rPr>
                <w:rFonts w:ascii="Arial" w:eastAsia="Arial" w:hAnsi="Arial" w:cs="Arial"/>
                <w:sz w:val="18"/>
              </w:rPr>
              <w:t xml:space="preserve"> </w:t>
            </w:r>
            <w:r w:rsidRPr="008D15EC">
              <w:rPr>
                <w:rFonts w:ascii="Arial" w:hAnsi="Arial" w:cs="Arial"/>
                <w:sz w:val="16"/>
                <w:szCs w:val="20"/>
              </w:rPr>
              <w:t>que sean completamente personalizables, tanto en cantidad como en contenido. Dicha información será en tiempo real y se podrá elegir si verla en formato grafico o tabla</w:t>
            </w:r>
          </w:p>
        </w:tc>
      </w:tr>
      <w:tr w:rsidR="0016644B" w:rsidRPr="008D15EC" w14:paraId="3774D786" w14:textId="77777777" w:rsidTr="00FA1A3A">
        <w:trPr>
          <w:trHeight w:val="523"/>
          <w:jc w:val="center"/>
        </w:trPr>
        <w:tc>
          <w:tcPr>
            <w:tcW w:w="2065" w:type="dxa"/>
            <w:vAlign w:val="center"/>
          </w:tcPr>
          <w:p w14:paraId="31F0BEC5" w14:textId="77777777" w:rsidR="0016644B" w:rsidRPr="008D15EC" w:rsidRDefault="0016644B" w:rsidP="00FA1A3A">
            <w:pPr>
              <w:spacing w:after="0"/>
              <w:contextualSpacing/>
              <w:jc w:val="center"/>
              <w:rPr>
                <w:rFonts w:ascii="Arial" w:hAnsi="Arial" w:cs="Arial"/>
                <w:b/>
                <w:sz w:val="16"/>
                <w:szCs w:val="20"/>
              </w:rPr>
            </w:pPr>
          </w:p>
          <w:p w14:paraId="7BD360FB" w14:textId="77777777" w:rsidR="0016644B" w:rsidRPr="008D15EC" w:rsidRDefault="0016644B" w:rsidP="00FA1A3A">
            <w:pPr>
              <w:spacing w:after="0"/>
              <w:contextualSpacing/>
              <w:jc w:val="center"/>
              <w:rPr>
                <w:rFonts w:ascii="Arial" w:hAnsi="Arial" w:cs="Arial"/>
                <w:b/>
                <w:sz w:val="16"/>
                <w:szCs w:val="20"/>
              </w:rPr>
            </w:pPr>
            <w:r w:rsidRPr="008D15EC">
              <w:rPr>
                <w:rFonts w:ascii="Arial" w:hAnsi="Arial" w:cs="Arial"/>
                <w:b/>
                <w:sz w:val="16"/>
                <w:szCs w:val="20"/>
              </w:rPr>
              <w:t>Protección para Plataformas Windows, Linux y Mac</w:t>
            </w:r>
          </w:p>
        </w:tc>
        <w:tc>
          <w:tcPr>
            <w:tcW w:w="6429" w:type="dxa"/>
          </w:tcPr>
          <w:p w14:paraId="773C8015" w14:textId="77777777" w:rsidR="0016644B" w:rsidRPr="008D15EC" w:rsidRDefault="0016644B" w:rsidP="00FA1A3A">
            <w:pPr>
              <w:spacing w:after="0"/>
              <w:jc w:val="both"/>
              <w:rPr>
                <w:rFonts w:ascii="Arial" w:hAnsi="Arial" w:cs="Arial"/>
                <w:b/>
                <w:sz w:val="16"/>
                <w:szCs w:val="20"/>
              </w:rPr>
            </w:pPr>
            <w:r w:rsidRPr="008D15EC">
              <w:rPr>
                <w:rFonts w:ascii="Arial" w:hAnsi="Arial" w:cs="Arial"/>
                <w:b/>
                <w:sz w:val="16"/>
                <w:szCs w:val="20"/>
              </w:rPr>
              <w:t>La solución EndPoint deberá proteger las siguientes plataformas:</w:t>
            </w:r>
          </w:p>
          <w:p w14:paraId="670A8C0E" w14:textId="77777777" w:rsidR="0016644B" w:rsidRPr="008D15EC" w:rsidRDefault="0016644B" w:rsidP="00FA1A3A">
            <w:pPr>
              <w:spacing w:after="0"/>
              <w:jc w:val="both"/>
              <w:rPr>
                <w:rFonts w:ascii="Arial" w:hAnsi="Arial" w:cs="Arial"/>
                <w:b/>
                <w:sz w:val="16"/>
                <w:szCs w:val="20"/>
                <w:u w:val="single"/>
              </w:rPr>
            </w:pPr>
            <w:r w:rsidRPr="008D15EC">
              <w:rPr>
                <w:rFonts w:ascii="Arial" w:hAnsi="Arial" w:cs="Arial"/>
                <w:b/>
                <w:sz w:val="16"/>
                <w:szCs w:val="20"/>
                <w:u w:val="single"/>
              </w:rPr>
              <w:t>Sistemas operativos de escritorio</w:t>
            </w:r>
          </w:p>
          <w:p w14:paraId="1AABDA9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Windows 10</w:t>
            </w:r>
          </w:p>
          <w:p w14:paraId="4DEE9798"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8.1</w:t>
            </w:r>
          </w:p>
          <w:p w14:paraId="553A84E6"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8</w:t>
            </w:r>
          </w:p>
          <w:p w14:paraId="41094DDC"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7</w:t>
            </w:r>
          </w:p>
          <w:p w14:paraId="1CFCD6C0" w14:textId="77777777" w:rsidR="0016644B" w:rsidRPr="008D15EC" w:rsidRDefault="0016644B" w:rsidP="00FA1A3A">
            <w:pPr>
              <w:spacing w:after="0"/>
              <w:jc w:val="both"/>
              <w:rPr>
                <w:rFonts w:ascii="Arial" w:hAnsi="Arial" w:cs="Arial"/>
                <w:b/>
                <w:sz w:val="16"/>
                <w:szCs w:val="20"/>
                <w:u w:val="single"/>
                <w:lang w:val="en-US"/>
              </w:rPr>
            </w:pPr>
            <w:r w:rsidRPr="008D15EC">
              <w:rPr>
                <w:rFonts w:ascii="Arial" w:hAnsi="Arial" w:cs="Arial"/>
                <w:b/>
                <w:sz w:val="16"/>
                <w:szCs w:val="20"/>
                <w:u w:val="single"/>
                <w:lang w:val="en-US"/>
              </w:rPr>
              <w:t>Sistemas operativos integrados y de tablets</w:t>
            </w:r>
          </w:p>
          <w:p w14:paraId="2AC757D2"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10 IoT Enterprise</w:t>
            </w:r>
          </w:p>
          <w:p w14:paraId="3C80E57C"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Embedded 8.1 Industry</w:t>
            </w:r>
          </w:p>
          <w:p w14:paraId="37F0A9DA"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Embedded 8 Standard</w:t>
            </w:r>
          </w:p>
          <w:p w14:paraId="26B0E7F0"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Embedded Standard 7</w:t>
            </w:r>
          </w:p>
          <w:p w14:paraId="6BBEB08F"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Embedded Compact 7</w:t>
            </w:r>
          </w:p>
          <w:p w14:paraId="0D885E01"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Embedded POSReady 7</w:t>
            </w:r>
          </w:p>
          <w:p w14:paraId="438B102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Windows Embedded Enterprise 7</w:t>
            </w:r>
          </w:p>
          <w:p w14:paraId="48F85096" w14:textId="77777777" w:rsidR="0016644B" w:rsidRPr="008D15EC" w:rsidRDefault="0016644B" w:rsidP="00FA1A3A">
            <w:pPr>
              <w:spacing w:after="0"/>
              <w:jc w:val="both"/>
              <w:rPr>
                <w:rFonts w:ascii="Arial" w:hAnsi="Arial" w:cs="Arial"/>
                <w:b/>
                <w:sz w:val="16"/>
                <w:szCs w:val="20"/>
                <w:u w:val="single"/>
                <w:lang w:val="es-ES"/>
              </w:rPr>
            </w:pPr>
            <w:r w:rsidRPr="008D15EC">
              <w:rPr>
                <w:rFonts w:ascii="Arial" w:hAnsi="Arial" w:cs="Arial"/>
                <w:b/>
                <w:sz w:val="16"/>
                <w:szCs w:val="20"/>
                <w:u w:val="single"/>
                <w:lang w:val="es-ES"/>
              </w:rPr>
              <w:t>Sistemas operativos de servidor</w:t>
            </w:r>
          </w:p>
          <w:p w14:paraId="793853D8"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2019</w:t>
            </w:r>
          </w:p>
          <w:p w14:paraId="00F57F02"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2019 Core</w:t>
            </w:r>
          </w:p>
          <w:p w14:paraId="651614D0"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2016</w:t>
            </w:r>
          </w:p>
          <w:p w14:paraId="1B296C66"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2016 Core</w:t>
            </w:r>
          </w:p>
          <w:p w14:paraId="1F303529"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2012 R2</w:t>
            </w:r>
          </w:p>
          <w:p w14:paraId="177430E7"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Server 2012</w:t>
            </w:r>
          </w:p>
          <w:p w14:paraId="5F84BA93"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Windows Small Business Server (SBS) 2011</w:t>
            </w:r>
          </w:p>
          <w:p w14:paraId="01F67D2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WindowsServer2008R2</w:t>
            </w:r>
          </w:p>
          <w:p w14:paraId="682B521F" w14:textId="77777777" w:rsidR="0016644B" w:rsidRPr="008D15EC" w:rsidRDefault="0016644B" w:rsidP="00FA1A3A">
            <w:pPr>
              <w:spacing w:after="0"/>
              <w:jc w:val="both"/>
              <w:rPr>
                <w:rFonts w:ascii="Arial" w:hAnsi="Arial" w:cs="Arial"/>
                <w:b/>
                <w:sz w:val="16"/>
                <w:szCs w:val="20"/>
                <w:u w:val="single"/>
              </w:rPr>
            </w:pPr>
            <w:r w:rsidRPr="008D15EC">
              <w:rPr>
                <w:rFonts w:ascii="Arial" w:hAnsi="Arial" w:cs="Arial"/>
                <w:b/>
                <w:sz w:val="16"/>
                <w:szCs w:val="20"/>
                <w:u w:val="single"/>
              </w:rPr>
              <w:t>SISTEMAS OPERATIVOS LINUX</w:t>
            </w:r>
          </w:p>
          <w:p w14:paraId="60FA681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Ubuntu 14.04 LTS o superior</w:t>
            </w:r>
          </w:p>
          <w:p w14:paraId="01795D9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Red Hat Enterprise Linux / CentOS 6.0 o superior</w:t>
            </w:r>
          </w:p>
          <w:p w14:paraId="2807DB5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SUSE Linux Enterprise Server 11 SP4 o superior</w:t>
            </w:r>
          </w:p>
          <w:p w14:paraId="5075A97D"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OpenSUSE Leap 42.x</w:t>
            </w:r>
          </w:p>
          <w:p w14:paraId="4CF3F770"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Fedora 25 o superior(1)</w:t>
            </w:r>
          </w:p>
          <w:p w14:paraId="46686FBC"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Debian 8.0 o superior</w:t>
            </w:r>
          </w:p>
          <w:p w14:paraId="2F93564A"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Oracle Linux 6.3 o superior</w:t>
            </w:r>
          </w:p>
          <w:p w14:paraId="42622A4D"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Amazon Linux AMI 2016.09 o superior</w:t>
            </w:r>
          </w:p>
          <w:p w14:paraId="4AFDA882"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Amazon Linux 2</w:t>
            </w:r>
          </w:p>
          <w:p w14:paraId="00366995"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b/>
                <w:sz w:val="16"/>
                <w:szCs w:val="20"/>
                <w:u w:val="single"/>
                <w:lang w:val="es-ES"/>
              </w:rPr>
              <w:t>SISTEMAS OPERATIVOS Mac OS X</w:t>
            </w:r>
            <w:r w:rsidRPr="008D15EC">
              <w:rPr>
                <w:rFonts w:ascii="Arial" w:hAnsi="Arial" w:cs="Arial"/>
                <w:sz w:val="16"/>
                <w:szCs w:val="20"/>
                <w:lang w:val="es-ES"/>
              </w:rPr>
              <w:t xml:space="preserve"> </w:t>
            </w:r>
          </w:p>
          <w:p w14:paraId="427D3140"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MacOSBigSur(11.0)*</w:t>
            </w:r>
          </w:p>
          <w:p w14:paraId="57D73FF6"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MacOSCatalina(10.15)</w:t>
            </w:r>
          </w:p>
          <w:p w14:paraId="77BDB52D"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xml:space="preserve">● MacOSMojave(10.14) </w:t>
            </w:r>
          </w:p>
          <w:p w14:paraId="43DC865E"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MacOSHighSierra(10.13)</w:t>
            </w:r>
          </w:p>
          <w:p w14:paraId="7E1BAA46"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MacOSSierra(10.12)</w:t>
            </w:r>
          </w:p>
          <w:p w14:paraId="06602F60" w14:textId="77777777" w:rsidR="0016644B" w:rsidRPr="008D15EC" w:rsidRDefault="0016644B" w:rsidP="00FA1A3A">
            <w:pPr>
              <w:spacing w:after="0"/>
              <w:jc w:val="both"/>
              <w:rPr>
                <w:rFonts w:ascii="Arial" w:hAnsi="Arial" w:cs="Arial"/>
                <w:sz w:val="16"/>
                <w:szCs w:val="20"/>
                <w:lang w:val="es-ES"/>
              </w:rPr>
            </w:pPr>
            <w:r w:rsidRPr="008D15EC">
              <w:rPr>
                <w:rFonts w:ascii="Arial" w:hAnsi="Arial" w:cs="Arial"/>
                <w:sz w:val="16"/>
                <w:szCs w:val="20"/>
                <w:lang w:val="es-ES"/>
              </w:rPr>
              <w:t>● OSXElCapitan(10.11)</w:t>
            </w:r>
          </w:p>
          <w:p w14:paraId="330637BD" w14:textId="77777777" w:rsidR="0016644B" w:rsidRPr="008D15EC" w:rsidRDefault="0016644B" w:rsidP="00FA1A3A">
            <w:pPr>
              <w:spacing w:after="0"/>
              <w:jc w:val="both"/>
              <w:rPr>
                <w:rFonts w:ascii="Arial" w:hAnsi="Arial" w:cs="Arial"/>
                <w:b/>
                <w:sz w:val="16"/>
                <w:szCs w:val="20"/>
                <w:u w:val="single"/>
              </w:rPr>
            </w:pPr>
            <w:r w:rsidRPr="008D15EC">
              <w:rPr>
                <w:rFonts w:ascii="Arial" w:hAnsi="Arial" w:cs="Arial"/>
                <w:b/>
                <w:sz w:val="16"/>
                <w:szCs w:val="20"/>
                <w:u w:val="single"/>
              </w:rPr>
              <w:lastRenderedPageBreak/>
              <w:t>NAVEGADORES SOPORTADOS</w:t>
            </w:r>
          </w:p>
          <w:p w14:paraId="10951A8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Internet Explorer 8+</w:t>
            </w:r>
          </w:p>
          <w:p w14:paraId="4327E18C"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Mozilla Firefox 30+</w:t>
            </w:r>
          </w:p>
          <w:p w14:paraId="6C048149"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Google Chrome 34+</w:t>
            </w:r>
          </w:p>
          <w:p w14:paraId="03E0CE07"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Safari 4+</w:t>
            </w:r>
          </w:p>
          <w:p w14:paraId="624C836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Microsoft Edge 20+</w:t>
            </w:r>
          </w:p>
          <w:p w14:paraId="2C5B2F9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Opera 21+</w:t>
            </w:r>
          </w:p>
          <w:p w14:paraId="413C72EA" w14:textId="77777777" w:rsidR="0016644B" w:rsidRPr="008D15EC" w:rsidRDefault="0016644B" w:rsidP="00FA1A3A">
            <w:pPr>
              <w:spacing w:after="0"/>
              <w:jc w:val="both"/>
              <w:rPr>
                <w:rFonts w:ascii="Arial" w:hAnsi="Arial" w:cs="Arial"/>
                <w:b/>
                <w:sz w:val="16"/>
                <w:szCs w:val="20"/>
                <w:u w:val="single"/>
              </w:rPr>
            </w:pPr>
            <w:r w:rsidRPr="008D15EC">
              <w:rPr>
                <w:rFonts w:ascii="Arial" w:hAnsi="Arial" w:cs="Arial"/>
                <w:b/>
                <w:sz w:val="16"/>
                <w:szCs w:val="20"/>
                <w:u w:val="single"/>
              </w:rPr>
              <w:t>VIRTUALIZADORES SOPORTADOS</w:t>
            </w:r>
          </w:p>
          <w:p w14:paraId="47115F6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VMware vSphere 6.7 actualización 2a, 6.7 actualización 1, 6.7, 6.5, 6.0, 5.5, 5.1,</w:t>
            </w:r>
          </w:p>
          <w:p w14:paraId="0086284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5.0 con VMware vCenter Server 6.7 actualización 2a, 6.7 actualización 1, 6.7,</w:t>
            </w:r>
          </w:p>
          <w:p w14:paraId="35C3B2D6"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6.5, 6.0, 5.5, 5.1, 5.0</w:t>
            </w:r>
          </w:p>
          <w:p w14:paraId="2FB0986E"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VMware Horizon/View 7.7, 7.6, 7.5, 7.1, 6.x y 5.x</w:t>
            </w:r>
          </w:p>
          <w:p w14:paraId="24D48D5A"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VMware Workstation 11.x, 10.x, 9.x, 8.0.6</w:t>
            </w:r>
          </w:p>
          <w:p w14:paraId="093F83E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VMware Player 7.x, 6.x, 5.x</w:t>
            </w:r>
          </w:p>
          <w:p w14:paraId="64B4C07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Citrix XenServer 7.x, 6.5, 6.2, 6.0, 5.6 o 5.5 (incluyendo hipervisor Xen)</w:t>
            </w:r>
          </w:p>
          <w:p w14:paraId="0549476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Citrix Virtual Apps y Desktops 7 1808, 7 1811, 7 1903, 7 1906</w:t>
            </w:r>
          </w:p>
          <w:p w14:paraId="674481D8"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Citrix XenApp y XenDesktop 7.18, 7.17, 7.16, 7.15 LTSR, 7.6 LTSR</w:t>
            </w:r>
          </w:p>
          <w:p w14:paraId="4A36365A"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Citrix VDI-in-a-Box 5.x</w:t>
            </w:r>
          </w:p>
          <w:p w14:paraId="1CCFF057"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Microsoft Hyper-V Server 2008 R2, 2012, 2012 R2 o Windows Server 2008 R2,</w:t>
            </w:r>
          </w:p>
          <w:p w14:paraId="704404A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2012, 2012 R2 (incluyendo Hyper-V Hypervisor)</w:t>
            </w:r>
          </w:p>
          <w:p w14:paraId="7C74878F"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Red Hat Enterprise Virtualization 3.0 (incluyendo KVM Hypervisor)</w:t>
            </w:r>
          </w:p>
          <w:p w14:paraId="1D817F00"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Oracle VM 3.0</w:t>
            </w:r>
          </w:p>
          <w:p w14:paraId="0BF1D4D5"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Oracle VM VirtualBox 5.2, 5.1</w:t>
            </w:r>
          </w:p>
          <w:p w14:paraId="577E9AD6"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Nutanix Prism con AOS 5.5, 5.6 (Enterprise Edition)</w:t>
            </w:r>
          </w:p>
          <w:p w14:paraId="2F06EB12" w14:textId="77777777" w:rsidR="0016644B" w:rsidRPr="008D15EC" w:rsidRDefault="0016644B" w:rsidP="00FA1A3A">
            <w:pPr>
              <w:spacing w:after="0"/>
              <w:jc w:val="both"/>
              <w:rPr>
                <w:rFonts w:ascii="Arial" w:hAnsi="Arial" w:cs="Arial"/>
                <w:sz w:val="16"/>
                <w:szCs w:val="20"/>
                <w:lang w:val="en-US"/>
              </w:rPr>
            </w:pPr>
            <w:r w:rsidRPr="008D15EC">
              <w:rPr>
                <w:rFonts w:ascii="Arial" w:hAnsi="Arial" w:cs="Arial"/>
                <w:sz w:val="16"/>
                <w:szCs w:val="20"/>
                <w:lang w:val="en-US"/>
              </w:rPr>
              <w:t>● Nutanix Prism versión 2018.01.31 (Community Edition)</w:t>
            </w:r>
          </w:p>
        </w:tc>
      </w:tr>
      <w:tr w:rsidR="0016644B" w:rsidRPr="008D15EC" w14:paraId="1AA26C12" w14:textId="77777777" w:rsidTr="00FA1A3A">
        <w:trPr>
          <w:trHeight w:val="523"/>
          <w:jc w:val="center"/>
        </w:trPr>
        <w:tc>
          <w:tcPr>
            <w:tcW w:w="2065" w:type="dxa"/>
            <w:vAlign w:val="center"/>
          </w:tcPr>
          <w:p w14:paraId="187CFC2F" w14:textId="77777777" w:rsidR="0016644B" w:rsidRPr="008D15EC" w:rsidRDefault="0016644B" w:rsidP="00FA1A3A">
            <w:pPr>
              <w:spacing w:after="0"/>
              <w:contextualSpacing/>
              <w:jc w:val="center"/>
              <w:rPr>
                <w:rFonts w:ascii="Arial" w:hAnsi="Arial" w:cs="Arial"/>
                <w:b/>
                <w:sz w:val="16"/>
                <w:szCs w:val="20"/>
                <w:lang w:val="en-US"/>
              </w:rPr>
            </w:pPr>
            <w:r w:rsidRPr="008D15EC">
              <w:rPr>
                <w:rFonts w:ascii="Arial" w:hAnsi="Arial" w:cs="Arial"/>
                <w:b/>
                <w:sz w:val="16"/>
                <w:szCs w:val="20"/>
                <w:lang w:val="en-US"/>
              </w:rPr>
              <w:lastRenderedPageBreak/>
              <w:t>EDR / XEDR (ENDPOINT DETECTION AND RESPONSE)</w:t>
            </w:r>
          </w:p>
        </w:tc>
        <w:tc>
          <w:tcPr>
            <w:tcW w:w="6429" w:type="dxa"/>
          </w:tcPr>
          <w:p w14:paraId="0DE35C0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es una plataforma de detección y respuesta de punto final que admite una solución modular de seguridad de la información capaz de proteger cualquier entorno empresarial en un método escalable y de alta disponibilidad. Es un componente de correlación de eventos, capaz de identificar amenazas avanzadas o ataques en curso. Como parte de la plataforma integral e integrada de </w:t>
            </w:r>
            <w:r w:rsidRPr="008D15EC">
              <w:rPr>
                <w:rFonts w:ascii="Arial" w:hAnsi="Arial" w:cs="Arial"/>
                <w:b/>
                <w:bCs/>
                <w:sz w:val="16"/>
                <w:szCs w:val="20"/>
              </w:rPr>
              <w:t>Endpoint Protection, EDR</w:t>
            </w:r>
            <w:r w:rsidRPr="008D15EC">
              <w:rPr>
                <w:rFonts w:ascii="Arial" w:hAnsi="Arial" w:cs="Arial"/>
                <w:sz w:val="16"/>
                <w:szCs w:val="20"/>
              </w:rPr>
              <w:t xml:space="preserve"> </w:t>
            </w:r>
            <w:r w:rsidRPr="008D15EC">
              <w:rPr>
                <w:rFonts w:ascii="Arial" w:hAnsi="Arial" w:cs="Arial"/>
                <w:b/>
                <w:bCs/>
                <w:sz w:val="16"/>
                <w:szCs w:val="20"/>
              </w:rPr>
              <w:t>/XEDR</w:t>
            </w:r>
            <w:r w:rsidRPr="008D15EC">
              <w:rPr>
                <w:rFonts w:ascii="Arial" w:hAnsi="Arial" w:cs="Arial"/>
                <w:sz w:val="16"/>
                <w:szCs w:val="20"/>
              </w:rPr>
              <w:t xml:space="preserve"> reúne la inteligencia del dispositivo en toda la red empresarial. Esta solución viene en ayuda del esfuerzo de los equipos de respuesta a incidentes para investigar y responder a amenazas avanzadas.</w:t>
            </w:r>
          </w:p>
          <w:p w14:paraId="664D96C2" w14:textId="77777777" w:rsidR="0016644B" w:rsidRPr="008D15EC" w:rsidRDefault="0016644B" w:rsidP="00FA1A3A">
            <w:pPr>
              <w:spacing w:after="0"/>
              <w:jc w:val="both"/>
              <w:rPr>
                <w:rFonts w:ascii="Arial" w:hAnsi="Arial" w:cs="Arial"/>
                <w:sz w:val="16"/>
                <w:szCs w:val="20"/>
              </w:rPr>
            </w:pPr>
          </w:p>
          <w:p w14:paraId="499D8F1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proporcionar información detallada de los incidentes detectados, un mapa interactivo de incidentes y acciones correctivas</w:t>
            </w:r>
          </w:p>
          <w:p w14:paraId="3C87D799" w14:textId="77777777" w:rsidR="0016644B" w:rsidRPr="008D15EC" w:rsidRDefault="0016644B" w:rsidP="00FA1A3A">
            <w:pPr>
              <w:spacing w:after="0"/>
              <w:jc w:val="both"/>
              <w:rPr>
                <w:rFonts w:ascii="Arial" w:hAnsi="Arial" w:cs="Arial"/>
                <w:sz w:val="16"/>
                <w:szCs w:val="20"/>
              </w:rPr>
            </w:pPr>
          </w:p>
          <w:p w14:paraId="4266EBC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Detección y visualización de actividades sospechosas </w:t>
            </w:r>
          </w:p>
          <w:p w14:paraId="01706AB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Detección de anomalías </w:t>
            </w:r>
          </w:p>
          <w:p w14:paraId="50BBC401"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Análisis de causa raíz </w:t>
            </w:r>
          </w:p>
          <w:p w14:paraId="4E5B310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Etiquetado de eventos MITRE </w:t>
            </w:r>
          </w:p>
          <w:p w14:paraId="1B75D17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Puntuación de confianza respecto a la amenaza </w:t>
            </w:r>
          </w:p>
          <w:p w14:paraId="11F15A8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Indicadores de ataque </w:t>
            </w:r>
          </w:p>
          <w:p w14:paraId="732A015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Shell de comandos remotos </w:t>
            </w:r>
          </w:p>
          <w:p w14:paraId="2D8372A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Investigación guiada de incidentes </w:t>
            </w:r>
          </w:p>
          <w:p w14:paraId="26D336A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Opciones avanzadas de contención de amenazas </w:t>
            </w:r>
          </w:p>
          <w:p w14:paraId="0FE5974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  Análisis de Sandbox </w:t>
            </w:r>
          </w:p>
          <w:p w14:paraId="75E8CE5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Servicio opcional de detección y respuesta administradas</w:t>
            </w:r>
          </w:p>
          <w:p w14:paraId="7F3FBF41" w14:textId="77777777" w:rsidR="0016644B" w:rsidRPr="008D15EC" w:rsidRDefault="0016644B" w:rsidP="00FA1A3A">
            <w:pPr>
              <w:spacing w:after="0"/>
              <w:jc w:val="both"/>
              <w:rPr>
                <w:rFonts w:ascii="Arial" w:hAnsi="Arial" w:cs="Arial"/>
                <w:b/>
                <w:bCs/>
                <w:sz w:val="16"/>
                <w:szCs w:val="20"/>
              </w:rPr>
            </w:pPr>
          </w:p>
          <w:p w14:paraId="4B992BE8"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Componentes EDR /XEDR</w:t>
            </w:r>
          </w:p>
          <w:p w14:paraId="4E363088"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tener estos componentes principales:</w:t>
            </w:r>
          </w:p>
          <w:p w14:paraId="0FF0B5AA" w14:textId="77777777" w:rsidR="0016644B" w:rsidRPr="008D15EC" w:rsidRDefault="0016644B" w:rsidP="0016644B">
            <w:pPr>
              <w:numPr>
                <w:ilvl w:val="0"/>
                <w:numId w:val="46"/>
              </w:numPr>
              <w:suppressAutoHyphens/>
              <w:spacing w:after="0" w:line="240" w:lineRule="auto"/>
              <w:jc w:val="both"/>
              <w:rPr>
                <w:rFonts w:ascii="Arial" w:hAnsi="Arial" w:cs="Arial"/>
                <w:sz w:val="16"/>
                <w:szCs w:val="20"/>
              </w:rPr>
            </w:pPr>
            <w:r w:rsidRPr="008D15EC">
              <w:rPr>
                <w:rFonts w:ascii="Arial" w:hAnsi="Arial" w:cs="Arial"/>
                <w:sz w:val="16"/>
                <w:szCs w:val="20"/>
              </w:rPr>
              <w:t>El sensor EDR, que recopila y procesa datos para informar datos sobre el punto final y el comportamiento de la aplicación.</w:t>
            </w:r>
          </w:p>
          <w:p w14:paraId="2075EF96" w14:textId="77777777" w:rsidR="0016644B" w:rsidRPr="008D15EC" w:rsidRDefault="0016644B" w:rsidP="0016644B">
            <w:pPr>
              <w:numPr>
                <w:ilvl w:val="0"/>
                <w:numId w:val="46"/>
              </w:numPr>
              <w:suppressAutoHyphens/>
              <w:spacing w:after="0" w:line="240" w:lineRule="auto"/>
              <w:jc w:val="both"/>
              <w:rPr>
                <w:rFonts w:ascii="Arial" w:hAnsi="Arial" w:cs="Arial"/>
                <w:sz w:val="16"/>
                <w:szCs w:val="20"/>
              </w:rPr>
            </w:pPr>
            <w:r w:rsidRPr="008D15EC">
              <w:rPr>
                <w:rFonts w:ascii="Arial" w:hAnsi="Arial" w:cs="Arial"/>
                <w:sz w:val="16"/>
                <w:szCs w:val="20"/>
              </w:rPr>
              <w:t>Security Analytics, un componente de back-end utilizado para interpretar los metadatos recopilados por el sensor EDR.</w:t>
            </w:r>
          </w:p>
          <w:p w14:paraId="67750324" w14:textId="77777777" w:rsidR="0016644B" w:rsidRPr="008D15EC" w:rsidRDefault="0016644B" w:rsidP="0016644B">
            <w:pPr>
              <w:numPr>
                <w:ilvl w:val="0"/>
                <w:numId w:val="46"/>
              </w:numPr>
              <w:suppressAutoHyphens/>
              <w:spacing w:after="0" w:line="240" w:lineRule="auto"/>
              <w:jc w:val="both"/>
              <w:rPr>
                <w:rFonts w:ascii="Arial" w:hAnsi="Arial" w:cs="Arial"/>
                <w:sz w:val="16"/>
                <w:szCs w:val="20"/>
              </w:rPr>
            </w:pPr>
            <w:r w:rsidRPr="008D15EC">
              <w:rPr>
                <w:rFonts w:ascii="Arial" w:hAnsi="Arial" w:cs="Arial"/>
                <w:sz w:val="16"/>
                <w:szCs w:val="20"/>
              </w:rPr>
              <w:t>Tecnología de correlación de eventos entre terminales conocida como eXtended Endpoint Detection and Response XEDR. Capacidad XDR para detectar ataques avanzados en múltiples puntos finales en infraestructuras híbridas (estaciones de trabajo, servidores o contenedores, ejecutando varios sistemas operativos)</w:t>
            </w:r>
          </w:p>
          <w:p w14:paraId="0F065805"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lastRenderedPageBreak/>
              <w:t>Detección posterior al compromiso de actividad sospechosa</w:t>
            </w:r>
          </w:p>
          <w:p w14:paraId="016B666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supervisar los eventos de punto final en busca de signos de ataque y genera un incidente cuando se detecta dicha actividad.</w:t>
            </w:r>
          </w:p>
          <w:p w14:paraId="10451654" w14:textId="77777777" w:rsidR="0016644B" w:rsidRPr="008D15EC" w:rsidRDefault="0016644B" w:rsidP="0016644B">
            <w:pPr>
              <w:numPr>
                <w:ilvl w:val="0"/>
                <w:numId w:val="47"/>
              </w:numPr>
              <w:suppressAutoHyphens/>
              <w:spacing w:after="0" w:line="240" w:lineRule="auto"/>
              <w:jc w:val="both"/>
              <w:rPr>
                <w:rFonts w:ascii="Arial" w:hAnsi="Arial" w:cs="Arial"/>
                <w:sz w:val="16"/>
                <w:szCs w:val="20"/>
              </w:rPr>
            </w:pPr>
            <w:r w:rsidRPr="008D15EC">
              <w:rPr>
                <w:rFonts w:ascii="Arial" w:hAnsi="Arial" w:cs="Arial"/>
                <w:sz w:val="16"/>
                <w:szCs w:val="20"/>
              </w:rPr>
              <w:t>ras tiene la capacidad de basar los sistemas en función de los indicadores de ataque MITRE y la inteligencia de amenazas de la solución</w:t>
            </w:r>
          </w:p>
          <w:p w14:paraId="457646DE" w14:textId="77777777" w:rsidR="0016644B" w:rsidRPr="008D15EC" w:rsidRDefault="0016644B" w:rsidP="0016644B">
            <w:pPr>
              <w:numPr>
                <w:ilvl w:val="0"/>
                <w:numId w:val="47"/>
              </w:numPr>
              <w:suppressAutoHyphens/>
              <w:spacing w:after="0" w:line="240" w:lineRule="auto"/>
              <w:jc w:val="both"/>
              <w:rPr>
                <w:rFonts w:ascii="Arial" w:hAnsi="Arial" w:cs="Arial"/>
                <w:sz w:val="16"/>
                <w:szCs w:val="20"/>
              </w:rPr>
            </w:pPr>
            <w:r w:rsidRPr="008D15EC">
              <w:rPr>
                <w:rFonts w:ascii="Arial" w:hAnsi="Arial" w:cs="Arial"/>
                <w:sz w:val="16"/>
                <w:szCs w:val="20"/>
              </w:rPr>
              <w:t>Cualquier desviación de la línea de base se informa como incidente en nuestro módulo EDR.</w:t>
            </w:r>
          </w:p>
          <w:p w14:paraId="65899A62" w14:textId="77777777" w:rsidR="0016644B" w:rsidRPr="008D15EC" w:rsidRDefault="0016644B" w:rsidP="00FA1A3A">
            <w:pPr>
              <w:suppressAutoHyphens/>
              <w:spacing w:after="0" w:line="240" w:lineRule="auto"/>
              <w:jc w:val="both"/>
              <w:rPr>
                <w:rFonts w:ascii="Arial" w:hAnsi="Arial" w:cs="Arial"/>
                <w:sz w:val="16"/>
                <w:szCs w:val="20"/>
              </w:rPr>
            </w:pPr>
          </w:p>
          <w:p w14:paraId="6AF4A121"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Investigación de incidentes y visualización</w:t>
            </w:r>
          </w:p>
          <w:p w14:paraId="45D64EAC"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La solución proporcionara soporte para el análisis de incidentes al proporcionar herramientas para ayudar a filtrar, investigar y tomar medidas en todos los eventos de seguridad detectados por el sensor EDR durante un intervalo de tiempo específico.</w:t>
            </w:r>
          </w:p>
          <w:p w14:paraId="4994F4AD"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La solución asigna un valor de puntaje de confianza que indica el grado de certeza de que un evento de seguridad es peligroso.</w:t>
            </w:r>
          </w:p>
          <w:p w14:paraId="727B62AB"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La solución se integra con la base de conocimiento ATT &amp; CK de MITRE y etiqueta los eventos de seguridad de manera adecuada.</w:t>
            </w:r>
          </w:p>
          <w:p w14:paraId="02852174"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Los eventos de seguridad se pueden buscar por nombres de archivo, direcciones IP, nombres de host o IOC. También proporciona una función de búsqueda avanzada que permite al usuario pasar por eventos pasados ​​según un criterio complejo. Las consultas predefinidas están diseñadas para casos de búsqueda de eventos de seguridad útiles.</w:t>
            </w:r>
          </w:p>
          <w:p w14:paraId="4860FED6"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La solución proporcionara una visualización sofisticada de eventos de seguridad con información específica o acciones con la siguiente información:</w:t>
            </w:r>
          </w:p>
          <w:p w14:paraId="4C1D2B37" w14:textId="77777777" w:rsidR="0016644B" w:rsidRPr="008D15EC" w:rsidRDefault="0016644B" w:rsidP="0016644B">
            <w:pPr>
              <w:numPr>
                <w:ilvl w:val="0"/>
                <w:numId w:val="49"/>
              </w:numPr>
              <w:suppressAutoHyphens/>
              <w:spacing w:after="0" w:line="240" w:lineRule="auto"/>
              <w:jc w:val="both"/>
              <w:rPr>
                <w:rFonts w:ascii="Arial" w:hAnsi="Arial" w:cs="Arial"/>
                <w:sz w:val="16"/>
                <w:szCs w:val="20"/>
              </w:rPr>
            </w:pPr>
            <w:r w:rsidRPr="008D15EC">
              <w:rPr>
                <w:rFonts w:ascii="Arial" w:hAnsi="Arial" w:cs="Arial"/>
                <w:sz w:val="16"/>
                <w:szCs w:val="20"/>
              </w:rPr>
              <w:t>La pestaña Resumen proporciona una visión general del impacto del evento e información detallada sobre cada nodo de evento.</w:t>
            </w:r>
          </w:p>
          <w:p w14:paraId="160FB4CD" w14:textId="77777777" w:rsidR="0016644B" w:rsidRPr="008D15EC" w:rsidRDefault="0016644B" w:rsidP="0016644B">
            <w:pPr>
              <w:numPr>
                <w:ilvl w:val="0"/>
                <w:numId w:val="49"/>
              </w:numPr>
              <w:suppressAutoHyphens/>
              <w:spacing w:after="0" w:line="240" w:lineRule="auto"/>
              <w:jc w:val="both"/>
              <w:rPr>
                <w:rFonts w:ascii="Arial" w:hAnsi="Arial" w:cs="Arial"/>
                <w:sz w:val="16"/>
                <w:szCs w:val="20"/>
              </w:rPr>
            </w:pPr>
            <w:r w:rsidRPr="008D15EC">
              <w:rPr>
                <w:rFonts w:ascii="Arial" w:hAnsi="Arial" w:cs="Arial"/>
                <w:sz w:val="16"/>
                <w:szCs w:val="20"/>
              </w:rPr>
              <w:t>La función de línea de tiempo recopila información sobre el desarrollo de eventos de seguridad en un orden cronológico.</w:t>
            </w:r>
          </w:p>
          <w:p w14:paraId="7397CB73" w14:textId="77777777" w:rsidR="0016644B" w:rsidRPr="008D15EC" w:rsidRDefault="0016644B" w:rsidP="0016644B">
            <w:pPr>
              <w:numPr>
                <w:ilvl w:val="0"/>
                <w:numId w:val="49"/>
              </w:numPr>
              <w:suppressAutoHyphens/>
              <w:spacing w:after="0" w:line="240" w:lineRule="auto"/>
              <w:jc w:val="both"/>
              <w:rPr>
                <w:rFonts w:ascii="Arial" w:hAnsi="Arial" w:cs="Arial"/>
                <w:sz w:val="16"/>
                <w:szCs w:val="20"/>
              </w:rPr>
            </w:pPr>
            <w:r w:rsidRPr="008D15EC">
              <w:rPr>
                <w:rFonts w:ascii="Arial" w:hAnsi="Arial" w:cs="Arial"/>
                <w:sz w:val="16"/>
                <w:szCs w:val="20"/>
              </w:rPr>
              <w:t>Remediation Actions recopila información sobre las acciones de bloqueo que La solución realiza automáticamente en el evento de seguridad actual.</w:t>
            </w:r>
          </w:p>
          <w:p w14:paraId="2164F6B6" w14:textId="77777777" w:rsidR="0016644B" w:rsidRPr="008D15EC" w:rsidRDefault="0016644B" w:rsidP="0016644B">
            <w:pPr>
              <w:numPr>
                <w:ilvl w:val="0"/>
                <w:numId w:val="48"/>
              </w:numPr>
              <w:suppressAutoHyphens/>
              <w:spacing w:after="0" w:line="240" w:lineRule="auto"/>
              <w:jc w:val="both"/>
              <w:rPr>
                <w:rFonts w:ascii="Arial" w:hAnsi="Arial" w:cs="Arial"/>
                <w:sz w:val="16"/>
                <w:szCs w:val="20"/>
              </w:rPr>
            </w:pPr>
            <w:r w:rsidRPr="008D15EC">
              <w:rPr>
                <w:rFonts w:ascii="Arial" w:hAnsi="Arial" w:cs="Arial"/>
                <w:sz w:val="16"/>
                <w:szCs w:val="20"/>
              </w:rPr>
              <w:t>La solución puede bloquear archivos / procesos de la lista usando los valores hash MD5 / SHA256. Puede hacerse desde el incidente de seguridad o importarse desde un archivo CSV.</w:t>
            </w:r>
          </w:p>
          <w:p w14:paraId="39596861" w14:textId="77777777" w:rsidR="0016644B" w:rsidRPr="008D15EC" w:rsidRDefault="0016644B" w:rsidP="00FA1A3A">
            <w:pPr>
              <w:spacing w:after="0"/>
              <w:jc w:val="both"/>
              <w:rPr>
                <w:rFonts w:ascii="Arial" w:hAnsi="Arial" w:cs="Arial"/>
                <w:sz w:val="16"/>
                <w:szCs w:val="20"/>
              </w:rPr>
            </w:pPr>
          </w:p>
          <w:p w14:paraId="360616EC"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Contención de amenazas</w:t>
            </w:r>
          </w:p>
          <w:p w14:paraId="22AA32B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Cuando se detecta una amenaza de seguridad, La solución proporciona las siguientes acciones correctivas para la contención de amenazas.</w:t>
            </w:r>
          </w:p>
          <w:p w14:paraId="7668DEFC"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A. Remediación rápida:</w:t>
            </w:r>
          </w:p>
          <w:p w14:paraId="303F6C7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puede aplicar acciones correctivas desde esta sección como una solución temporal al evento de seguridad.</w:t>
            </w:r>
          </w:p>
          <w:p w14:paraId="0C3037D8" w14:textId="77777777" w:rsidR="0016644B" w:rsidRPr="008D15EC" w:rsidRDefault="0016644B" w:rsidP="0016644B">
            <w:pPr>
              <w:numPr>
                <w:ilvl w:val="0"/>
                <w:numId w:val="50"/>
              </w:numPr>
              <w:suppressAutoHyphens/>
              <w:spacing w:after="0" w:line="240" w:lineRule="auto"/>
              <w:jc w:val="both"/>
              <w:rPr>
                <w:rFonts w:ascii="Arial" w:hAnsi="Arial" w:cs="Arial"/>
                <w:sz w:val="16"/>
                <w:szCs w:val="20"/>
              </w:rPr>
            </w:pPr>
            <w:r w:rsidRPr="008D15EC">
              <w:rPr>
                <w:rFonts w:ascii="Arial" w:hAnsi="Arial" w:cs="Arial"/>
                <w:sz w:val="16"/>
                <w:szCs w:val="20"/>
              </w:rPr>
              <w:t>Matar: evita que un proceso se ejecute en el entorno. Esto crea una tarea de proceso de eliminación en el punto final local. Los procesos System32 y de la solución de seguridad están excluidos de esta acción.</w:t>
            </w:r>
          </w:p>
          <w:p w14:paraId="30DB188F" w14:textId="77777777" w:rsidR="0016644B" w:rsidRPr="008D15EC" w:rsidRDefault="0016644B" w:rsidP="0016644B">
            <w:pPr>
              <w:numPr>
                <w:ilvl w:val="0"/>
                <w:numId w:val="50"/>
              </w:numPr>
              <w:suppressAutoHyphens/>
              <w:spacing w:after="0" w:line="240" w:lineRule="auto"/>
              <w:jc w:val="both"/>
              <w:rPr>
                <w:rFonts w:ascii="Arial" w:hAnsi="Arial" w:cs="Arial"/>
                <w:sz w:val="16"/>
                <w:szCs w:val="20"/>
              </w:rPr>
            </w:pPr>
            <w:r w:rsidRPr="008D15EC">
              <w:rPr>
                <w:rFonts w:ascii="Arial" w:hAnsi="Arial" w:cs="Arial"/>
                <w:sz w:val="16"/>
                <w:szCs w:val="20"/>
              </w:rPr>
              <w:t>Archivo de cuarentena: almacena el elemento en cuestión y evita que ejecute su carga útil.</w:t>
            </w:r>
          </w:p>
          <w:p w14:paraId="6049FD8A" w14:textId="77777777" w:rsidR="0016644B" w:rsidRPr="008D15EC" w:rsidRDefault="0016644B" w:rsidP="0016644B">
            <w:pPr>
              <w:numPr>
                <w:ilvl w:val="0"/>
                <w:numId w:val="50"/>
              </w:numPr>
              <w:suppressAutoHyphens/>
              <w:spacing w:after="0" w:line="240" w:lineRule="auto"/>
              <w:jc w:val="both"/>
              <w:rPr>
                <w:rFonts w:ascii="Arial" w:hAnsi="Arial" w:cs="Arial"/>
                <w:sz w:val="16"/>
                <w:szCs w:val="20"/>
              </w:rPr>
            </w:pPr>
            <w:r w:rsidRPr="008D15EC">
              <w:rPr>
                <w:rFonts w:ascii="Arial" w:hAnsi="Arial" w:cs="Arial"/>
                <w:sz w:val="16"/>
                <w:szCs w:val="20"/>
              </w:rPr>
              <w:t>Aislar host: La solución ísla el host de la red. El punto final objetivo retiene la comunicación con los servicios de solución de Seguridad</w:t>
            </w:r>
          </w:p>
          <w:p w14:paraId="11907DF0" w14:textId="77777777" w:rsidR="0016644B" w:rsidRPr="008D15EC" w:rsidRDefault="0016644B" w:rsidP="0016644B">
            <w:pPr>
              <w:numPr>
                <w:ilvl w:val="0"/>
                <w:numId w:val="50"/>
              </w:numPr>
              <w:suppressAutoHyphens/>
              <w:spacing w:after="0" w:line="240" w:lineRule="auto"/>
              <w:jc w:val="both"/>
              <w:rPr>
                <w:rFonts w:ascii="Arial" w:hAnsi="Arial" w:cs="Arial"/>
                <w:sz w:val="16"/>
                <w:szCs w:val="20"/>
              </w:rPr>
            </w:pPr>
            <w:r w:rsidRPr="008D15EC">
              <w:rPr>
                <w:rFonts w:ascii="Arial" w:hAnsi="Arial" w:cs="Arial"/>
                <w:sz w:val="16"/>
                <w:szCs w:val="20"/>
              </w:rPr>
              <w:t>Instalar parches: esto permite instalar parches de seguridad faltantes en el punto final de destino.</w:t>
            </w:r>
          </w:p>
          <w:p w14:paraId="6F3C1BC1"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B. Acciones de red:</w:t>
            </w:r>
          </w:p>
          <w:p w14:paraId="7001A47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proporciona esta solución para la contención de ataques en toda la red</w:t>
            </w:r>
          </w:p>
          <w:p w14:paraId="0A0F2BB2" w14:textId="77777777" w:rsidR="0016644B" w:rsidRPr="008D15EC" w:rsidRDefault="0016644B" w:rsidP="00FA1A3A">
            <w:pPr>
              <w:spacing w:after="0"/>
              <w:jc w:val="center"/>
              <w:rPr>
                <w:rFonts w:ascii="Arial" w:hAnsi="Arial" w:cs="Arial"/>
                <w:sz w:val="16"/>
                <w:szCs w:val="20"/>
              </w:rPr>
            </w:pPr>
            <w:r w:rsidRPr="008D15EC">
              <w:rPr>
                <w:rFonts w:ascii="Arial" w:hAnsi="Arial" w:cs="Arial"/>
                <w:sz w:val="16"/>
                <w:szCs w:val="20"/>
              </w:rPr>
              <w:t>1. Agregar archivo a la lista de bloqueo: el archivo es una pregunta que se puede agregar a una lista de bloqueo y se puede evitar que el ataque se propague lateralmente en la red.</w:t>
            </w:r>
          </w:p>
          <w:p w14:paraId="030C03A4" w14:textId="77777777" w:rsidR="0016644B" w:rsidRPr="008D15EC" w:rsidRDefault="0016644B" w:rsidP="00FA1A3A">
            <w:pPr>
              <w:spacing w:after="0"/>
              <w:jc w:val="center"/>
              <w:rPr>
                <w:rFonts w:ascii="Arial" w:hAnsi="Arial" w:cs="Arial"/>
                <w:sz w:val="16"/>
                <w:szCs w:val="20"/>
              </w:rPr>
            </w:pPr>
            <w:r w:rsidRPr="008D15EC">
              <w:rPr>
                <w:rFonts w:ascii="Arial" w:hAnsi="Arial" w:cs="Arial"/>
                <w:sz w:val="16"/>
                <w:szCs w:val="20"/>
              </w:rPr>
              <w:t>2. Agregar archivo como excepción: para un archivo no malicioso, esta opción se puede usar para excluir actividades legítimas.</w:t>
            </w:r>
          </w:p>
          <w:p w14:paraId="7EF451FD" w14:textId="77777777" w:rsidR="0016644B" w:rsidRPr="008D15EC" w:rsidRDefault="0016644B" w:rsidP="00FA1A3A">
            <w:pPr>
              <w:spacing w:after="0"/>
              <w:rPr>
                <w:rFonts w:ascii="Arial" w:hAnsi="Arial" w:cs="Arial"/>
                <w:b/>
                <w:bCs/>
                <w:sz w:val="16"/>
                <w:szCs w:val="20"/>
              </w:rPr>
            </w:pPr>
            <w:r w:rsidRPr="008D15EC">
              <w:rPr>
                <w:rFonts w:ascii="Arial" w:hAnsi="Arial" w:cs="Arial"/>
                <w:b/>
                <w:bCs/>
                <w:sz w:val="16"/>
                <w:szCs w:val="20"/>
              </w:rPr>
              <w:t>C. Investigar acciones:</w:t>
            </w:r>
          </w:p>
          <w:p w14:paraId="7DFA4594" w14:textId="77777777" w:rsidR="0016644B" w:rsidRPr="008D15EC" w:rsidRDefault="0016644B" w:rsidP="00FA1A3A">
            <w:pPr>
              <w:spacing w:after="0"/>
              <w:rPr>
                <w:rFonts w:ascii="Arial" w:hAnsi="Arial" w:cs="Arial"/>
                <w:sz w:val="16"/>
                <w:szCs w:val="20"/>
              </w:rPr>
            </w:pPr>
            <w:r w:rsidRPr="008D15EC">
              <w:rPr>
                <w:rFonts w:ascii="Arial" w:hAnsi="Arial" w:cs="Arial"/>
                <w:sz w:val="16"/>
                <w:szCs w:val="20"/>
              </w:rPr>
              <w:t>La solución aprovecha los componentes internos y las soluciones de terceros para una mayor investigación.</w:t>
            </w:r>
          </w:p>
          <w:p w14:paraId="054C3A7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1. Virustotal</w:t>
            </w:r>
          </w:p>
          <w:p w14:paraId="586C099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2. Sandbox</w:t>
            </w:r>
          </w:p>
          <w:p w14:paraId="43B9240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3. Google</w:t>
            </w:r>
          </w:p>
          <w:p w14:paraId="30A7D42B"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lastRenderedPageBreak/>
              <w:t>D. Conexión remota</w:t>
            </w:r>
          </w:p>
          <w:p w14:paraId="3183553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1. La solución puede conectarse remotamente al host para investigar rápidamente los ataques, recopilar datos forenses y remediar las infracciones.</w:t>
            </w:r>
          </w:p>
          <w:p w14:paraId="1669899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2. Elimina la incertidumbre y reduce en gran medida cualquier tiempo de inactividad que resulte de un ataque.</w:t>
            </w:r>
          </w:p>
          <w:p w14:paraId="69CFE81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3. Permite que un usuario / administrador autorizado acceda de forma segura a puntos finales administrados directamente desde la consola.</w:t>
            </w:r>
          </w:p>
          <w:p w14:paraId="6808188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4. Después de conectarse con éxito al punto final remoto, se pueden ejecutar varios comandos de shell personalizados directamente en el sistema operativo para remediar la amenaza al instante o recopilar datos para una mayor investigación.</w:t>
            </w:r>
          </w:p>
          <w:p w14:paraId="19A16F7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Además de los casos de uso anteriores, el módulo EDR también proporciona visualización de los eventos de seguridad que están bloqueados por las capas preventivas.</w:t>
            </w:r>
          </w:p>
          <w:p w14:paraId="613D4D0B"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E. Defensa contra ataques sin archivos:</w:t>
            </w:r>
          </w:p>
          <w:p w14:paraId="07C176A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Detecte y bloquee malware basado en scripts, sin archivos, ofuscado y personalizado, con reparación automática.</w:t>
            </w:r>
          </w:p>
          <w:p w14:paraId="23F21F2B" w14:textId="77777777" w:rsidR="0016644B" w:rsidRPr="008D15EC" w:rsidRDefault="0016644B" w:rsidP="00FA1A3A">
            <w:pPr>
              <w:spacing w:after="0"/>
              <w:jc w:val="both"/>
              <w:rPr>
                <w:rFonts w:ascii="Arial" w:hAnsi="Arial" w:cs="Arial"/>
                <w:b/>
                <w:bCs/>
                <w:sz w:val="16"/>
                <w:szCs w:val="20"/>
              </w:rPr>
            </w:pPr>
            <w:r w:rsidRPr="008D15EC">
              <w:rPr>
                <w:rFonts w:ascii="Arial" w:hAnsi="Arial" w:cs="Arial"/>
                <w:b/>
                <w:bCs/>
                <w:sz w:val="16"/>
                <w:szCs w:val="20"/>
              </w:rPr>
              <w:t xml:space="preserve">F. Capacidades de prevención avanzadas como </w:t>
            </w:r>
            <w:r w:rsidRPr="008D15EC">
              <w:rPr>
                <w:rFonts w:ascii="Arial" w:hAnsi="Arial" w:cs="Arial"/>
                <w:sz w:val="16"/>
                <w:szCs w:val="20"/>
              </w:rPr>
              <w:t>PowerShell Defense, Exploit Defense y detección de anomalías, bloqueo de ataques al principio de la cadena de ataque, antes de la ejecución</w:t>
            </w:r>
          </w:p>
        </w:tc>
      </w:tr>
      <w:tr w:rsidR="0016644B" w:rsidRPr="008D15EC" w14:paraId="641466D5" w14:textId="77777777" w:rsidTr="00FA1A3A">
        <w:trPr>
          <w:trHeight w:val="523"/>
          <w:jc w:val="center"/>
        </w:trPr>
        <w:tc>
          <w:tcPr>
            <w:tcW w:w="2065" w:type="dxa"/>
            <w:vAlign w:val="center"/>
          </w:tcPr>
          <w:p w14:paraId="6418B1E6"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lastRenderedPageBreak/>
              <w:t>Protección en tiempo real</w:t>
            </w:r>
          </w:p>
        </w:tc>
        <w:tc>
          <w:tcPr>
            <w:tcW w:w="6429" w:type="dxa"/>
          </w:tcPr>
          <w:p w14:paraId="226DA9B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análisis dLa solución en tiempo real debe evitar que entren en el sistema nuevas amenazas de malware, La solución debe analizar los archivos locales y de red cuando se acceda a ellos (al abrirlos, moverlos, copiarlos o ejecutarlos), al análisis de los sectores de arranque y al de las aplicaciones potencialmente no deseadas (APND).</w:t>
            </w:r>
          </w:p>
        </w:tc>
      </w:tr>
      <w:tr w:rsidR="0016644B" w:rsidRPr="008D15EC" w14:paraId="368C4AF3" w14:textId="77777777" w:rsidTr="00FA1A3A">
        <w:trPr>
          <w:trHeight w:val="523"/>
          <w:jc w:val="center"/>
        </w:trPr>
        <w:tc>
          <w:tcPr>
            <w:tcW w:w="2065" w:type="dxa"/>
            <w:vAlign w:val="center"/>
          </w:tcPr>
          <w:p w14:paraId="7DB9F0A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Filtrado de correo electrónico malicioso.</w:t>
            </w:r>
          </w:p>
        </w:tc>
        <w:tc>
          <w:tcPr>
            <w:tcW w:w="6429" w:type="dxa"/>
          </w:tcPr>
          <w:p w14:paraId="61528A3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módulo de protección de correo electrónico dLa solución debe ofrecer protección multicapa contra las amenazas y phishing mediante una combinación de varios filtros y motores de análisis en la capa de protocolo (POP3 y SMPT) para determinar si los mensajes de correo electrónico son maliciosos.</w:t>
            </w:r>
          </w:p>
        </w:tc>
      </w:tr>
      <w:tr w:rsidR="0016644B" w:rsidRPr="008D15EC" w14:paraId="29DAA649" w14:textId="77777777" w:rsidTr="00FA1A3A">
        <w:trPr>
          <w:trHeight w:val="523"/>
          <w:jc w:val="center"/>
        </w:trPr>
        <w:tc>
          <w:tcPr>
            <w:tcW w:w="2065" w:type="dxa"/>
            <w:vAlign w:val="center"/>
          </w:tcPr>
          <w:p w14:paraId="3F241B41"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Filtrado de Navegación</w:t>
            </w:r>
          </w:p>
        </w:tc>
        <w:tc>
          <w:tcPr>
            <w:tcW w:w="6429" w:type="dxa"/>
          </w:tcPr>
          <w:p w14:paraId="6736515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que controla el Tráfico HTTP / FTP del Explorador de Windows debe Permitir o denegar el tráfico HTTP y FTP desde el Explorador de Windows. La solución debe tener la capacidad de crear reglas de cortafuego adicionales para otras aplicaciones instaladas en los puntos finales, esto debe crearlo además de las reglas predeterminadas por defecto. </w:t>
            </w:r>
          </w:p>
        </w:tc>
      </w:tr>
      <w:tr w:rsidR="0016644B" w:rsidRPr="008D15EC" w14:paraId="62496158" w14:textId="77777777" w:rsidTr="00FA1A3A">
        <w:trPr>
          <w:trHeight w:val="523"/>
          <w:jc w:val="center"/>
        </w:trPr>
        <w:tc>
          <w:tcPr>
            <w:tcW w:w="2065" w:type="dxa"/>
            <w:vAlign w:val="center"/>
          </w:tcPr>
          <w:p w14:paraId="4429FCC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Remote Troubleshooting</w:t>
            </w:r>
          </w:p>
        </w:tc>
        <w:tc>
          <w:tcPr>
            <w:tcW w:w="6429" w:type="dxa"/>
          </w:tcPr>
          <w:p w14:paraId="19D382B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 permitir recopilar registros básicos y avanzados de forma remota. Con fin de facilitar a el análisis   en profundidad del problema y proporcionar una resolución más rápida.</w:t>
            </w:r>
          </w:p>
        </w:tc>
      </w:tr>
      <w:tr w:rsidR="0016644B" w:rsidRPr="008D15EC" w14:paraId="39BFE49B" w14:textId="77777777" w:rsidTr="00FA1A3A">
        <w:trPr>
          <w:trHeight w:val="523"/>
          <w:jc w:val="center"/>
        </w:trPr>
        <w:tc>
          <w:tcPr>
            <w:tcW w:w="2065" w:type="dxa"/>
            <w:vAlign w:val="center"/>
          </w:tcPr>
          <w:p w14:paraId="34284AC8"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Protección Proactiva</w:t>
            </w:r>
          </w:p>
        </w:tc>
        <w:tc>
          <w:tcPr>
            <w:tcW w:w="6429" w:type="dxa"/>
          </w:tcPr>
          <w:p w14:paraId="08C99E0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poseer tecnología de detección proactiva he innovadora que debe utilizar avanzados métodos heurísticos para que pueda detectar nuevas amenazas potenciales en tiempo real, debe monitorizar continuamente las aplicaciones que se están ejecutando en el punto final en busca de acciones indicativas de malware. Cada una de estas acciones debe puntuarse y calcular una puntuación global para cada proceso.</w:t>
            </w:r>
          </w:p>
        </w:tc>
      </w:tr>
      <w:tr w:rsidR="0016644B" w:rsidRPr="008D15EC" w14:paraId="678360AE" w14:textId="77777777" w:rsidTr="00FA1A3A">
        <w:trPr>
          <w:trHeight w:val="523"/>
          <w:jc w:val="center"/>
        </w:trPr>
        <w:tc>
          <w:tcPr>
            <w:tcW w:w="2065" w:type="dxa"/>
            <w:vAlign w:val="center"/>
          </w:tcPr>
          <w:p w14:paraId="11B1F065"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Consumo de recursos de Memoria del Endpoint</w:t>
            </w:r>
          </w:p>
        </w:tc>
        <w:tc>
          <w:tcPr>
            <w:tcW w:w="6429" w:type="dxa"/>
          </w:tcPr>
          <w:p w14:paraId="725FFD3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 utilizar menos de ~220 MB cuando se ejecute un análisis completo</w:t>
            </w:r>
          </w:p>
        </w:tc>
      </w:tr>
      <w:tr w:rsidR="0016644B" w:rsidRPr="008D15EC" w14:paraId="5F96F1C8" w14:textId="77777777" w:rsidTr="00FA1A3A">
        <w:trPr>
          <w:trHeight w:val="523"/>
          <w:jc w:val="center"/>
        </w:trPr>
        <w:tc>
          <w:tcPr>
            <w:tcW w:w="2065" w:type="dxa"/>
            <w:vAlign w:val="center"/>
          </w:tcPr>
          <w:p w14:paraId="3620EAB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Exclusión de archivos del análisis en tiempo real</w:t>
            </w:r>
          </w:p>
        </w:tc>
        <w:tc>
          <w:tcPr>
            <w:tcW w:w="6429" w:type="dxa"/>
          </w:tcPr>
          <w:p w14:paraId="27D98A2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contar con la opción para realizar exclusiones de archivos del análisis en tiempo real.</w:t>
            </w:r>
          </w:p>
        </w:tc>
      </w:tr>
      <w:tr w:rsidR="0016644B" w:rsidRPr="008D15EC" w14:paraId="3A54D4FE" w14:textId="77777777" w:rsidTr="00FA1A3A">
        <w:trPr>
          <w:trHeight w:val="523"/>
          <w:jc w:val="center"/>
        </w:trPr>
        <w:tc>
          <w:tcPr>
            <w:tcW w:w="2065" w:type="dxa"/>
            <w:vAlign w:val="center"/>
          </w:tcPr>
          <w:p w14:paraId="3CC67526"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Control de acceso web</w:t>
            </w:r>
          </w:p>
        </w:tc>
        <w:tc>
          <w:tcPr>
            <w:tcW w:w="6429" w:type="dxa"/>
          </w:tcPr>
          <w:p w14:paraId="2489176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suite de Seguirdad deberá contar con un control de acceso web, con categorías para definir qué sitios pueden ser accedidos o no dentro de la red. Limitar el acceso a los sitios Web por categoría y por grupo de usuarios para lograr una eficaz aplicación de las políticas corporativas cuyo objetivo es maximizar el cumplimiento de directivas de seguridad y la productividad de los empleados.</w:t>
            </w:r>
          </w:p>
        </w:tc>
      </w:tr>
      <w:tr w:rsidR="0016644B" w:rsidRPr="008D15EC" w14:paraId="31E7298B" w14:textId="77777777" w:rsidTr="00FA1A3A">
        <w:trPr>
          <w:trHeight w:val="523"/>
          <w:jc w:val="center"/>
        </w:trPr>
        <w:tc>
          <w:tcPr>
            <w:tcW w:w="2065" w:type="dxa"/>
            <w:vAlign w:val="center"/>
          </w:tcPr>
          <w:p w14:paraId="637BDBAE"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Análisis manual de búsqueda de códigos maliciosos.</w:t>
            </w:r>
          </w:p>
        </w:tc>
        <w:tc>
          <w:tcPr>
            <w:tcW w:w="6429" w:type="dxa"/>
          </w:tcPr>
          <w:p w14:paraId="21A7800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contar con la opción de correr un análisis manual de búsqueda de códigos maliciosos. Ofrecer detección avanzada de malware furtivo mediante la exploración minuciosa del contenido de los protocolos seguros HTTPS y POP3S, así como de los archivos comprimidos.</w:t>
            </w:r>
          </w:p>
        </w:tc>
      </w:tr>
      <w:tr w:rsidR="0016644B" w:rsidRPr="008D15EC" w14:paraId="27CB53E3" w14:textId="77777777" w:rsidTr="00FA1A3A">
        <w:trPr>
          <w:trHeight w:val="523"/>
          <w:jc w:val="center"/>
        </w:trPr>
        <w:tc>
          <w:tcPr>
            <w:tcW w:w="2065" w:type="dxa"/>
            <w:vAlign w:val="center"/>
          </w:tcPr>
          <w:p w14:paraId="0C31784A"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ERM (Administración de Riesgos)</w:t>
            </w:r>
          </w:p>
        </w:tc>
        <w:tc>
          <w:tcPr>
            <w:tcW w:w="6429" w:type="dxa"/>
          </w:tcPr>
          <w:p w14:paraId="60E06A9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El módulo de gestión de riesgos de punto final (ERM) ayudara a identificar y remediar una gran cantidad de riesgos de red y sistemas operativos a nivel de punto final, mostrando el porcentaje de vulnerabilidad en la infraestructura. El puntaje de riesgo de </w:t>
            </w:r>
            <w:r w:rsidRPr="008D15EC">
              <w:rPr>
                <w:rFonts w:ascii="Arial" w:hAnsi="Arial" w:cs="Arial"/>
                <w:sz w:val="16"/>
                <w:szCs w:val="20"/>
              </w:rPr>
              <w:lastRenderedPageBreak/>
              <w:t xml:space="preserve">la compañía se calcula teniendo en cuenta una amplia lista de indicadores de riesgos y vulnerabilidades de aplicaciones conocidas, mostrándole su evolución en el tiempo. </w:t>
            </w:r>
          </w:p>
          <w:p w14:paraId="1C6666DF" w14:textId="77777777" w:rsidR="0016644B" w:rsidRPr="008D15EC" w:rsidRDefault="0016644B" w:rsidP="00FA1A3A">
            <w:pPr>
              <w:spacing w:after="0"/>
              <w:jc w:val="both"/>
              <w:rPr>
                <w:rFonts w:ascii="Arial" w:hAnsi="Arial" w:cs="Arial"/>
                <w:sz w:val="16"/>
                <w:szCs w:val="20"/>
              </w:rPr>
            </w:pPr>
          </w:p>
          <w:p w14:paraId="1F85331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Desglose de la puntuación y las principales configuraciones incorrectas y los widgets de aplicaciones vulnerables hacen que sea más fácil ver dónde su entorno es más vulnerable a los ataques y qué dispositivos son los más afectados.</w:t>
            </w:r>
          </w:p>
          <w:p w14:paraId="54057DB3" w14:textId="77777777" w:rsidR="0016644B" w:rsidRPr="008D15EC" w:rsidRDefault="0016644B" w:rsidP="00FA1A3A">
            <w:pPr>
              <w:spacing w:after="0"/>
              <w:jc w:val="both"/>
              <w:rPr>
                <w:rFonts w:ascii="Arial" w:hAnsi="Arial" w:cs="Arial"/>
                <w:sz w:val="16"/>
                <w:szCs w:val="20"/>
              </w:rPr>
            </w:pPr>
          </w:p>
          <w:p w14:paraId="71B42A6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Este módulo deberá contar con al menos 300 indicadores de gestión de Hardening para la generación del nivel de riesgo.</w:t>
            </w:r>
          </w:p>
        </w:tc>
      </w:tr>
      <w:tr w:rsidR="0016644B" w:rsidRPr="008D15EC" w14:paraId="4D257CBE" w14:textId="77777777" w:rsidTr="00FA1A3A">
        <w:trPr>
          <w:trHeight w:val="523"/>
          <w:jc w:val="center"/>
        </w:trPr>
        <w:tc>
          <w:tcPr>
            <w:tcW w:w="2065" w:type="dxa"/>
            <w:vAlign w:val="center"/>
          </w:tcPr>
          <w:p w14:paraId="3E5DF438" w14:textId="77777777" w:rsidR="0016644B" w:rsidRPr="008D15EC" w:rsidRDefault="0016644B" w:rsidP="00FA1A3A">
            <w:pPr>
              <w:spacing w:after="0"/>
              <w:rPr>
                <w:rFonts w:ascii="Arial" w:hAnsi="Arial" w:cs="Arial"/>
                <w:b/>
                <w:sz w:val="16"/>
                <w:szCs w:val="20"/>
              </w:rPr>
            </w:pPr>
            <w:r w:rsidRPr="008D15EC">
              <w:rPr>
                <w:rFonts w:ascii="Arial" w:hAnsi="Arial" w:cs="Arial"/>
                <w:b/>
                <w:sz w:val="16"/>
                <w:szCs w:val="20"/>
              </w:rPr>
              <w:lastRenderedPageBreak/>
              <w:t>Human Risks Analytics</w:t>
            </w:r>
          </w:p>
        </w:tc>
        <w:tc>
          <w:tcPr>
            <w:tcW w:w="6429" w:type="dxa"/>
          </w:tcPr>
          <w:p w14:paraId="356EF07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módulo de gestión de riesgos debe incluir un analizador de riesgos humanos. El cual debe validar los siguientes aspectos:</w:t>
            </w:r>
          </w:p>
          <w:p w14:paraId="7C0CFE0B"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enviado credenciales a través de conexiones HTTP inseguras desde el último escaneo.</w:t>
            </w:r>
          </w:p>
          <w:p w14:paraId="197AD7E5"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navegado o no sitios marcados como phishing o fraude desde el último análisis.</w:t>
            </w:r>
          </w:p>
          <w:p w14:paraId="18B93540"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estado expuesto a una gran cantidad de amenazas desde el último análisis.</w:t>
            </w:r>
          </w:p>
          <w:p w14:paraId="143C8F8D"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estado expuesto a una amenaza de un dispositivo extraíble (por ejemplo, unidad flash, disco duro externo) desde el último escaneo.</w:t>
            </w:r>
          </w:p>
          <w:p w14:paraId="725BC9A5"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accedido a archivos maliciosos a través de una carpeta compartida de red desde el último análisis.</w:t>
            </w:r>
          </w:p>
          <w:p w14:paraId="4653AC56"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ha accedido a alguna URL maliciosa desde el último análisis.</w:t>
            </w:r>
          </w:p>
          <w:p w14:paraId="13074094"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no ha cambiado la contraseña de inicio de sesión de la cuenta (local o de dominio) durante más de 30 días.</w:t>
            </w:r>
          </w:p>
          <w:p w14:paraId="18451F5F"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usa las mismas contraseñas en diferentes sitios externos.</w:t>
            </w:r>
          </w:p>
          <w:p w14:paraId="2ED13C6E"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usa las mismas contraseñas compartidas entre sitios web internos y externos.</w:t>
            </w:r>
          </w:p>
          <w:p w14:paraId="2C08154A" w14:textId="77777777" w:rsidR="0016644B" w:rsidRPr="008D15EC" w:rsidRDefault="0016644B" w:rsidP="0016644B">
            <w:pPr>
              <w:numPr>
                <w:ilvl w:val="0"/>
                <w:numId w:val="52"/>
              </w:numPr>
              <w:suppressAutoHyphens/>
              <w:spacing w:after="0" w:line="240" w:lineRule="auto"/>
              <w:jc w:val="both"/>
              <w:rPr>
                <w:rFonts w:ascii="Arial" w:hAnsi="Arial" w:cs="Arial"/>
                <w:sz w:val="16"/>
                <w:szCs w:val="20"/>
              </w:rPr>
            </w:pPr>
            <w:r w:rsidRPr="008D15EC">
              <w:rPr>
                <w:rFonts w:ascii="Arial" w:hAnsi="Arial" w:cs="Arial"/>
                <w:sz w:val="16"/>
                <w:szCs w:val="20"/>
              </w:rPr>
              <w:t>Verificar si el usuario no ha cambiado la contraseña de inicio de sesión para las cuentas HTTP (internas o externas) durante más de 30 días.</w:t>
            </w:r>
          </w:p>
        </w:tc>
      </w:tr>
      <w:tr w:rsidR="0016644B" w:rsidRPr="008D15EC" w14:paraId="0F0D5100" w14:textId="77777777" w:rsidTr="00FA1A3A">
        <w:trPr>
          <w:trHeight w:val="523"/>
          <w:jc w:val="center"/>
        </w:trPr>
        <w:tc>
          <w:tcPr>
            <w:tcW w:w="2065" w:type="dxa"/>
            <w:vAlign w:val="center"/>
          </w:tcPr>
          <w:p w14:paraId="6556266A"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Defensa de ataques de RED</w:t>
            </w:r>
          </w:p>
        </w:tc>
        <w:tc>
          <w:tcPr>
            <w:tcW w:w="6429" w:type="dxa"/>
          </w:tcPr>
          <w:p w14:paraId="350C8B79" w14:textId="77777777" w:rsidR="0016644B" w:rsidRPr="008D15EC" w:rsidRDefault="0016644B" w:rsidP="00FA1A3A">
            <w:pPr>
              <w:spacing w:after="0"/>
              <w:rPr>
                <w:rFonts w:ascii="Arial" w:hAnsi="Arial" w:cs="Arial"/>
                <w:sz w:val="16"/>
                <w:szCs w:val="20"/>
              </w:rPr>
            </w:pPr>
            <w:r w:rsidRPr="008D15EC">
              <w:rPr>
                <w:rFonts w:ascii="Arial" w:hAnsi="Arial" w:cs="Arial"/>
                <w:sz w:val="16"/>
                <w:szCs w:val="20"/>
              </w:rPr>
              <w:t>Tecnología enfocada en detectar técnicas de ataque a la red diseñadas para obtener Acceso a puntos finales específicos como:</w:t>
            </w:r>
          </w:p>
          <w:p w14:paraId="3D4F6811" w14:textId="77777777" w:rsidR="0016644B" w:rsidRPr="008D15EC" w:rsidRDefault="0016644B" w:rsidP="0016644B">
            <w:pPr>
              <w:numPr>
                <w:ilvl w:val="0"/>
                <w:numId w:val="51"/>
              </w:numPr>
              <w:suppressAutoHyphens/>
              <w:spacing w:after="0" w:line="240" w:lineRule="auto"/>
              <w:rPr>
                <w:rFonts w:ascii="Arial" w:hAnsi="Arial" w:cs="Arial"/>
                <w:sz w:val="16"/>
                <w:szCs w:val="20"/>
              </w:rPr>
            </w:pPr>
            <w:r w:rsidRPr="008D15EC">
              <w:rPr>
                <w:rFonts w:ascii="Arial" w:hAnsi="Arial" w:cs="Arial"/>
                <w:sz w:val="16"/>
                <w:szCs w:val="20"/>
              </w:rPr>
              <w:t>Ataques de fuerza bruta</w:t>
            </w:r>
          </w:p>
          <w:p w14:paraId="2A58161D" w14:textId="77777777" w:rsidR="0016644B" w:rsidRPr="008D15EC" w:rsidRDefault="0016644B" w:rsidP="0016644B">
            <w:pPr>
              <w:numPr>
                <w:ilvl w:val="0"/>
                <w:numId w:val="51"/>
              </w:numPr>
              <w:suppressAutoHyphens/>
              <w:spacing w:after="0" w:line="240" w:lineRule="auto"/>
              <w:rPr>
                <w:rFonts w:ascii="Arial" w:hAnsi="Arial" w:cs="Arial"/>
                <w:sz w:val="16"/>
                <w:szCs w:val="20"/>
              </w:rPr>
            </w:pPr>
            <w:r w:rsidRPr="008D15EC">
              <w:rPr>
                <w:rFonts w:ascii="Arial" w:hAnsi="Arial" w:cs="Arial"/>
                <w:sz w:val="16"/>
                <w:szCs w:val="20"/>
              </w:rPr>
              <w:t>Ataques de red</w:t>
            </w:r>
          </w:p>
          <w:p w14:paraId="10552A62" w14:textId="77777777" w:rsidR="0016644B" w:rsidRPr="008D15EC" w:rsidRDefault="0016644B" w:rsidP="0016644B">
            <w:pPr>
              <w:numPr>
                <w:ilvl w:val="0"/>
                <w:numId w:val="51"/>
              </w:numPr>
              <w:suppressAutoHyphens/>
              <w:spacing w:after="0" w:line="240" w:lineRule="auto"/>
              <w:rPr>
                <w:rFonts w:ascii="Arial" w:hAnsi="Arial" w:cs="Arial"/>
                <w:sz w:val="16"/>
                <w:szCs w:val="20"/>
              </w:rPr>
            </w:pPr>
            <w:r w:rsidRPr="008D15EC">
              <w:rPr>
                <w:rFonts w:ascii="Arial" w:hAnsi="Arial" w:cs="Arial"/>
                <w:sz w:val="16"/>
                <w:szCs w:val="20"/>
              </w:rPr>
              <w:t>Ladrones de contraseñas</w:t>
            </w:r>
          </w:p>
          <w:p w14:paraId="2E47AEE5" w14:textId="77777777" w:rsidR="0016644B" w:rsidRPr="008D15EC" w:rsidRDefault="0016644B" w:rsidP="0016644B">
            <w:pPr>
              <w:numPr>
                <w:ilvl w:val="0"/>
                <w:numId w:val="51"/>
              </w:numPr>
              <w:suppressAutoHyphens/>
              <w:spacing w:after="0" w:line="240" w:lineRule="auto"/>
              <w:rPr>
                <w:rFonts w:ascii="Arial" w:hAnsi="Arial" w:cs="Arial"/>
                <w:sz w:val="16"/>
                <w:szCs w:val="20"/>
              </w:rPr>
            </w:pPr>
            <w:r w:rsidRPr="008D15EC">
              <w:rPr>
                <w:rFonts w:ascii="Arial" w:hAnsi="Arial" w:cs="Arial"/>
                <w:sz w:val="16"/>
                <w:szCs w:val="20"/>
              </w:rPr>
              <w:t>Ataques Laterales.</w:t>
            </w:r>
          </w:p>
        </w:tc>
      </w:tr>
      <w:tr w:rsidR="0016644B" w:rsidRPr="008D15EC" w14:paraId="26D6B544" w14:textId="77777777" w:rsidTr="00B524DD">
        <w:trPr>
          <w:trHeight w:val="473"/>
          <w:jc w:val="center"/>
        </w:trPr>
        <w:tc>
          <w:tcPr>
            <w:tcW w:w="2065" w:type="dxa"/>
            <w:vAlign w:val="center"/>
          </w:tcPr>
          <w:p w14:paraId="0CE91D42"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Anti-Exploit Avanazdo</w:t>
            </w:r>
          </w:p>
        </w:tc>
        <w:tc>
          <w:tcPr>
            <w:tcW w:w="6429" w:type="dxa"/>
          </w:tcPr>
          <w:p w14:paraId="2D0B555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Anti-Exploit proporciona protección en ejecución contra intentos de explotación dirigidos a vulnerabilidades conocidas y desconocidas en aplicaciones de uso común y aplicaciones propias, como el navegador, Microsoft Office o Adobe Reader, así como contra intentos específicos de post-explotación en modo kernel.</w:t>
            </w:r>
          </w:p>
        </w:tc>
      </w:tr>
      <w:tr w:rsidR="0016644B" w:rsidRPr="008D15EC" w14:paraId="38DE87D8" w14:textId="77777777" w:rsidTr="00FA1A3A">
        <w:trPr>
          <w:trHeight w:val="523"/>
          <w:jc w:val="center"/>
        </w:trPr>
        <w:tc>
          <w:tcPr>
            <w:tcW w:w="2065" w:type="dxa"/>
            <w:vAlign w:val="center"/>
          </w:tcPr>
          <w:p w14:paraId="15F4BB6F"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Control de Dispositivos</w:t>
            </w:r>
          </w:p>
        </w:tc>
        <w:tc>
          <w:tcPr>
            <w:tcW w:w="6429" w:type="dxa"/>
          </w:tcPr>
          <w:p w14:paraId="68C760F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Control de Dispositivos: permite prevenir las infecciones de fugas y malware datos sensibles a través de dispositivos externos conectados a extremos aplicando bloqueo normas y excepciones a través de la política a una amplia gama de tipos de dispositivos (tales como unidades Flash USB, dispositivos Bluetooth, reproductores de CD/DVD, dispositivos de almacenamiento, etc.).</w:t>
            </w:r>
          </w:p>
          <w:p w14:paraId="43E00D85" w14:textId="77777777" w:rsidR="0016644B" w:rsidRPr="008D15EC" w:rsidRDefault="0016644B" w:rsidP="00FA1A3A">
            <w:pPr>
              <w:spacing w:after="0"/>
              <w:jc w:val="both"/>
              <w:rPr>
                <w:rFonts w:ascii="Arial" w:hAnsi="Arial" w:cs="Arial"/>
                <w:sz w:val="16"/>
                <w:szCs w:val="20"/>
              </w:rPr>
            </w:pPr>
          </w:p>
          <w:p w14:paraId="057371B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Que los bloqueos a dispositivos puedan realizarse por marca, modelo, número de serie o usuario.</w:t>
            </w:r>
          </w:p>
        </w:tc>
      </w:tr>
      <w:tr w:rsidR="0016644B" w:rsidRPr="008D15EC" w14:paraId="7C208555" w14:textId="77777777" w:rsidTr="00FA1A3A">
        <w:trPr>
          <w:trHeight w:val="523"/>
          <w:jc w:val="center"/>
        </w:trPr>
        <w:tc>
          <w:tcPr>
            <w:tcW w:w="2065" w:type="dxa"/>
            <w:vAlign w:val="center"/>
          </w:tcPr>
          <w:p w14:paraId="4C0E47CE"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Cifrado de Disco (Opcional)</w:t>
            </w:r>
          </w:p>
        </w:tc>
        <w:tc>
          <w:tcPr>
            <w:tcW w:w="6429" w:type="dxa"/>
          </w:tcPr>
          <w:p w14:paraId="5AE5779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debe contar con la opción de adicionar como Add-on la protección de los datos de toda la unidad de disco duro del endpoint aprovechando los mecanismos de cifrado proporcionados por Windows (BitLocker) y Mac (FileVault). Se basa en el cifrado nativo de los dispositivos para garantizar la total compatibilidad y maximizar el rendimiento, sin la necesidad de instalar un agente adicional, ni un servidor de claves, gestionado todo de la misma consola de administración. </w:t>
            </w:r>
          </w:p>
          <w:p w14:paraId="302A8A58" w14:textId="77777777" w:rsidR="0016644B" w:rsidRPr="008D15EC" w:rsidRDefault="0016644B" w:rsidP="00FA1A3A">
            <w:pPr>
              <w:spacing w:after="0"/>
              <w:jc w:val="both"/>
              <w:rPr>
                <w:rFonts w:ascii="Arial" w:hAnsi="Arial" w:cs="Arial"/>
                <w:sz w:val="16"/>
                <w:szCs w:val="20"/>
              </w:rPr>
            </w:pPr>
          </w:p>
          <w:p w14:paraId="6B0A104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poseer opción para establecer reglas para excluir unidades del cifrado.</w:t>
            </w:r>
          </w:p>
        </w:tc>
      </w:tr>
      <w:tr w:rsidR="0016644B" w:rsidRPr="008D15EC" w14:paraId="5256E508" w14:textId="77777777" w:rsidTr="00FA1A3A">
        <w:trPr>
          <w:trHeight w:val="523"/>
          <w:jc w:val="center"/>
        </w:trPr>
        <w:tc>
          <w:tcPr>
            <w:tcW w:w="2065" w:type="dxa"/>
            <w:vAlign w:val="center"/>
          </w:tcPr>
          <w:p w14:paraId="06A7F79B"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Administración Integrada De Parches (Opcional)</w:t>
            </w:r>
          </w:p>
        </w:tc>
        <w:tc>
          <w:tcPr>
            <w:tcW w:w="6429" w:type="dxa"/>
          </w:tcPr>
          <w:p w14:paraId="74D2B42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solución debe contar con la posibilidad de adicionar como Add-on una herramienta de gestión y administración de parches de sistema operativo y aplicaciones permitiendo mantener actualizada toda su base instalada de Windows: estaciones de trabajo, </w:t>
            </w:r>
            <w:r w:rsidRPr="008D15EC">
              <w:rPr>
                <w:rFonts w:ascii="Arial" w:hAnsi="Arial" w:cs="Arial"/>
                <w:sz w:val="16"/>
                <w:szCs w:val="20"/>
              </w:rPr>
              <w:lastRenderedPageBreak/>
              <w:t>servidores físicos y virtuales. Disponible en la versión elite de las soluciones y en soluciones on premise.</w:t>
            </w:r>
          </w:p>
        </w:tc>
      </w:tr>
      <w:tr w:rsidR="0016644B" w:rsidRPr="008D15EC" w14:paraId="63E5ADAA" w14:textId="77777777" w:rsidTr="00FA1A3A">
        <w:trPr>
          <w:trHeight w:val="523"/>
          <w:jc w:val="center"/>
        </w:trPr>
        <w:tc>
          <w:tcPr>
            <w:tcW w:w="2065" w:type="dxa"/>
            <w:vAlign w:val="center"/>
          </w:tcPr>
          <w:p w14:paraId="6A9D5738"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lastRenderedPageBreak/>
              <w:t>Exclusión de archivos</w:t>
            </w:r>
          </w:p>
        </w:tc>
        <w:tc>
          <w:tcPr>
            <w:tcW w:w="6429" w:type="dxa"/>
          </w:tcPr>
          <w:p w14:paraId="3127EE17"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contar con la opción de realizar exclusiones de archivos del análisis del motor por demanda.</w:t>
            </w:r>
          </w:p>
        </w:tc>
      </w:tr>
      <w:tr w:rsidR="0016644B" w:rsidRPr="008D15EC" w14:paraId="28E93F18" w14:textId="77777777" w:rsidTr="00FA1A3A">
        <w:trPr>
          <w:trHeight w:val="523"/>
          <w:jc w:val="center"/>
        </w:trPr>
        <w:tc>
          <w:tcPr>
            <w:tcW w:w="2065" w:type="dxa"/>
            <w:vAlign w:val="center"/>
          </w:tcPr>
          <w:p w14:paraId="7D442D45"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Análisis Programados</w:t>
            </w:r>
          </w:p>
        </w:tc>
        <w:tc>
          <w:tcPr>
            <w:tcW w:w="6429" w:type="dxa"/>
          </w:tcPr>
          <w:p w14:paraId="3B899A17"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y la consola de administración remota deberán permitir realizar análisis programados (en demanda) de los discos duros locales. Esta programación se podrá configurar en forma diaria, semanal, mensual.</w:t>
            </w:r>
          </w:p>
        </w:tc>
      </w:tr>
      <w:tr w:rsidR="0016644B" w:rsidRPr="008D15EC" w14:paraId="17BD37A1" w14:textId="77777777" w:rsidTr="00FA1A3A">
        <w:trPr>
          <w:trHeight w:val="1448"/>
          <w:jc w:val="center"/>
        </w:trPr>
        <w:tc>
          <w:tcPr>
            <w:tcW w:w="2065" w:type="dxa"/>
            <w:vAlign w:val="center"/>
          </w:tcPr>
          <w:p w14:paraId="17265449" w14:textId="77777777" w:rsidR="0016644B" w:rsidRPr="008D15EC" w:rsidRDefault="0016644B" w:rsidP="00FA1A3A">
            <w:pPr>
              <w:spacing w:after="0"/>
              <w:jc w:val="center"/>
              <w:rPr>
                <w:rFonts w:ascii="Arial" w:hAnsi="Arial" w:cs="Arial"/>
                <w:sz w:val="16"/>
                <w:szCs w:val="20"/>
              </w:rPr>
            </w:pPr>
            <w:r w:rsidRPr="008D15EC">
              <w:rPr>
                <w:rFonts w:ascii="Arial" w:hAnsi="Arial" w:cs="Arial"/>
                <w:b/>
                <w:sz w:val="16"/>
                <w:szCs w:val="20"/>
              </w:rPr>
              <w:t>Cortafuegos de escritorio</w:t>
            </w:r>
          </w:p>
          <w:p w14:paraId="347C42D2" w14:textId="77777777" w:rsidR="0016644B" w:rsidRPr="008D15EC" w:rsidRDefault="0016644B" w:rsidP="00FA1A3A">
            <w:pPr>
              <w:spacing w:after="0" w:line="276" w:lineRule="auto"/>
              <w:ind w:left="720"/>
              <w:contextualSpacing/>
              <w:jc w:val="center"/>
              <w:rPr>
                <w:rFonts w:ascii="Arial" w:hAnsi="Arial" w:cs="Arial"/>
                <w:sz w:val="16"/>
                <w:szCs w:val="20"/>
              </w:rPr>
            </w:pPr>
          </w:p>
        </w:tc>
        <w:tc>
          <w:tcPr>
            <w:tcW w:w="6429" w:type="dxa"/>
          </w:tcPr>
          <w:p w14:paraId="1E1C450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contar con un cortafuego de escritorio (Firewall Personal) que cuenta con un filtrado dinámico de paquetes que provea de monitoreo y filtrado de trafico de Red, y tenga total protección para IPv4 e IPv6 y con la opción de agregar reglas y servicios al cortafuego en forma autónoma y centralizada.</w:t>
            </w:r>
          </w:p>
          <w:p w14:paraId="3D904BF2" w14:textId="77777777" w:rsidR="0016644B" w:rsidRPr="008D15EC" w:rsidRDefault="0016644B" w:rsidP="00FA1A3A">
            <w:pPr>
              <w:spacing w:after="0"/>
              <w:jc w:val="both"/>
              <w:rPr>
                <w:rFonts w:ascii="Arial" w:hAnsi="Arial" w:cs="Arial"/>
                <w:sz w:val="16"/>
                <w:szCs w:val="20"/>
              </w:rPr>
            </w:pPr>
          </w:p>
          <w:p w14:paraId="63BE642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Impedir el acceso no autorizado a la red corporativa. Ofrecer una fácil instalación, gran capacidad de personalización de reglas y un modo de aprendizaje inteligente para crear reglas de firewall automáticamente basándose en el tráfico de red observado. Combinar perfiles personalizados de firewall con zonas de redes de confianza.</w:t>
            </w:r>
          </w:p>
          <w:p w14:paraId="1A15BCFC" w14:textId="77777777" w:rsidR="0016644B" w:rsidRPr="008D15EC" w:rsidRDefault="0016644B" w:rsidP="00FA1A3A">
            <w:pPr>
              <w:spacing w:after="0"/>
              <w:jc w:val="both"/>
              <w:rPr>
                <w:rFonts w:ascii="Arial" w:hAnsi="Arial" w:cs="Arial"/>
                <w:sz w:val="16"/>
                <w:szCs w:val="20"/>
              </w:rPr>
            </w:pPr>
          </w:p>
          <w:p w14:paraId="4EFFD09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poseer distintos modos del módulo de firewall entre los cuales debe tener uno que permita aprender la conducta del usuario generando las reglas permisivas automáticamente.</w:t>
            </w:r>
          </w:p>
          <w:p w14:paraId="46F1D772" w14:textId="77777777" w:rsidR="0016644B" w:rsidRPr="008D15EC" w:rsidRDefault="0016644B" w:rsidP="00FA1A3A">
            <w:pPr>
              <w:spacing w:after="0"/>
              <w:jc w:val="both"/>
              <w:rPr>
                <w:rFonts w:ascii="Arial" w:hAnsi="Arial" w:cs="Arial"/>
                <w:sz w:val="16"/>
                <w:szCs w:val="20"/>
              </w:rPr>
            </w:pPr>
          </w:p>
          <w:p w14:paraId="46E2F8C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poseer opción para importar y exportar reglas.</w:t>
            </w:r>
          </w:p>
          <w:p w14:paraId="0C6F6F6C" w14:textId="77777777" w:rsidR="0016644B" w:rsidRPr="008D15EC" w:rsidRDefault="0016644B" w:rsidP="00FA1A3A">
            <w:pPr>
              <w:spacing w:after="0"/>
              <w:jc w:val="both"/>
              <w:rPr>
                <w:rFonts w:ascii="Arial" w:hAnsi="Arial" w:cs="Arial"/>
                <w:sz w:val="16"/>
                <w:szCs w:val="20"/>
              </w:rPr>
            </w:pPr>
          </w:p>
          <w:p w14:paraId="2A123663"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Esta solución no deberá provocar interrupciones con el Firewall de la Institución.</w:t>
            </w:r>
          </w:p>
        </w:tc>
      </w:tr>
      <w:tr w:rsidR="0016644B" w:rsidRPr="008D15EC" w14:paraId="72F5B0A7" w14:textId="77777777" w:rsidTr="00FA1A3A">
        <w:trPr>
          <w:trHeight w:val="523"/>
          <w:jc w:val="center"/>
        </w:trPr>
        <w:tc>
          <w:tcPr>
            <w:tcW w:w="2065" w:type="dxa"/>
            <w:vAlign w:val="center"/>
          </w:tcPr>
          <w:p w14:paraId="510BCFCA"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Actualización a través de repositorios de actualización de la solución de todas las estaciones protegidas</w:t>
            </w:r>
          </w:p>
          <w:p w14:paraId="4D2F49FB" w14:textId="77777777" w:rsidR="0016644B" w:rsidRPr="008D15EC" w:rsidRDefault="0016644B" w:rsidP="00FA1A3A">
            <w:pPr>
              <w:spacing w:after="0"/>
              <w:jc w:val="center"/>
              <w:rPr>
                <w:rFonts w:ascii="Arial" w:hAnsi="Arial" w:cs="Arial"/>
                <w:sz w:val="16"/>
                <w:szCs w:val="20"/>
              </w:rPr>
            </w:pPr>
          </w:p>
        </w:tc>
        <w:tc>
          <w:tcPr>
            <w:tcW w:w="6429" w:type="dxa"/>
          </w:tcPr>
          <w:p w14:paraId="2A35F49B"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consola de administración deberá permitir actualizar a través de repositorios de actualización a todas las estaciones protegidas con la posibilidad de tener redundancia de repositorios de actualización en forma automáticas (Fail-over).</w:t>
            </w:r>
          </w:p>
        </w:tc>
      </w:tr>
      <w:tr w:rsidR="0016644B" w:rsidRPr="008D15EC" w14:paraId="525FEFCE" w14:textId="77777777" w:rsidTr="00FA1A3A">
        <w:trPr>
          <w:trHeight w:val="523"/>
          <w:jc w:val="center"/>
        </w:trPr>
        <w:tc>
          <w:tcPr>
            <w:tcW w:w="2065" w:type="dxa"/>
            <w:vAlign w:val="center"/>
          </w:tcPr>
          <w:p w14:paraId="5686E868"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 xml:space="preserve">La actualización de la base de datos de firmas de códigos maliciosos </w:t>
            </w:r>
          </w:p>
        </w:tc>
        <w:tc>
          <w:tcPr>
            <w:tcW w:w="6429" w:type="dxa"/>
          </w:tcPr>
          <w:p w14:paraId="108ED3C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Las actualizaciones de las bases de datos de firmas de códigos maliciosos de la solución antivirus deberán ser incrementales, evitando de esta manera la saturación del ancho de banda en su despliegue.</w:t>
            </w:r>
          </w:p>
        </w:tc>
      </w:tr>
      <w:tr w:rsidR="0016644B" w:rsidRPr="008D15EC" w14:paraId="7855833F" w14:textId="77777777" w:rsidTr="00FA1A3A">
        <w:trPr>
          <w:trHeight w:val="523"/>
          <w:jc w:val="center"/>
        </w:trPr>
        <w:tc>
          <w:tcPr>
            <w:tcW w:w="2065" w:type="dxa"/>
            <w:vAlign w:val="center"/>
          </w:tcPr>
          <w:p w14:paraId="457FA29A"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Opción de apagado luego de escaneo.</w:t>
            </w:r>
          </w:p>
        </w:tc>
        <w:tc>
          <w:tcPr>
            <w:tcW w:w="6429" w:type="dxa"/>
          </w:tcPr>
          <w:p w14:paraId="4C8DD5F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herramienta antivirus debe permitir el apagado luego de la exploración o Repetición de las exploraciones programadas activadas por el administrador. Esto con el objetivo de ayudar a extender la vida útil del hardware y ahorrar energía y recursos</w:t>
            </w:r>
          </w:p>
        </w:tc>
      </w:tr>
      <w:tr w:rsidR="0016644B" w:rsidRPr="008D15EC" w14:paraId="45DB0947" w14:textId="77777777" w:rsidTr="00FA1A3A">
        <w:trPr>
          <w:trHeight w:val="523"/>
          <w:jc w:val="center"/>
        </w:trPr>
        <w:tc>
          <w:tcPr>
            <w:tcW w:w="2065" w:type="dxa"/>
            <w:vAlign w:val="center"/>
          </w:tcPr>
          <w:p w14:paraId="0398FC08"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Programación y actualizaciones diferidas.</w:t>
            </w:r>
          </w:p>
        </w:tc>
        <w:tc>
          <w:tcPr>
            <w:tcW w:w="6429" w:type="dxa"/>
          </w:tcPr>
          <w:p w14:paraId="1F09610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herramienta antivirus debe contar con una selección opcional para la recepción de actualizaciones provenientes de servidores especiales con 12 horas de retraso para brindar tiempo a los administradores del sistema para evaluar el impacto en su red y asegurar una migración organizada.</w:t>
            </w:r>
          </w:p>
        </w:tc>
      </w:tr>
      <w:tr w:rsidR="0016644B" w:rsidRPr="008D15EC" w14:paraId="5ACAB021" w14:textId="77777777" w:rsidTr="00FA1A3A">
        <w:trPr>
          <w:trHeight w:val="523"/>
          <w:jc w:val="center"/>
        </w:trPr>
        <w:tc>
          <w:tcPr>
            <w:tcW w:w="2065" w:type="dxa"/>
            <w:vAlign w:val="center"/>
          </w:tcPr>
          <w:p w14:paraId="7EFFBF2F"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Reportes</w:t>
            </w:r>
          </w:p>
        </w:tc>
        <w:tc>
          <w:tcPr>
            <w:tcW w:w="6429" w:type="dxa"/>
          </w:tcPr>
          <w:p w14:paraId="3456587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consola de administración deberá contar con reportes gerenciales detallados con información de configuraciones, actualizaciones de los productos, alertas, estadísticas, etc., las cuales pueden ser exportadas a archivos csv y/o pdf. </w:t>
            </w:r>
          </w:p>
          <w:p w14:paraId="6F8CF119" w14:textId="77777777" w:rsidR="0016644B" w:rsidRPr="008D15EC" w:rsidRDefault="0016644B" w:rsidP="00FA1A3A">
            <w:pPr>
              <w:spacing w:after="0"/>
              <w:jc w:val="both"/>
              <w:rPr>
                <w:rFonts w:ascii="Arial" w:hAnsi="Arial" w:cs="Arial"/>
                <w:sz w:val="16"/>
                <w:szCs w:val="20"/>
              </w:rPr>
            </w:pPr>
          </w:p>
          <w:p w14:paraId="0D0A2F71"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Deberá permitir generar reportes gráficos tipo barra, pastel, etc., para una vista rápida de la situación de la solución.</w:t>
            </w:r>
          </w:p>
        </w:tc>
      </w:tr>
      <w:tr w:rsidR="0016644B" w:rsidRPr="008D15EC" w14:paraId="0DFF4059" w14:textId="77777777" w:rsidTr="00FA1A3A">
        <w:trPr>
          <w:trHeight w:val="523"/>
          <w:jc w:val="center"/>
        </w:trPr>
        <w:tc>
          <w:tcPr>
            <w:tcW w:w="2065" w:type="dxa"/>
            <w:vAlign w:val="center"/>
          </w:tcPr>
          <w:p w14:paraId="2CD3D707"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Alerta en consola y notificación vía correo electrónico y SNMP</w:t>
            </w:r>
          </w:p>
        </w:tc>
        <w:tc>
          <w:tcPr>
            <w:tcW w:w="6429" w:type="dxa"/>
          </w:tcPr>
          <w:p w14:paraId="55ECF6B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permitir que las acciones de notificación incluyan correo electrónico, SNMP, y entradas de registro.</w:t>
            </w:r>
          </w:p>
          <w:p w14:paraId="7EC2B0A2" w14:textId="77777777" w:rsidR="0016644B" w:rsidRPr="008D15EC" w:rsidRDefault="0016644B" w:rsidP="00FA1A3A">
            <w:pPr>
              <w:spacing w:after="0"/>
              <w:jc w:val="both"/>
              <w:rPr>
                <w:rFonts w:ascii="Arial" w:hAnsi="Arial" w:cs="Arial"/>
                <w:sz w:val="16"/>
                <w:szCs w:val="20"/>
              </w:rPr>
            </w:pPr>
          </w:p>
        </w:tc>
      </w:tr>
      <w:tr w:rsidR="0016644B" w:rsidRPr="008D15EC" w14:paraId="0EF381E9" w14:textId="77777777" w:rsidTr="00FA1A3A">
        <w:trPr>
          <w:trHeight w:val="523"/>
          <w:jc w:val="center"/>
        </w:trPr>
        <w:tc>
          <w:tcPr>
            <w:tcW w:w="2065" w:type="dxa"/>
            <w:tcBorders>
              <w:bottom w:val="single" w:sz="4" w:space="0" w:color="auto"/>
            </w:tcBorders>
            <w:vAlign w:val="center"/>
          </w:tcPr>
          <w:p w14:paraId="145455CD"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 xml:space="preserve">Compatibilidad con la estructura organizacional del Directorio Activo </w:t>
            </w:r>
          </w:p>
        </w:tc>
        <w:tc>
          <w:tcPr>
            <w:tcW w:w="6429" w:type="dxa"/>
            <w:tcBorders>
              <w:bottom w:val="single" w:sz="4" w:space="0" w:color="auto"/>
            </w:tcBorders>
          </w:tcPr>
          <w:p w14:paraId="026C472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consola de administración web y on premise deberá permitir la detección de clientes no registrados sincronizando la estructura del grupo a través de Active Directory. </w:t>
            </w:r>
          </w:p>
        </w:tc>
      </w:tr>
      <w:tr w:rsidR="0016644B" w:rsidRPr="008D15EC" w14:paraId="74715E54" w14:textId="77777777" w:rsidTr="00FA1A3A">
        <w:trPr>
          <w:trHeight w:val="523"/>
          <w:jc w:val="center"/>
        </w:trPr>
        <w:tc>
          <w:tcPr>
            <w:tcW w:w="2065" w:type="dxa"/>
            <w:tcBorders>
              <w:bottom w:val="single" w:sz="4" w:space="0" w:color="auto"/>
            </w:tcBorders>
            <w:vAlign w:val="center"/>
          </w:tcPr>
          <w:p w14:paraId="2ECB8517"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Análisis de aplicaciones y procesos</w:t>
            </w:r>
          </w:p>
        </w:tc>
        <w:tc>
          <w:tcPr>
            <w:tcW w:w="6429" w:type="dxa"/>
            <w:tcBorders>
              <w:bottom w:val="single" w:sz="4" w:space="0" w:color="auto"/>
            </w:tcBorders>
          </w:tcPr>
          <w:p w14:paraId="50BD8BB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permitir clasificar las aplicaciones en al menos 3 grupos según sus características y poder configurar el motor antivirus para que las analice o no.</w:t>
            </w:r>
          </w:p>
          <w:p w14:paraId="12A696F9" w14:textId="77777777" w:rsidR="0016644B" w:rsidRPr="008D15EC" w:rsidRDefault="0016644B" w:rsidP="00FA1A3A">
            <w:pPr>
              <w:spacing w:after="0"/>
              <w:jc w:val="both"/>
              <w:rPr>
                <w:rFonts w:ascii="Arial" w:hAnsi="Arial" w:cs="Arial"/>
                <w:sz w:val="16"/>
                <w:szCs w:val="20"/>
              </w:rPr>
            </w:pPr>
          </w:p>
          <w:p w14:paraId="1BFA829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 otorgar una puntuación a los procesos en ejecución del sistema para medir su nivel de riesgo</w:t>
            </w:r>
          </w:p>
        </w:tc>
      </w:tr>
      <w:tr w:rsidR="0016644B" w:rsidRPr="008D15EC" w14:paraId="405A55E2" w14:textId="77777777" w:rsidTr="00FA1A3A">
        <w:trPr>
          <w:trHeight w:val="523"/>
          <w:jc w:val="center"/>
        </w:trPr>
        <w:tc>
          <w:tcPr>
            <w:tcW w:w="2065" w:type="dxa"/>
            <w:tcBorders>
              <w:bottom w:val="single" w:sz="4" w:space="0" w:color="auto"/>
            </w:tcBorders>
            <w:vAlign w:val="center"/>
          </w:tcPr>
          <w:p w14:paraId="3C3CBD8B"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lastRenderedPageBreak/>
              <w:t>Análisis de procesos</w:t>
            </w:r>
          </w:p>
        </w:tc>
        <w:tc>
          <w:tcPr>
            <w:tcW w:w="6429" w:type="dxa"/>
            <w:tcBorders>
              <w:bottom w:val="single" w:sz="4" w:space="0" w:color="auto"/>
            </w:tcBorders>
          </w:tcPr>
          <w:p w14:paraId="01404F3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Deberá poseer una herramienta integrada para ver los procesos en ejecución, los servicios, las conexiones establecidas, claves de registro importantes, programas instalados, actualizaciones de sistema operativo instaladas, logs del equipo, drivers instalados, tareas programadas del sistema, archivo hosts, system.ini y win.ini.</w:t>
            </w:r>
          </w:p>
          <w:p w14:paraId="1B2CDDE2" w14:textId="77777777" w:rsidR="0016644B" w:rsidRPr="008D15EC" w:rsidRDefault="0016644B" w:rsidP="00FA1A3A">
            <w:pPr>
              <w:spacing w:after="0"/>
              <w:jc w:val="both"/>
              <w:rPr>
                <w:rFonts w:ascii="Arial" w:hAnsi="Arial" w:cs="Arial"/>
                <w:sz w:val="16"/>
                <w:szCs w:val="20"/>
              </w:rPr>
            </w:pPr>
          </w:p>
          <w:p w14:paraId="2348F135"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Análisis de causa raíz de las amenazas detectadas y bloqueadas por nuestras tecnologías preventivas, con opciones complejas de filtrado de incidentes y representación gráfica de incidentes, así como capacidades de aislamiento, lista de bloqueo y conexión remota.</w:t>
            </w:r>
          </w:p>
        </w:tc>
      </w:tr>
      <w:tr w:rsidR="0016644B" w:rsidRPr="008D15EC" w14:paraId="4741E606" w14:textId="77777777" w:rsidTr="00FA1A3A">
        <w:trPr>
          <w:trHeight w:val="523"/>
          <w:jc w:val="center"/>
        </w:trPr>
        <w:tc>
          <w:tcPr>
            <w:tcW w:w="2065" w:type="dxa"/>
            <w:tcBorders>
              <w:bottom w:val="single" w:sz="4" w:space="0" w:color="auto"/>
            </w:tcBorders>
            <w:vAlign w:val="center"/>
          </w:tcPr>
          <w:p w14:paraId="649D9634"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Análisis de archivo comprimidos</w:t>
            </w:r>
          </w:p>
        </w:tc>
        <w:tc>
          <w:tcPr>
            <w:tcW w:w="6429" w:type="dxa"/>
            <w:tcBorders>
              <w:bottom w:val="single" w:sz="4" w:space="0" w:color="auto"/>
            </w:tcBorders>
          </w:tcPr>
          <w:p w14:paraId="0C983BFC"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ofertada deberá detectar virus en archivos compactados, con profundidad máxima (16), en los siguientes formatos: .zip, .rar, .arj, .cab, .lzh, .tar, .gz, ace, izh, upx y otros</w:t>
            </w:r>
          </w:p>
        </w:tc>
      </w:tr>
      <w:tr w:rsidR="0016644B" w:rsidRPr="008D15EC" w14:paraId="151D69B8" w14:textId="77777777" w:rsidTr="00FA1A3A">
        <w:trPr>
          <w:trHeight w:val="523"/>
          <w:jc w:val="center"/>
        </w:trPr>
        <w:tc>
          <w:tcPr>
            <w:tcW w:w="2065" w:type="dxa"/>
            <w:tcBorders>
              <w:bottom w:val="single" w:sz="4" w:space="0" w:color="auto"/>
            </w:tcBorders>
            <w:vAlign w:val="center"/>
          </w:tcPr>
          <w:p w14:paraId="462245DA"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Gestión de Políticas</w:t>
            </w:r>
          </w:p>
        </w:tc>
        <w:tc>
          <w:tcPr>
            <w:tcW w:w="6429" w:type="dxa"/>
            <w:tcBorders>
              <w:bottom w:val="single" w:sz="4" w:space="0" w:color="auto"/>
            </w:tcBorders>
          </w:tcPr>
          <w:p w14:paraId="2BDE9596"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consola de administración deberá definir y hacer cumplir consistentemente las políticas a lo largo de la red. El Administrador de Políticas facilitará la importación/exportación, para permitir la aplicación y combinación de las políticas de diversas maneras.  </w:t>
            </w:r>
          </w:p>
        </w:tc>
      </w:tr>
      <w:tr w:rsidR="0016644B" w:rsidRPr="008D15EC" w14:paraId="75455ED4" w14:textId="77777777" w:rsidTr="00FA1A3A">
        <w:trPr>
          <w:trHeight w:val="523"/>
          <w:jc w:val="center"/>
        </w:trPr>
        <w:tc>
          <w:tcPr>
            <w:tcW w:w="2065" w:type="dxa"/>
            <w:tcBorders>
              <w:bottom w:val="single" w:sz="4" w:space="0" w:color="auto"/>
            </w:tcBorders>
            <w:vAlign w:val="center"/>
          </w:tcPr>
          <w:p w14:paraId="246D839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Gestión Multi-plataforma</w:t>
            </w:r>
          </w:p>
        </w:tc>
        <w:tc>
          <w:tcPr>
            <w:tcW w:w="6429" w:type="dxa"/>
            <w:tcBorders>
              <w:bottom w:val="single" w:sz="4" w:space="0" w:color="auto"/>
            </w:tcBorders>
          </w:tcPr>
          <w:p w14:paraId="185E5090"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La consola de administración deberá permitir administrar de forma remota desde una única consola todos los equipos de su red, ejecutando las versiones antivirus en clientes finales y servidores de las diferentes plataformas (Windows, Linux, Mac OS) </w:t>
            </w:r>
          </w:p>
        </w:tc>
      </w:tr>
      <w:tr w:rsidR="0016644B" w:rsidRPr="008D15EC" w14:paraId="1CF40174" w14:textId="77777777" w:rsidTr="00FA1A3A">
        <w:trPr>
          <w:trHeight w:val="523"/>
          <w:jc w:val="center"/>
        </w:trPr>
        <w:tc>
          <w:tcPr>
            <w:tcW w:w="2065" w:type="dxa"/>
            <w:tcBorders>
              <w:bottom w:val="single" w:sz="4" w:space="0" w:color="auto"/>
            </w:tcBorders>
            <w:vAlign w:val="center"/>
          </w:tcPr>
          <w:p w14:paraId="0153E5E7"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Certificaciones</w:t>
            </w:r>
          </w:p>
        </w:tc>
        <w:tc>
          <w:tcPr>
            <w:tcW w:w="6429" w:type="dxa"/>
            <w:tcBorders>
              <w:bottom w:val="single" w:sz="4" w:space="0" w:color="auto"/>
            </w:tcBorders>
          </w:tcPr>
          <w:p w14:paraId="0AA77E34" w14:textId="77777777" w:rsidR="0016644B" w:rsidRPr="008D15EC" w:rsidRDefault="0016644B" w:rsidP="00FA1A3A">
            <w:pPr>
              <w:spacing w:after="0"/>
              <w:jc w:val="both"/>
              <w:rPr>
                <w:rFonts w:ascii="Arial" w:hAnsi="Arial" w:cs="Arial"/>
                <w:sz w:val="16"/>
                <w:szCs w:val="20"/>
              </w:rPr>
            </w:pPr>
            <w:r w:rsidRPr="008D15EC">
              <w:rPr>
                <w:rFonts w:ascii="Arial" w:hAnsi="Arial" w:cs="Arial"/>
                <w:b/>
                <w:bCs/>
                <w:sz w:val="16"/>
                <w:szCs w:val="20"/>
              </w:rPr>
              <w:t>AV TEST</w:t>
            </w:r>
            <w:r w:rsidRPr="008D15EC">
              <w:rPr>
                <w:rFonts w:ascii="Arial" w:hAnsi="Arial" w:cs="Arial"/>
                <w:sz w:val="16"/>
                <w:szCs w:val="20"/>
              </w:rPr>
              <w:t>, haber obtenido el premio de la mejor solución por desempeño en los últimos 5 años. Para el segmento corporativo Enterprise.</w:t>
            </w:r>
          </w:p>
          <w:p w14:paraId="56A1359B" w14:textId="77777777" w:rsidR="0016644B" w:rsidRPr="008D15EC" w:rsidRDefault="0016644B" w:rsidP="00FA1A3A">
            <w:pPr>
              <w:spacing w:after="0"/>
              <w:jc w:val="both"/>
              <w:rPr>
                <w:rFonts w:ascii="Arial" w:hAnsi="Arial" w:cs="Arial"/>
                <w:sz w:val="16"/>
                <w:szCs w:val="20"/>
              </w:rPr>
            </w:pPr>
          </w:p>
          <w:p w14:paraId="019260CE" w14:textId="77777777" w:rsidR="0016644B" w:rsidRPr="008D15EC" w:rsidRDefault="0016644B" w:rsidP="00FA1A3A">
            <w:pPr>
              <w:spacing w:after="0"/>
              <w:jc w:val="both"/>
              <w:rPr>
                <w:rFonts w:ascii="Arial" w:hAnsi="Arial" w:cs="Arial"/>
                <w:sz w:val="16"/>
                <w:szCs w:val="20"/>
              </w:rPr>
            </w:pPr>
            <w:r w:rsidRPr="008D15EC">
              <w:rPr>
                <w:rFonts w:ascii="Arial" w:hAnsi="Arial" w:cs="Arial"/>
                <w:b/>
                <w:bCs/>
                <w:sz w:val="16"/>
                <w:szCs w:val="20"/>
              </w:rPr>
              <w:t>Virus Bulletin</w:t>
            </w:r>
            <w:r w:rsidRPr="008D15EC">
              <w:rPr>
                <w:rFonts w:ascii="Arial" w:hAnsi="Arial" w:cs="Arial"/>
                <w:sz w:val="16"/>
                <w:szCs w:val="20"/>
              </w:rPr>
              <w:t xml:space="preserve"> Que el fabricante haya detectado absolutamente todas las amenazas in the wild en las pruebas.</w:t>
            </w:r>
          </w:p>
          <w:p w14:paraId="67986067"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antivirus deberá tener aprobados los 5 últimos premios VB100 otorgados por la institución de análisis de software antivirus "Virus Bulletin".</w:t>
            </w:r>
          </w:p>
          <w:p w14:paraId="5BB737A5" w14:textId="77777777" w:rsidR="0016644B" w:rsidRPr="008D15EC" w:rsidRDefault="0016644B" w:rsidP="00FA1A3A">
            <w:pPr>
              <w:spacing w:after="0"/>
              <w:jc w:val="both"/>
              <w:rPr>
                <w:rFonts w:ascii="Arial" w:hAnsi="Arial" w:cs="Arial"/>
                <w:sz w:val="16"/>
                <w:szCs w:val="20"/>
              </w:rPr>
            </w:pPr>
          </w:p>
          <w:p w14:paraId="1EDE8D49" w14:textId="77777777" w:rsidR="0016644B" w:rsidRPr="008D15EC" w:rsidRDefault="0016644B" w:rsidP="00FA1A3A">
            <w:pPr>
              <w:spacing w:after="0"/>
              <w:jc w:val="both"/>
              <w:rPr>
                <w:rFonts w:ascii="Arial" w:hAnsi="Arial" w:cs="Arial"/>
                <w:b/>
                <w:sz w:val="16"/>
                <w:szCs w:val="20"/>
              </w:rPr>
            </w:pPr>
            <w:r w:rsidRPr="008D15EC">
              <w:rPr>
                <w:rFonts w:ascii="Arial" w:hAnsi="Arial" w:cs="Arial"/>
                <w:b/>
                <w:bCs/>
                <w:sz w:val="16"/>
                <w:szCs w:val="20"/>
              </w:rPr>
              <w:t xml:space="preserve">Av- Comparatives </w:t>
            </w:r>
            <w:r w:rsidRPr="008D15EC">
              <w:rPr>
                <w:rFonts w:ascii="Arial" w:hAnsi="Arial" w:cs="Arial"/>
                <w:sz w:val="16"/>
                <w:szCs w:val="20"/>
              </w:rPr>
              <w:t xml:space="preserve">La solución antivirus deberá haber alcanzado al menos </w:t>
            </w:r>
            <w:r w:rsidRPr="008D15EC">
              <w:rPr>
                <w:rFonts w:ascii="Arial" w:hAnsi="Arial" w:cs="Arial"/>
                <w:b/>
                <w:sz w:val="16"/>
                <w:szCs w:val="20"/>
              </w:rPr>
              <w:t>25 certificación</w:t>
            </w:r>
            <w:r w:rsidRPr="008D15EC">
              <w:rPr>
                <w:rFonts w:ascii="Arial" w:hAnsi="Arial" w:cs="Arial"/>
                <w:sz w:val="16"/>
                <w:szCs w:val="20"/>
              </w:rPr>
              <w:t xml:space="preserve"> AV-Comparatives ADVANCE+ en los últimos 3 años y al </w:t>
            </w:r>
            <w:r w:rsidRPr="008D15EC">
              <w:rPr>
                <w:rFonts w:ascii="Arial" w:hAnsi="Arial" w:cs="Arial"/>
                <w:b/>
                <w:sz w:val="16"/>
                <w:szCs w:val="20"/>
              </w:rPr>
              <w:t>menos haber obtenido el premio Producto del año en este periodo.</w:t>
            </w:r>
          </w:p>
          <w:p w14:paraId="5ADEE2EA" w14:textId="77777777" w:rsidR="0016644B" w:rsidRPr="008D15EC" w:rsidRDefault="0016644B" w:rsidP="00FA1A3A">
            <w:pPr>
              <w:spacing w:after="0"/>
              <w:jc w:val="both"/>
              <w:rPr>
                <w:rFonts w:ascii="Arial" w:hAnsi="Arial" w:cs="Arial"/>
                <w:b/>
                <w:sz w:val="16"/>
                <w:szCs w:val="20"/>
              </w:rPr>
            </w:pPr>
          </w:p>
          <w:p w14:paraId="33B40A18"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La solución deberá contar con certificaciones para trabajar en ambientes virtuales como VMWare y Citrix.</w:t>
            </w:r>
          </w:p>
        </w:tc>
      </w:tr>
      <w:tr w:rsidR="0016644B" w:rsidRPr="008D15EC" w14:paraId="14C15C40" w14:textId="77777777" w:rsidTr="00FA1A3A">
        <w:trPr>
          <w:trHeight w:val="523"/>
          <w:jc w:val="center"/>
        </w:trPr>
        <w:tc>
          <w:tcPr>
            <w:tcW w:w="2065" w:type="dxa"/>
            <w:vAlign w:val="center"/>
          </w:tcPr>
          <w:p w14:paraId="57E88499"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Servidor de Aplicaciones en Unidades Anexas</w:t>
            </w:r>
          </w:p>
        </w:tc>
        <w:tc>
          <w:tcPr>
            <w:tcW w:w="6429" w:type="dxa"/>
          </w:tcPr>
          <w:p w14:paraId="0E33CA09"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oferente deberá asignar como mínimo a un técnico que acudirá a las oficinas del contratante para la instalación de la solución.</w:t>
            </w:r>
          </w:p>
          <w:p w14:paraId="73DA76AF" w14:textId="77777777" w:rsidR="0016644B" w:rsidRPr="008D15EC" w:rsidRDefault="0016644B" w:rsidP="00FA1A3A">
            <w:pPr>
              <w:spacing w:after="0"/>
              <w:jc w:val="both"/>
              <w:rPr>
                <w:rFonts w:ascii="Arial" w:hAnsi="Arial" w:cs="Arial"/>
                <w:sz w:val="16"/>
                <w:szCs w:val="20"/>
              </w:rPr>
            </w:pPr>
          </w:p>
          <w:p w14:paraId="1F08195A"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oferente se comprometerá a dejar listas las consolas de administración de la contratante con el total de usuarios respectivos conectados al servidor.</w:t>
            </w:r>
          </w:p>
        </w:tc>
      </w:tr>
      <w:tr w:rsidR="0016644B" w:rsidRPr="008D15EC" w14:paraId="471273E9" w14:textId="77777777" w:rsidTr="00FA1A3A">
        <w:trPr>
          <w:trHeight w:val="523"/>
          <w:jc w:val="center"/>
        </w:trPr>
        <w:tc>
          <w:tcPr>
            <w:tcW w:w="2065" w:type="dxa"/>
            <w:vAlign w:val="center"/>
          </w:tcPr>
          <w:p w14:paraId="58FCD2D3"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Actualización de versiones</w:t>
            </w:r>
          </w:p>
        </w:tc>
        <w:tc>
          <w:tcPr>
            <w:tcW w:w="6429" w:type="dxa"/>
          </w:tcPr>
          <w:p w14:paraId="7630BEBE"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El oferente será responsable de la actualización de la solución antivirus en los equipos y servidores de la contratante a la última versión estable liberada por el fabricante durante el tiempo que dure el licenciamiento. </w:t>
            </w:r>
          </w:p>
        </w:tc>
      </w:tr>
      <w:tr w:rsidR="0016644B" w:rsidRPr="008D15EC" w14:paraId="1412E2BA" w14:textId="77777777" w:rsidTr="00FA1A3A">
        <w:trPr>
          <w:trHeight w:val="523"/>
          <w:jc w:val="center"/>
        </w:trPr>
        <w:tc>
          <w:tcPr>
            <w:tcW w:w="2065" w:type="dxa"/>
            <w:vAlign w:val="center"/>
          </w:tcPr>
          <w:p w14:paraId="29F59946" w14:textId="77777777" w:rsidR="0016644B" w:rsidRPr="008D15EC" w:rsidRDefault="0016644B" w:rsidP="00FA1A3A">
            <w:pPr>
              <w:spacing w:after="0"/>
              <w:jc w:val="center"/>
              <w:rPr>
                <w:rFonts w:ascii="Arial" w:hAnsi="Arial" w:cs="Arial"/>
                <w:sz w:val="16"/>
                <w:szCs w:val="20"/>
              </w:rPr>
            </w:pPr>
            <w:r w:rsidRPr="008D15EC">
              <w:rPr>
                <w:rFonts w:ascii="Arial" w:hAnsi="Arial" w:cs="Arial"/>
                <w:sz w:val="16"/>
                <w:szCs w:val="20"/>
              </w:rPr>
              <w:br w:type="page"/>
            </w:r>
          </w:p>
          <w:p w14:paraId="4E05CDEC"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Soporte Técnico</w:t>
            </w:r>
          </w:p>
        </w:tc>
        <w:tc>
          <w:tcPr>
            <w:tcW w:w="6429" w:type="dxa"/>
          </w:tcPr>
          <w:p w14:paraId="4FB9B91D"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oferente estará obligado a prestar el servicio de soporte y resolución de problemas o incidentes en los sitios de instalación de la solución antivirus cuando el problema lo amerite.</w:t>
            </w:r>
          </w:p>
          <w:p w14:paraId="22FF7A55" w14:textId="77777777" w:rsidR="0016644B" w:rsidRPr="008D15EC" w:rsidRDefault="0016644B" w:rsidP="00FA1A3A">
            <w:pPr>
              <w:spacing w:after="0"/>
              <w:jc w:val="both"/>
              <w:rPr>
                <w:rFonts w:ascii="Arial" w:hAnsi="Arial" w:cs="Arial"/>
                <w:sz w:val="16"/>
                <w:szCs w:val="20"/>
              </w:rPr>
            </w:pPr>
          </w:p>
          <w:p w14:paraId="3E04DED4"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soporte técnico estará vigente durante el periodo de licenciamiento y deberá tener las siguientes características mínimas:</w:t>
            </w:r>
          </w:p>
          <w:p w14:paraId="5BE53D96" w14:textId="77777777" w:rsidR="0016644B" w:rsidRPr="008D15EC" w:rsidRDefault="0016644B" w:rsidP="00FA1A3A">
            <w:pPr>
              <w:spacing w:after="0"/>
              <w:jc w:val="both"/>
              <w:rPr>
                <w:rFonts w:ascii="Arial" w:hAnsi="Arial" w:cs="Arial"/>
                <w:sz w:val="16"/>
                <w:szCs w:val="20"/>
              </w:rPr>
            </w:pPr>
          </w:p>
          <w:p w14:paraId="047883C7" w14:textId="77777777" w:rsidR="0016644B" w:rsidRPr="008D15EC" w:rsidRDefault="0016644B" w:rsidP="0016644B">
            <w:pPr>
              <w:numPr>
                <w:ilvl w:val="0"/>
                <w:numId w:val="42"/>
              </w:numPr>
              <w:spacing w:after="0" w:line="240" w:lineRule="auto"/>
              <w:contextualSpacing/>
              <w:jc w:val="both"/>
              <w:rPr>
                <w:rFonts w:ascii="Arial" w:hAnsi="Arial" w:cs="Arial"/>
                <w:sz w:val="16"/>
                <w:szCs w:val="20"/>
              </w:rPr>
            </w:pPr>
            <w:r w:rsidRPr="008D15EC">
              <w:rPr>
                <w:rFonts w:ascii="Arial" w:hAnsi="Arial" w:cs="Arial"/>
                <w:sz w:val="16"/>
                <w:szCs w:val="20"/>
              </w:rPr>
              <w:t>Disponibilidad los 365 días al año.</w:t>
            </w:r>
          </w:p>
          <w:p w14:paraId="1E642C6E" w14:textId="77777777" w:rsidR="0016644B" w:rsidRPr="008D15EC" w:rsidRDefault="0016644B" w:rsidP="0016644B">
            <w:pPr>
              <w:numPr>
                <w:ilvl w:val="0"/>
                <w:numId w:val="42"/>
              </w:numPr>
              <w:spacing w:after="0" w:line="240" w:lineRule="auto"/>
              <w:contextualSpacing/>
              <w:jc w:val="both"/>
              <w:rPr>
                <w:rFonts w:ascii="Arial" w:hAnsi="Arial" w:cs="Arial"/>
                <w:sz w:val="16"/>
                <w:szCs w:val="20"/>
              </w:rPr>
            </w:pPr>
            <w:r w:rsidRPr="008D15EC">
              <w:rPr>
                <w:rFonts w:ascii="Arial" w:hAnsi="Arial" w:cs="Arial"/>
                <w:sz w:val="16"/>
                <w:szCs w:val="20"/>
              </w:rPr>
              <w:t>Atención inmediata vía telefónica, e-mail o asistencia remota para análisis de daños y posible solución.</w:t>
            </w:r>
          </w:p>
          <w:p w14:paraId="04094837" w14:textId="77777777" w:rsidR="0016644B" w:rsidRPr="008D15EC" w:rsidRDefault="0016644B" w:rsidP="0016644B">
            <w:pPr>
              <w:numPr>
                <w:ilvl w:val="0"/>
                <w:numId w:val="42"/>
              </w:numPr>
              <w:spacing w:after="0" w:line="240" w:lineRule="auto"/>
              <w:contextualSpacing/>
              <w:jc w:val="both"/>
              <w:rPr>
                <w:rFonts w:ascii="Arial" w:hAnsi="Arial" w:cs="Arial"/>
                <w:sz w:val="16"/>
                <w:szCs w:val="20"/>
              </w:rPr>
            </w:pPr>
            <w:r w:rsidRPr="008D15EC">
              <w:rPr>
                <w:rFonts w:ascii="Arial" w:hAnsi="Arial" w:cs="Arial"/>
                <w:sz w:val="16"/>
                <w:szCs w:val="20"/>
              </w:rPr>
              <w:t>Máximo 2 horas para atención presencial en el sitio del incidente cuando se lo requiera por parte de la contratante.</w:t>
            </w:r>
          </w:p>
          <w:p w14:paraId="732407B2" w14:textId="77777777" w:rsidR="0016644B" w:rsidRPr="008D15EC" w:rsidRDefault="0016644B" w:rsidP="0016644B">
            <w:pPr>
              <w:numPr>
                <w:ilvl w:val="0"/>
                <w:numId w:val="42"/>
              </w:numPr>
              <w:spacing w:after="0" w:line="240" w:lineRule="auto"/>
              <w:contextualSpacing/>
              <w:jc w:val="both"/>
              <w:rPr>
                <w:rFonts w:ascii="Arial" w:hAnsi="Arial" w:cs="Arial"/>
                <w:sz w:val="16"/>
                <w:szCs w:val="20"/>
              </w:rPr>
            </w:pPr>
            <w:r w:rsidRPr="008D15EC">
              <w:rPr>
                <w:rFonts w:ascii="Arial" w:hAnsi="Arial" w:cs="Arial"/>
                <w:sz w:val="16"/>
                <w:szCs w:val="20"/>
              </w:rPr>
              <w:t>Debe contar un sistema de registro de incidentes mesa de ayuda.</w:t>
            </w:r>
          </w:p>
          <w:p w14:paraId="48482DD3" w14:textId="77777777" w:rsidR="0016644B" w:rsidRPr="008D15EC" w:rsidRDefault="0016644B" w:rsidP="0016644B">
            <w:pPr>
              <w:numPr>
                <w:ilvl w:val="0"/>
                <w:numId w:val="42"/>
              </w:numPr>
              <w:spacing w:after="0" w:line="240" w:lineRule="auto"/>
              <w:contextualSpacing/>
              <w:jc w:val="both"/>
              <w:rPr>
                <w:rFonts w:ascii="Arial" w:hAnsi="Arial" w:cs="Arial"/>
                <w:sz w:val="16"/>
                <w:szCs w:val="20"/>
              </w:rPr>
            </w:pPr>
            <w:r w:rsidRPr="008D15EC">
              <w:rPr>
                <w:rFonts w:ascii="Arial" w:hAnsi="Arial" w:cs="Arial"/>
                <w:sz w:val="16"/>
                <w:szCs w:val="20"/>
              </w:rPr>
              <w:t>El fabricante debe contar con soporte 24*7, sin costo adicional, ya sea por correo, chat on line y conexión remota</w:t>
            </w:r>
          </w:p>
        </w:tc>
      </w:tr>
      <w:tr w:rsidR="0016644B" w:rsidRPr="008D15EC" w14:paraId="197D04F3" w14:textId="77777777" w:rsidTr="00FA1A3A">
        <w:trPr>
          <w:trHeight w:val="523"/>
          <w:jc w:val="center"/>
        </w:trPr>
        <w:tc>
          <w:tcPr>
            <w:tcW w:w="2065" w:type="dxa"/>
            <w:vAlign w:val="center"/>
          </w:tcPr>
          <w:p w14:paraId="3390C2B4"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t>Capacitación</w:t>
            </w:r>
          </w:p>
        </w:tc>
        <w:tc>
          <w:tcPr>
            <w:tcW w:w="6429" w:type="dxa"/>
          </w:tcPr>
          <w:p w14:paraId="538A31A8"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 xml:space="preserve">El oferente deberá capacitar a 4 (o más) funcionarios técnicos de la entidad contratante en el manejo de la solución antivirus y de las nuevas versiones que puedan generarse durante el tiempo que dure el licenciamiento. </w:t>
            </w:r>
          </w:p>
          <w:p w14:paraId="779FD1B2" w14:textId="77777777" w:rsidR="0016644B" w:rsidRPr="008D15EC" w:rsidRDefault="0016644B" w:rsidP="00FA1A3A">
            <w:pPr>
              <w:spacing w:after="0"/>
              <w:jc w:val="both"/>
              <w:rPr>
                <w:rFonts w:ascii="Arial" w:hAnsi="Arial" w:cs="Arial"/>
                <w:sz w:val="16"/>
                <w:szCs w:val="20"/>
              </w:rPr>
            </w:pPr>
          </w:p>
          <w:p w14:paraId="493C876F"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lastRenderedPageBreak/>
              <w:t>Deberá proveer de charlas y seminarios de concienciación sobre temas de seguridad de la información, las mismas que deberán ser impartidas por personal calificado y de preferencia por analistas y especialistas de malware directamente del fabricante.</w:t>
            </w:r>
          </w:p>
          <w:p w14:paraId="32248B36" w14:textId="77777777" w:rsidR="0016644B" w:rsidRPr="008D15EC" w:rsidRDefault="0016644B" w:rsidP="00FA1A3A">
            <w:pPr>
              <w:spacing w:after="0"/>
              <w:jc w:val="both"/>
              <w:rPr>
                <w:rFonts w:ascii="Arial" w:hAnsi="Arial" w:cs="Arial"/>
                <w:sz w:val="16"/>
                <w:szCs w:val="20"/>
              </w:rPr>
            </w:pPr>
          </w:p>
          <w:p w14:paraId="3EFD60F2" w14:textId="77777777" w:rsidR="0016644B" w:rsidRPr="008D15EC" w:rsidRDefault="0016644B" w:rsidP="00FA1A3A">
            <w:pPr>
              <w:spacing w:after="0"/>
              <w:jc w:val="both"/>
              <w:rPr>
                <w:rFonts w:ascii="Arial" w:hAnsi="Arial" w:cs="Arial"/>
                <w:sz w:val="16"/>
                <w:szCs w:val="20"/>
              </w:rPr>
            </w:pPr>
            <w:r w:rsidRPr="008D15EC">
              <w:rPr>
                <w:rFonts w:ascii="Arial" w:hAnsi="Arial" w:cs="Arial"/>
                <w:sz w:val="16"/>
                <w:szCs w:val="20"/>
              </w:rPr>
              <w:t>El oferente deberá contar con un responsable directo del fabricante, el mismo que deberá efectuar visitas periódicas para de esta manera poder informar sobre el seguimiento en la parte de atención al cliente en lo comercial y en lo técnico por parte del oferente.</w:t>
            </w:r>
          </w:p>
        </w:tc>
      </w:tr>
      <w:tr w:rsidR="0016644B" w:rsidRPr="008D15EC" w14:paraId="038DFF21" w14:textId="77777777" w:rsidTr="00FA1A3A">
        <w:trPr>
          <w:trHeight w:val="523"/>
          <w:jc w:val="center"/>
        </w:trPr>
        <w:tc>
          <w:tcPr>
            <w:tcW w:w="2065" w:type="dxa"/>
            <w:vAlign w:val="center"/>
          </w:tcPr>
          <w:p w14:paraId="6C339A5E" w14:textId="77777777" w:rsidR="0016644B" w:rsidRPr="008D15EC" w:rsidRDefault="0016644B" w:rsidP="00FA1A3A">
            <w:pPr>
              <w:spacing w:after="0"/>
              <w:jc w:val="center"/>
              <w:rPr>
                <w:rFonts w:ascii="Arial" w:hAnsi="Arial" w:cs="Arial"/>
                <w:b/>
                <w:sz w:val="16"/>
                <w:szCs w:val="20"/>
              </w:rPr>
            </w:pPr>
            <w:r w:rsidRPr="008D15EC">
              <w:rPr>
                <w:rFonts w:ascii="Arial" w:hAnsi="Arial" w:cs="Arial"/>
                <w:b/>
                <w:sz w:val="16"/>
                <w:szCs w:val="20"/>
              </w:rPr>
              <w:lastRenderedPageBreak/>
              <w:t>Experiencia</w:t>
            </w:r>
          </w:p>
        </w:tc>
        <w:tc>
          <w:tcPr>
            <w:tcW w:w="6429" w:type="dxa"/>
          </w:tcPr>
          <w:p w14:paraId="12B5FBEA" w14:textId="77777777" w:rsidR="0016644B" w:rsidRPr="008D15EC" w:rsidRDefault="0016644B" w:rsidP="0016644B">
            <w:pPr>
              <w:numPr>
                <w:ilvl w:val="0"/>
                <w:numId w:val="43"/>
              </w:numPr>
              <w:suppressAutoHyphens/>
              <w:spacing w:after="0" w:line="240" w:lineRule="auto"/>
              <w:jc w:val="both"/>
              <w:rPr>
                <w:rFonts w:ascii="Arial" w:hAnsi="Arial" w:cs="Arial"/>
                <w:sz w:val="16"/>
                <w:szCs w:val="20"/>
              </w:rPr>
            </w:pPr>
            <w:r w:rsidRPr="008D15EC">
              <w:rPr>
                <w:rFonts w:ascii="Arial" w:hAnsi="Arial" w:cs="Arial"/>
                <w:sz w:val="16"/>
                <w:szCs w:val="20"/>
              </w:rPr>
              <w:t>El oferente deberá contar con experiencia en la implementación de la solución en el sector público de mínimo 4 años.</w:t>
            </w:r>
          </w:p>
          <w:p w14:paraId="6A8E0BE8" w14:textId="77777777" w:rsidR="0016644B" w:rsidRPr="008D15EC" w:rsidRDefault="0016644B" w:rsidP="0016644B">
            <w:pPr>
              <w:numPr>
                <w:ilvl w:val="0"/>
                <w:numId w:val="43"/>
              </w:numPr>
              <w:suppressAutoHyphens/>
              <w:spacing w:after="0" w:line="240" w:lineRule="auto"/>
              <w:jc w:val="both"/>
              <w:rPr>
                <w:rFonts w:ascii="Arial" w:hAnsi="Arial" w:cs="Arial"/>
                <w:sz w:val="16"/>
                <w:szCs w:val="20"/>
              </w:rPr>
            </w:pPr>
            <w:r w:rsidRPr="008D15EC">
              <w:rPr>
                <w:rFonts w:ascii="Arial" w:hAnsi="Arial" w:cs="Arial"/>
                <w:sz w:val="16"/>
                <w:szCs w:val="20"/>
              </w:rPr>
              <w:t>Deberá adjuntar copias de contratos y actas de entrega/recepción de clientes con más de 800 o más licencias instaladas.</w:t>
            </w:r>
          </w:p>
          <w:p w14:paraId="666BC38E" w14:textId="77777777" w:rsidR="0016644B" w:rsidRPr="008D15EC" w:rsidRDefault="0016644B" w:rsidP="0016644B">
            <w:pPr>
              <w:numPr>
                <w:ilvl w:val="0"/>
                <w:numId w:val="43"/>
              </w:numPr>
              <w:suppressAutoHyphens/>
              <w:spacing w:after="0" w:line="240" w:lineRule="auto"/>
              <w:jc w:val="both"/>
              <w:rPr>
                <w:rFonts w:ascii="Arial" w:hAnsi="Arial" w:cs="Arial"/>
                <w:sz w:val="16"/>
                <w:szCs w:val="20"/>
              </w:rPr>
            </w:pPr>
            <w:r w:rsidRPr="008D15EC">
              <w:rPr>
                <w:rFonts w:ascii="Arial" w:hAnsi="Arial" w:cs="Arial"/>
                <w:sz w:val="16"/>
                <w:szCs w:val="20"/>
              </w:rPr>
              <w:t xml:space="preserve">El oferente deberá ser calificado </w:t>
            </w:r>
            <w:r w:rsidRPr="008D15EC">
              <w:rPr>
                <w:rFonts w:ascii="Arial" w:hAnsi="Arial" w:cs="Arial"/>
                <w:b/>
                <w:sz w:val="16"/>
                <w:szCs w:val="20"/>
              </w:rPr>
              <w:t>por el fabricante</w:t>
            </w:r>
            <w:r w:rsidRPr="008D15EC">
              <w:rPr>
                <w:rFonts w:ascii="Arial" w:hAnsi="Arial" w:cs="Arial"/>
                <w:sz w:val="16"/>
                <w:szCs w:val="20"/>
              </w:rPr>
              <w:t xml:space="preserve"> como Gold Partner para la distribución de la solución.</w:t>
            </w:r>
          </w:p>
          <w:p w14:paraId="4F3A1D97" w14:textId="77777777" w:rsidR="0016644B" w:rsidRPr="008D15EC" w:rsidRDefault="0016644B" w:rsidP="0016644B">
            <w:pPr>
              <w:numPr>
                <w:ilvl w:val="0"/>
                <w:numId w:val="43"/>
              </w:numPr>
              <w:suppressAutoHyphens/>
              <w:spacing w:after="0" w:line="240" w:lineRule="auto"/>
              <w:jc w:val="both"/>
              <w:rPr>
                <w:rFonts w:ascii="Arial" w:hAnsi="Arial" w:cs="Arial"/>
                <w:sz w:val="16"/>
                <w:szCs w:val="20"/>
              </w:rPr>
            </w:pPr>
            <w:r w:rsidRPr="008D15EC">
              <w:rPr>
                <w:rFonts w:ascii="Arial" w:hAnsi="Arial" w:cs="Arial"/>
                <w:sz w:val="16"/>
                <w:szCs w:val="20"/>
              </w:rPr>
              <w:t>El oferente deberá contar con personal certificado y calificado para la prestación del soporte técnico durante el tiempo de licenciamiento (adjuntar certificados).</w:t>
            </w:r>
          </w:p>
        </w:tc>
      </w:tr>
      <w:tr w:rsidR="0016644B" w:rsidRPr="008D15EC" w14:paraId="6E16A24C" w14:textId="77777777" w:rsidTr="00FA1A3A">
        <w:trPr>
          <w:trHeight w:val="523"/>
          <w:jc w:val="center"/>
        </w:trPr>
        <w:tc>
          <w:tcPr>
            <w:tcW w:w="8494" w:type="dxa"/>
            <w:gridSpan w:val="2"/>
            <w:vAlign w:val="center"/>
          </w:tcPr>
          <w:p w14:paraId="79813D39" w14:textId="77777777" w:rsidR="0016644B" w:rsidRPr="008D15EC" w:rsidRDefault="0016644B" w:rsidP="00FA1A3A">
            <w:pPr>
              <w:spacing w:after="0"/>
              <w:jc w:val="center"/>
              <w:rPr>
                <w:rFonts w:ascii="Arial" w:hAnsi="Arial" w:cs="Arial"/>
                <w:sz w:val="16"/>
                <w:szCs w:val="20"/>
              </w:rPr>
            </w:pPr>
            <w:r w:rsidRPr="008D15EC">
              <w:rPr>
                <w:rFonts w:ascii="Arial" w:hAnsi="Arial" w:cs="Arial"/>
                <w:b/>
                <w:sz w:val="16"/>
                <w:szCs w:val="20"/>
              </w:rPr>
              <w:t>ESPECIFICACIONES GLOBALES DEL FABRICANTE</w:t>
            </w:r>
          </w:p>
        </w:tc>
      </w:tr>
      <w:tr w:rsidR="0016644B" w:rsidRPr="008D15EC" w14:paraId="107533DE" w14:textId="77777777" w:rsidTr="00FA1A3A">
        <w:trPr>
          <w:trHeight w:val="523"/>
          <w:jc w:val="center"/>
        </w:trPr>
        <w:tc>
          <w:tcPr>
            <w:tcW w:w="2065" w:type="dxa"/>
            <w:vAlign w:val="center"/>
          </w:tcPr>
          <w:p w14:paraId="755D41B4" w14:textId="77777777" w:rsidR="0016644B" w:rsidRPr="008D15EC" w:rsidRDefault="0016644B" w:rsidP="00FA1A3A">
            <w:pPr>
              <w:spacing w:after="0"/>
              <w:jc w:val="center"/>
              <w:rPr>
                <w:rFonts w:ascii="Arial" w:hAnsi="Arial" w:cs="Arial"/>
                <w:b/>
                <w:sz w:val="16"/>
                <w:szCs w:val="20"/>
              </w:rPr>
            </w:pPr>
          </w:p>
        </w:tc>
        <w:tc>
          <w:tcPr>
            <w:tcW w:w="6429" w:type="dxa"/>
          </w:tcPr>
          <w:p w14:paraId="15AE9F96" w14:textId="77777777" w:rsidR="0016644B" w:rsidRPr="008D15EC" w:rsidRDefault="0016644B" w:rsidP="0016644B">
            <w:pPr>
              <w:numPr>
                <w:ilvl w:val="0"/>
                <w:numId w:val="45"/>
              </w:numPr>
              <w:suppressAutoHyphens/>
              <w:spacing w:after="0" w:line="240" w:lineRule="auto"/>
              <w:jc w:val="both"/>
              <w:rPr>
                <w:rFonts w:ascii="Arial" w:hAnsi="Arial" w:cs="Arial"/>
                <w:sz w:val="16"/>
                <w:szCs w:val="20"/>
              </w:rPr>
            </w:pPr>
            <w:r w:rsidRPr="008D15EC">
              <w:rPr>
                <w:rFonts w:ascii="Arial" w:hAnsi="Arial" w:cs="Arial"/>
                <w:sz w:val="16"/>
                <w:szCs w:val="20"/>
              </w:rPr>
              <w:t>El fabricante debe poseer más de 500 millones de usuarios a nivel mundial</w:t>
            </w:r>
          </w:p>
          <w:p w14:paraId="672D0772" w14:textId="77777777" w:rsidR="0016644B" w:rsidRPr="008D15EC" w:rsidRDefault="0016644B" w:rsidP="0016644B">
            <w:pPr>
              <w:numPr>
                <w:ilvl w:val="0"/>
                <w:numId w:val="45"/>
              </w:numPr>
              <w:suppressAutoHyphens/>
              <w:spacing w:after="0" w:line="240" w:lineRule="auto"/>
              <w:jc w:val="both"/>
              <w:rPr>
                <w:rFonts w:ascii="Arial" w:hAnsi="Arial" w:cs="Arial"/>
                <w:sz w:val="16"/>
                <w:szCs w:val="20"/>
              </w:rPr>
            </w:pPr>
            <w:r w:rsidRPr="008D15EC">
              <w:rPr>
                <w:rFonts w:ascii="Arial" w:hAnsi="Arial" w:cs="Arial"/>
                <w:sz w:val="16"/>
                <w:szCs w:val="20"/>
              </w:rPr>
              <w:t>El fabricante debe poseer un sistema de alerta temprano basado en cloud capaz de manejar más de 7 billones de interacciones al día</w:t>
            </w:r>
          </w:p>
          <w:p w14:paraId="458384F8" w14:textId="77777777" w:rsidR="0016644B" w:rsidRPr="008D15EC" w:rsidRDefault="0016644B" w:rsidP="0016644B">
            <w:pPr>
              <w:numPr>
                <w:ilvl w:val="0"/>
                <w:numId w:val="45"/>
              </w:numPr>
              <w:suppressAutoHyphens/>
              <w:spacing w:after="0" w:line="240" w:lineRule="auto"/>
              <w:jc w:val="both"/>
              <w:rPr>
                <w:rFonts w:ascii="Arial" w:hAnsi="Arial" w:cs="Arial"/>
                <w:sz w:val="16"/>
                <w:szCs w:val="20"/>
              </w:rPr>
            </w:pPr>
            <w:r w:rsidRPr="008D15EC">
              <w:rPr>
                <w:rFonts w:ascii="Arial" w:hAnsi="Arial" w:cs="Arial"/>
                <w:sz w:val="16"/>
                <w:szCs w:val="20"/>
              </w:rPr>
              <w:t>El Cloud deber tener la capacidad de bridar una respuesta máxima de 20ms</w:t>
            </w:r>
          </w:p>
          <w:p w14:paraId="6190EECA" w14:textId="77777777" w:rsidR="0016644B" w:rsidRPr="008D15EC" w:rsidRDefault="0016644B" w:rsidP="0016644B">
            <w:pPr>
              <w:numPr>
                <w:ilvl w:val="0"/>
                <w:numId w:val="45"/>
              </w:numPr>
              <w:suppressAutoHyphens/>
              <w:spacing w:after="0" w:line="240" w:lineRule="auto"/>
              <w:jc w:val="both"/>
              <w:rPr>
                <w:rFonts w:ascii="Arial" w:hAnsi="Arial" w:cs="Arial"/>
                <w:sz w:val="16"/>
                <w:szCs w:val="20"/>
              </w:rPr>
            </w:pPr>
            <w:r w:rsidRPr="008D15EC">
              <w:rPr>
                <w:rFonts w:ascii="Arial" w:hAnsi="Arial" w:cs="Arial"/>
                <w:sz w:val="16"/>
                <w:szCs w:val="20"/>
              </w:rPr>
              <w:t>El Cloud debe estar equipado con más 1000 servidores virtuales, con capacidad de procesar más de 60 TB por mes, manejar más de 500K conexiones activas en cualquier momento</w:t>
            </w:r>
          </w:p>
          <w:p w14:paraId="1025AD47" w14:textId="77777777" w:rsidR="0016644B" w:rsidRPr="008D15EC" w:rsidRDefault="0016644B" w:rsidP="0016644B">
            <w:pPr>
              <w:numPr>
                <w:ilvl w:val="0"/>
                <w:numId w:val="45"/>
              </w:numPr>
              <w:suppressAutoHyphens/>
              <w:spacing w:after="0" w:line="240" w:lineRule="auto"/>
              <w:jc w:val="both"/>
              <w:rPr>
                <w:rFonts w:ascii="Arial" w:hAnsi="Arial" w:cs="Arial"/>
                <w:sz w:val="16"/>
                <w:szCs w:val="20"/>
              </w:rPr>
            </w:pPr>
            <w:r w:rsidRPr="008D15EC">
              <w:rPr>
                <w:rFonts w:ascii="Arial" w:hAnsi="Arial" w:cs="Arial"/>
                <w:sz w:val="16"/>
                <w:szCs w:val="20"/>
              </w:rPr>
              <w:t xml:space="preserve">el Cloud debe permitir un número ilimitado de equipos administrados </w:t>
            </w:r>
          </w:p>
        </w:tc>
      </w:tr>
    </w:tbl>
    <w:p w14:paraId="7B539287" w14:textId="77777777" w:rsidR="0016644B" w:rsidRPr="008D15EC" w:rsidRDefault="0016644B" w:rsidP="0016644B">
      <w:pPr>
        <w:tabs>
          <w:tab w:val="center" w:pos="4419"/>
          <w:tab w:val="right" w:pos="8838"/>
        </w:tabs>
        <w:spacing w:after="0" w:line="240" w:lineRule="auto"/>
        <w:jc w:val="both"/>
        <w:rPr>
          <w:rFonts w:ascii="Arial" w:hAnsi="Arial" w:cs="Arial"/>
          <w:b/>
          <w:bCs/>
          <w:color w:val="000000" w:themeColor="text1"/>
          <w:sz w:val="20"/>
          <w:szCs w:val="20"/>
          <w:u w:val="single"/>
        </w:rPr>
      </w:pPr>
    </w:p>
    <w:p w14:paraId="50293ECD" w14:textId="77777777" w:rsidR="0016644B" w:rsidRDefault="0016644B" w:rsidP="0016644B">
      <w:pPr>
        <w:spacing w:after="0" w:line="240" w:lineRule="auto"/>
        <w:rPr>
          <w:rFonts w:ascii="Arial" w:hAnsi="Arial" w:cs="Arial"/>
          <w:b/>
          <w:bCs/>
          <w:sz w:val="20"/>
          <w:szCs w:val="20"/>
          <w:u w:val="single"/>
          <w:lang w:eastAsia="es-CO"/>
        </w:rPr>
      </w:pPr>
      <w:r w:rsidRPr="008D15EC">
        <w:rPr>
          <w:rFonts w:ascii="Arial" w:hAnsi="Arial" w:cs="Arial"/>
          <w:b/>
          <w:bCs/>
          <w:sz w:val="20"/>
          <w:szCs w:val="20"/>
          <w:u w:val="single"/>
          <w:lang w:eastAsia="es-CO"/>
        </w:rPr>
        <w:t>CONDICIONES DE CALIDAD</w:t>
      </w:r>
    </w:p>
    <w:p w14:paraId="595B1EC1" w14:textId="77777777" w:rsidR="0016644B" w:rsidRPr="008D15EC" w:rsidRDefault="0016644B" w:rsidP="0016644B">
      <w:pPr>
        <w:spacing w:after="0" w:line="240" w:lineRule="auto"/>
        <w:rPr>
          <w:rFonts w:ascii="Arial" w:hAnsi="Arial" w:cs="Arial"/>
          <w:b/>
          <w:bCs/>
          <w:sz w:val="20"/>
          <w:szCs w:val="20"/>
          <w:u w:val="single"/>
          <w:lang w:eastAsia="es-CO"/>
        </w:rPr>
      </w:pPr>
    </w:p>
    <w:p w14:paraId="17B7BB9D" w14:textId="77777777" w:rsidR="0016644B" w:rsidRDefault="0016644B" w:rsidP="0016644B">
      <w:pPr>
        <w:spacing w:after="0" w:line="240" w:lineRule="auto"/>
        <w:jc w:val="both"/>
        <w:rPr>
          <w:rFonts w:ascii="Arial" w:hAnsi="Arial" w:cs="Arial"/>
          <w:sz w:val="20"/>
          <w:szCs w:val="20"/>
          <w:lang w:val="es-ES"/>
        </w:rPr>
      </w:pPr>
      <w:r w:rsidRPr="008D15EC">
        <w:rPr>
          <w:rFonts w:ascii="Arial" w:hAnsi="Arial" w:cs="Arial"/>
          <w:sz w:val="20"/>
          <w:szCs w:val="20"/>
          <w:lang w:val="es-ES"/>
        </w:rPr>
        <w:t>El licenciamiento debe ser original y legal, emitido por fabricante autorizado, activado en la plataforma oficial del fabricante, con vigencia mínima de doce (12) meses y compatible con sistemas operativos Windows, Android, IOS y navegadores web.</w:t>
      </w:r>
    </w:p>
    <w:p w14:paraId="7EA54648" w14:textId="77777777" w:rsidR="0016644B" w:rsidRDefault="0016644B" w:rsidP="0016644B">
      <w:pPr>
        <w:spacing w:after="0" w:line="240" w:lineRule="auto"/>
        <w:jc w:val="both"/>
        <w:rPr>
          <w:rFonts w:ascii="Arial" w:hAnsi="Arial" w:cs="Arial"/>
          <w:sz w:val="20"/>
          <w:szCs w:val="20"/>
          <w:lang w:val="es-ES"/>
        </w:rPr>
      </w:pPr>
    </w:p>
    <w:p w14:paraId="2586269A" w14:textId="77777777" w:rsidR="0016644B" w:rsidRDefault="0016644B" w:rsidP="0016644B">
      <w:pPr>
        <w:spacing w:after="0" w:line="240" w:lineRule="auto"/>
        <w:jc w:val="both"/>
        <w:rPr>
          <w:rFonts w:ascii="Arial" w:hAnsi="Arial" w:cs="Arial"/>
          <w:b/>
          <w:bCs/>
          <w:sz w:val="20"/>
          <w:szCs w:val="20"/>
          <w:u w:val="single"/>
          <w:lang w:val="es-ES"/>
        </w:rPr>
      </w:pPr>
      <w:r w:rsidRPr="008D15EC">
        <w:rPr>
          <w:rFonts w:ascii="Arial" w:hAnsi="Arial" w:cs="Arial"/>
          <w:b/>
          <w:bCs/>
          <w:sz w:val="20"/>
          <w:szCs w:val="20"/>
          <w:u w:val="single"/>
          <w:lang w:val="es-ES"/>
        </w:rPr>
        <w:t>SOPORTE TÉCNICO Y CAPACITACIÓN</w:t>
      </w:r>
    </w:p>
    <w:p w14:paraId="2683B1E5" w14:textId="77777777" w:rsidR="0016644B" w:rsidRDefault="0016644B" w:rsidP="0016644B">
      <w:pPr>
        <w:spacing w:after="0" w:line="240" w:lineRule="auto"/>
        <w:jc w:val="both"/>
        <w:rPr>
          <w:rFonts w:ascii="Arial" w:hAnsi="Arial" w:cs="Arial"/>
          <w:b/>
          <w:bCs/>
          <w:sz w:val="20"/>
          <w:szCs w:val="20"/>
          <w:u w:val="single"/>
          <w:lang w:val="es-ES"/>
        </w:rPr>
      </w:pPr>
    </w:p>
    <w:p w14:paraId="254C70C4" w14:textId="77777777" w:rsidR="0016644B" w:rsidRDefault="0016644B" w:rsidP="0016644B">
      <w:pPr>
        <w:spacing w:after="0" w:line="240" w:lineRule="auto"/>
        <w:jc w:val="both"/>
        <w:rPr>
          <w:rFonts w:ascii="Arial" w:hAnsi="Arial" w:cs="Arial"/>
          <w:sz w:val="20"/>
          <w:szCs w:val="20"/>
          <w:lang w:val="es-ES"/>
        </w:rPr>
      </w:pPr>
      <w:r w:rsidRPr="008D15EC">
        <w:rPr>
          <w:rFonts w:ascii="Arial" w:hAnsi="Arial" w:cs="Arial"/>
          <w:sz w:val="20"/>
          <w:szCs w:val="20"/>
          <w:lang w:val="es-ES"/>
        </w:rPr>
        <w:t>El contratista deberá garantizar soporte técnico remoto, atención de incidentes, configuración inicial del servicio, capacitación funcional para usuarios designados por la entidad y transferencia de conocimiento sobre administración de la plataforma.</w:t>
      </w:r>
    </w:p>
    <w:p w14:paraId="008EC920" w14:textId="77777777" w:rsidR="0016644B" w:rsidRPr="008D15EC" w:rsidRDefault="0016644B" w:rsidP="0016644B">
      <w:pPr>
        <w:spacing w:after="0" w:line="240" w:lineRule="auto"/>
        <w:jc w:val="both"/>
        <w:rPr>
          <w:rFonts w:ascii="Arial" w:hAnsi="Arial" w:cs="Arial"/>
          <w:sz w:val="20"/>
          <w:szCs w:val="20"/>
          <w:lang w:val="es-ES"/>
        </w:rPr>
      </w:pPr>
    </w:p>
    <w:p w14:paraId="00C693C4" w14:textId="77777777" w:rsidR="0016644B" w:rsidRPr="008D15EC" w:rsidRDefault="0016644B" w:rsidP="0016644B">
      <w:pPr>
        <w:spacing w:after="0" w:line="240" w:lineRule="auto"/>
        <w:jc w:val="both"/>
        <w:rPr>
          <w:rFonts w:ascii="Arial" w:hAnsi="Arial" w:cs="Arial"/>
          <w:b/>
          <w:bCs/>
          <w:sz w:val="20"/>
          <w:szCs w:val="20"/>
          <w:lang w:val="es-ES"/>
        </w:rPr>
      </w:pPr>
      <w:r>
        <w:rPr>
          <w:rFonts w:ascii="Arial" w:hAnsi="Arial" w:cs="Arial"/>
          <w:b/>
          <w:bCs/>
          <w:sz w:val="20"/>
          <w:szCs w:val="20"/>
          <w:lang w:val="es-ES"/>
        </w:rPr>
        <w:t xml:space="preserve">NOTA: </w:t>
      </w:r>
      <w:r w:rsidRPr="008D15EC">
        <w:rPr>
          <w:rFonts w:ascii="Arial" w:hAnsi="Arial" w:cs="Arial"/>
          <w:b/>
          <w:bCs/>
          <w:sz w:val="20"/>
          <w:szCs w:val="20"/>
          <w:lang w:val="es-ES"/>
        </w:rPr>
        <w:t>Las</w:t>
      </w:r>
      <w:r>
        <w:rPr>
          <w:rFonts w:ascii="Arial" w:hAnsi="Arial" w:cs="Arial"/>
          <w:b/>
          <w:bCs/>
          <w:sz w:val="20"/>
          <w:szCs w:val="20"/>
          <w:lang w:val="es-ES"/>
        </w:rPr>
        <w:t xml:space="preserve"> </w:t>
      </w:r>
      <w:r w:rsidRPr="008D15EC">
        <w:rPr>
          <w:rFonts w:ascii="Arial" w:hAnsi="Arial" w:cs="Arial"/>
          <w:b/>
          <w:bCs/>
          <w:sz w:val="20"/>
          <w:szCs w:val="20"/>
          <w:lang w:val="es-ES"/>
        </w:rPr>
        <w:t>condiciones técnicas exigidas</w:t>
      </w:r>
      <w:r>
        <w:rPr>
          <w:rFonts w:ascii="Arial" w:hAnsi="Arial" w:cs="Arial"/>
          <w:b/>
          <w:bCs/>
          <w:sz w:val="20"/>
          <w:szCs w:val="20"/>
          <w:lang w:val="es-ES"/>
        </w:rPr>
        <w:t xml:space="preserve"> además de las consignadas </w:t>
      </w:r>
      <w:r w:rsidRPr="008D15EC">
        <w:rPr>
          <w:rFonts w:ascii="Arial" w:hAnsi="Arial" w:cs="Arial"/>
          <w:b/>
          <w:bCs/>
          <w:sz w:val="20"/>
          <w:szCs w:val="20"/>
          <w:lang w:val="es-ES"/>
        </w:rPr>
        <w:t>serán las</w:t>
      </w:r>
      <w:r>
        <w:rPr>
          <w:rFonts w:ascii="Arial" w:hAnsi="Arial" w:cs="Arial"/>
          <w:b/>
          <w:bCs/>
          <w:sz w:val="20"/>
          <w:szCs w:val="20"/>
          <w:lang w:val="es-ES"/>
        </w:rPr>
        <w:t xml:space="preserve"> demás </w:t>
      </w:r>
      <w:r w:rsidRPr="008D15EC">
        <w:rPr>
          <w:rFonts w:ascii="Arial" w:hAnsi="Arial" w:cs="Arial"/>
          <w:b/>
          <w:bCs/>
          <w:sz w:val="20"/>
          <w:szCs w:val="20"/>
          <w:lang w:val="es-ES"/>
        </w:rPr>
        <w:t>determinadas en la ficha técnica, anexa al presente documento de estudios previos.</w:t>
      </w:r>
    </w:p>
    <w:p w14:paraId="5B79B263" w14:textId="77777777" w:rsidR="00F313CB" w:rsidRPr="001A78E1" w:rsidRDefault="00F313CB" w:rsidP="00F313CB">
      <w:pPr>
        <w:pStyle w:val="Sinespaciado"/>
        <w:jc w:val="both"/>
        <w:rPr>
          <w:rFonts w:ascii="Arial" w:hAnsi="Arial" w:cs="Arial"/>
          <w:b/>
          <w:sz w:val="20"/>
          <w:szCs w:val="20"/>
        </w:rPr>
      </w:pPr>
    </w:p>
    <w:p w14:paraId="66BD796C" w14:textId="77777777" w:rsidR="00F313CB" w:rsidRPr="001A78E1" w:rsidRDefault="00F313CB" w:rsidP="00F313CB">
      <w:pPr>
        <w:pStyle w:val="Sinespaciado"/>
        <w:jc w:val="both"/>
        <w:rPr>
          <w:rFonts w:ascii="Arial" w:hAnsi="Arial" w:cs="Arial"/>
          <w:sz w:val="20"/>
          <w:szCs w:val="20"/>
        </w:rPr>
      </w:pPr>
      <w:r w:rsidRPr="001A78E1">
        <w:rPr>
          <w:rFonts w:ascii="Arial" w:hAnsi="Arial" w:cs="Arial"/>
          <w:b/>
          <w:sz w:val="20"/>
          <w:szCs w:val="20"/>
        </w:rPr>
        <w:t>ANALISIS DE LA PRESTACIÓN DE SERVICIOS INFORMATICOS</w:t>
      </w:r>
      <w:r w:rsidRPr="001A78E1">
        <w:rPr>
          <w:rFonts w:ascii="Arial" w:hAnsi="Arial" w:cs="Arial"/>
          <w:b/>
          <w:color w:val="000000"/>
          <w:sz w:val="20"/>
          <w:szCs w:val="20"/>
        </w:rPr>
        <w:t>,</w:t>
      </w:r>
      <w:r w:rsidRPr="001A78E1">
        <w:rPr>
          <w:rFonts w:ascii="Arial" w:hAnsi="Arial" w:cs="Arial"/>
          <w:color w:val="000000"/>
          <w:sz w:val="20"/>
          <w:szCs w:val="20"/>
        </w:rPr>
        <w:t xml:space="preserve"> p</w:t>
      </w:r>
      <w:r w:rsidRPr="001A78E1">
        <w:rPr>
          <w:rFonts w:ascii="Arial" w:hAnsi="Arial" w:cs="Arial"/>
          <w:sz w:val="20"/>
          <w:szCs w:val="20"/>
        </w:rPr>
        <w:t>uede contratar este tipo de servicios, con todas las personas naturales y jurídicas, nacionales y extranjeras, los consorcios y uniones temporales y demás formas asociativas legalmente constituidas, cuyo objeto social cubra las actividades necesarias para cumplir con el objeto de la presente necesidad, que no estén incursos en las prohibiciones, inhabilidades e incompatibilidades consagradas en el ordenamiento legal colombiano.</w:t>
      </w:r>
    </w:p>
    <w:p w14:paraId="0DE80EF0" w14:textId="77777777" w:rsidR="00F313CB" w:rsidRPr="001A78E1" w:rsidRDefault="00F313CB" w:rsidP="00F313CB">
      <w:pPr>
        <w:pStyle w:val="Sinespaciado"/>
        <w:jc w:val="both"/>
        <w:rPr>
          <w:rFonts w:ascii="Arial" w:hAnsi="Arial" w:cs="Arial"/>
          <w:sz w:val="20"/>
          <w:szCs w:val="20"/>
        </w:rPr>
      </w:pPr>
    </w:p>
    <w:p w14:paraId="1A91B37A" w14:textId="77777777" w:rsidR="00F313CB" w:rsidRPr="001A78E1" w:rsidRDefault="00F313CB" w:rsidP="00F313CB">
      <w:pPr>
        <w:pStyle w:val="Sinespaciado"/>
        <w:jc w:val="both"/>
        <w:rPr>
          <w:rFonts w:ascii="Arial" w:eastAsia="Calibri" w:hAnsi="Arial" w:cs="Arial"/>
          <w:sz w:val="20"/>
          <w:szCs w:val="20"/>
        </w:rPr>
      </w:pPr>
      <w:r w:rsidRPr="001A78E1">
        <w:rPr>
          <w:rFonts w:ascii="Arial" w:eastAsia="Calibri" w:hAnsi="Arial" w:cs="Arial"/>
          <w:sz w:val="20"/>
          <w:szCs w:val="20"/>
        </w:rPr>
        <w:t xml:space="preserve">Una vez realizado el estudio de mercado y </w:t>
      </w:r>
      <w:r w:rsidRPr="001A78E1">
        <w:rPr>
          <w:rFonts w:ascii="Arial" w:hAnsi="Arial" w:cs="Arial"/>
          <w:sz w:val="20"/>
          <w:szCs w:val="20"/>
        </w:rPr>
        <w:t xml:space="preserve">Debido a la gran oferta que existe en el país, </w:t>
      </w:r>
      <w:r w:rsidRPr="001A78E1">
        <w:rPr>
          <w:rFonts w:ascii="Arial" w:eastAsia="Calibri" w:hAnsi="Arial" w:cs="Arial"/>
          <w:sz w:val="20"/>
          <w:szCs w:val="20"/>
        </w:rPr>
        <w:t xml:space="preserve">se puede concluir que el proceso de contratación se debe realizar solamente con </w:t>
      </w:r>
      <w:r w:rsidRPr="001A78E1">
        <w:rPr>
          <w:rFonts w:ascii="Arial" w:eastAsia="Calibri" w:hAnsi="Arial" w:cs="Arial"/>
          <w:b/>
          <w:sz w:val="20"/>
          <w:szCs w:val="20"/>
        </w:rPr>
        <w:t>personas naturales o jurídicas</w:t>
      </w:r>
      <w:r w:rsidRPr="001A78E1">
        <w:rPr>
          <w:rFonts w:ascii="Arial" w:eastAsia="Calibri" w:hAnsi="Arial" w:cs="Arial"/>
          <w:sz w:val="20"/>
          <w:szCs w:val="20"/>
        </w:rPr>
        <w:t xml:space="preserve"> que cumplan con los siguientes: </w:t>
      </w:r>
    </w:p>
    <w:p w14:paraId="629F2230" w14:textId="77777777" w:rsidR="00F313CB" w:rsidRPr="001A78E1" w:rsidRDefault="00F313CB" w:rsidP="00F313CB">
      <w:pPr>
        <w:pStyle w:val="Sinespaciado"/>
        <w:jc w:val="both"/>
        <w:rPr>
          <w:rFonts w:ascii="Arial" w:eastAsia="Calibri" w:hAnsi="Arial" w:cs="Arial"/>
          <w:sz w:val="20"/>
          <w:szCs w:val="20"/>
        </w:rPr>
      </w:pPr>
    </w:p>
    <w:p w14:paraId="0DEF8799" w14:textId="77777777" w:rsidR="00F313CB" w:rsidRDefault="00F313CB" w:rsidP="00F313CB">
      <w:pPr>
        <w:autoSpaceDE w:val="0"/>
        <w:autoSpaceDN w:val="0"/>
        <w:adjustRightInd w:val="0"/>
        <w:spacing w:line="240" w:lineRule="auto"/>
        <w:jc w:val="both"/>
        <w:rPr>
          <w:rFonts w:ascii="Arial" w:hAnsi="Arial" w:cs="Arial"/>
          <w:sz w:val="20"/>
          <w:szCs w:val="20"/>
        </w:rPr>
      </w:pPr>
      <w:r w:rsidRPr="001A78E1">
        <w:rPr>
          <w:rFonts w:ascii="Arial" w:hAnsi="Arial" w:cs="Arial"/>
          <w:b/>
          <w:bCs/>
          <w:sz w:val="20"/>
          <w:szCs w:val="20"/>
          <w:u w:val="single"/>
        </w:rPr>
        <w:t>REQUISITOS HABILITANTES TÉCNICOS:</w:t>
      </w:r>
      <w:r w:rsidRPr="001A78E1">
        <w:rPr>
          <w:rFonts w:ascii="Arial" w:hAnsi="Arial" w:cs="Arial"/>
          <w:sz w:val="20"/>
          <w:szCs w:val="20"/>
        </w:rPr>
        <w:t xml:space="preserve"> </w:t>
      </w:r>
    </w:p>
    <w:p w14:paraId="244F60E7" w14:textId="77777777" w:rsidR="00FD41CF" w:rsidRPr="00FD41CF" w:rsidRDefault="00FD41CF" w:rsidP="00FD41CF">
      <w:pPr>
        <w:spacing w:line="240" w:lineRule="auto"/>
        <w:jc w:val="both"/>
        <w:rPr>
          <w:rFonts w:ascii="Arial" w:eastAsia="Times New Roman" w:hAnsi="Arial" w:cs="Arial"/>
          <w:sz w:val="20"/>
          <w:szCs w:val="20"/>
          <w:lang w:eastAsia="es-CO"/>
        </w:rPr>
      </w:pPr>
      <w:r w:rsidRPr="00FD41CF">
        <w:rPr>
          <w:rFonts w:ascii="Arial" w:eastAsia="Times New Roman" w:hAnsi="Arial" w:cs="Arial"/>
          <w:sz w:val="20"/>
          <w:szCs w:val="20"/>
          <w:lang w:eastAsia="es-CO"/>
        </w:rPr>
        <w:lastRenderedPageBreak/>
        <w:t xml:space="preserve">Se tendrán en cuenta criterios como la capacidad jurídica del proponente. En los requisitos habilitantes, </w:t>
      </w:r>
      <w:r w:rsidRPr="00FD41CF">
        <w:rPr>
          <w:rFonts w:ascii="Arial" w:eastAsia="Times New Roman" w:hAnsi="Arial" w:cs="Arial"/>
          <w:b/>
          <w:sz w:val="20"/>
          <w:szCs w:val="20"/>
          <w:lang w:eastAsia="es-CO"/>
        </w:rPr>
        <w:t>no se verificará la capacidad financiera</w:t>
      </w:r>
      <w:r w:rsidRPr="00FD41CF">
        <w:rPr>
          <w:rFonts w:ascii="Arial" w:eastAsia="Times New Roman" w:hAnsi="Arial" w:cs="Arial"/>
          <w:sz w:val="20"/>
          <w:szCs w:val="20"/>
          <w:lang w:eastAsia="es-CO"/>
        </w:rPr>
        <w:t xml:space="preserve">, ya que la forma de pago de estos </w:t>
      </w:r>
      <w:r w:rsidRPr="00FD41CF">
        <w:rPr>
          <w:rFonts w:ascii="Arial" w:eastAsia="Times New Roman" w:hAnsi="Arial" w:cs="Arial"/>
          <w:b/>
          <w:sz w:val="20"/>
          <w:szCs w:val="20"/>
          <w:lang w:eastAsia="es-CO"/>
        </w:rPr>
        <w:t>servicios</w:t>
      </w:r>
      <w:r w:rsidRPr="00FD41CF">
        <w:rPr>
          <w:rFonts w:ascii="Arial" w:eastAsia="Times New Roman" w:hAnsi="Arial" w:cs="Arial"/>
          <w:sz w:val="20"/>
          <w:szCs w:val="20"/>
          <w:lang w:eastAsia="es-CO"/>
        </w:rPr>
        <w:t xml:space="preserve"> se hará contra entrega a </w:t>
      </w:r>
    </w:p>
    <w:p w14:paraId="144532E5" w14:textId="77777777" w:rsidR="00FD41CF" w:rsidRPr="00FD41CF" w:rsidRDefault="00FD41CF" w:rsidP="00FD41CF">
      <w:pPr>
        <w:spacing w:line="240" w:lineRule="auto"/>
        <w:jc w:val="both"/>
        <w:rPr>
          <w:rFonts w:ascii="Arial" w:eastAsia="Times New Roman" w:hAnsi="Arial" w:cs="Arial"/>
          <w:color w:val="000000"/>
          <w:sz w:val="20"/>
          <w:szCs w:val="20"/>
        </w:rPr>
      </w:pPr>
      <w:r w:rsidRPr="00FD41CF">
        <w:rPr>
          <w:rFonts w:ascii="Arial" w:eastAsia="Times New Roman" w:hAnsi="Arial" w:cs="Arial"/>
          <w:sz w:val="20"/>
          <w:szCs w:val="20"/>
          <w:lang w:eastAsia="es-CO"/>
        </w:rPr>
        <w:t xml:space="preserve">satisfacción de los bienes recibidos, previa acta y certificación del </w:t>
      </w:r>
      <w:r w:rsidRPr="00FD41CF">
        <w:rPr>
          <w:rFonts w:ascii="Arial" w:eastAsia="Times New Roman" w:hAnsi="Arial" w:cs="Arial"/>
          <w:b/>
          <w:sz w:val="20"/>
          <w:szCs w:val="20"/>
          <w:lang w:eastAsia="es-CO"/>
        </w:rPr>
        <w:t>Supervisor del contrato</w:t>
      </w:r>
      <w:r w:rsidRPr="00FD41CF">
        <w:rPr>
          <w:rFonts w:ascii="Arial" w:eastAsia="Times New Roman" w:hAnsi="Arial" w:cs="Arial"/>
          <w:sz w:val="20"/>
          <w:szCs w:val="20"/>
          <w:lang w:eastAsia="es-CO"/>
        </w:rPr>
        <w:t xml:space="preserve">, de acuerdo al </w:t>
      </w:r>
      <w:r w:rsidRPr="00FD41CF">
        <w:rPr>
          <w:rFonts w:ascii="Arial" w:eastAsia="Times New Roman" w:hAnsi="Arial" w:cs="Arial"/>
          <w:b/>
          <w:sz w:val="20"/>
          <w:szCs w:val="20"/>
          <w:lang w:eastAsia="es-CO"/>
        </w:rPr>
        <w:t>Decreto 1082 de 2015</w:t>
      </w:r>
      <w:r w:rsidRPr="00FD41CF">
        <w:rPr>
          <w:rFonts w:ascii="Arial" w:eastAsia="Times New Roman" w:hAnsi="Arial" w:cs="Arial"/>
          <w:sz w:val="20"/>
          <w:szCs w:val="20"/>
          <w:lang w:eastAsia="es-CO"/>
        </w:rPr>
        <w:t xml:space="preserve"> “</w:t>
      </w:r>
      <w:r w:rsidRPr="00FD41CF">
        <w:rPr>
          <w:rFonts w:ascii="Arial" w:eastAsia="Times New Roman" w:hAnsi="Arial" w:cs="Arial"/>
          <w:color w:val="000000"/>
          <w:sz w:val="20"/>
          <w:szCs w:val="20"/>
        </w:rPr>
        <w:t xml:space="preserve">No se verificará en ningún caso la capacidad financiera cuando la forma de pago establecida sea contra entrega a satisfacción de los bienes, servicios u obras.” </w:t>
      </w:r>
    </w:p>
    <w:p w14:paraId="3931AB3C" w14:textId="11D86371" w:rsidR="00F313CB" w:rsidRPr="00FD41CF" w:rsidRDefault="00F313CB" w:rsidP="00FD41CF">
      <w:pPr>
        <w:pStyle w:val="Prrafodelista"/>
        <w:numPr>
          <w:ilvl w:val="0"/>
          <w:numId w:val="70"/>
        </w:numPr>
        <w:autoSpaceDE w:val="0"/>
        <w:autoSpaceDN w:val="0"/>
        <w:adjustRightInd w:val="0"/>
        <w:spacing w:after="0" w:line="240" w:lineRule="auto"/>
        <w:jc w:val="both"/>
        <w:rPr>
          <w:rFonts w:ascii="Arial" w:hAnsi="Arial" w:cs="Arial"/>
          <w:b/>
          <w:bCs/>
          <w:sz w:val="20"/>
          <w:szCs w:val="20"/>
        </w:rPr>
      </w:pPr>
      <w:r w:rsidRPr="00FD41CF">
        <w:rPr>
          <w:rFonts w:ascii="Arial" w:hAnsi="Arial" w:cs="Arial"/>
          <w:b/>
          <w:bCs/>
          <w:sz w:val="20"/>
          <w:szCs w:val="20"/>
        </w:rPr>
        <w:t>Capacidad Técnica:</w:t>
      </w:r>
    </w:p>
    <w:p w14:paraId="220AC29A" w14:textId="77777777" w:rsidR="00FD41CF" w:rsidRPr="00FD41CF" w:rsidRDefault="00FD41CF" w:rsidP="00FD41CF">
      <w:pPr>
        <w:pStyle w:val="Prrafodelista"/>
        <w:autoSpaceDE w:val="0"/>
        <w:autoSpaceDN w:val="0"/>
        <w:adjustRightInd w:val="0"/>
        <w:spacing w:after="0" w:line="240" w:lineRule="auto"/>
        <w:jc w:val="both"/>
        <w:rPr>
          <w:rFonts w:ascii="Arial" w:hAnsi="Arial" w:cs="Arial"/>
          <w:b/>
          <w:bCs/>
          <w:sz w:val="20"/>
          <w:szCs w:val="20"/>
          <w:u w:val="single"/>
        </w:rPr>
      </w:pPr>
    </w:p>
    <w:p w14:paraId="0146DF9B" w14:textId="47C376B7" w:rsidR="00FD41CF" w:rsidRPr="00FD41CF" w:rsidRDefault="00FD41CF" w:rsidP="00FD41CF">
      <w:pPr>
        <w:spacing w:line="240" w:lineRule="auto"/>
        <w:jc w:val="both"/>
        <w:rPr>
          <w:rFonts w:ascii="Arial" w:hAnsi="Arial" w:cs="Arial"/>
          <w:sz w:val="20"/>
          <w:szCs w:val="20"/>
        </w:rPr>
      </w:pPr>
      <w:r w:rsidRPr="00FD41CF">
        <w:rPr>
          <w:rFonts w:ascii="Arial" w:hAnsi="Arial" w:cs="Arial"/>
          <w:sz w:val="20"/>
          <w:szCs w:val="20"/>
        </w:rPr>
        <w:t xml:space="preserve">Todas las personas naturales o jurídicas que desarrollen de manera habitual alguna de las actividades que la ley considera mercantiles. Artículo 21 del C.Co. </w:t>
      </w:r>
    </w:p>
    <w:p w14:paraId="16FCFF06" w14:textId="77777777" w:rsidR="00FD41CF" w:rsidRPr="00FD41CF" w:rsidRDefault="00FD41CF" w:rsidP="00FD41CF">
      <w:pPr>
        <w:spacing w:line="240" w:lineRule="auto"/>
        <w:jc w:val="both"/>
        <w:rPr>
          <w:rFonts w:ascii="Arial" w:hAnsi="Arial" w:cs="Arial"/>
          <w:sz w:val="20"/>
          <w:szCs w:val="20"/>
        </w:rPr>
      </w:pPr>
      <w:r w:rsidRPr="00FD41CF">
        <w:rPr>
          <w:rFonts w:ascii="Arial" w:hAnsi="Arial" w:cs="Arial"/>
          <w:sz w:val="20"/>
          <w:szCs w:val="20"/>
        </w:rPr>
        <w:t>El proponente acredita su capacidad técnica, anexando copia de la cámara de comercio (en original), con una antigüedad no mayor a 30 días, contados a partir del cierre de la invitación, Igualmente deberá anexar copia del registro único tributario RUT.</w:t>
      </w:r>
    </w:p>
    <w:p w14:paraId="02D04820" w14:textId="77777777" w:rsidR="00FD41CF" w:rsidRPr="00FD41CF" w:rsidRDefault="00FD41CF" w:rsidP="00FD41CF">
      <w:pPr>
        <w:spacing w:line="240" w:lineRule="auto"/>
        <w:jc w:val="both"/>
        <w:rPr>
          <w:rFonts w:ascii="Arial" w:hAnsi="Arial" w:cs="Arial"/>
          <w:sz w:val="20"/>
          <w:szCs w:val="20"/>
        </w:rPr>
      </w:pPr>
      <w:r w:rsidRPr="00FD41CF">
        <w:rPr>
          <w:rFonts w:ascii="Arial" w:hAnsi="Arial" w:cs="Arial"/>
          <w:sz w:val="20"/>
          <w:szCs w:val="20"/>
        </w:rPr>
        <w:t xml:space="preserve">NOTA: 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antes de la citada fecha, podrán participar presente proceso de selección, todas aquellas personas Jurídicas que ya hayan realizado la renovación de la Matricula Mercantil pera la vigencia 2025. </w:t>
      </w:r>
    </w:p>
    <w:p w14:paraId="559EBC38" w14:textId="15ADCDF9" w:rsidR="00F313CB" w:rsidRPr="00FD41CF" w:rsidRDefault="00FD41CF" w:rsidP="00F313CB">
      <w:pPr>
        <w:spacing w:line="240" w:lineRule="auto"/>
        <w:jc w:val="both"/>
        <w:rPr>
          <w:rFonts w:ascii="Arial" w:hAnsi="Arial" w:cs="Arial"/>
          <w:sz w:val="20"/>
          <w:szCs w:val="20"/>
        </w:rPr>
      </w:pPr>
      <w:r w:rsidRPr="00FD41CF">
        <w:rPr>
          <w:rFonts w:ascii="Arial" w:hAnsi="Arial" w:cs="Arial"/>
          <w:sz w:val="20"/>
          <w:szCs w:val="20"/>
        </w:rPr>
        <w:t>Esta información se constatará en el Registro Mercantil o en el certificado de existencia y representación legal de la persona jurídica.</w:t>
      </w:r>
    </w:p>
    <w:p w14:paraId="4A6F5C16" w14:textId="40915BA7" w:rsidR="00F313CB" w:rsidRPr="001A78E1" w:rsidRDefault="00C0617D" w:rsidP="00F313CB">
      <w:pPr>
        <w:autoSpaceDE w:val="0"/>
        <w:autoSpaceDN w:val="0"/>
        <w:adjustRightInd w:val="0"/>
        <w:spacing w:line="240" w:lineRule="auto"/>
        <w:jc w:val="both"/>
        <w:rPr>
          <w:rFonts w:ascii="Arial" w:hAnsi="Arial" w:cs="Arial"/>
          <w:b/>
          <w:bCs/>
          <w:sz w:val="20"/>
          <w:szCs w:val="20"/>
        </w:rPr>
      </w:pPr>
      <w:r>
        <w:rPr>
          <w:rFonts w:ascii="Arial" w:hAnsi="Arial" w:cs="Arial"/>
          <w:b/>
          <w:bCs/>
          <w:sz w:val="20"/>
          <w:szCs w:val="20"/>
        </w:rPr>
        <w:t>2</w:t>
      </w:r>
      <w:r w:rsidR="00F313CB" w:rsidRPr="001A78E1">
        <w:rPr>
          <w:rFonts w:ascii="Arial" w:hAnsi="Arial" w:cs="Arial"/>
          <w:b/>
          <w:bCs/>
          <w:sz w:val="20"/>
          <w:szCs w:val="20"/>
        </w:rPr>
        <w:t>.  Experiencia:</w:t>
      </w:r>
    </w:p>
    <w:p w14:paraId="2D2C997A" w14:textId="77777777" w:rsidR="00F313CB" w:rsidRDefault="00F313CB" w:rsidP="00F313CB">
      <w:pPr>
        <w:pStyle w:val="Sinespaciado"/>
        <w:jc w:val="both"/>
        <w:rPr>
          <w:rFonts w:ascii="Arial" w:hAnsi="Arial" w:cs="Arial"/>
          <w:sz w:val="20"/>
          <w:szCs w:val="20"/>
        </w:rPr>
      </w:pPr>
      <w:r w:rsidRPr="001E277C">
        <w:rPr>
          <w:rFonts w:ascii="Arial" w:hAnsi="Arial" w:cs="Arial"/>
          <w:b/>
          <w:sz w:val="20"/>
          <w:szCs w:val="20"/>
        </w:rPr>
        <w:t>Experiencia Especifica</w:t>
      </w:r>
      <w:r w:rsidRPr="001E277C">
        <w:rPr>
          <w:rFonts w:ascii="Arial" w:hAnsi="Arial" w:cs="Arial"/>
          <w:sz w:val="20"/>
          <w:szCs w:val="20"/>
        </w:rPr>
        <w:t>:</w:t>
      </w:r>
    </w:p>
    <w:p w14:paraId="7A4DC852" w14:textId="77777777" w:rsidR="009805AD" w:rsidRPr="001E277C" w:rsidRDefault="009805AD" w:rsidP="00F313CB">
      <w:pPr>
        <w:pStyle w:val="Sinespaciado"/>
        <w:jc w:val="both"/>
        <w:rPr>
          <w:rFonts w:ascii="Arial" w:hAnsi="Arial" w:cs="Arial"/>
          <w:sz w:val="20"/>
          <w:szCs w:val="20"/>
        </w:rPr>
      </w:pPr>
    </w:p>
    <w:p w14:paraId="23089CDD" w14:textId="250F6BF8" w:rsidR="00F313CB" w:rsidRPr="001A78E1" w:rsidRDefault="00F313CB" w:rsidP="00F313CB">
      <w:pPr>
        <w:pStyle w:val="Sinespaciado"/>
        <w:jc w:val="both"/>
        <w:rPr>
          <w:rFonts w:ascii="Arial" w:hAnsi="Arial" w:cs="Arial"/>
          <w:b/>
          <w:sz w:val="20"/>
          <w:szCs w:val="20"/>
        </w:rPr>
      </w:pPr>
      <w:r w:rsidRPr="001E277C">
        <w:rPr>
          <w:rFonts w:ascii="Arial" w:hAnsi="Arial" w:cs="Arial"/>
          <w:sz w:val="20"/>
          <w:szCs w:val="20"/>
        </w:rPr>
        <w:t xml:space="preserve">El proponente deberá tener </w:t>
      </w:r>
      <w:r w:rsidRPr="001E277C">
        <w:rPr>
          <w:rFonts w:ascii="Arial" w:hAnsi="Arial" w:cs="Arial"/>
          <w:b/>
          <w:sz w:val="20"/>
          <w:szCs w:val="20"/>
        </w:rPr>
        <w:t>experiencia especifica</w:t>
      </w:r>
      <w:r w:rsidRPr="001E277C">
        <w:rPr>
          <w:rFonts w:ascii="Arial" w:hAnsi="Arial" w:cs="Arial"/>
          <w:sz w:val="20"/>
          <w:szCs w:val="20"/>
        </w:rPr>
        <w:t xml:space="preserve"> en al </w:t>
      </w:r>
      <w:r w:rsidRPr="001E277C">
        <w:rPr>
          <w:rFonts w:ascii="Arial" w:hAnsi="Arial" w:cs="Arial"/>
          <w:b/>
          <w:sz w:val="20"/>
          <w:szCs w:val="20"/>
        </w:rPr>
        <w:t>menos</w:t>
      </w:r>
      <w:r w:rsidR="0029356C">
        <w:rPr>
          <w:rFonts w:ascii="Arial" w:hAnsi="Arial" w:cs="Arial"/>
          <w:b/>
          <w:sz w:val="20"/>
          <w:szCs w:val="20"/>
        </w:rPr>
        <w:t xml:space="preserve"> de dos </w:t>
      </w:r>
      <w:r w:rsidRPr="001E277C">
        <w:rPr>
          <w:rFonts w:ascii="Arial" w:hAnsi="Arial" w:cs="Arial"/>
          <w:b/>
          <w:sz w:val="20"/>
          <w:szCs w:val="20"/>
        </w:rPr>
        <w:t>(</w:t>
      </w:r>
      <w:r w:rsidR="0029356C">
        <w:rPr>
          <w:rFonts w:ascii="Arial" w:hAnsi="Arial" w:cs="Arial"/>
          <w:b/>
          <w:sz w:val="20"/>
          <w:szCs w:val="20"/>
        </w:rPr>
        <w:t>2</w:t>
      </w:r>
      <w:r w:rsidRPr="001E277C">
        <w:rPr>
          <w:rFonts w:ascii="Arial" w:hAnsi="Arial" w:cs="Arial"/>
          <w:b/>
          <w:sz w:val="20"/>
          <w:szCs w:val="20"/>
        </w:rPr>
        <w:t>) contrato</w:t>
      </w:r>
      <w:r w:rsidR="0029356C">
        <w:rPr>
          <w:rFonts w:ascii="Arial" w:hAnsi="Arial" w:cs="Arial"/>
          <w:b/>
          <w:sz w:val="20"/>
          <w:szCs w:val="20"/>
        </w:rPr>
        <w:t>s</w:t>
      </w:r>
      <w:r w:rsidRPr="001E277C">
        <w:rPr>
          <w:rFonts w:ascii="Arial" w:hAnsi="Arial" w:cs="Arial"/>
          <w:b/>
          <w:sz w:val="20"/>
          <w:szCs w:val="20"/>
        </w:rPr>
        <w:t xml:space="preserve"> relacionado</w:t>
      </w:r>
      <w:r w:rsidR="0029356C">
        <w:rPr>
          <w:rFonts w:ascii="Arial" w:hAnsi="Arial" w:cs="Arial"/>
          <w:b/>
          <w:sz w:val="20"/>
          <w:szCs w:val="20"/>
        </w:rPr>
        <w:t>s</w:t>
      </w:r>
      <w:r w:rsidRPr="001E277C">
        <w:rPr>
          <w:rFonts w:ascii="Arial" w:hAnsi="Arial" w:cs="Arial"/>
          <w:b/>
          <w:sz w:val="20"/>
          <w:szCs w:val="20"/>
        </w:rPr>
        <w:t xml:space="preserve"> cuyo objeto o alcance sea de similar al objeto contractual.</w:t>
      </w:r>
      <w:r w:rsidRPr="001A78E1">
        <w:rPr>
          <w:rFonts w:ascii="Arial" w:hAnsi="Arial" w:cs="Arial"/>
          <w:b/>
          <w:sz w:val="20"/>
          <w:szCs w:val="20"/>
        </w:rPr>
        <w:t xml:space="preserve"> </w:t>
      </w:r>
    </w:p>
    <w:p w14:paraId="1C767EF6" w14:textId="77777777" w:rsidR="00F313CB" w:rsidRPr="001A78E1" w:rsidRDefault="00F313CB" w:rsidP="00F313CB">
      <w:pPr>
        <w:pStyle w:val="Sinespaciado"/>
        <w:jc w:val="both"/>
        <w:rPr>
          <w:rFonts w:ascii="Arial" w:hAnsi="Arial" w:cs="Arial"/>
          <w:b/>
          <w:sz w:val="20"/>
          <w:szCs w:val="20"/>
        </w:rPr>
      </w:pPr>
    </w:p>
    <w:p w14:paraId="08F17172" w14:textId="7A670BF7" w:rsidR="00F313CB" w:rsidRPr="001A78E1" w:rsidRDefault="00F313CB" w:rsidP="00F313CB">
      <w:pPr>
        <w:pStyle w:val="Sinespaciado"/>
        <w:jc w:val="both"/>
        <w:rPr>
          <w:rFonts w:ascii="Arial" w:hAnsi="Arial" w:cs="Arial"/>
          <w:sz w:val="20"/>
          <w:szCs w:val="20"/>
        </w:rPr>
      </w:pPr>
      <w:r w:rsidRPr="001A78E1">
        <w:rPr>
          <w:rFonts w:ascii="Arial" w:hAnsi="Arial" w:cs="Arial"/>
          <w:sz w:val="20"/>
          <w:szCs w:val="20"/>
        </w:rPr>
        <w:t xml:space="preserve">En todo caso en </w:t>
      </w:r>
      <w:r w:rsidR="0029356C">
        <w:rPr>
          <w:rFonts w:ascii="Arial" w:hAnsi="Arial" w:cs="Arial"/>
          <w:sz w:val="20"/>
          <w:szCs w:val="20"/>
        </w:rPr>
        <w:t xml:space="preserve">los </w:t>
      </w:r>
      <w:r w:rsidRPr="001A78E1">
        <w:rPr>
          <w:rFonts w:ascii="Arial" w:hAnsi="Arial" w:cs="Arial"/>
          <w:sz w:val="20"/>
          <w:szCs w:val="20"/>
        </w:rPr>
        <w:t>contrato</w:t>
      </w:r>
      <w:r w:rsidR="0029356C">
        <w:rPr>
          <w:rFonts w:ascii="Arial" w:hAnsi="Arial" w:cs="Arial"/>
          <w:sz w:val="20"/>
          <w:szCs w:val="20"/>
        </w:rPr>
        <w:t>s</w:t>
      </w:r>
      <w:r w:rsidRPr="001A78E1">
        <w:rPr>
          <w:rFonts w:ascii="Arial" w:hAnsi="Arial" w:cs="Arial"/>
          <w:sz w:val="20"/>
          <w:szCs w:val="20"/>
        </w:rPr>
        <w:t xml:space="preserve"> con</w:t>
      </w:r>
      <w:r w:rsidR="0029356C">
        <w:rPr>
          <w:rFonts w:ascii="Arial" w:hAnsi="Arial" w:cs="Arial"/>
          <w:sz w:val="20"/>
          <w:szCs w:val="20"/>
        </w:rPr>
        <w:t xml:space="preserve"> los </w:t>
      </w:r>
      <w:r w:rsidRPr="001A78E1">
        <w:rPr>
          <w:rFonts w:ascii="Arial" w:hAnsi="Arial" w:cs="Arial"/>
          <w:sz w:val="20"/>
          <w:szCs w:val="20"/>
        </w:rPr>
        <w:t>cual</w:t>
      </w:r>
      <w:r w:rsidR="0029356C">
        <w:rPr>
          <w:rFonts w:ascii="Arial" w:hAnsi="Arial" w:cs="Arial"/>
          <w:sz w:val="20"/>
          <w:szCs w:val="20"/>
        </w:rPr>
        <w:t>es se</w:t>
      </w:r>
      <w:r w:rsidRPr="001A78E1">
        <w:rPr>
          <w:rFonts w:ascii="Arial" w:hAnsi="Arial" w:cs="Arial"/>
          <w:sz w:val="20"/>
          <w:szCs w:val="20"/>
        </w:rPr>
        <w:t xml:space="preserve"> acredite la </w:t>
      </w:r>
      <w:r w:rsidRPr="001A78E1">
        <w:rPr>
          <w:rFonts w:ascii="Arial" w:hAnsi="Arial" w:cs="Arial"/>
          <w:b/>
          <w:sz w:val="20"/>
          <w:szCs w:val="20"/>
        </w:rPr>
        <w:t>experiencia específica</w:t>
      </w:r>
      <w:r w:rsidRPr="001A78E1">
        <w:rPr>
          <w:rFonts w:ascii="Arial" w:hAnsi="Arial" w:cs="Arial"/>
          <w:sz w:val="20"/>
          <w:szCs w:val="20"/>
        </w:rPr>
        <w:t>, debe</w:t>
      </w:r>
      <w:r w:rsidR="0029356C">
        <w:rPr>
          <w:rFonts w:ascii="Arial" w:hAnsi="Arial" w:cs="Arial"/>
          <w:sz w:val="20"/>
          <w:szCs w:val="20"/>
        </w:rPr>
        <w:t>n</w:t>
      </w:r>
      <w:r w:rsidRPr="001A78E1">
        <w:rPr>
          <w:rFonts w:ascii="Arial" w:hAnsi="Arial" w:cs="Arial"/>
          <w:sz w:val="20"/>
          <w:szCs w:val="20"/>
        </w:rPr>
        <w:t xml:space="preserve"> ser por valor igual o superior al </w:t>
      </w:r>
      <w:r w:rsidR="0029356C">
        <w:rPr>
          <w:rFonts w:ascii="Arial" w:hAnsi="Arial" w:cs="Arial"/>
          <w:b/>
          <w:sz w:val="20"/>
          <w:szCs w:val="20"/>
        </w:rPr>
        <w:t>10</w:t>
      </w:r>
      <w:r w:rsidR="00C0617D">
        <w:rPr>
          <w:rFonts w:ascii="Arial" w:hAnsi="Arial" w:cs="Arial"/>
          <w:b/>
          <w:sz w:val="20"/>
          <w:szCs w:val="20"/>
        </w:rPr>
        <w:t>0</w:t>
      </w:r>
      <w:r w:rsidRPr="001A78E1">
        <w:rPr>
          <w:rFonts w:ascii="Arial" w:hAnsi="Arial" w:cs="Arial"/>
          <w:b/>
          <w:sz w:val="20"/>
          <w:szCs w:val="20"/>
        </w:rPr>
        <w:t>% del presupuesto oficial</w:t>
      </w:r>
      <w:r w:rsidRPr="001A78E1">
        <w:rPr>
          <w:rFonts w:ascii="Arial" w:hAnsi="Arial" w:cs="Arial"/>
          <w:sz w:val="20"/>
          <w:szCs w:val="20"/>
        </w:rPr>
        <w:t xml:space="preserve"> previsto para esta contratación.</w:t>
      </w:r>
    </w:p>
    <w:p w14:paraId="3199E03B" w14:textId="77777777" w:rsidR="00F313CB" w:rsidRPr="001A78E1" w:rsidRDefault="00F313CB" w:rsidP="00F313CB">
      <w:pPr>
        <w:pStyle w:val="Sinespaciado"/>
        <w:jc w:val="both"/>
        <w:rPr>
          <w:rFonts w:ascii="Arial" w:hAnsi="Arial" w:cs="Arial"/>
          <w:sz w:val="20"/>
          <w:szCs w:val="20"/>
        </w:rPr>
      </w:pPr>
    </w:p>
    <w:p w14:paraId="773C0BA6" w14:textId="77777777" w:rsidR="00F313CB" w:rsidRPr="001A78E1" w:rsidRDefault="00F313CB" w:rsidP="00F313CB">
      <w:pPr>
        <w:autoSpaceDE w:val="0"/>
        <w:autoSpaceDN w:val="0"/>
        <w:adjustRightInd w:val="0"/>
        <w:spacing w:line="240" w:lineRule="auto"/>
        <w:jc w:val="both"/>
        <w:rPr>
          <w:rFonts w:ascii="Arial" w:hAnsi="Arial" w:cs="Arial"/>
          <w:b/>
          <w:sz w:val="20"/>
          <w:szCs w:val="20"/>
        </w:rPr>
      </w:pPr>
      <w:r w:rsidRPr="001A78E1">
        <w:rPr>
          <w:rFonts w:ascii="Arial" w:hAnsi="Arial" w:cs="Arial"/>
          <w:b/>
          <w:sz w:val="20"/>
          <w:szCs w:val="20"/>
          <w:u w:val="single"/>
        </w:rPr>
        <w:t>Acreditación</w:t>
      </w:r>
      <w:r w:rsidRPr="001A78E1">
        <w:rPr>
          <w:rFonts w:ascii="Arial" w:hAnsi="Arial" w:cs="Arial"/>
          <w:b/>
          <w:sz w:val="20"/>
          <w:szCs w:val="20"/>
        </w:rPr>
        <w:t>:</w:t>
      </w:r>
    </w:p>
    <w:p w14:paraId="5597E5CD" w14:textId="77777777" w:rsidR="00F313CB" w:rsidRPr="001A78E1" w:rsidRDefault="00F313CB" w:rsidP="00F313CB">
      <w:pPr>
        <w:numPr>
          <w:ilvl w:val="0"/>
          <w:numId w:val="30"/>
        </w:numPr>
        <w:suppressAutoHyphens/>
        <w:autoSpaceDE w:val="0"/>
        <w:autoSpaceDN w:val="0"/>
        <w:adjustRightInd w:val="0"/>
        <w:spacing w:after="0" w:line="240" w:lineRule="auto"/>
        <w:jc w:val="both"/>
        <w:rPr>
          <w:rFonts w:ascii="Arial" w:hAnsi="Arial" w:cs="Arial"/>
          <w:sz w:val="20"/>
          <w:szCs w:val="20"/>
        </w:rPr>
      </w:pPr>
      <w:r w:rsidRPr="001A78E1">
        <w:rPr>
          <w:rFonts w:ascii="Arial" w:hAnsi="Arial" w:cs="Arial"/>
          <w:b/>
          <w:sz w:val="20"/>
          <w:szCs w:val="20"/>
        </w:rPr>
        <w:t>Persona Natural</w:t>
      </w:r>
      <w:r w:rsidRPr="001A78E1">
        <w:rPr>
          <w:rFonts w:ascii="Arial" w:hAnsi="Arial" w:cs="Arial"/>
          <w:sz w:val="20"/>
          <w:szCs w:val="20"/>
        </w:rPr>
        <w:t>:</w:t>
      </w:r>
    </w:p>
    <w:p w14:paraId="3F57C51C" w14:textId="77777777" w:rsidR="00F313CB" w:rsidRPr="001A78E1" w:rsidRDefault="00F313CB" w:rsidP="00F313CB">
      <w:pPr>
        <w:suppressAutoHyphens/>
        <w:autoSpaceDE w:val="0"/>
        <w:autoSpaceDN w:val="0"/>
        <w:adjustRightInd w:val="0"/>
        <w:spacing w:line="240" w:lineRule="auto"/>
        <w:ind w:left="720"/>
        <w:jc w:val="both"/>
        <w:rPr>
          <w:rFonts w:ascii="Arial" w:hAnsi="Arial" w:cs="Arial"/>
          <w:sz w:val="20"/>
          <w:szCs w:val="20"/>
        </w:rPr>
      </w:pPr>
      <w:r w:rsidRPr="001A78E1">
        <w:rPr>
          <w:rFonts w:ascii="Arial" w:hAnsi="Arial" w:cs="Arial"/>
          <w:sz w:val="20"/>
          <w:szCs w:val="20"/>
        </w:rPr>
        <w:t xml:space="preserve">El proponente deberá acreditar la </w:t>
      </w:r>
      <w:r w:rsidRPr="001A78E1">
        <w:rPr>
          <w:rFonts w:ascii="Arial" w:hAnsi="Arial" w:cs="Arial"/>
          <w:b/>
          <w:sz w:val="20"/>
          <w:szCs w:val="20"/>
        </w:rPr>
        <w:t>experiencia específica</w:t>
      </w:r>
      <w:r w:rsidRPr="001A78E1">
        <w:rPr>
          <w:rFonts w:ascii="Arial" w:hAnsi="Arial" w:cs="Arial"/>
          <w:sz w:val="20"/>
          <w:szCs w:val="20"/>
        </w:rPr>
        <w:t xml:space="preserve">, con </w:t>
      </w:r>
      <w:r w:rsidRPr="001A78E1">
        <w:rPr>
          <w:rFonts w:ascii="Arial" w:hAnsi="Arial" w:cs="Arial"/>
          <w:b/>
          <w:sz w:val="20"/>
          <w:szCs w:val="20"/>
        </w:rPr>
        <w:t>certificaciones de servicios o ejecución de contratos.</w:t>
      </w:r>
      <w:r w:rsidRPr="001A78E1">
        <w:rPr>
          <w:rFonts w:ascii="Arial" w:hAnsi="Arial" w:cs="Arial"/>
          <w:sz w:val="20"/>
          <w:szCs w:val="20"/>
        </w:rPr>
        <w:t xml:space="preserve"> </w:t>
      </w:r>
    </w:p>
    <w:p w14:paraId="2531A2A2" w14:textId="77777777" w:rsidR="00F313CB" w:rsidRPr="001A78E1" w:rsidRDefault="00F313CB" w:rsidP="00F313CB">
      <w:pPr>
        <w:numPr>
          <w:ilvl w:val="0"/>
          <w:numId w:val="30"/>
        </w:numPr>
        <w:autoSpaceDE w:val="0"/>
        <w:autoSpaceDN w:val="0"/>
        <w:adjustRightInd w:val="0"/>
        <w:spacing w:after="0" w:line="240" w:lineRule="auto"/>
        <w:jc w:val="both"/>
        <w:rPr>
          <w:rFonts w:ascii="Arial" w:hAnsi="Arial" w:cs="Arial"/>
          <w:sz w:val="20"/>
          <w:szCs w:val="20"/>
        </w:rPr>
      </w:pPr>
      <w:r w:rsidRPr="001A78E1">
        <w:rPr>
          <w:rFonts w:ascii="Arial" w:hAnsi="Arial" w:cs="Arial"/>
          <w:b/>
          <w:sz w:val="20"/>
          <w:szCs w:val="20"/>
        </w:rPr>
        <w:t>Persona Jurídica</w:t>
      </w:r>
      <w:r w:rsidRPr="001A78E1">
        <w:rPr>
          <w:rFonts w:ascii="Arial" w:hAnsi="Arial" w:cs="Arial"/>
          <w:sz w:val="20"/>
          <w:szCs w:val="20"/>
        </w:rPr>
        <w:t>:</w:t>
      </w:r>
    </w:p>
    <w:p w14:paraId="7C38E40F" w14:textId="77777777" w:rsidR="00F313CB" w:rsidRPr="001A78E1" w:rsidRDefault="00F313CB" w:rsidP="00F313CB">
      <w:pPr>
        <w:spacing w:line="240" w:lineRule="auto"/>
        <w:ind w:left="708"/>
        <w:jc w:val="both"/>
        <w:rPr>
          <w:rFonts w:ascii="Arial" w:hAnsi="Arial" w:cs="Arial"/>
          <w:sz w:val="20"/>
          <w:szCs w:val="20"/>
        </w:rPr>
      </w:pPr>
      <w:r w:rsidRPr="001A78E1">
        <w:rPr>
          <w:rFonts w:ascii="Arial" w:hAnsi="Arial" w:cs="Arial"/>
          <w:sz w:val="20"/>
          <w:szCs w:val="20"/>
        </w:rPr>
        <w:t xml:space="preserve">El proponente deberá acreditar la </w:t>
      </w:r>
      <w:r w:rsidRPr="001A78E1">
        <w:rPr>
          <w:rFonts w:ascii="Arial" w:hAnsi="Arial" w:cs="Arial"/>
          <w:b/>
          <w:sz w:val="20"/>
          <w:szCs w:val="20"/>
        </w:rPr>
        <w:t xml:space="preserve">experiencia específica, </w:t>
      </w:r>
      <w:r w:rsidRPr="001A78E1">
        <w:rPr>
          <w:rFonts w:ascii="Arial" w:hAnsi="Arial" w:cs="Arial"/>
          <w:sz w:val="20"/>
          <w:szCs w:val="20"/>
        </w:rPr>
        <w:t xml:space="preserve">con </w:t>
      </w:r>
      <w:r w:rsidRPr="001A78E1">
        <w:rPr>
          <w:rFonts w:ascii="Arial" w:hAnsi="Arial" w:cs="Arial"/>
          <w:b/>
          <w:sz w:val="20"/>
          <w:szCs w:val="20"/>
        </w:rPr>
        <w:t>certificaciones de servicios o ejecución de contratos</w:t>
      </w:r>
      <w:r w:rsidRPr="001A78E1">
        <w:rPr>
          <w:rFonts w:ascii="Arial" w:hAnsi="Arial" w:cs="Arial"/>
          <w:sz w:val="20"/>
          <w:szCs w:val="20"/>
        </w:rPr>
        <w:t xml:space="preserve"> </w:t>
      </w:r>
    </w:p>
    <w:p w14:paraId="2D921108" w14:textId="77777777" w:rsidR="00F313CB" w:rsidRPr="001A78E1" w:rsidRDefault="00F313CB" w:rsidP="00F313CB">
      <w:pPr>
        <w:pStyle w:val="Sinespaciado"/>
        <w:jc w:val="both"/>
        <w:rPr>
          <w:rFonts w:ascii="Arial" w:hAnsi="Arial" w:cs="Arial"/>
          <w:b/>
          <w:sz w:val="20"/>
          <w:szCs w:val="20"/>
        </w:rPr>
      </w:pPr>
      <w:r w:rsidRPr="001A78E1">
        <w:rPr>
          <w:rFonts w:ascii="Arial" w:hAnsi="Arial" w:cs="Arial"/>
          <w:b/>
          <w:sz w:val="20"/>
          <w:szCs w:val="20"/>
        </w:rPr>
        <w:t>Las certificaciones deberán contener como mínimo:</w:t>
      </w:r>
    </w:p>
    <w:p w14:paraId="57A423DD" w14:textId="77777777" w:rsidR="00F313CB" w:rsidRPr="001A78E1" w:rsidRDefault="00F313CB" w:rsidP="00F313CB">
      <w:pPr>
        <w:pStyle w:val="Sinespaciado"/>
        <w:ind w:firstLine="708"/>
        <w:jc w:val="both"/>
        <w:rPr>
          <w:rFonts w:ascii="Arial" w:hAnsi="Arial" w:cs="Arial"/>
          <w:sz w:val="20"/>
          <w:szCs w:val="20"/>
          <w:lang w:val="es-MX"/>
        </w:rPr>
      </w:pPr>
      <w:r w:rsidRPr="001A78E1">
        <w:rPr>
          <w:rFonts w:ascii="Arial" w:hAnsi="Arial" w:cs="Arial"/>
          <w:sz w:val="20"/>
          <w:szCs w:val="20"/>
          <w:lang w:val="es-MX"/>
        </w:rPr>
        <w:t>Autoridad que emite la certificación</w:t>
      </w:r>
    </w:p>
    <w:p w14:paraId="4F00CBD2" w14:textId="77777777" w:rsidR="00F313CB" w:rsidRPr="001A78E1" w:rsidRDefault="00F313CB" w:rsidP="00F313CB">
      <w:pPr>
        <w:pStyle w:val="Sinespaciado"/>
        <w:ind w:firstLine="708"/>
        <w:jc w:val="both"/>
        <w:rPr>
          <w:rFonts w:ascii="Arial" w:hAnsi="Arial" w:cs="Arial"/>
          <w:sz w:val="20"/>
          <w:szCs w:val="20"/>
          <w:lang w:val="es-MX"/>
        </w:rPr>
      </w:pPr>
      <w:r w:rsidRPr="001A78E1">
        <w:rPr>
          <w:rFonts w:ascii="Arial" w:hAnsi="Arial" w:cs="Arial"/>
          <w:sz w:val="20"/>
          <w:szCs w:val="20"/>
          <w:lang w:val="es-MX"/>
        </w:rPr>
        <w:t>Objeto del contrato</w:t>
      </w:r>
    </w:p>
    <w:p w14:paraId="6C981EC3" w14:textId="77777777" w:rsidR="00F313CB" w:rsidRPr="001A78E1" w:rsidRDefault="00F313CB" w:rsidP="00F313CB">
      <w:pPr>
        <w:pStyle w:val="Sinespaciado"/>
        <w:ind w:firstLine="708"/>
        <w:jc w:val="both"/>
        <w:rPr>
          <w:rFonts w:ascii="Arial" w:hAnsi="Arial" w:cs="Arial"/>
          <w:sz w:val="20"/>
          <w:szCs w:val="20"/>
          <w:lang w:val="es-MX"/>
        </w:rPr>
      </w:pPr>
      <w:r w:rsidRPr="001A78E1">
        <w:rPr>
          <w:rFonts w:ascii="Arial" w:hAnsi="Arial" w:cs="Arial"/>
          <w:sz w:val="20"/>
          <w:szCs w:val="20"/>
          <w:lang w:val="es-MX"/>
        </w:rPr>
        <w:t xml:space="preserve">Presupuesto o valor del contrato </w:t>
      </w:r>
    </w:p>
    <w:p w14:paraId="22E11920" w14:textId="77777777" w:rsidR="00F313CB" w:rsidRPr="001A78E1" w:rsidRDefault="00F313CB" w:rsidP="00F313CB">
      <w:pPr>
        <w:pStyle w:val="Sinespaciado"/>
        <w:ind w:firstLine="708"/>
        <w:jc w:val="both"/>
        <w:rPr>
          <w:rFonts w:ascii="Arial" w:hAnsi="Arial" w:cs="Arial"/>
          <w:sz w:val="20"/>
          <w:szCs w:val="20"/>
          <w:lang w:val="es-MX"/>
        </w:rPr>
      </w:pPr>
      <w:r w:rsidRPr="001A78E1">
        <w:rPr>
          <w:rFonts w:ascii="Arial" w:hAnsi="Arial" w:cs="Arial"/>
          <w:sz w:val="20"/>
          <w:szCs w:val="20"/>
          <w:lang w:val="es-MX"/>
        </w:rPr>
        <w:t>Plazo de ejecución</w:t>
      </w:r>
    </w:p>
    <w:p w14:paraId="308DA4E3"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 xml:space="preserve"> PERSPECTIVA FINANCIERA</w:t>
      </w:r>
    </w:p>
    <w:p w14:paraId="44FB5E26" w14:textId="77777777" w:rsidR="00F313CB" w:rsidRPr="001A78E1" w:rsidRDefault="00F313CB" w:rsidP="00F313CB">
      <w:pPr>
        <w:pStyle w:val="Sinespaciado"/>
        <w:jc w:val="center"/>
        <w:rPr>
          <w:rFonts w:ascii="Arial" w:hAnsi="Arial" w:cs="Arial"/>
          <w:b/>
          <w:sz w:val="20"/>
          <w:szCs w:val="20"/>
        </w:rPr>
      </w:pPr>
    </w:p>
    <w:p w14:paraId="7A57AECB" w14:textId="77777777" w:rsidR="00F313CB" w:rsidRPr="001A78E1" w:rsidRDefault="00F313CB" w:rsidP="00F313CB">
      <w:pPr>
        <w:pStyle w:val="Sinespaciado"/>
        <w:ind w:right="207"/>
        <w:jc w:val="both"/>
        <w:rPr>
          <w:rFonts w:ascii="Arial" w:hAnsi="Arial" w:cs="Arial"/>
          <w:sz w:val="20"/>
          <w:szCs w:val="20"/>
        </w:rPr>
      </w:pPr>
      <w:r w:rsidRPr="001A78E1">
        <w:rPr>
          <w:rFonts w:ascii="Arial" w:hAnsi="Arial" w:cs="Arial"/>
          <w:sz w:val="20"/>
          <w:szCs w:val="20"/>
          <w:lang w:eastAsia="es-ES_tradnl"/>
        </w:rPr>
        <w:t xml:space="preserve">Teniendo en cuenta que el contrato se suscribirá́ bajo la modalidad de </w:t>
      </w:r>
      <w:r w:rsidRPr="001A78E1">
        <w:rPr>
          <w:rFonts w:ascii="Arial" w:hAnsi="Arial" w:cs="Arial"/>
          <w:b/>
          <w:bCs/>
          <w:sz w:val="20"/>
          <w:szCs w:val="20"/>
          <w:lang w:eastAsia="es-ES_tradnl"/>
        </w:rPr>
        <w:t>mínima cuantía</w:t>
      </w:r>
      <w:r w:rsidRPr="001A78E1">
        <w:rPr>
          <w:rFonts w:ascii="Arial" w:hAnsi="Arial" w:cs="Arial"/>
          <w:sz w:val="20"/>
          <w:szCs w:val="20"/>
          <w:lang w:eastAsia="es-ES_tradnl"/>
        </w:rPr>
        <w:t xml:space="preserve"> en el cual no es necesario acreditar requisitos habilitantes de capacidad financiera, esta perspectiva NO APLICA</w:t>
      </w:r>
      <w:r w:rsidRPr="001A78E1">
        <w:rPr>
          <w:rFonts w:ascii="Arial" w:hAnsi="Arial" w:cs="Arial"/>
          <w:sz w:val="20"/>
          <w:szCs w:val="20"/>
        </w:rPr>
        <w:t>.</w:t>
      </w:r>
    </w:p>
    <w:p w14:paraId="077D2095" w14:textId="77777777" w:rsidR="00F313CB" w:rsidRPr="001A78E1" w:rsidRDefault="00F313CB" w:rsidP="00F313CB">
      <w:pPr>
        <w:pStyle w:val="Sinespaciado"/>
        <w:ind w:left="198" w:right="207"/>
        <w:jc w:val="both"/>
        <w:rPr>
          <w:rFonts w:ascii="Arial" w:hAnsi="Arial" w:cs="Arial"/>
          <w:sz w:val="20"/>
          <w:szCs w:val="20"/>
        </w:rPr>
      </w:pPr>
    </w:p>
    <w:p w14:paraId="6657B41E"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PERSPECTIVA ORGANIZACIONAL</w:t>
      </w:r>
    </w:p>
    <w:p w14:paraId="4DA5C162" w14:textId="77777777" w:rsidR="00F313CB" w:rsidRPr="001A78E1" w:rsidRDefault="00F313CB" w:rsidP="00F313CB">
      <w:pPr>
        <w:pStyle w:val="Sinespaciado"/>
        <w:jc w:val="center"/>
        <w:rPr>
          <w:rFonts w:ascii="Arial" w:hAnsi="Arial" w:cs="Arial"/>
          <w:b/>
          <w:sz w:val="20"/>
          <w:szCs w:val="20"/>
        </w:rPr>
      </w:pPr>
    </w:p>
    <w:p w14:paraId="605DEB7D" w14:textId="77777777" w:rsidR="00F313CB" w:rsidRPr="001A78E1" w:rsidRDefault="00F313CB" w:rsidP="00F313CB">
      <w:pPr>
        <w:pStyle w:val="Sinespaciado"/>
        <w:jc w:val="both"/>
        <w:rPr>
          <w:rFonts w:ascii="Arial" w:hAnsi="Arial" w:cs="Arial"/>
          <w:sz w:val="20"/>
          <w:szCs w:val="20"/>
          <w:lang w:eastAsia="es-ES_tradnl"/>
        </w:rPr>
      </w:pPr>
      <w:r w:rsidRPr="001A78E1">
        <w:rPr>
          <w:rFonts w:ascii="Arial" w:hAnsi="Arial" w:cs="Arial"/>
          <w:sz w:val="20"/>
          <w:szCs w:val="20"/>
          <w:lang w:eastAsia="es-ES_tradnl"/>
        </w:rPr>
        <w:t xml:space="preserve">Teniendo en cuenta que el contrato se suscribirá́ bajo la modalidad de </w:t>
      </w:r>
      <w:r w:rsidRPr="001A78E1">
        <w:rPr>
          <w:rFonts w:ascii="Arial" w:hAnsi="Arial" w:cs="Arial"/>
          <w:b/>
          <w:bCs/>
          <w:sz w:val="20"/>
          <w:szCs w:val="20"/>
          <w:lang w:eastAsia="es-ES_tradnl"/>
        </w:rPr>
        <w:t>mínima cuantía</w:t>
      </w:r>
      <w:r w:rsidRPr="001A78E1">
        <w:rPr>
          <w:rFonts w:ascii="Arial" w:hAnsi="Arial" w:cs="Arial"/>
          <w:sz w:val="20"/>
          <w:szCs w:val="20"/>
          <w:lang w:eastAsia="es-ES_tradnl"/>
        </w:rPr>
        <w:t xml:space="preserve"> en el cual no es necesario acreditar requisitos habilitantes de capacidad organizacional, esta perspectiva NO APLICA</w:t>
      </w:r>
    </w:p>
    <w:p w14:paraId="32E71A12" w14:textId="77777777" w:rsidR="00F313CB" w:rsidRPr="001A78E1" w:rsidRDefault="00F313CB" w:rsidP="00F313CB">
      <w:pPr>
        <w:pStyle w:val="Sinespaciado"/>
        <w:jc w:val="center"/>
        <w:rPr>
          <w:rFonts w:ascii="Arial" w:hAnsi="Arial" w:cs="Arial"/>
          <w:b/>
          <w:sz w:val="20"/>
          <w:szCs w:val="20"/>
        </w:rPr>
      </w:pPr>
      <w:r w:rsidRPr="001A78E1">
        <w:rPr>
          <w:rFonts w:ascii="Arial" w:hAnsi="Arial" w:cs="Arial"/>
          <w:b/>
          <w:sz w:val="20"/>
          <w:szCs w:val="20"/>
        </w:rPr>
        <w:t>PERSPECTIVA TÉCNICA</w:t>
      </w:r>
    </w:p>
    <w:p w14:paraId="66DFE08E" w14:textId="77777777" w:rsidR="00F313CB" w:rsidRPr="001A78E1" w:rsidRDefault="00F313CB" w:rsidP="00F313CB">
      <w:pPr>
        <w:pStyle w:val="Sinespaciado"/>
        <w:jc w:val="center"/>
        <w:rPr>
          <w:rFonts w:ascii="Arial" w:hAnsi="Arial" w:cs="Arial"/>
          <w:b/>
          <w:sz w:val="20"/>
          <w:szCs w:val="20"/>
        </w:rPr>
      </w:pPr>
    </w:p>
    <w:p w14:paraId="3867438D" w14:textId="4CA19727" w:rsidR="00F313CB" w:rsidRPr="001A78E1" w:rsidRDefault="00F313CB" w:rsidP="00F313CB">
      <w:pPr>
        <w:pStyle w:val="Sinespaciado"/>
        <w:jc w:val="both"/>
        <w:rPr>
          <w:rFonts w:ascii="Arial" w:hAnsi="Arial" w:cs="Arial"/>
          <w:bCs/>
          <w:sz w:val="20"/>
          <w:szCs w:val="20"/>
        </w:rPr>
      </w:pPr>
      <w:r w:rsidRPr="001A78E1">
        <w:rPr>
          <w:rFonts w:ascii="Arial" w:hAnsi="Arial" w:cs="Arial"/>
          <w:bCs/>
          <w:sz w:val="20"/>
          <w:szCs w:val="20"/>
        </w:rPr>
        <w:t>Para dar cumplimiento a lo solicitado por la entidad, es necesario suministrar las licencias establecidas por la ficha técnica, su descripción y las características técnicas mencionadas</w:t>
      </w:r>
      <w:r w:rsidR="00575056">
        <w:rPr>
          <w:rFonts w:ascii="Arial" w:hAnsi="Arial" w:cs="Arial"/>
          <w:bCs/>
          <w:sz w:val="20"/>
          <w:szCs w:val="20"/>
        </w:rPr>
        <w:t>.</w:t>
      </w:r>
    </w:p>
    <w:p w14:paraId="6C974ACB" w14:textId="77777777" w:rsidR="00F313CB" w:rsidRPr="001A78E1" w:rsidRDefault="00F313CB" w:rsidP="00F313CB">
      <w:pPr>
        <w:pStyle w:val="Sinespaciado"/>
        <w:jc w:val="both"/>
        <w:rPr>
          <w:rFonts w:ascii="Arial" w:hAnsi="Arial" w:cs="Arial"/>
          <w:bCs/>
          <w:sz w:val="20"/>
          <w:szCs w:val="20"/>
        </w:rPr>
      </w:pPr>
    </w:p>
    <w:p w14:paraId="651FA42F" w14:textId="77777777" w:rsidR="00F313CB" w:rsidRDefault="00F313CB" w:rsidP="00F313CB">
      <w:pPr>
        <w:pStyle w:val="Sinespaciado"/>
        <w:jc w:val="center"/>
        <w:rPr>
          <w:rFonts w:ascii="Arial" w:hAnsi="Arial" w:cs="Arial"/>
          <w:b/>
          <w:sz w:val="20"/>
          <w:szCs w:val="20"/>
        </w:rPr>
      </w:pPr>
      <w:r w:rsidRPr="001A78E1">
        <w:rPr>
          <w:rFonts w:ascii="Arial" w:hAnsi="Arial" w:cs="Arial"/>
          <w:b/>
          <w:sz w:val="20"/>
          <w:szCs w:val="20"/>
        </w:rPr>
        <w:t>ANALISIS DEL RIESGO</w:t>
      </w:r>
    </w:p>
    <w:p w14:paraId="50AB733E" w14:textId="77777777" w:rsidR="007670BE" w:rsidRPr="001A78E1" w:rsidRDefault="007670BE" w:rsidP="00F313CB">
      <w:pPr>
        <w:pStyle w:val="Sinespaciado"/>
        <w:jc w:val="center"/>
        <w:rPr>
          <w:rFonts w:ascii="Arial" w:hAnsi="Arial" w:cs="Arial"/>
          <w:b/>
          <w:sz w:val="20"/>
          <w:szCs w:val="20"/>
        </w:rPr>
      </w:pPr>
    </w:p>
    <w:p w14:paraId="29F3F18F" w14:textId="77777777" w:rsidR="0029356C" w:rsidRPr="0067247C" w:rsidRDefault="0029356C" w:rsidP="0029356C">
      <w:pPr>
        <w:autoSpaceDE w:val="0"/>
        <w:autoSpaceDN w:val="0"/>
        <w:adjustRightInd w:val="0"/>
        <w:spacing w:after="0" w:line="240" w:lineRule="auto"/>
        <w:jc w:val="both"/>
        <w:rPr>
          <w:rFonts w:ascii="Arial" w:hAnsi="Arial" w:cs="Arial"/>
          <w:sz w:val="20"/>
          <w:szCs w:val="20"/>
        </w:rPr>
      </w:pPr>
      <w:r w:rsidRPr="0067247C">
        <w:rPr>
          <w:rFonts w:ascii="Arial" w:hAnsi="Arial" w:cs="Arial"/>
          <w:sz w:val="20"/>
          <w:szCs w:val="20"/>
        </w:rPr>
        <w:t>A partir del objeto del contrato se pueden prever varios tipos de riesgos o circunstancias que afecten la ejecución del mismo: son intrínsecos al contrato comprenden todas las formas de incumplimiento de las condiciones contractuales, de las circunstancias de ejecución que puedan afectarlas y los efectos que se pueden producir a partir de la ejecución del contrato: A. Incumplimiento de las obligaciones contractuales por parte del contratista seleccionado. Este riesgo deberá ser asumido por el contratista, con el fin de prevenir posibles incumplimientos se podrán establecer multas para apremiar el cumplimiento, y en caso de que se materialice un riesgo para mitigar el impacto o consecuencias de éste se considera pertinente la implementación de los mecanismos de cobertura establecidos en la ley. B. Ineficiente prestación del servicio. Este riesgo deberá ser asumido por el contratista, con el fin de garantizar la calidad en el servicio prestado, y en caso de que se materialice un riesgo para mitigar el impacto o consecuencias de éste se considera pertinente la implementación de los mecanismos de cobertura establecidos en la ley.</w:t>
      </w:r>
    </w:p>
    <w:p w14:paraId="626DBFC8" w14:textId="77777777" w:rsidR="0029356C" w:rsidRPr="0067247C" w:rsidRDefault="0029356C" w:rsidP="0029356C">
      <w:pPr>
        <w:spacing w:after="0" w:line="240" w:lineRule="auto"/>
        <w:rPr>
          <w:rFonts w:ascii="Arial" w:hAnsi="Arial" w:cs="Arial"/>
          <w:sz w:val="20"/>
          <w:szCs w:val="20"/>
        </w:rPr>
      </w:pPr>
    </w:p>
    <w:p w14:paraId="27634887" w14:textId="77777777" w:rsidR="0029356C" w:rsidRPr="0067247C" w:rsidRDefault="0029356C" w:rsidP="0029356C">
      <w:pPr>
        <w:spacing w:after="0" w:line="240" w:lineRule="auto"/>
        <w:rPr>
          <w:rFonts w:ascii="Arial" w:hAnsi="Arial" w:cs="Arial"/>
          <w:sz w:val="20"/>
          <w:szCs w:val="20"/>
        </w:rPr>
      </w:pPr>
      <w:r w:rsidRPr="0067247C">
        <w:rPr>
          <w:rFonts w:ascii="Arial" w:hAnsi="Arial" w:cs="Arial"/>
          <w:sz w:val="20"/>
          <w:szCs w:val="20"/>
        </w:rPr>
        <w:t xml:space="preserve">" Tabla 1 — Matriz de Riesgo":  </w:t>
      </w:r>
    </w:p>
    <w:p w14:paraId="26E239F6" w14:textId="77777777" w:rsidR="0029356C" w:rsidRPr="0067247C" w:rsidRDefault="0029356C" w:rsidP="0029356C">
      <w:pPr>
        <w:spacing w:after="0" w:line="240" w:lineRule="auto"/>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366"/>
        <w:gridCol w:w="384"/>
        <w:gridCol w:w="383"/>
        <w:gridCol w:w="383"/>
        <w:gridCol w:w="606"/>
        <w:gridCol w:w="3228"/>
        <w:gridCol w:w="1967"/>
        <w:gridCol w:w="252"/>
        <w:gridCol w:w="383"/>
        <w:gridCol w:w="252"/>
        <w:gridCol w:w="383"/>
        <w:gridCol w:w="383"/>
        <w:gridCol w:w="380"/>
      </w:tblGrid>
      <w:tr w:rsidR="0029356C" w:rsidRPr="00B27593" w14:paraId="5C65B395" w14:textId="77777777" w:rsidTr="00FA1A3A">
        <w:trPr>
          <w:trHeight w:val="810"/>
        </w:trPr>
        <w:tc>
          <w:tcPr>
            <w:tcW w:w="195"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4FD660D1"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N</w:t>
            </w:r>
          </w:p>
        </w:tc>
        <w:tc>
          <w:tcPr>
            <w:tcW w:w="205"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6E4D1295"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Clase</w:t>
            </w:r>
          </w:p>
        </w:tc>
        <w:tc>
          <w:tcPr>
            <w:tcW w:w="205"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1DCEC41C"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Fuente</w:t>
            </w:r>
          </w:p>
        </w:tc>
        <w:tc>
          <w:tcPr>
            <w:tcW w:w="205"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204621E4"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Etapa</w:t>
            </w:r>
          </w:p>
        </w:tc>
        <w:tc>
          <w:tcPr>
            <w:tcW w:w="324"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3D8EF8C0"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Tipo</w:t>
            </w:r>
          </w:p>
        </w:tc>
        <w:tc>
          <w:tcPr>
            <w:tcW w:w="1726"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30E9BE2F"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Descripción (Qué puede pasar y, cómo puede ocurrir)</w:t>
            </w:r>
          </w:p>
        </w:tc>
        <w:tc>
          <w:tcPr>
            <w:tcW w:w="1052" w:type="pct"/>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1231E226"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Consecuencia de la ocurrencia del evento</w:t>
            </w:r>
          </w:p>
        </w:tc>
        <w:tc>
          <w:tcPr>
            <w:tcW w:w="340" w:type="pct"/>
            <w:gridSpan w:val="2"/>
            <w:vMerge w:val="restart"/>
            <w:tcBorders>
              <w:top w:val="single" w:sz="4" w:space="0" w:color="auto"/>
              <w:left w:val="single" w:sz="4" w:space="0" w:color="auto"/>
              <w:bottom w:val="single" w:sz="4" w:space="0" w:color="auto"/>
              <w:right w:val="single" w:sz="4" w:space="0" w:color="auto"/>
            </w:tcBorders>
            <w:shd w:val="clear" w:color="000000" w:fill="4BACC6"/>
            <w:textDirection w:val="btLr"/>
            <w:vAlign w:val="center"/>
            <w:hideMark/>
          </w:tcPr>
          <w:p w14:paraId="1EBD93D0"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Probabilidad</w:t>
            </w:r>
          </w:p>
        </w:tc>
        <w:tc>
          <w:tcPr>
            <w:tcW w:w="340" w:type="pct"/>
            <w:gridSpan w:val="2"/>
            <w:vMerge w:val="restart"/>
            <w:tcBorders>
              <w:top w:val="single" w:sz="4" w:space="0" w:color="auto"/>
              <w:left w:val="single" w:sz="4" w:space="0" w:color="auto"/>
              <w:bottom w:val="single" w:sz="4" w:space="0" w:color="auto"/>
              <w:right w:val="single" w:sz="4" w:space="0" w:color="auto"/>
            </w:tcBorders>
            <w:shd w:val="clear" w:color="000000" w:fill="4BACC6"/>
            <w:textDirection w:val="btLr"/>
            <w:vAlign w:val="center"/>
            <w:hideMark/>
          </w:tcPr>
          <w:p w14:paraId="69DC5B64"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Impacto</w:t>
            </w:r>
          </w:p>
        </w:tc>
        <w:tc>
          <w:tcPr>
            <w:tcW w:w="205"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45AAFA72"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Valoración del riesgo</w:t>
            </w:r>
          </w:p>
        </w:tc>
        <w:tc>
          <w:tcPr>
            <w:tcW w:w="204" w:type="pct"/>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4B56CF90" w14:textId="77777777" w:rsidR="0029356C" w:rsidRPr="00B27593" w:rsidRDefault="0029356C" w:rsidP="00FA1A3A">
            <w:pPr>
              <w:spacing w:after="0" w:line="240" w:lineRule="auto"/>
              <w:jc w:val="center"/>
              <w:rPr>
                <w:rFonts w:ascii="Arial" w:hAnsi="Arial" w:cs="Arial"/>
                <w:b/>
                <w:bCs/>
                <w:color w:val="000000"/>
                <w:sz w:val="18"/>
                <w:szCs w:val="18"/>
                <w:lang w:eastAsia="es-CO"/>
              </w:rPr>
            </w:pPr>
            <w:r w:rsidRPr="00B27593">
              <w:rPr>
                <w:rFonts w:ascii="Arial" w:hAnsi="Arial" w:cs="Arial"/>
                <w:b/>
                <w:bCs/>
                <w:color w:val="000000"/>
                <w:sz w:val="18"/>
                <w:szCs w:val="18"/>
                <w:lang w:eastAsia="es-CO"/>
              </w:rPr>
              <w:t>Categoría</w:t>
            </w:r>
          </w:p>
        </w:tc>
      </w:tr>
      <w:tr w:rsidR="0029356C" w:rsidRPr="00B27593" w14:paraId="724A30CE" w14:textId="77777777" w:rsidTr="00FA1A3A">
        <w:trPr>
          <w:trHeight w:val="1170"/>
        </w:trPr>
        <w:tc>
          <w:tcPr>
            <w:tcW w:w="195" w:type="pct"/>
            <w:vMerge/>
            <w:tcBorders>
              <w:top w:val="single" w:sz="4" w:space="0" w:color="auto"/>
              <w:left w:val="single" w:sz="4" w:space="0" w:color="auto"/>
              <w:bottom w:val="single" w:sz="4" w:space="0" w:color="000000"/>
              <w:right w:val="single" w:sz="4" w:space="0" w:color="auto"/>
            </w:tcBorders>
            <w:vAlign w:val="center"/>
            <w:hideMark/>
          </w:tcPr>
          <w:p w14:paraId="44A74707"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205" w:type="pct"/>
            <w:vMerge/>
            <w:tcBorders>
              <w:top w:val="single" w:sz="4" w:space="0" w:color="auto"/>
              <w:left w:val="single" w:sz="4" w:space="0" w:color="auto"/>
              <w:bottom w:val="single" w:sz="4" w:space="0" w:color="000000"/>
              <w:right w:val="single" w:sz="4" w:space="0" w:color="auto"/>
            </w:tcBorders>
            <w:vAlign w:val="center"/>
            <w:hideMark/>
          </w:tcPr>
          <w:p w14:paraId="605CA099"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205" w:type="pct"/>
            <w:vMerge/>
            <w:tcBorders>
              <w:top w:val="single" w:sz="4" w:space="0" w:color="auto"/>
              <w:left w:val="single" w:sz="4" w:space="0" w:color="auto"/>
              <w:bottom w:val="single" w:sz="4" w:space="0" w:color="000000"/>
              <w:right w:val="single" w:sz="4" w:space="0" w:color="auto"/>
            </w:tcBorders>
            <w:vAlign w:val="center"/>
            <w:hideMark/>
          </w:tcPr>
          <w:p w14:paraId="5C89EB3E"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205" w:type="pct"/>
            <w:vMerge/>
            <w:tcBorders>
              <w:top w:val="single" w:sz="4" w:space="0" w:color="auto"/>
              <w:left w:val="single" w:sz="4" w:space="0" w:color="auto"/>
              <w:bottom w:val="single" w:sz="4" w:space="0" w:color="000000"/>
              <w:right w:val="single" w:sz="4" w:space="0" w:color="auto"/>
            </w:tcBorders>
            <w:vAlign w:val="center"/>
            <w:hideMark/>
          </w:tcPr>
          <w:p w14:paraId="32128550"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324" w:type="pct"/>
            <w:vMerge/>
            <w:tcBorders>
              <w:top w:val="single" w:sz="4" w:space="0" w:color="auto"/>
              <w:left w:val="single" w:sz="4" w:space="0" w:color="auto"/>
              <w:bottom w:val="single" w:sz="4" w:space="0" w:color="000000"/>
              <w:right w:val="single" w:sz="4" w:space="0" w:color="auto"/>
            </w:tcBorders>
            <w:vAlign w:val="center"/>
            <w:hideMark/>
          </w:tcPr>
          <w:p w14:paraId="0B911519"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1726" w:type="pct"/>
            <w:vMerge/>
            <w:tcBorders>
              <w:top w:val="single" w:sz="4" w:space="0" w:color="auto"/>
              <w:left w:val="single" w:sz="4" w:space="0" w:color="auto"/>
              <w:bottom w:val="single" w:sz="4" w:space="0" w:color="000000"/>
              <w:right w:val="single" w:sz="4" w:space="0" w:color="auto"/>
            </w:tcBorders>
            <w:vAlign w:val="center"/>
            <w:hideMark/>
          </w:tcPr>
          <w:p w14:paraId="57E31B0D" w14:textId="77777777" w:rsidR="0029356C" w:rsidRPr="00B27593" w:rsidRDefault="0029356C" w:rsidP="00FA1A3A">
            <w:pPr>
              <w:spacing w:after="0" w:line="240" w:lineRule="auto"/>
              <w:jc w:val="both"/>
              <w:rPr>
                <w:rFonts w:ascii="Arial" w:hAnsi="Arial" w:cs="Arial"/>
                <w:b/>
                <w:bCs/>
                <w:color w:val="000000"/>
                <w:sz w:val="18"/>
                <w:szCs w:val="18"/>
                <w:lang w:eastAsia="es-CO"/>
              </w:rPr>
            </w:pPr>
          </w:p>
        </w:tc>
        <w:tc>
          <w:tcPr>
            <w:tcW w:w="1052" w:type="pct"/>
            <w:vMerge/>
            <w:tcBorders>
              <w:top w:val="single" w:sz="4" w:space="0" w:color="auto"/>
              <w:left w:val="single" w:sz="4" w:space="0" w:color="auto"/>
              <w:bottom w:val="single" w:sz="4" w:space="0" w:color="000000"/>
              <w:right w:val="single" w:sz="4" w:space="0" w:color="auto"/>
            </w:tcBorders>
            <w:vAlign w:val="center"/>
            <w:hideMark/>
          </w:tcPr>
          <w:p w14:paraId="3E9199B0"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340" w:type="pct"/>
            <w:gridSpan w:val="2"/>
            <w:vMerge/>
            <w:tcBorders>
              <w:top w:val="single" w:sz="4" w:space="0" w:color="auto"/>
              <w:left w:val="single" w:sz="4" w:space="0" w:color="auto"/>
              <w:bottom w:val="single" w:sz="4" w:space="0" w:color="auto"/>
              <w:right w:val="single" w:sz="4" w:space="0" w:color="auto"/>
            </w:tcBorders>
            <w:vAlign w:val="center"/>
            <w:hideMark/>
          </w:tcPr>
          <w:p w14:paraId="72C1D837"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340" w:type="pct"/>
            <w:gridSpan w:val="2"/>
            <w:vMerge/>
            <w:tcBorders>
              <w:top w:val="single" w:sz="4" w:space="0" w:color="auto"/>
              <w:left w:val="single" w:sz="4" w:space="0" w:color="auto"/>
              <w:bottom w:val="single" w:sz="4" w:space="0" w:color="auto"/>
              <w:right w:val="single" w:sz="4" w:space="0" w:color="auto"/>
            </w:tcBorders>
            <w:vAlign w:val="center"/>
            <w:hideMark/>
          </w:tcPr>
          <w:p w14:paraId="1190A9AC"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205" w:type="pct"/>
            <w:vMerge/>
            <w:tcBorders>
              <w:top w:val="single" w:sz="4" w:space="0" w:color="auto"/>
              <w:left w:val="single" w:sz="4" w:space="0" w:color="auto"/>
              <w:bottom w:val="single" w:sz="4" w:space="0" w:color="000000"/>
              <w:right w:val="single" w:sz="4" w:space="0" w:color="auto"/>
            </w:tcBorders>
            <w:vAlign w:val="center"/>
            <w:hideMark/>
          </w:tcPr>
          <w:p w14:paraId="75C9F057" w14:textId="77777777" w:rsidR="0029356C" w:rsidRPr="00B27593" w:rsidRDefault="0029356C" w:rsidP="00FA1A3A">
            <w:pPr>
              <w:spacing w:after="0" w:line="240" w:lineRule="auto"/>
              <w:rPr>
                <w:rFonts w:ascii="Arial" w:hAnsi="Arial" w:cs="Arial"/>
                <w:b/>
                <w:bCs/>
                <w:color w:val="000000"/>
                <w:sz w:val="18"/>
                <w:szCs w:val="18"/>
                <w:lang w:eastAsia="es-CO"/>
              </w:rPr>
            </w:pPr>
          </w:p>
        </w:tc>
        <w:tc>
          <w:tcPr>
            <w:tcW w:w="204" w:type="pct"/>
            <w:vMerge/>
            <w:tcBorders>
              <w:top w:val="single" w:sz="4" w:space="0" w:color="auto"/>
              <w:left w:val="single" w:sz="4" w:space="0" w:color="auto"/>
              <w:bottom w:val="single" w:sz="4" w:space="0" w:color="000000"/>
              <w:right w:val="single" w:sz="4" w:space="0" w:color="auto"/>
            </w:tcBorders>
            <w:vAlign w:val="center"/>
            <w:hideMark/>
          </w:tcPr>
          <w:p w14:paraId="5F163709" w14:textId="77777777" w:rsidR="0029356C" w:rsidRPr="00B27593" w:rsidRDefault="0029356C" w:rsidP="00FA1A3A">
            <w:pPr>
              <w:spacing w:after="0" w:line="240" w:lineRule="auto"/>
              <w:rPr>
                <w:rFonts w:ascii="Arial" w:hAnsi="Arial" w:cs="Arial"/>
                <w:b/>
                <w:bCs/>
                <w:color w:val="000000"/>
                <w:sz w:val="18"/>
                <w:szCs w:val="18"/>
                <w:lang w:eastAsia="es-CO"/>
              </w:rPr>
            </w:pPr>
          </w:p>
        </w:tc>
      </w:tr>
      <w:tr w:rsidR="0029356C" w:rsidRPr="00B27593" w14:paraId="3C8FD755" w14:textId="77777777" w:rsidTr="00FA1A3A">
        <w:trPr>
          <w:trHeight w:val="1499"/>
        </w:trPr>
        <w:tc>
          <w:tcPr>
            <w:tcW w:w="195" w:type="pct"/>
            <w:tcBorders>
              <w:top w:val="nil"/>
              <w:left w:val="single" w:sz="4" w:space="0" w:color="000000"/>
              <w:bottom w:val="single" w:sz="4" w:space="0" w:color="000000"/>
              <w:right w:val="single" w:sz="4" w:space="0" w:color="000000"/>
            </w:tcBorders>
            <w:vAlign w:val="center"/>
            <w:hideMark/>
          </w:tcPr>
          <w:p w14:paraId="233F3531"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4AE8511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4D7B093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041C54A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4DE73DF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ECONOMICO</w:t>
            </w:r>
          </w:p>
        </w:tc>
        <w:tc>
          <w:tcPr>
            <w:tcW w:w="1726" w:type="pct"/>
            <w:tcBorders>
              <w:top w:val="nil"/>
              <w:left w:val="nil"/>
              <w:bottom w:val="single" w:sz="4" w:space="0" w:color="000000"/>
              <w:right w:val="single" w:sz="4" w:space="0" w:color="000000"/>
            </w:tcBorders>
            <w:vAlign w:val="center"/>
            <w:hideMark/>
          </w:tcPr>
          <w:p w14:paraId="3B40FD47"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Incremento de los Precios</w:t>
            </w:r>
            <w:r w:rsidRPr="00B27593">
              <w:rPr>
                <w:rFonts w:ascii="Arial" w:hAnsi="Arial" w:cs="Arial"/>
                <w:sz w:val="18"/>
                <w:szCs w:val="18"/>
                <w:lang w:eastAsia="es-CO"/>
              </w:rPr>
              <w:br/>
              <w:t>(Se deriva de los efectos provenientes de las tasas de interés, de cambio, devaluación real  y  otras  variables  del mercado frente  a las estimaciones iniciales del contratista, que puedan afectar las utilidades esperadas o generar pérdidas)</w:t>
            </w:r>
          </w:p>
        </w:tc>
        <w:tc>
          <w:tcPr>
            <w:tcW w:w="1052" w:type="pct"/>
            <w:tcBorders>
              <w:top w:val="nil"/>
              <w:left w:val="nil"/>
              <w:bottom w:val="single" w:sz="4" w:space="0" w:color="000000"/>
              <w:right w:val="single" w:sz="4" w:space="0" w:color="000000"/>
            </w:tcBorders>
            <w:vAlign w:val="center"/>
            <w:hideMark/>
          </w:tcPr>
          <w:p w14:paraId="474170BF"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348F351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74F3934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3F671823"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7115D9D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6E53193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04FB6CF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5F6EA233" w14:textId="77777777" w:rsidTr="0029356C">
        <w:trPr>
          <w:trHeight w:val="918"/>
        </w:trPr>
        <w:tc>
          <w:tcPr>
            <w:tcW w:w="195" w:type="pct"/>
            <w:tcBorders>
              <w:top w:val="nil"/>
              <w:left w:val="single" w:sz="4" w:space="0" w:color="000000"/>
              <w:bottom w:val="single" w:sz="4" w:space="0" w:color="000000"/>
              <w:right w:val="single" w:sz="4" w:space="0" w:color="000000"/>
            </w:tcBorders>
            <w:vAlign w:val="center"/>
            <w:hideMark/>
          </w:tcPr>
          <w:p w14:paraId="7544BA0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68A1C32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20C8D84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541E1A9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21EE39C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ECONÓMICO</w:t>
            </w:r>
          </w:p>
        </w:tc>
        <w:tc>
          <w:tcPr>
            <w:tcW w:w="1726" w:type="pct"/>
            <w:tcBorders>
              <w:top w:val="nil"/>
              <w:left w:val="nil"/>
              <w:bottom w:val="single" w:sz="4" w:space="0" w:color="000000"/>
              <w:right w:val="single" w:sz="4" w:space="0" w:color="000000"/>
            </w:tcBorders>
            <w:vAlign w:val="center"/>
            <w:hideMark/>
          </w:tcPr>
          <w:p w14:paraId="4B2AEF2A"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Error en el análisis de los precios a ofertar</w:t>
            </w:r>
            <w:r w:rsidRPr="00B27593">
              <w:rPr>
                <w:rFonts w:ascii="Arial" w:hAnsi="Arial" w:cs="Arial"/>
                <w:sz w:val="18"/>
                <w:szCs w:val="18"/>
                <w:lang w:eastAsia="es-CO"/>
              </w:rPr>
              <w:br/>
              <w:t xml:space="preserve">(Análisis   insuficiente de los precios unitarios  ofrecidos  por  el  contratista  en cuanto a materiales,  mano de obra, equipos y transporte) </w:t>
            </w:r>
          </w:p>
        </w:tc>
        <w:tc>
          <w:tcPr>
            <w:tcW w:w="1052" w:type="pct"/>
            <w:tcBorders>
              <w:top w:val="nil"/>
              <w:left w:val="nil"/>
              <w:bottom w:val="single" w:sz="4" w:space="0" w:color="000000"/>
              <w:right w:val="single" w:sz="4" w:space="0" w:color="000000"/>
            </w:tcBorders>
            <w:vAlign w:val="center"/>
            <w:hideMark/>
          </w:tcPr>
          <w:p w14:paraId="49260BBA"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539CC6DF"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40862CD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7673B13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4F6254C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0E7806"/>
            <w:vAlign w:val="center"/>
            <w:hideMark/>
          </w:tcPr>
          <w:p w14:paraId="0A5B79B7"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4</w:t>
            </w:r>
          </w:p>
        </w:tc>
        <w:tc>
          <w:tcPr>
            <w:tcW w:w="204" w:type="pct"/>
            <w:tcBorders>
              <w:top w:val="nil"/>
              <w:left w:val="nil"/>
              <w:bottom w:val="single" w:sz="4" w:space="0" w:color="000000"/>
              <w:right w:val="single" w:sz="4" w:space="0" w:color="000000"/>
            </w:tcBorders>
            <w:textDirection w:val="btLr"/>
            <w:vAlign w:val="center"/>
            <w:hideMark/>
          </w:tcPr>
          <w:p w14:paraId="72591B0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38D60B4E" w14:textId="77777777" w:rsidTr="0029356C">
        <w:trPr>
          <w:trHeight w:val="1631"/>
        </w:trPr>
        <w:tc>
          <w:tcPr>
            <w:tcW w:w="195" w:type="pct"/>
            <w:tcBorders>
              <w:top w:val="nil"/>
              <w:left w:val="single" w:sz="4" w:space="0" w:color="000000"/>
              <w:bottom w:val="single" w:sz="4" w:space="0" w:color="000000"/>
              <w:right w:val="single" w:sz="4" w:space="0" w:color="000000"/>
            </w:tcBorders>
            <w:vAlign w:val="center"/>
            <w:hideMark/>
          </w:tcPr>
          <w:p w14:paraId="32516375"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lastRenderedPageBreak/>
              <w:t>3</w:t>
            </w:r>
          </w:p>
        </w:tc>
        <w:tc>
          <w:tcPr>
            <w:tcW w:w="205" w:type="pct"/>
            <w:tcBorders>
              <w:top w:val="nil"/>
              <w:left w:val="nil"/>
              <w:bottom w:val="single" w:sz="4" w:space="0" w:color="000000"/>
              <w:right w:val="single" w:sz="4" w:space="0" w:color="000000"/>
            </w:tcBorders>
            <w:textDirection w:val="btLr"/>
            <w:vAlign w:val="center"/>
            <w:hideMark/>
          </w:tcPr>
          <w:p w14:paraId="77614CA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6AC78C7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0465C38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4F0AA7F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SOCIAL O POLÍTICO</w:t>
            </w:r>
          </w:p>
        </w:tc>
        <w:tc>
          <w:tcPr>
            <w:tcW w:w="1726" w:type="pct"/>
            <w:tcBorders>
              <w:top w:val="nil"/>
              <w:left w:val="nil"/>
              <w:bottom w:val="single" w:sz="4" w:space="0" w:color="000000"/>
              <w:right w:val="single" w:sz="4" w:space="0" w:color="000000"/>
            </w:tcBorders>
            <w:vAlign w:val="center"/>
            <w:hideMark/>
          </w:tcPr>
          <w:p w14:paraId="66DBC3F1"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 xml:space="preserve">Cambios de las políticas gubernamentales  </w:t>
            </w:r>
          </w:p>
        </w:tc>
        <w:tc>
          <w:tcPr>
            <w:tcW w:w="1052" w:type="pct"/>
            <w:tcBorders>
              <w:top w:val="nil"/>
              <w:left w:val="nil"/>
              <w:bottom w:val="single" w:sz="4" w:space="0" w:color="000000"/>
              <w:right w:val="single" w:sz="4" w:space="0" w:color="000000"/>
            </w:tcBorders>
            <w:vAlign w:val="center"/>
            <w:hideMark/>
          </w:tcPr>
          <w:p w14:paraId="17F8DA62"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suspende el proceso y se revisan los precios en cuanto a su APU.</w:t>
            </w:r>
          </w:p>
        </w:tc>
        <w:tc>
          <w:tcPr>
            <w:tcW w:w="135" w:type="pct"/>
            <w:tcBorders>
              <w:top w:val="nil"/>
              <w:left w:val="nil"/>
              <w:bottom w:val="single" w:sz="4" w:space="0" w:color="000000"/>
              <w:right w:val="single" w:sz="4" w:space="0" w:color="000000"/>
            </w:tcBorders>
            <w:vAlign w:val="center"/>
            <w:hideMark/>
          </w:tcPr>
          <w:p w14:paraId="40DE8F4F"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352C9BE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0B658400"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5085A56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3226489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01BC88B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7720734D" w14:textId="77777777" w:rsidTr="0029356C">
        <w:trPr>
          <w:trHeight w:val="1686"/>
        </w:trPr>
        <w:tc>
          <w:tcPr>
            <w:tcW w:w="195" w:type="pct"/>
            <w:tcBorders>
              <w:top w:val="nil"/>
              <w:left w:val="single" w:sz="4" w:space="0" w:color="000000"/>
              <w:bottom w:val="single" w:sz="4" w:space="0" w:color="000000"/>
              <w:right w:val="single" w:sz="4" w:space="0" w:color="000000"/>
            </w:tcBorders>
            <w:vAlign w:val="center"/>
            <w:hideMark/>
          </w:tcPr>
          <w:p w14:paraId="067C90F9"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4</w:t>
            </w:r>
          </w:p>
        </w:tc>
        <w:tc>
          <w:tcPr>
            <w:tcW w:w="205" w:type="pct"/>
            <w:tcBorders>
              <w:top w:val="nil"/>
              <w:left w:val="nil"/>
              <w:bottom w:val="single" w:sz="4" w:space="0" w:color="000000"/>
              <w:right w:val="single" w:sz="4" w:space="0" w:color="000000"/>
            </w:tcBorders>
            <w:textDirection w:val="btLr"/>
            <w:vAlign w:val="center"/>
            <w:hideMark/>
          </w:tcPr>
          <w:p w14:paraId="73D25E9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6882F72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034FA30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212D141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SOCIAL O POLÍTICO</w:t>
            </w:r>
          </w:p>
        </w:tc>
        <w:tc>
          <w:tcPr>
            <w:tcW w:w="1726" w:type="pct"/>
            <w:tcBorders>
              <w:top w:val="nil"/>
              <w:left w:val="nil"/>
              <w:bottom w:val="single" w:sz="4" w:space="0" w:color="000000"/>
              <w:right w:val="single" w:sz="4" w:space="0" w:color="000000"/>
            </w:tcBorders>
            <w:vAlign w:val="center"/>
            <w:hideMark/>
          </w:tcPr>
          <w:p w14:paraId="59677438"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Cambios en las condiciones sociales que tengan impacto en la ejecución del contrato</w:t>
            </w:r>
          </w:p>
        </w:tc>
        <w:tc>
          <w:tcPr>
            <w:tcW w:w="1052" w:type="pct"/>
            <w:tcBorders>
              <w:top w:val="nil"/>
              <w:left w:val="nil"/>
              <w:bottom w:val="single" w:sz="4" w:space="0" w:color="000000"/>
              <w:right w:val="single" w:sz="4" w:space="0" w:color="000000"/>
            </w:tcBorders>
            <w:vAlign w:val="center"/>
            <w:hideMark/>
          </w:tcPr>
          <w:p w14:paraId="70E260FB"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suspende el proceso</w:t>
            </w:r>
          </w:p>
        </w:tc>
        <w:tc>
          <w:tcPr>
            <w:tcW w:w="135" w:type="pct"/>
            <w:tcBorders>
              <w:top w:val="nil"/>
              <w:left w:val="nil"/>
              <w:bottom w:val="single" w:sz="4" w:space="0" w:color="000000"/>
              <w:right w:val="single" w:sz="4" w:space="0" w:color="000000"/>
            </w:tcBorders>
            <w:vAlign w:val="center"/>
            <w:hideMark/>
          </w:tcPr>
          <w:p w14:paraId="37AF78D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1BAB8A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534B9B0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1686BDF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4A31D06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74157B1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71CB4005" w14:textId="77777777" w:rsidTr="00FA1A3A">
        <w:trPr>
          <w:trHeight w:val="1553"/>
        </w:trPr>
        <w:tc>
          <w:tcPr>
            <w:tcW w:w="195" w:type="pct"/>
            <w:tcBorders>
              <w:top w:val="nil"/>
              <w:left w:val="single" w:sz="4" w:space="0" w:color="000000"/>
              <w:bottom w:val="single" w:sz="4" w:space="0" w:color="000000"/>
              <w:right w:val="single" w:sz="4" w:space="0" w:color="000000"/>
            </w:tcBorders>
            <w:vAlign w:val="center"/>
            <w:hideMark/>
          </w:tcPr>
          <w:p w14:paraId="32F44FA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5" w:type="pct"/>
            <w:tcBorders>
              <w:top w:val="nil"/>
              <w:left w:val="nil"/>
              <w:bottom w:val="single" w:sz="4" w:space="0" w:color="000000"/>
              <w:right w:val="single" w:sz="4" w:space="0" w:color="000000"/>
            </w:tcBorders>
            <w:textDirection w:val="btLr"/>
            <w:vAlign w:val="center"/>
            <w:hideMark/>
          </w:tcPr>
          <w:p w14:paraId="61A17FA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0BAC1C4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64C51F5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794F2C4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6D61C4E7"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Variación de cantidades del servicio</w:t>
            </w:r>
            <w:r w:rsidRPr="00B27593">
              <w:rPr>
                <w:rFonts w:ascii="Arial" w:hAnsi="Arial" w:cs="Arial"/>
                <w:sz w:val="18"/>
                <w:szCs w:val="18"/>
                <w:lang w:eastAsia="es-CO"/>
              </w:rPr>
              <w:br/>
              <w:t>(Son los efectos derivados de las condiciones técnicas o del proceso consultivo, que incrementen o disminuyan las cantidades necesarias para la ejecución del servicio, obra)</w:t>
            </w:r>
          </w:p>
        </w:tc>
        <w:tc>
          <w:tcPr>
            <w:tcW w:w="1052" w:type="pct"/>
            <w:tcBorders>
              <w:top w:val="nil"/>
              <w:left w:val="nil"/>
              <w:bottom w:val="single" w:sz="4" w:space="0" w:color="000000"/>
              <w:right w:val="single" w:sz="4" w:space="0" w:color="000000"/>
            </w:tcBorders>
            <w:vAlign w:val="center"/>
            <w:hideMark/>
          </w:tcPr>
          <w:p w14:paraId="5ACBC588"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adiciona o suspende el proceso.</w:t>
            </w:r>
          </w:p>
        </w:tc>
        <w:tc>
          <w:tcPr>
            <w:tcW w:w="135" w:type="pct"/>
            <w:tcBorders>
              <w:top w:val="nil"/>
              <w:left w:val="nil"/>
              <w:bottom w:val="single" w:sz="4" w:space="0" w:color="000000"/>
              <w:right w:val="single" w:sz="4" w:space="0" w:color="000000"/>
            </w:tcBorders>
            <w:vAlign w:val="center"/>
            <w:hideMark/>
          </w:tcPr>
          <w:p w14:paraId="5665D6BC"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1BEBCC7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400F560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27644D3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4DF32EC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4</w:t>
            </w:r>
          </w:p>
        </w:tc>
        <w:tc>
          <w:tcPr>
            <w:tcW w:w="204" w:type="pct"/>
            <w:tcBorders>
              <w:top w:val="nil"/>
              <w:left w:val="nil"/>
              <w:bottom w:val="single" w:sz="4" w:space="0" w:color="000000"/>
              <w:right w:val="single" w:sz="4" w:space="0" w:color="000000"/>
            </w:tcBorders>
            <w:textDirection w:val="btLr"/>
            <w:vAlign w:val="center"/>
            <w:hideMark/>
          </w:tcPr>
          <w:p w14:paraId="0556E63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37AAA4FB" w14:textId="77777777" w:rsidTr="00FA1A3A">
        <w:trPr>
          <w:trHeight w:val="1677"/>
        </w:trPr>
        <w:tc>
          <w:tcPr>
            <w:tcW w:w="195" w:type="pct"/>
            <w:tcBorders>
              <w:top w:val="nil"/>
              <w:left w:val="single" w:sz="4" w:space="0" w:color="000000"/>
              <w:bottom w:val="single" w:sz="4" w:space="0" w:color="000000"/>
              <w:right w:val="single" w:sz="4" w:space="0" w:color="000000"/>
            </w:tcBorders>
            <w:vAlign w:val="center"/>
            <w:hideMark/>
          </w:tcPr>
          <w:p w14:paraId="1D63F0D0"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6</w:t>
            </w:r>
          </w:p>
        </w:tc>
        <w:tc>
          <w:tcPr>
            <w:tcW w:w="205" w:type="pct"/>
            <w:tcBorders>
              <w:top w:val="nil"/>
              <w:left w:val="nil"/>
              <w:bottom w:val="single" w:sz="4" w:space="0" w:color="000000"/>
              <w:right w:val="single" w:sz="4" w:space="0" w:color="000000"/>
            </w:tcBorders>
            <w:textDirection w:val="btLr"/>
            <w:vAlign w:val="center"/>
            <w:hideMark/>
          </w:tcPr>
          <w:p w14:paraId="1E1A0BB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684149F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BC08A8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148F8DE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624297A0"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Programación del Servicio</w:t>
            </w:r>
            <w:r w:rsidRPr="00B27593">
              <w:rPr>
                <w:rFonts w:ascii="Arial" w:hAnsi="Arial" w:cs="Arial"/>
                <w:sz w:val="18"/>
                <w:szCs w:val="18"/>
                <w:lang w:eastAsia="es-CO"/>
              </w:rPr>
              <w:br/>
              <w:t>(Perjuicios ocasionados por  el  incumplimiento del programa de trabajo, que afectan la oportuna ejecución del servicio)</w:t>
            </w:r>
          </w:p>
        </w:tc>
        <w:tc>
          <w:tcPr>
            <w:tcW w:w="1052" w:type="pct"/>
            <w:tcBorders>
              <w:top w:val="nil"/>
              <w:left w:val="nil"/>
              <w:bottom w:val="single" w:sz="4" w:space="0" w:color="000000"/>
              <w:right w:val="single" w:sz="4" w:space="0" w:color="000000"/>
            </w:tcBorders>
            <w:vAlign w:val="center"/>
            <w:hideMark/>
          </w:tcPr>
          <w:p w14:paraId="2FBFB961"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6937996C"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1505C69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19A12A9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56EC77A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48B6A7A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224B23D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4FEC8F10" w14:textId="77777777" w:rsidTr="00FA1A3A">
        <w:trPr>
          <w:trHeight w:val="1545"/>
        </w:trPr>
        <w:tc>
          <w:tcPr>
            <w:tcW w:w="195" w:type="pct"/>
            <w:tcBorders>
              <w:top w:val="nil"/>
              <w:left w:val="single" w:sz="4" w:space="0" w:color="000000"/>
              <w:bottom w:val="single" w:sz="4" w:space="0" w:color="000000"/>
              <w:right w:val="single" w:sz="4" w:space="0" w:color="000000"/>
            </w:tcBorders>
            <w:vAlign w:val="center"/>
            <w:hideMark/>
          </w:tcPr>
          <w:p w14:paraId="2887FBAA"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7</w:t>
            </w:r>
          </w:p>
        </w:tc>
        <w:tc>
          <w:tcPr>
            <w:tcW w:w="205" w:type="pct"/>
            <w:tcBorders>
              <w:top w:val="nil"/>
              <w:left w:val="nil"/>
              <w:bottom w:val="single" w:sz="4" w:space="0" w:color="000000"/>
              <w:right w:val="single" w:sz="4" w:space="0" w:color="000000"/>
            </w:tcBorders>
            <w:textDirection w:val="btLr"/>
            <w:vAlign w:val="center"/>
            <w:hideMark/>
          </w:tcPr>
          <w:p w14:paraId="03CE715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21DFD70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347E92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18C841F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5596FDBD"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Provisión de materiales:</w:t>
            </w:r>
            <w:r w:rsidRPr="00B27593">
              <w:rPr>
                <w:rFonts w:ascii="Arial" w:hAnsi="Arial" w:cs="Arial"/>
                <w:sz w:val="18"/>
                <w:szCs w:val="18"/>
                <w:lang w:eastAsia="es-CO"/>
              </w:rPr>
              <w:t xml:space="preserve"> Inoportuna  o insuficiente provisión de materiales, insumos y demás elementos necesarios para la ejecución del contrato.</w:t>
            </w:r>
          </w:p>
        </w:tc>
        <w:tc>
          <w:tcPr>
            <w:tcW w:w="1052" w:type="pct"/>
            <w:tcBorders>
              <w:top w:val="nil"/>
              <w:left w:val="nil"/>
              <w:bottom w:val="single" w:sz="4" w:space="0" w:color="000000"/>
              <w:right w:val="single" w:sz="4" w:space="0" w:color="000000"/>
            </w:tcBorders>
            <w:vAlign w:val="center"/>
            <w:hideMark/>
          </w:tcPr>
          <w:p w14:paraId="1C911C2C"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05F275A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4198BEA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1BD6892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10583C0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24041F2E"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4D2CEF7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07897AF2" w14:textId="77777777" w:rsidTr="00FA1A3A">
        <w:trPr>
          <w:trHeight w:val="1681"/>
        </w:trPr>
        <w:tc>
          <w:tcPr>
            <w:tcW w:w="195" w:type="pct"/>
            <w:tcBorders>
              <w:top w:val="nil"/>
              <w:left w:val="single" w:sz="4" w:space="0" w:color="000000"/>
              <w:bottom w:val="single" w:sz="4" w:space="0" w:color="000000"/>
              <w:right w:val="single" w:sz="4" w:space="0" w:color="000000"/>
            </w:tcBorders>
            <w:vAlign w:val="center"/>
            <w:hideMark/>
          </w:tcPr>
          <w:p w14:paraId="41392DEE"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8</w:t>
            </w:r>
          </w:p>
        </w:tc>
        <w:tc>
          <w:tcPr>
            <w:tcW w:w="205" w:type="pct"/>
            <w:tcBorders>
              <w:top w:val="nil"/>
              <w:left w:val="nil"/>
              <w:bottom w:val="single" w:sz="4" w:space="0" w:color="000000"/>
              <w:right w:val="single" w:sz="4" w:space="0" w:color="000000"/>
            </w:tcBorders>
            <w:textDirection w:val="btLr"/>
            <w:vAlign w:val="center"/>
            <w:hideMark/>
          </w:tcPr>
          <w:p w14:paraId="49A3EA7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30678DE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0FBAF41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1232D9C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nil"/>
              <w:right w:val="nil"/>
            </w:tcBorders>
            <w:hideMark/>
          </w:tcPr>
          <w:p w14:paraId="43DA0681" w14:textId="77777777" w:rsidR="0029356C" w:rsidRPr="00B27593" w:rsidRDefault="0029356C" w:rsidP="00FA1A3A">
            <w:pPr>
              <w:spacing w:after="0" w:line="240" w:lineRule="auto"/>
              <w:jc w:val="both"/>
              <w:rPr>
                <w:rFonts w:ascii="Arial" w:hAnsi="Arial" w:cs="Arial"/>
                <w:b/>
                <w:bCs/>
                <w:color w:val="000000"/>
                <w:sz w:val="18"/>
                <w:szCs w:val="18"/>
                <w:lang w:eastAsia="es-CO"/>
              </w:rPr>
            </w:pPr>
            <w:r w:rsidRPr="00B27593">
              <w:rPr>
                <w:rFonts w:ascii="Arial" w:hAnsi="Arial" w:cs="Arial"/>
                <w:b/>
                <w:bCs/>
                <w:color w:val="000000"/>
                <w:sz w:val="18"/>
                <w:szCs w:val="18"/>
                <w:lang w:eastAsia="es-CO"/>
              </w:rPr>
              <w:t xml:space="preserve">Calidad de los, servicios, obras insumos y elementos: </w:t>
            </w:r>
            <w:r w:rsidRPr="00B27593">
              <w:rPr>
                <w:rFonts w:ascii="Arial" w:hAnsi="Arial" w:cs="Arial"/>
                <w:color w:val="000000"/>
                <w:sz w:val="18"/>
                <w:szCs w:val="18"/>
                <w:lang w:eastAsia="es-CO"/>
              </w:rPr>
              <w:t>efectos derivados del incumplimiento de las especificaciones técnicas y características de los, insumos y demás elementos necesarios  para  la  ejecución del contrato</w:t>
            </w:r>
          </w:p>
        </w:tc>
        <w:tc>
          <w:tcPr>
            <w:tcW w:w="1052" w:type="pct"/>
            <w:tcBorders>
              <w:top w:val="nil"/>
              <w:left w:val="single" w:sz="4" w:space="0" w:color="000000"/>
              <w:bottom w:val="single" w:sz="4" w:space="0" w:color="000000"/>
              <w:right w:val="single" w:sz="4" w:space="0" w:color="000000"/>
            </w:tcBorders>
            <w:vAlign w:val="center"/>
            <w:hideMark/>
          </w:tcPr>
          <w:p w14:paraId="1E3860D3"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73E74FF2"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0BF2FA3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0374E64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36B2AEF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7FEE577F"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759F9E5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36A7DE88" w14:textId="77777777" w:rsidTr="00FA1A3A">
        <w:trPr>
          <w:trHeight w:val="1727"/>
        </w:trPr>
        <w:tc>
          <w:tcPr>
            <w:tcW w:w="195" w:type="pct"/>
            <w:tcBorders>
              <w:top w:val="nil"/>
              <w:left w:val="single" w:sz="4" w:space="0" w:color="000000"/>
              <w:bottom w:val="single" w:sz="4" w:space="0" w:color="000000"/>
              <w:right w:val="single" w:sz="4" w:space="0" w:color="000000"/>
            </w:tcBorders>
            <w:vAlign w:val="center"/>
            <w:hideMark/>
          </w:tcPr>
          <w:p w14:paraId="403E5095"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9</w:t>
            </w:r>
          </w:p>
        </w:tc>
        <w:tc>
          <w:tcPr>
            <w:tcW w:w="205" w:type="pct"/>
            <w:tcBorders>
              <w:top w:val="nil"/>
              <w:left w:val="nil"/>
              <w:bottom w:val="single" w:sz="4" w:space="0" w:color="000000"/>
              <w:right w:val="single" w:sz="4" w:space="0" w:color="000000"/>
            </w:tcBorders>
            <w:textDirection w:val="btLr"/>
            <w:vAlign w:val="center"/>
            <w:hideMark/>
          </w:tcPr>
          <w:p w14:paraId="31A6469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52EEB5E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AC4DE0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5D8638C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single" w:sz="4" w:space="0" w:color="000000"/>
              <w:left w:val="nil"/>
              <w:bottom w:val="single" w:sz="4" w:space="0" w:color="000000"/>
              <w:right w:val="single" w:sz="4" w:space="0" w:color="000000"/>
            </w:tcBorders>
            <w:vAlign w:val="center"/>
            <w:hideMark/>
          </w:tcPr>
          <w:p w14:paraId="013C6D9B"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Falta de idoneidad de la mano de obra:</w:t>
            </w:r>
            <w:r w:rsidRPr="00B27593">
              <w:rPr>
                <w:rFonts w:ascii="Arial" w:hAnsi="Arial" w:cs="Arial"/>
                <w:sz w:val="18"/>
                <w:szCs w:val="18"/>
                <w:lang w:eastAsia="es-CO"/>
              </w:rPr>
              <w:t xml:space="preserve"> El personal que labora no ejecuta sus actividades conforme a los procesos consultivos y especificaciones, poniendo en riesgo la  estabilidad y oportuna entrega del servicio</w:t>
            </w:r>
          </w:p>
        </w:tc>
        <w:tc>
          <w:tcPr>
            <w:tcW w:w="1052" w:type="pct"/>
            <w:tcBorders>
              <w:top w:val="nil"/>
              <w:left w:val="nil"/>
              <w:bottom w:val="single" w:sz="4" w:space="0" w:color="000000"/>
              <w:right w:val="single" w:sz="4" w:space="0" w:color="000000"/>
            </w:tcBorders>
            <w:vAlign w:val="center"/>
            <w:hideMark/>
          </w:tcPr>
          <w:p w14:paraId="064581D8"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3392E73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25BD846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728D464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30CE3F1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735637A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4DA10E2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2BF05A14" w14:textId="77777777" w:rsidTr="0029356C">
        <w:trPr>
          <w:trHeight w:val="1686"/>
        </w:trPr>
        <w:tc>
          <w:tcPr>
            <w:tcW w:w="195" w:type="pct"/>
            <w:tcBorders>
              <w:top w:val="nil"/>
              <w:left w:val="single" w:sz="4" w:space="0" w:color="000000"/>
              <w:bottom w:val="single" w:sz="4" w:space="0" w:color="000000"/>
              <w:right w:val="single" w:sz="4" w:space="0" w:color="000000"/>
            </w:tcBorders>
            <w:vAlign w:val="center"/>
            <w:hideMark/>
          </w:tcPr>
          <w:p w14:paraId="6110D960"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lastRenderedPageBreak/>
              <w:t>10</w:t>
            </w:r>
          </w:p>
        </w:tc>
        <w:tc>
          <w:tcPr>
            <w:tcW w:w="205" w:type="pct"/>
            <w:tcBorders>
              <w:top w:val="nil"/>
              <w:left w:val="nil"/>
              <w:bottom w:val="single" w:sz="4" w:space="0" w:color="000000"/>
              <w:right w:val="single" w:sz="4" w:space="0" w:color="000000"/>
            </w:tcBorders>
            <w:textDirection w:val="btLr"/>
            <w:vAlign w:val="center"/>
            <w:hideMark/>
          </w:tcPr>
          <w:p w14:paraId="5E702D2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10807BD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C1AF48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2124366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05474F28"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Manejo socio-ambiental del servicio</w:t>
            </w:r>
            <w:r w:rsidRPr="00B27593">
              <w:rPr>
                <w:rFonts w:ascii="Arial" w:hAnsi="Arial" w:cs="Arial"/>
                <w:sz w:val="18"/>
                <w:szCs w:val="18"/>
                <w:lang w:eastAsia="es-CO"/>
              </w:rPr>
              <w:t>: Afectación a los residentes  contiguos  a las zonas de trabajo, relacionados con la movilidad,  ruido, disposición de residuos, etc</w:t>
            </w:r>
            <w:r>
              <w:rPr>
                <w:rFonts w:ascii="Arial" w:hAnsi="Arial" w:cs="Arial"/>
                <w:sz w:val="18"/>
                <w:szCs w:val="18"/>
                <w:lang w:eastAsia="es-CO"/>
              </w:rPr>
              <w:t>.</w:t>
            </w:r>
          </w:p>
        </w:tc>
        <w:tc>
          <w:tcPr>
            <w:tcW w:w="1052" w:type="pct"/>
            <w:tcBorders>
              <w:top w:val="nil"/>
              <w:left w:val="nil"/>
              <w:bottom w:val="single" w:sz="4" w:space="0" w:color="000000"/>
              <w:right w:val="single" w:sz="4" w:space="0" w:color="000000"/>
            </w:tcBorders>
            <w:vAlign w:val="center"/>
            <w:hideMark/>
          </w:tcPr>
          <w:p w14:paraId="1BB4672F"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72E72BA5"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2982544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07E7DAAC"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64BCB8C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370957E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7C7EEA5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3A5F3555" w14:textId="77777777" w:rsidTr="0029356C">
        <w:trPr>
          <w:trHeight w:val="1568"/>
        </w:trPr>
        <w:tc>
          <w:tcPr>
            <w:tcW w:w="195" w:type="pct"/>
            <w:tcBorders>
              <w:top w:val="nil"/>
              <w:left w:val="single" w:sz="4" w:space="0" w:color="000000"/>
              <w:bottom w:val="single" w:sz="4" w:space="0" w:color="000000"/>
              <w:right w:val="single" w:sz="4" w:space="0" w:color="000000"/>
            </w:tcBorders>
            <w:vAlign w:val="center"/>
            <w:hideMark/>
          </w:tcPr>
          <w:p w14:paraId="3EBC88B5"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11</w:t>
            </w:r>
          </w:p>
        </w:tc>
        <w:tc>
          <w:tcPr>
            <w:tcW w:w="205" w:type="pct"/>
            <w:tcBorders>
              <w:top w:val="nil"/>
              <w:left w:val="nil"/>
              <w:bottom w:val="single" w:sz="4" w:space="0" w:color="000000"/>
              <w:right w:val="single" w:sz="4" w:space="0" w:color="000000"/>
            </w:tcBorders>
            <w:textDirection w:val="btLr"/>
            <w:vAlign w:val="center"/>
            <w:hideMark/>
          </w:tcPr>
          <w:p w14:paraId="61D5609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51E8779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5E4004A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58FED0E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42A233FF"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 xml:space="preserve">Hurto y vandalismo: </w:t>
            </w:r>
            <w:r w:rsidRPr="00B27593">
              <w:rPr>
                <w:rFonts w:ascii="Arial" w:hAnsi="Arial" w:cs="Arial"/>
                <w:sz w:val="18"/>
                <w:szCs w:val="18"/>
                <w:lang w:eastAsia="es-CO"/>
              </w:rPr>
              <w:t>Son los efectos desfavorables o cualquier daño, perjuicio o pérdida de los bienes o materiales a cargo del contratista, causados por terceros.</w:t>
            </w:r>
          </w:p>
        </w:tc>
        <w:tc>
          <w:tcPr>
            <w:tcW w:w="1052" w:type="pct"/>
            <w:tcBorders>
              <w:top w:val="nil"/>
              <w:left w:val="nil"/>
              <w:bottom w:val="single" w:sz="4" w:space="0" w:color="000000"/>
              <w:right w:val="single" w:sz="4" w:space="0" w:color="000000"/>
            </w:tcBorders>
            <w:vAlign w:val="center"/>
            <w:hideMark/>
          </w:tcPr>
          <w:p w14:paraId="63B188F0"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suspende el proceso</w:t>
            </w:r>
          </w:p>
        </w:tc>
        <w:tc>
          <w:tcPr>
            <w:tcW w:w="135" w:type="pct"/>
            <w:tcBorders>
              <w:top w:val="nil"/>
              <w:left w:val="nil"/>
              <w:bottom w:val="single" w:sz="4" w:space="0" w:color="000000"/>
              <w:right w:val="single" w:sz="4" w:space="0" w:color="000000"/>
            </w:tcBorders>
            <w:vAlign w:val="center"/>
            <w:hideMark/>
          </w:tcPr>
          <w:p w14:paraId="2CDF4E15"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0DC34EE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18B5B9A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0E9FD9B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2570151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57E6553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20F3C8BA" w14:textId="77777777" w:rsidTr="0029356C">
        <w:trPr>
          <w:trHeight w:val="1544"/>
        </w:trPr>
        <w:tc>
          <w:tcPr>
            <w:tcW w:w="195" w:type="pct"/>
            <w:tcBorders>
              <w:top w:val="nil"/>
              <w:left w:val="single" w:sz="4" w:space="0" w:color="000000"/>
              <w:bottom w:val="single" w:sz="4" w:space="0" w:color="000000"/>
              <w:right w:val="single" w:sz="4" w:space="0" w:color="000000"/>
            </w:tcBorders>
            <w:vAlign w:val="center"/>
            <w:hideMark/>
          </w:tcPr>
          <w:p w14:paraId="718DD35F"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12</w:t>
            </w:r>
          </w:p>
        </w:tc>
        <w:tc>
          <w:tcPr>
            <w:tcW w:w="205" w:type="pct"/>
            <w:tcBorders>
              <w:top w:val="nil"/>
              <w:left w:val="nil"/>
              <w:bottom w:val="single" w:sz="4" w:space="0" w:color="000000"/>
              <w:right w:val="single" w:sz="4" w:space="0" w:color="000000"/>
            </w:tcBorders>
            <w:textDirection w:val="btLr"/>
            <w:vAlign w:val="center"/>
            <w:hideMark/>
          </w:tcPr>
          <w:p w14:paraId="68F2C70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44C9C6A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0BD8067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797BA88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17FCA1C7"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val="es-ES" w:eastAsia="es-CO"/>
              </w:rPr>
              <w:t>Inadecuado manejo del anticipo:</w:t>
            </w:r>
            <w:r w:rsidRPr="00B27593">
              <w:rPr>
                <w:rFonts w:ascii="Arial" w:hAnsi="Arial" w:cs="Arial"/>
                <w:color w:val="000000"/>
                <w:sz w:val="18"/>
                <w:szCs w:val="18"/>
                <w:lang w:val="es-ES" w:eastAsia="es-CO"/>
              </w:rPr>
              <w:t xml:space="preserve"> Ocurre cuando los recursos públicos entregados para tal fin, se destinan a otras actividades diferentes a la obra</w:t>
            </w:r>
          </w:p>
        </w:tc>
        <w:tc>
          <w:tcPr>
            <w:tcW w:w="1052" w:type="pct"/>
            <w:tcBorders>
              <w:top w:val="nil"/>
              <w:left w:val="nil"/>
              <w:bottom w:val="single" w:sz="4" w:space="0" w:color="000000"/>
              <w:right w:val="single" w:sz="4" w:space="0" w:color="000000"/>
            </w:tcBorders>
            <w:vAlign w:val="center"/>
            <w:hideMark/>
          </w:tcPr>
          <w:p w14:paraId="51D71041"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N/A</w:t>
            </w:r>
          </w:p>
        </w:tc>
        <w:tc>
          <w:tcPr>
            <w:tcW w:w="135" w:type="pct"/>
            <w:tcBorders>
              <w:top w:val="nil"/>
              <w:left w:val="nil"/>
              <w:bottom w:val="single" w:sz="4" w:space="0" w:color="000000"/>
              <w:right w:val="single" w:sz="4" w:space="0" w:color="000000"/>
            </w:tcBorders>
            <w:vAlign w:val="center"/>
            <w:hideMark/>
          </w:tcPr>
          <w:p w14:paraId="429779F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482E9ED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3F9195F2"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4F3242F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563F3C8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5302794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0B3B5CFB" w14:textId="77777777" w:rsidTr="00FA1A3A">
        <w:trPr>
          <w:trHeight w:val="1685"/>
        </w:trPr>
        <w:tc>
          <w:tcPr>
            <w:tcW w:w="195" w:type="pct"/>
            <w:tcBorders>
              <w:top w:val="nil"/>
              <w:left w:val="single" w:sz="4" w:space="0" w:color="000000"/>
              <w:bottom w:val="single" w:sz="4" w:space="0" w:color="000000"/>
              <w:right w:val="single" w:sz="4" w:space="0" w:color="000000"/>
            </w:tcBorders>
            <w:vAlign w:val="center"/>
            <w:hideMark/>
          </w:tcPr>
          <w:p w14:paraId="43684DEE"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13</w:t>
            </w:r>
          </w:p>
        </w:tc>
        <w:tc>
          <w:tcPr>
            <w:tcW w:w="205" w:type="pct"/>
            <w:tcBorders>
              <w:top w:val="nil"/>
              <w:left w:val="nil"/>
              <w:bottom w:val="single" w:sz="4" w:space="0" w:color="000000"/>
              <w:right w:val="single" w:sz="4" w:space="0" w:color="000000"/>
            </w:tcBorders>
            <w:textDirection w:val="btLr"/>
            <w:vAlign w:val="center"/>
            <w:hideMark/>
          </w:tcPr>
          <w:p w14:paraId="13826C7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0D8701B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0F5AB5E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2602587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43094B8A"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val="es-ES" w:eastAsia="es-CO"/>
              </w:rPr>
              <w:t>Incumplimiento del contrato:</w:t>
            </w:r>
            <w:r w:rsidRPr="00B27593">
              <w:rPr>
                <w:rFonts w:ascii="Arial" w:hAnsi="Arial" w:cs="Arial"/>
                <w:sz w:val="18"/>
                <w:szCs w:val="18"/>
                <w:lang w:val="es-ES" w:eastAsia="es-CO"/>
              </w:rPr>
              <w:t xml:space="preserve"> </w:t>
            </w:r>
            <w:r w:rsidRPr="00B27593">
              <w:rPr>
                <w:rFonts w:ascii="Arial" w:hAnsi="Arial" w:cs="Arial"/>
                <w:color w:val="000000"/>
                <w:sz w:val="18"/>
                <w:szCs w:val="18"/>
                <w:lang w:val="es-ES" w:eastAsia="es-CO"/>
              </w:rPr>
              <w:t>Ocurre cuando el contratista no cumple los plazos del contrato, no cumple con las especificaciones del alcance del contrato, el cronograma de trabajo, las órdenes del supervisor o interventor etc</w:t>
            </w:r>
          </w:p>
        </w:tc>
        <w:tc>
          <w:tcPr>
            <w:tcW w:w="1052" w:type="pct"/>
            <w:tcBorders>
              <w:top w:val="nil"/>
              <w:left w:val="nil"/>
              <w:bottom w:val="single" w:sz="4" w:space="0" w:color="000000"/>
              <w:right w:val="single" w:sz="4" w:space="0" w:color="000000"/>
            </w:tcBorders>
            <w:vAlign w:val="center"/>
            <w:hideMark/>
          </w:tcPr>
          <w:p w14:paraId="56A3B357"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6123F203"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3B083C0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45F39157"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2C1B844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36AF8C0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079C1E1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47C066A7" w14:textId="77777777" w:rsidTr="00FA1A3A">
        <w:trPr>
          <w:trHeight w:val="1710"/>
        </w:trPr>
        <w:tc>
          <w:tcPr>
            <w:tcW w:w="195" w:type="pct"/>
            <w:tcBorders>
              <w:top w:val="nil"/>
              <w:left w:val="single" w:sz="4" w:space="0" w:color="000000"/>
              <w:bottom w:val="single" w:sz="4" w:space="0" w:color="000000"/>
              <w:right w:val="single" w:sz="4" w:space="0" w:color="000000"/>
            </w:tcBorders>
            <w:vAlign w:val="center"/>
            <w:hideMark/>
          </w:tcPr>
          <w:p w14:paraId="7F6ACFF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14</w:t>
            </w:r>
          </w:p>
        </w:tc>
        <w:tc>
          <w:tcPr>
            <w:tcW w:w="205" w:type="pct"/>
            <w:tcBorders>
              <w:top w:val="nil"/>
              <w:left w:val="nil"/>
              <w:bottom w:val="single" w:sz="4" w:space="0" w:color="000000"/>
              <w:right w:val="single" w:sz="4" w:space="0" w:color="000000"/>
            </w:tcBorders>
            <w:textDirection w:val="btLr"/>
            <w:vAlign w:val="center"/>
            <w:hideMark/>
          </w:tcPr>
          <w:p w14:paraId="3FBA0FB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5FF92A5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74DAC73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081960E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50A62766"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val="es-ES" w:eastAsia="es-CO"/>
              </w:rPr>
              <w:t>Desacato observaciones de supervisión:</w:t>
            </w:r>
            <w:r w:rsidRPr="00B27593">
              <w:rPr>
                <w:rFonts w:ascii="Arial" w:hAnsi="Arial" w:cs="Arial"/>
                <w:sz w:val="18"/>
                <w:szCs w:val="18"/>
                <w:lang w:val="es-ES" w:eastAsia="es-CO"/>
              </w:rPr>
              <w:t xml:space="preserve"> </w:t>
            </w:r>
            <w:r w:rsidRPr="00B27593">
              <w:rPr>
                <w:rFonts w:ascii="Arial" w:hAnsi="Arial" w:cs="Arial"/>
                <w:color w:val="000000"/>
                <w:sz w:val="18"/>
                <w:szCs w:val="18"/>
                <w:lang w:val="es-ES" w:eastAsia="es-CO"/>
              </w:rPr>
              <w:t>Ocurre cuando el contratista no cumple las observaciones o requerimientos del supervisor o interventor.</w:t>
            </w:r>
          </w:p>
        </w:tc>
        <w:tc>
          <w:tcPr>
            <w:tcW w:w="1052" w:type="pct"/>
            <w:tcBorders>
              <w:top w:val="nil"/>
              <w:left w:val="nil"/>
              <w:bottom w:val="single" w:sz="4" w:space="0" w:color="000000"/>
              <w:right w:val="single" w:sz="4" w:space="0" w:color="000000"/>
            </w:tcBorders>
            <w:vAlign w:val="center"/>
            <w:hideMark/>
          </w:tcPr>
          <w:p w14:paraId="11424C79"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377C7E52"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3E06EAC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2A68B539"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0DFD0DA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400146C9"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0C0570A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33D4104B" w14:textId="77777777" w:rsidTr="00FA1A3A">
        <w:trPr>
          <w:trHeight w:val="1567"/>
        </w:trPr>
        <w:tc>
          <w:tcPr>
            <w:tcW w:w="195" w:type="pct"/>
            <w:tcBorders>
              <w:top w:val="nil"/>
              <w:left w:val="single" w:sz="4" w:space="0" w:color="000000"/>
              <w:bottom w:val="single" w:sz="4" w:space="0" w:color="000000"/>
              <w:right w:val="single" w:sz="4" w:space="0" w:color="000000"/>
            </w:tcBorders>
            <w:vAlign w:val="center"/>
            <w:hideMark/>
          </w:tcPr>
          <w:p w14:paraId="3B2EEB49"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15</w:t>
            </w:r>
          </w:p>
        </w:tc>
        <w:tc>
          <w:tcPr>
            <w:tcW w:w="205" w:type="pct"/>
            <w:tcBorders>
              <w:top w:val="nil"/>
              <w:left w:val="nil"/>
              <w:bottom w:val="single" w:sz="4" w:space="0" w:color="000000"/>
              <w:right w:val="single" w:sz="4" w:space="0" w:color="000000"/>
            </w:tcBorders>
            <w:textDirection w:val="btLr"/>
            <w:vAlign w:val="center"/>
            <w:hideMark/>
          </w:tcPr>
          <w:p w14:paraId="1205287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6AEE01A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47C1FB6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77D7280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1427DE41"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val="es-ES" w:eastAsia="es-CO"/>
              </w:rPr>
              <w:t>Incumplimiento en el pago de los salarios prestaciones sociales de los servidores al servicio de la ejecución del contrato</w:t>
            </w:r>
            <w:r w:rsidRPr="00B27593">
              <w:rPr>
                <w:rFonts w:ascii="Arial" w:hAnsi="Arial" w:cs="Arial"/>
                <w:b/>
                <w:bCs/>
                <w:color w:val="000000"/>
                <w:sz w:val="18"/>
                <w:szCs w:val="18"/>
                <w:lang w:val="es-ES" w:eastAsia="es-CO"/>
              </w:rPr>
              <w:t>:</w:t>
            </w:r>
            <w:r w:rsidRPr="00B27593">
              <w:rPr>
                <w:rFonts w:ascii="Arial" w:hAnsi="Arial" w:cs="Arial"/>
                <w:color w:val="000000"/>
                <w:sz w:val="18"/>
                <w:szCs w:val="18"/>
                <w:lang w:val="es-ES" w:eastAsia="es-CO"/>
              </w:rPr>
              <w:t xml:space="preserve"> Ocurre cuando el contratista no cumple el pago de las acreencias laborales.</w:t>
            </w:r>
          </w:p>
        </w:tc>
        <w:tc>
          <w:tcPr>
            <w:tcW w:w="1052" w:type="pct"/>
            <w:tcBorders>
              <w:top w:val="nil"/>
              <w:left w:val="nil"/>
              <w:bottom w:val="single" w:sz="4" w:space="0" w:color="000000"/>
              <w:right w:val="single" w:sz="4" w:space="0" w:color="000000"/>
            </w:tcBorders>
            <w:vAlign w:val="center"/>
            <w:hideMark/>
          </w:tcPr>
          <w:p w14:paraId="58861630"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2B0E2095"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5804B23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4736E49E"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1FED510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6E4B166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51A7F7A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5EF9EFD2" w14:textId="77777777" w:rsidTr="00FA1A3A">
        <w:trPr>
          <w:trHeight w:val="1671"/>
        </w:trPr>
        <w:tc>
          <w:tcPr>
            <w:tcW w:w="195" w:type="pct"/>
            <w:tcBorders>
              <w:top w:val="nil"/>
              <w:left w:val="single" w:sz="4" w:space="0" w:color="000000"/>
              <w:bottom w:val="single" w:sz="4" w:space="0" w:color="000000"/>
              <w:right w:val="single" w:sz="4" w:space="0" w:color="000000"/>
            </w:tcBorders>
            <w:vAlign w:val="center"/>
            <w:hideMark/>
          </w:tcPr>
          <w:p w14:paraId="6981CC2F"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16</w:t>
            </w:r>
          </w:p>
        </w:tc>
        <w:tc>
          <w:tcPr>
            <w:tcW w:w="205" w:type="pct"/>
            <w:tcBorders>
              <w:top w:val="nil"/>
              <w:left w:val="nil"/>
              <w:bottom w:val="single" w:sz="4" w:space="0" w:color="000000"/>
              <w:right w:val="single" w:sz="4" w:space="0" w:color="000000"/>
            </w:tcBorders>
            <w:textDirection w:val="btLr"/>
            <w:vAlign w:val="center"/>
            <w:hideMark/>
          </w:tcPr>
          <w:p w14:paraId="3383171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4719BC6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415D763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398DCC3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0FDF38F6"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val="es-ES" w:eastAsia="es-CO"/>
              </w:rPr>
              <w:t>Retraso en pagos por parte del contratante:</w:t>
            </w:r>
            <w:r w:rsidRPr="00B27593">
              <w:rPr>
                <w:rFonts w:ascii="Arial" w:hAnsi="Arial" w:cs="Arial"/>
                <w:color w:val="000000"/>
                <w:sz w:val="18"/>
                <w:szCs w:val="18"/>
                <w:lang w:val="es-ES" w:eastAsia="es-CO"/>
              </w:rPr>
              <w:t xml:space="preserve"> Este retraso se genera por omisión parcial o total de los requisitos en la presentación de las facturas.</w:t>
            </w:r>
          </w:p>
        </w:tc>
        <w:tc>
          <w:tcPr>
            <w:tcW w:w="1052" w:type="pct"/>
            <w:tcBorders>
              <w:top w:val="nil"/>
              <w:left w:val="nil"/>
              <w:bottom w:val="single" w:sz="4" w:space="0" w:color="000000"/>
              <w:right w:val="single" w:sz="4" w:space="0" w:color="000000"/>
            </w:tcBorders>
            <w:vAlign w:val="center"/>
            <w:hideMark/>
          </w:tcPr>
          <w:p w14:paraId="019901F3"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65EC6CD0"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3A1767D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2EF7873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690AEFD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FFFF00"/>
            <w:vAlign w:val="center"/>
            <w:hideMark/>
          </w:tcPr>
          <w:p w14:paraId="63A0FBE7"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31ECA81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57DAC626" w14:textId="77777777" w:rsidTr="0029356C">
        <w:trPr>
          <w:trHeight w:val="1686"/>
        </w:trPr>
        <w:tc>
          <w:tcPr>
            <w:tcW w:w="195" w:type="pct"/>
            <w:tcBorders>
              <w:top w:val="nil"/>
              <w:left w:val="single" w:sz="4" w:space="0" w:color="000000"/>
              <w:bottom w:val="single" w:sz="4" w:space="0" w:color="000000"/>
              <w:right w:val="single" w:sz="4" w:space="0" w:color="000000"/>
            </w:tcBorders>
            <w:vAlign w:val="center"/>
            <w:hideMark/>
          </w:tcPr>
          <w:p w14:paraId="3572273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lastRenderedPageBreak/>
              <w:t>17</w:t>
            </w:r>
          </w:p>
        </w:tc>
        <w:tc>
          <w:tcPr>
            <w:tcW w:w="205" w:type="pct"/>
            <w:tcBorders>
              <w:top w:val="nil"/>
              <w:left w:val="nil"/>
              <w:bottom w:val="single" w:sz="4" w:space="0" w:color="000000"/>
              <w:right w:val="single" w:sz="4" w:space="0" w:color="000000"/>
            </w:tcBorders>
            <w:textDirection w:val="btLr"/>
            <w:vAlign w:val="center"/>
            <w:hideMark/>
          </w:tcPr>
          <w:p w14:paraId="7757B10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7A2FA5B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10F5830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35AF53E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22332BB3" w14:textId="31B06986"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Accidentes:</w:t>
            </w:r>
            <w:r w:rsidRPr="00B27593">
              <w:rPr>
                <w:rFonts w:ascii="Arial" w:hAnsi="Arial" w:cs="Arial"/>
                <w:sz w:val="18"/>
                <w:szCs w:val="18"/>
                <w:lang w:eastAsia="es-CO"/>
              </w:rPr>
              <w:t xml:space="preserve"> Daños a terceros, daños en   redes de servicios públicos, viviendas. </w:t>
            </w:r>
          </w:p>
        </w:tc>
        <w:tc>
          <w:tcPr>
            <w:tcW w:w="1052" w:type="pct"/>
            <w:tcBorders>
              <w:top w:val="nil"/>
              <w:left w:val="nil"/>
              <w:bottom w:val="single" w:sz="4" w:space="0" w:color="000000"/>
              <w:right w:val="single" w:sz="4" w:space="0" w:color="000000"/>
            </w:tcBorders>
            <w:vAlign w:val="center"/>
            <w:hideMark/>
          </w:tcPr>
          <w:p w14:paraId="202036E4"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Indemnidad del Municipio</w:t>
            </w:r>
          </w:p>
        </w:tc>
        <w:tc>
          <w:tcPr>
            <w:tcW w:w="135" w:type="pct"/>
            <w:tcBorders>
              <w:top w:val="nil"/>
              <w:left w:val="nil"/>
              <w:bottom w:val="single" w:sz="4" w:space="0" w:color="000000"/>
              <w:right w:val="single" w:sz="4" w:space="0" w:color="000000"/>
            </w:tcBorders>
            <w:vAlign w:val="center"/>
            <w:hideMark/>
          </w:tcPr>
          <w:p w14:paraId="0EE67989"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3AD132C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06966E2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540D019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MODERADO</w:t>
            </w:r>
          </w:p>
        </w:tc>
        <w:tc>
          <w:tcPr>
            <w:tcW w:w="205" w:type="pct"/>
            <w:tcBorders>
              <w:top w:val="nil"/>
              <w:left w:val="nil"/>
              <w:bottom w:val="single" w:sz="4" w:space="0" w:color="000000"/>
              <w:right w:val="single" w:sz="4" w:space="0" w:color="000000"/>
            </w:tcBorders>
            <w:shd w:val="clear" w:color="000000" w:fill="FFFF00"/>
            <w:vAlign w:val="center"/>
            <w:hideMark/>
          </w:tcPr>
          <w:p w14:paraId="12040BB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4042A5A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1DD43FE8" w14:textId="77777777" w:rsidTr="0029356C">
        <w:trPr>
          <w:trHeight w:val="1568"/>
        </w:trPr>
        <w:tc>
          <w:tcPr>
            <w:tcW w:w="195" w:type="pct"/>
            <w:tcBorders>
              <w:top w:val="nil"/>
              <w:left w:val="single" w:sz="4" w:space="0" w:color="000000"/>
              <w:bottom w:val="single" w:sz="4" w:space="0" w:color="000000"/>
              <w:right w:val="single" w:sz="4" w:space="0" w:color="000000"/>
            </w:tcBorders>
            <w:vAlign w:val="center"/>
            <w:hideMark/>
          </w:tcPr>
          <w:p w14:paraId="7EF073A5"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18</w:t>
            </w:r>
          </w:p>
        </w:tc>
        <w:tc>
          <w:tcPr>
            <w:tcW w:w="205" w:type="pct"/>
            <w:tcBorders>
              <w:top w:val="nil"/>
              <w:left w:val="nil"/>
              <w:bottom w:val="single" w:sz="4" w:space="0" w:color="000000"/>
              <w:right w:val="single" w:sz="4" w:space="0" w:color="000000"/>
            </w:tcBorders>
            <w:textDirection w:val="btLr"/>
            <w:vAlign w:val="center"/>
            <w:hideMark/>
          </w:tcPr>
          <w:p w14:paraId="69918AF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0F8CC95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714335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4D0287A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OPERACIONALES</w:t>
            </w:r>
          </w:p>
        </w:tc>
        <w:tc>
          <w:tcPr>
            <w:tcW w:w="1726" w:type="pct"/>
            <w:tcBorders>
              <w:top w:val="nil"/>
              <w:left w:val="nil"/>
              <w:bottom w:val="single" w:sz="4" w:space="0" w:color="000000"/>
              <w:right w:val="single" w:sz="4" w:space="0" w:color="000000"/>
            </w:tcBorders>
            <w:vAlign w:val="center"/>
            <w:hideMark/>
          </w:tcPr>
          <w:p w14:paraId="751B76A5"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Accidentes:</w:t>
            </w:r>
            <w:r w:rsidRPr="00B27593">
              <w:rPr>
                <w:rFonts w:ascii="Arial" w:hAnsi="Arial" w:cs="Arial"/>
                <w:sz w:val="18"/>
                <w:szCs w:val="18"/>
                <w:lang w:eastAsia="es-CO"/>
              </w:rPr>
              <w:t xml:space="preserve"> accidentes de trabajo</w:t>
            </w:r>
          </w:p>
        </w:tc>
        <w:tc>
          <w:tcPr>
            <w:tcW w:w="1052" w:type="pct"/>
            <w:tcBorders>
              <w:top w:val="nil"/>
              <w:left w:val="nil"/>
              <w:bottom w:val="single" w:sz="4" w:space="0" w:color="000000"/>
              <w:right w:val="single" w:sz="4" w:space="0" w:color="000000"/>
            </w:tcBorders>
            <w:vAlign w:val="center"/>
            <w:hideMark/>
          </w:tcPr>
          <w:p w14:paraId="39A39BBE"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Indemnidad del Municipio</w:t>
            </w:r>
          </w:p>
        </w:tc>
        <w:tc>
          <w:tcPr>
            <w:tcW w:w="135" w:type="pct"/>
            <w:tcBorders>
              <w:top w:val="nil"/>
              <w:left w:val="nil"/>
              <w:bottom w:val="single" w:sz="4" w:space="0" w:color="000000"/>
              <w:right w:val="single" w:sz="4" w:space="0" w:color="000000"/>
            </w:tcBorders>
            <w:vAlign w:val="center"/>
            <w:hideMark/>
          </w:tcPr>
          <w:p w14:paraId="549A8EF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486C0D8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POSIBLE</w:t>
            </w:r>
          </w:p>
        </w:tc>
        <w:tc>
          <w:tcPr>
            <w:tcW w:w="135" w:type="pct"/>
            <w:tcBorders>
              <w:top w:val="nil"/>
              <w:left w:val="nil"/>
              <w:bottom w:val="single" w:sz="4" w:space="0" w:color="000000"/>
              <w:right w:val="single" w:sz="4" w:space="0" w:color="000000"/>
            </w:tcBorders>
            <w:vAlign w:val="center"/>
            <w:hideMark/>
          </w:tcPr>
          <w:p w14:paraId="74508FF2"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51AF19D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MODERADO</w:t>
            </w:r>
          </w:p>
        </w:tc>
        <w:tc>
          <w:tcPr>
            <w:tcW w:w="205" w:type="pct"/>
            <w:tcBorders>
              <w:top w:val="nil"/>
              <w:left w:val="nil"/>
              <w:bottom w:val="single" w:sz="4" w:space="0" w:color="000000"/>
              <w:right w:val="single" w:sz="4" w:space="0" w:color="000000"/>
            </w:tcBorders>
            <w:shd w:val="clear" w:color="000000" w:fill="FFC000"/>
            <w:vAlign w:val="center"/>
            <w:hideMark/>
          </w:tcPr>
          <w:p w14:paraId="457E5E23"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6</w:t>
            </w:r>
          </w:p>
        </w:tc>
        <w:tc>
          <w:tcPr>
            <w:tcW w:w="204" w:type="pct"/>
            <w:tcBorders>
              <w:top w:val="nil"/>
              <w:left w:val="nil"/>
              <w:bottom w:val="single" w:sz="4" w:space="0" w:color="000000"/>
              <w:right w:val="single" w:sz="4" w:space="0" w:color="000000"/>
            </w:tcBorders>
            <w:textDirection w:val="btLr"/>
            <w:vAlign w:val="center"/>
            <w:hideMark/>
          </w:tcPr>
          <w:p w14:paraId="1BEE3E2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ALTO</w:t>
            </w:r>
          </w:p>
        </w:tc>
      </w:tr>
      <w:tr w:rsidR="0029356C" w:rsidRPr="00B27593" w14:paraId="6BF3DD8B" w14:textId="77777777" w:rsidTr="00FA1A3A">
        <w:trPr>
          <w:trHeight w:val="1456"/>
        </w:trPr>
        <w:tc>
          <w:tcPr>
            <w:tcW w:w="195" w:type="pct"/>
            <w:tcBorders>
              <w:top w:val="nil"/>
              <w:left w:val="single" w:sz="4" w:space="0" w:color="000000"/>
              <w:bottom w:val="single" w:sz="4" w:space="0" w:color="000000"/>
              <w:right w:val="single" w:sz="4" w:space="0" w:color="000000"/>
            </w:tcBorders>
            <w:vAlign w:val="center"/>
            <w:hideMark/>
          </w:tcPr>
          <w:p w14:paraId="72A46EE9"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19</w:t>
            </w:r>
          </w:p>
        </w:tc>
        <w:tc>
          <w:tcPr>
            <w:tcW w:w="205" w:type="pct"/>
            <w:tcBorders>
              <w:top w:val="nil"/>
              <w:left w:val="nil"/>
              <w:bottom w:val="single" w:sz="4" w:space="0" w:color="000000"/>
              <w:right w:val="single" w:sz="4" w:space="0" w:color="000000"/>
            </w:tcBorders>
            <w:textDirection w:val="btLr"/>
            <w:vAlign w:val="center"/>
            <w:hideMark/>
          </w:tcPr>
          <w:p w14:paraId="293FD35D"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109C4DD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5763B7C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278F2D3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FINANCIEROS</w:t>
            </w:r>
          </w:p>
        </w:tc>
        <w:tc>
          <w:tcPr>
            <w:tcW w:w="1726" w:type="pct"/>
            <w:tcBorders>
              <w:top w:val="nil"/>
              <w:left w:val="nil"/>
              <w:bottom w:val="single" w:sz="4" w:space="0" w:color="000000"/>
              <w:right w:val="single" w:sz="4" w:space="0" w:color="000000"/>
            </w:tcBorders>
            <w:vAlign w:val="center"/>
            <w:hideMark/>
          </w:tcPr>
          <w:p w14:paraId="3AC710A4"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Falta de flujo de caja necesario para empezar con la ejecución de las actividades</w:t>
            </w:r>
          </w:p>
        </w:tc>
        <w:tc>
          <w:tcPr>
            <w:tcW w:w="1052" w:type="pct"/>
            <w:tcBorders>
              <w:top w:val="nil"/>
              <w:left w:val="nil"/>
              <w:bottom w:val="single" w:sz="4" w:space="0" w:color="000000"/>
              <w:right w:val="single" w:sz="4" w:space="0" w:color="000000"/>
            </w:tcBorders>
            <w:vAlign w:val="center"/>
            <w:hideMark/>
          </w:tcPr>
          <w:p w14:paraId="01D6461D"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144C748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541FC03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611D753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5" w:type="pct"/>
            <w:tcBorders>
              <w:top w:val="nil"/>
              <w:left w:val="nil"/>
              <w:bottom w:val="single" w:sz="4" w:space="0" w:color="000000"/>
              <w:right w:val="single" w:sz="4" w:space="0" w:color="000000"/>
            </w:tcBorders>
            <w:textDirection w:val="btLr"/>
            <w:vAlign w:val="center"/>
            <w:hideMark/>
          </w:tcPr>
          <w:p w14:paraId="42268F2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MODERADO</w:t>
            </w:r>
          </w:p>
        </w:tc>
        <w:tc>
          <w:tcPr>
            <w:tcW w:w="205" w:type="pct"/>
            <w:tcBorders>
              <w:top w:val="nil"/>
              <w:left w:val="nil"/>
              <w:bottom w:val="single" w:sz="4" w:space="0" w:color="000000"/>
              <w:right w:val="single" w:sz="4" w:space="0" w:color="000000"/>
            </w:tcBorders>
            <w:shd w:val="clear" w:color="000000" w:fill="FFFF00"/>
            <w:vAlign w:val="center"/>
            <w:hideMark/>
          </w:tcPr>
          <w:p w14:paraId="5C4EB2A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5</w:t>
            </w:r>
          </w:p>
        </w:tc>
        <w:tc>
          <w:tcPr>
            <w:tcW w:w="204" w:type="pct"/>
            <w:tcBorders>
              <w:top w:val="nil"/>
              <w:left w:val="nil"/>
              <w:bottom w:val="single" w:sz="4" w:space="0" w:color="000000"/>
              <w:right w:val="single" w:sz="4" w:space="0" w:color="000000"/>
            </w:tcBorders>
            <w:textDirection w:val="btLr"/>
            <w:vAlign w:val="center"/>
            <w:hideMark/>
          </w:tcPr>
          <w:p w14:paraId="522837D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MEDIO</w:t>
            </w:r>
          </w:p>
        </w:tc>
      </w:tr>
      <w:tr w:rsidR="0029356C" w:rsidRPr="00B27593" w14:paraId="6E5949AA" w14:textId="77777777" w:rsidTr="00FA1A3A">
        <w:trPr>
          <w:trHeight w:val="1533"/>
        </w:trPr>
        <w:tc>
          <w:tcPr>
            <w:tcW w:w="195" w:type="pct"/>
            <w:tcBorders>
              <w:top w:val="nil"/>
              <w:left w:val="single" w:sz="4" w:space="0" w:color="000000"/>
              <w:bottom w:val="single" w:sz="4" w:space="0" w:color="000000"/>
              <w:right w:val="single" w:sz="4" w:space="0" w:color="000000"/>
            </w:tcBorders>
            <w:vAlign w:val="center"/>
            <w:hideMark/>
          </w:tcPr>
          <w:p w14:paraId="0587098C"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20</w:t>
            </w:r>
          </w:p>
        </w:tc>
        <w:tc>
          <w:tcPr>
            <w:tcW w:w="205" w:type="pct"/>
            <w:tcBorders>
              <w:top w:val="nil"/>
              <w:left w:val="nil"/>
              <w:bottom w:val="single" w:sz="4" w:space="0" w:color="000000"/>
              <w:right w:val="single" w:sz="4" w:space="0" w:color="000000"/>
            </w:tcBorders>
            <w:textDirection w:val="btLr"/>
            <w:vAlign w:val="center"/>
            <w:hideMark/>
          </w:tcPr>
          <w:p w14:paraId="2885F0A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356D809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44EA355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680CE4F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REGULATORIOS</w:t>
            </w:r>
          </w:p>
        </w:tc>
        <w:tc>
          <w:tcPr>
            <w:tcW w:w="1726" w:type="pct"/>
            <w:tcBorders>
              <w:top w:val="nil"/>
              <w:left w:val="nil"/>
              <w:bottom w:val="single" w:sz="4" w:space="0" w:color="000000"/>
              <w:right w:val="single" w:sz="4" w:space="0" w:color="000000"/>
            </w:tcBorders>
            <w:vAlign w:val="center"/>
            <w:hideMark/>
          </w:tcPr>
          <w:p w14:paraId="51B948A0"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Legales: Cambios de legislación en la materia específica a contratar:</w:t>
            </w:r>
            <w:r w:rsidRPr="00B27593">
              <w:rPr>
                <w:rFonts w:ascii="Arial" w:hAnsi="Arial" w:cs="Arial"/>
                <w:sz w:val="18"/>
                <w:szCs w:val="18"/>
                <w:lang w:eastAsia="es-CO"/>
              </w:rPr>
              <w:t xml:space="preserve"> Se deberá concertar entre las partes las modificaciones que impliquen estos cambios</w:t>
            </w:r>
          </w:p>
        </w:tc>
        <w:tc>
          <w:tcPr>
            <w:tcW w:w="1052" w:type="pct"/>
            <w:tcBorders>
              <w:top w:val="nil"/>
              <w:left w:val="nil"/>
              <w:bottom w:val="single" w:sz="4" w:space="0" w:color="000000"/>
              <w:right w:val="single" w:sz="4" w:space="0" w:color="000000"/>
            </w:tcBorders>
            <w:vAlign w:val="center"/>
            <w:hideMark/>
          </w:tcPr>
          <w:p w14:paraId="4C23FAFD"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suspende el proceso y se revisan los precios en cuanto a su APU.</w:t>
            </w:r>
          </w:p>
        </w:tc>
        <w:tc>
          <w:tcPr>
            <w:tcW w:w="135" w:type="pct"/>
            <w:tcBorders>
              <w:top w:val="nil"/>
              <w:left w:val="nil"/>
              <w:bottom w:val="single" w:sz="4" w:space="0" w:color="000000"/>
              <w:right w:val="single" w:sz="4" w:space="0" w:color="000000"/>
            </w:tcBorders>
            <w:vAlign w:val="center"/>
            <w:hideMark/>
          </w:tcPr>
          <w:p w14:paraId="1B60A616"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5D05C3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056F0CC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104A748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136636E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5354915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2A47351B" w14:textId="77777777" w:rsidTr="00FA1A3A">
        <w:trPr>
          <w:trHeight w:val="1639"/>
        </w:trPr>
        <w:tc>
          <w:tcPr>
            <w:tcW w:w="195" w:type="pct"/>
            <w:tcBorders>
              <w:top w:val="nil"/>
              <w:left w:val="single" w:sz="4" w:space="0" w:color="000000"/>
              <w:bottom w:val="single" w:sz="4" w:space="0" w:color="000000"/>
              <w:right w:val="single" w:sz="4" w:space="0" w:color="000000"/>
            </w:tcBorders>
            <w:vAlign w:val="center"/>
            <w:hideMark/>
          </w:tcPr>
          <w:p w14:paraId="726BF764"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21</w:t>
            </w:r>
          </w:p>
        </w:tc>
        <w:tc>
          <w:tcPr>
            <w:tcW w:w="205" w:type="pct"/>
            <w:tcBorders>
              <w:top w:val="nil"/>
              <w:left w:val="nil"/>
              <w:bottom w:val="single" w:sz="4" w:space="0" w:color="000000"/>
              <w:right w:val="single" w:sz="4" w:space="0" w:color="000000"/>
            </w:tcBorders>
            <w:textDirection w:val="btLr"/>
            <w:vAlign w:val="center"/>
            <w:hideMark/>
          </w:tcPr>
          <w:p w14:paraId="32FEA24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6DA352E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DAF7594"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3F3E81B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REGULATORIOS</w:t>
            </w:r>
          </w:p>
        </w:tc>
        <w:tc>
          <w:tcPr>
            <w:tcW w:w="1726" w:type="pct"/>
            <w:tcBorders>
              <w:top w:val="nil"/>
              <w:left w:val="nil"/>
              <w:bottom w:val="single" w:sz="4" w:space="0" w:color="000000"/>
              <w:right w:val="single" w:sz="4" w:space="0" w:color="000000"/>
            </w:tcBorders>
            <w:vAlign w:val="center"/>
            <w:hideMark/>
          </w:tcPr>
          <w:p w14:paraId="5C02FFE1"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Tributarios: Cambios de legislación en la materia específica a contratar:</w:t>
            </w:r>
            <w:r w:rsidRPr="00B27593">
              <w:rPr>
                <w:rFonts w:ascii="Arial" w:hAnsi="Arial" w:cs="Arial"/>
                <w:sz w:val="18"/>
                <w:szCs w:val="18"/>
                <w:lang w:eastAsia="es-CO"/>
              </w:rPr>
              <w:t xml:space="preserve"> Se deberá concertar entre las partes las modificaciones que impliquen estos cambios</w:t>
            </w:r>
          </w:p>
        </w:tc>
        <w:tc>
          <w:tcPr>
            <w:tcW w:w="1052" w:type="pct"/>
            <w:tcBorders>
              <w:top w:val="nil"/>
              <w:left w:val="nil"/>
              <w:bottom w:val="single" w:sz="4" w:space="0" w:color="000000"/>
              <w:right w:val="single" w:sz="4" w:space="0" w:color="000000"/>
            </w:tcBorders>
            <w:vAlign w:val="center"/>
            <w:hideMark/>
          </w:tcPr>
          <w:p w14:paraId="7A1F2FA1"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Se suspende el proceso y se revisan los precios en cuanto a su APU.</w:t>
            </w:r>
          </w:p>
        </w:tc>
        <w:tc>
          <w:tcPr>
            <w:tcW w:w="135" w:type="pct"/>
            <w:tcBorders>
              <w:top w:val="nil"/>
              <w:left w:val="nil"/>
              <w:bottom w:val="single" w:sz="4" w:space="0" w:color="000000"/>
              <w:right w:val="single" w:sz="4" w:space="0" w:color="000000"/>
            </w:tcBorders>
            <w:vAlign w:val="center"/>
            <w:hideMark/>
          </w:tcPr>
          <w:p w14:paraId="19732BF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726ACC4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062C351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8FE415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7D1CD1EF"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55AEB44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1F0D0441" w14:textId="77777777" w:rsidTr="00FA1A3A">
        <w:trPr>
          <w:trHeight w:val="1445"/>
        </w:trPr>
        <w:tc>
          <w:tcPr>
            <w:tcW w:w="195" w:type="pct"/>
            <w:tcBorders>
              <w:top w:val="nil"/>
              <w:left w:val="single" w:sz="4" w:space="0" w:color="000000"/>
              <w:bottom w:val="single" w:sz="4" w:space="0" w:color="000000"/>
              <w:right w:val="single" w:sz="4" w:space="0" w:color="000000"/>
            </w:tcBorders>
            <w:vAlign w:val="center"/>
            <w:hideMark/>
          </w:tcPr>
          <w:p w14:paraId="08CD0575"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22</w:t>
            </w:r>
          </w:p>
        </w:tc>
        <w:tc>
          <w:tcPr>
            <w:tcW w:w="205" w:type="pct"/>
            <w:tcBorders>
              <w:top w:val="nil"/>
              <w:left w:val="nil"/>
              <w:bottom w:val="single" w:sz="4" w:space="0" w:color="000000"/>
              <w:right w:val="single" w:sz="4" w:space="0" w:color="000000"/>
            </w:tcBorders>
            <w:textDirection w:val="btLr"/>
            <w:vAlign w:val="center"/>
            <w:hideMark/>
          </w:tcPr>
          <w:p w14:paraId="3C57194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ESPECÍFICO</w:t>
            </w:r>
          </w:p>
        </w:tc>
        <w:tc>
          <w:tcPr>
            <w:tcW w:w="205" w:type="pct"/>
            <w:tcBorders>
              <w:top w:val="nil"/>
              <w:left w:val="nil"/>
              <w:bottom w:val="single" w:sz="4" w:space="0" w:color="000000"/>
              <w:right w:val="single" w:sz="4" w:space="0" w:color="000000"/>
            </w:tcBorders>
            <w:textDirection w:val="btLr"/>
            <w:vAlign w:val="center"/>
            <w:hideMark/>
          </w:tcPr>
          <w:p w14:paraId="747135A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EXTERNO</w:t>
            </w:r>
          </w:p>
        </w:tc>
        <w:tc>
          <w:tcPr>
            <w:tcW w:w="205" w:type="pct"/>
            <w:tcBorders>
              <w:top w:val="nil"/>
              <w:left w:val="nil"/>
              <w:bottom w:val="single" w:sz="4" w:space="0" w:color="000000"/>
              <w:right w:val="single" w:sz="4" w:space="0" w:color="000000"/>
            </w:tcBorders>
            <w:textDirection w:val="btLr"/>
            <w:vAlign w:val="center"/>
            <w:hideMark/>
          </w:tcPr>
          <w:p w14:paraId="3623E30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19C8F5D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NATURALEZA</w:t>
            </w:r>
          </w:p>
        </w:tc>
        <w:tc>
          <w:tcPr>
            <w:tcW w:w="1726" w:type="pct"/>
            <w:tcBorders>
              <w:top w:val="nil"/>
              <w:left w:val="nil"/>
              <w:bottom w:val="single" w:sz="4" w:space="0" w:color="000000"/>
              <w:right w:val="single" w:sz="4" w:space="0" w:color="000000"/>
            </w:tcBorders>
            <w:vAlign w:val="center"/>
            <w:hideMark/>
          </w:tcPr>
          <w:p w14:paraId="4D8BBD00"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b/>
                <w:bCs/>
                <w:sz w:val="18"/>
                <w:szCs w:val="18"/>
                <w:lang w:eastAsia="es-CO"/>
              </w:rPr>
              <w:t xml:space="preserve">Causas naturales, fuerza mayor: Factores ambientales y climáticos adversos: </w:t>
            </w:r>
            <w:r w:rsidRPr="00B27593">
              <w:rPr>
                <w:rFonts w:ascii="Arial" w:hAnsi="Arial" w:cs="Arial"/>
                <w:sz w:val="18"/>
                <w:szCs w:val="18"/>
                <w:lang w:eastAsia="es-CO"/>
              </w:rPr>
              <w:t>ocurre cuando se dan desastres naturales como terremotos, inundaciones, sequías, etc</w:t>
            </w:r>
          </w:p>
        </w:tc>
        <w:tc>
          <w:tcPr>
            <w:tcW w:w="1052" w:type="pct"/>
            <w:tcBorders>
              <w:top w:val="nil"/>
              <w:left w:val="nil"/>
              <w:bottom w:val="single" w:sz="4" w:space="0" w:color="000000"/>
              <w:right w:val="single" w:sz="4" w:space="0" w:color="000000"/>
            </w:tcBorders>
            <w:vAlign w:val="center"/>
            <w:hideMark/>
          </w:tcPr>
          <w:p w14:paraId="04DE93ED"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Actas de suspensión hasta que pase la eventualidad, ampliación de póliza</w:t>
            </w:r>
          </w:p>
        </w:tc>
        <w:tc>
          <w:tcPr>
            <w:tcW w:w="135" w:type="pct"/>
            <w:tcBorders>
              <w:top w:val="nil"/>
              <w:left w:val="nil"/>
              <w:bottom w:val="single" w:sz="4" w:space="0" w:color="000000"/>
              <w:right w:val="single" w:sz="4" w:space="0" w:color="000000"/>
            </w:tcBorders>
            <w:vAlign w:val="center"/>
            <w:hideMark/>
          </w:tcPr>
          <w:p w14:paraId="69DDA64A"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774151C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1FEA300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7641715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MENOR</w:t>
            </w:r>
          </w:p>
        </w:tc>
        <w:tc>
          <w:tcPr>
            <w:tcW w:w="205" w:type="pct"/>
            <w:tcBorders>
              <w:top w:val="nil"/>
              <w:left w:val="nil"/>
              <w:bottom w:val="single" w:sz="4" w:space="0" w:color="000000"/>
              <w:right w:val="single" w:sz="4" w:space="0" w:color="000000"/>
            </w:tcBorders>
            <w:shd w:val="clear" w:color="000000" w:fill="0E7806"/>
            <w:vAlign w:val="center"/>
            <w:hideMark/>
          </w:tcPr>
          <w:p w14:paraId="47A690B7"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4</w:t>
            </w:r>
          </w:p>
        </w:tc>
        <w:tc>
          <w:tcPr>
            <w:tcW w:w="204" w:type="pct"/>
            <w:tcBorders>
              <w:top w:val="nil"/>
              <w:left w:val="nil"/>
              <w:bottom w:val="single" w:sz="4" w:space="0" w:color="000000"/>
              <w:right w:val="single" w:sz="4" w:space="0" w:color="000000"/>
            </w:tcBorders>
            <w:textDirection w:val="btLr"/>
            <w:vAlign w:val="center"/>
            <w:hideMark/>
          </w:tcPr>
          <w:p w14:paraId="5C0AA29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305B518A" w14:textId="77777777" w:rsidTr="00FA1A3A">
        <w:trPr>
          <w:trHeight w:val="1285"/>
        </w:trPr>
        <w:tc>
          <w:tcPr>
            <w:tcW w:w="195" w:type="pct"/>
            <w:tcBorders>
              <w:top w:val="nil"/>
              <w:left w:val="single" w:sz="4" w:space="0" w:color="000000"/>
              <w:bottom w:val="single" w:sz="4" w:space="0" w:color="000000"/>
              <w:right w:val="single" w:sz="4" w:space="0" w:color="000000"/>
            </w:tcBorders>
            <w:vAlign w:val="center"/>
            <w:hideMark/>
          </w:tcPr>
          <w:p w14:paraId="5168F353"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23</w:t>
            </w:r>
          </w:p>
        </w:tc>
        <w:tc>
          <w:tcPr>
            <w:tcW w:w="205" w:type="pct"/>
            <w:tcBorders>
              <w:top w:val="nil"/>
              <w:left w:val="nil"/>
              <w:bottom w:val="single" w:sz="4" w:space="0" w:color="000000"/>
              <w:right w:val="single" w:sz="4" w:space="0" w:color="000000"/>
            </w:tcBorders>
            <w:textDirection w:val="btLr"/>
            <w:vAlign w:val="center"/>
            <w:hideMark/>
          </w:tcPr>
          <w:p w14:paraId="424B9C7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ESPECÍFICO</w:t>
            </w:r>
          </w:p>
        </w:tc>
        <w:tc>
          <w:tcPr>
            <w:tcW w:w="205" w:type="pct"/>
            <w:tcBorders>
              <w:top w:val="nil"/>
              <w:left w:val="nil"/>
              <w:bottom w:val="single" w:sz="4" w:space="0" w:color="000000"/>
              <w:right w:val="single" w:sz="4" w:space="0" w:color="000000"/>
            </w:tcBorders>
            <w:textDirection w:val="btLr"/>
            <w:vAlign w:val="center"/>
            <w:hideMark/>
          </w:tcPr>
          <w:p w14:paraId="69BDFE2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38CC339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PLANEACIÓN</w:t>
            </w:r>
          </w:p>
        </w:tc>
        <w:tc>
          <w:tcPr>
            <w:tcW w:w="324" w:type="pct"/>
            <w:tcBorders>
              <w:top w:val="nil"/>
              <w:left w:val="nil"/>
              <w:bottom w:val="single" w:sz="4" w:space="0" w:color="000000"/>
              <w:right w:val="single" w:sz="4" w:space="0" w:color="000000"/>
            </w:tcBorders>
            <w:textDirection w:val="btLr"/>
            <w:vAlign w:val="center"/>
            <w:hideMark/>
          </w:tcPr>
          <w:p w14:paraId="0CE36F9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AMBIENTALES</w:t>
            </w:r>
          </w:p>
        </w:tc>
        <w:tc>
          <w:tcPr>
            <w:tcW w:w="1726" w:type="pct"/>
            <w:tcBorders>
              <w:top w:val="nil"/>
              <w:left w:val="nil"/>
              <w:bottom w:val="single" w:sz="4" w:space="0" w:color="000000"/>
              <w:right w:val="single" w:sz="4" w:space="0" w:color="000000"/>
            </w:tcBorders>
            <w:vAlign w:val="center"/>
            <w:hideMark/>
          </w:tcPr>
          <w:p w14:paraId="0C3C9786"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Licencias ambientales</w:t>
            </w:r>
          </w:p>
        </w:tc>
        <w:tc>
          <w:tcPr>
            <w:tcW w:w="1052" w:type="pct"/>
            <w:tcBorders>
              <w:top w:val="nil"/>
              <w:left w:val="nil"/>
              <w:bottom w:val="single" w:sz="4" w:space="0" w:color="000000"/>
              <w:right w:val="single" w:sz="4" w:space="0" w:color="000000"/>
            </w:tcBorders>
            <w:vAlign w:val="center"/>
            <w:hideMark/>
          </w:tcPr>
          <w:p w14:paraId="0B8DB4D8"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N/A</w:t>
            </w:r>
          </w:p>
        </w:tc>
        <w:tc>
          <w:tcPr>
            <w:tcW w:w="135" w:type="pct"/>
            <w:tcBorders>
              <w:top w:val="nil"/>
              <w:left w:val="nil"/>
              <w:bottom w:val="single" w:sz="4" w:space="0" w:color="000000"/>
              <w:right w:val="single" w:sz="4" w:space="0" w:color="000000"/>
            </w:tcBorders>
            <w:vAlign w:val="center"/>
            <w:hideMark/>
          </w:tcPr>
          <w:p w14:paraId="565F68AE"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253FCD7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1BBA9B3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0E2256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5EC30EF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7C219B9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4B46822F" w14:textId="77777777" w:rsidTr="00FA1A3A">
        <w:trPr>
          <w:trHeight w:val="1385"/>
        </w:trPr>
        <w:tc>
          <w:tcPr>
            <w:tcW w:w="195" w:type="pct"/>
            <w:tcBorders>
              <w:top w:val="nil"/>
              <w:left w:val="single" w:sz="4" w:space="0" w:color="000000"/>
              <w:bottom w:val="single" w:sz="4" w:space="0" w:color="000000"/>
              <w:right w:val="single" w:sz="4" w:space="0" w:color="000000"/>
            </w:tcBorders>
            <w:vAlign w:val="center"/>
            <w:hideMark/>
          </w:tcPr>
          <w:p w14:paraId="3A53F8DE"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lastRenderedPageBreak/>
              <w:t>24</w:t>
            </w:r>
          </w:p>
        </w:tc>
        <w:tc>
          <w:tcPr>
            <w:tcW w:w="205" w:type="pct"/>
            <w:tcBorders>
              <w:top w:val="nil"/>
              <w:left w:val="nil"/>
              <w:bottom w:val="single" w:sz="4" w:space="0" w:color="000000"/>
              <w:right w:val="single" w:sz="4" w:space="0" w:color="000000"/>
            </w:tcBorders>
            <w:textDirection w:val="btLr"/>
            <w:vAlign w:val="center"/>
            <w:hideMark/>
          </w:tcPr>
          <w:p w14:paraId="427F3F67"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ESPECÍFICO</w:t>
            </w:r>
          </w:p>
        </w:tc>
        <w:tc>
          <w:tcPr>
            <w:tcW w:w="205" w:type="pct"/>
            <w:tcBorders>
              <w:top w:val="nil"/>
              <w:left w:val="nil"/>
              <w:bottom w:val="single" w:sz="4" w:space="0" w:color="000000"/>
              <w:right w:val="single" w:sz="4" w:space="0" w:color="000000"/>
            </w:tcBorders>
            <w:textDirection w:val="btLr"/>
            <w:vAlign w:val="center"/>
            <w:hideMark/>
          </w:tcPr>
          <w:p w14:paraId="26B03BB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51EED70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PLANEACIÓN</w:t>
            </w:r>
          </w:p>
        </w:tc>
        <w:tc>
          <w:tcPr>
            <w:tcW w:w="324" w:type="pct"/>
            <w:tcBorders>
              <w:top w:val="nil"/>
              <w:left w:val="nil"/>
              <w:bottom w:val="single" w:sz="4" w:space="0" w:color="000000"/>
              <w:right w:val="single" w:sz="4" w:space="0" w:color="000000"/>
            </w:tcBorders>
            <w:textDirection w:val="btLr"/>
            <w:vAlign w:val="center"/>
            <w:hideMark/>
          </w:tcPr>
          <w:p w14:paraId="52BB3C2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AMBIENTALES</w:t>
            </w:r>
          </w:p>
        </w:tc>
        <w:tc>
          <w:tcPr>
            <w:tcW w:w="1726" w:type="pct"/>
            <w:tcBorders>
              <w:top w:val="nil"/>
              <w:left w:val="nil"/>
              <w:bottom w:val="single" w:sz="4" w:space="0" w:color="000000"/>
              <w:right w:val="single" w:sz="4" w:space="0" w:color="000000"/>
            </w:tcBorders>
            <w:vAlign w:val="center"/>
            <w:hideMark/>
          </w:tcPr>
          <w:p w14:paraId="740032A8"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Planes de manejo ambiental</w:t>
            </w:r>
          </w:p>
        </w:tc>
        <w:tc>
          <w:tcPr>
            <w:tcW w:w="1052" w:type="pct"/>
            <w:tcBorders>
              <w:top w:val="nil"/>
              <w:left w:val="nil"/>
              <w:bottom w:val="single" w:sz="4" w:space="0" w:color="000000"/>
              <w:right w:val="single" w:sz="4" w:space="0" w:color="000000"/>
            </w:tcBorders>
            <w:vAlign w:val="center"/>
            <w:hideMark/>
          </w:tcPr>
          <w:p w14:paraId="46A44C98"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N/A</w:t>
            </w:r>
          </w:p>
        </w:tc>
        <w:tc>
          <w:tcPr>
            <w:tcW w:w="135" w:type="pct"/>
            <w:tcBorders>
              <w:top w:val="nil"/>
              <w:left w:val="nil"/>
              <w:bottom w:val="single" w:sz="4" w:space="0" w:color="000000"/>
              <w:right w:val="single" w:sz="4" w:space="0" w:color="000000"/>
            </w:tcBorders>
            <w:vAlign w:val="center"/>
            <w:hideMark/>
          </w:tcPr>
          <w:p w14:paraId="281B3CE9"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37FC7A6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6BEFBCDE"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72D847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5840825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3DD5B9D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18D0A843" w14:textId="77777777" w:rsidTr="0029356C">
        <w:trPr>
          <w:trHeight w:val="1578"/>
        </w:trPr>
        <w:tc>
          <w:tcPr>
            <w:tcW w:w="195" w:type="pct"/>
            <w:tcBorders>
              <w:top w:val="nil"/>
              <w:left w:val="single" w:sz="4" w:space="0" w:color="000000"/>
              <w:bottom w:val="single" w:sz="4" w:space="0" w:color="000000"/>
              <w:right w:val="single" w:sz="4" w:space="0" w:color="000000"/>
            </w:tcBorders>
            <w:vAlign w:val="center"/>
            <w:hideMark/>
          </w:tcPr>
          <w:p w14:paraId="6AFD1731"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25</w:t>
            </w:r>
          </w:p>
        </w:tc>
        <w:tc>
          <w:tcPr>
            <w:tcW w:w="205" w:type="pct"/>
            <w:tcBorders>
              <w:top w:val="nil"/>
              <w:left w:val="nil"/>
              <w:bottom w:val="single" w:sz="4" w:space="0" w:color="000000"/>
              <w:right w:val="single" w:sz="4" w:space="0" w:color="000000"/>
            </w:tcBorders>
            <w:textDirection w:val="btLr"/>
            <w:vAlign w:val="center"/>
            <w:hideMark/>
          </w:tcPr>
          <w:p w14:paraId="0A6FB60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7AA5F9E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4C72412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PLANEACIÓN</w:t>
            </w:r>
          </w:p>
        </w:tc>
        <w:tc>
          <w:tcPr>
            <w:tcW w:w="324" w:type="pct"/>
            <w:tcBorders>
              <w:top w:val="nil"/>
              <w:left w:val="nil"/>
              <w:bottom w:val="single" w:sz="4" w:space="0" w:color="000000"/>
              <w:right w:val="single" w:sz="4" w:space="0" w:color="000000"/>
            </w:tcBorders>
            <w:textDirection w:val="btLr"/>
            <w:vAlign w:val="center"/>
            <w:hideMark/>
          </w:tcPr>
          <w:p w14:paraId="563A74C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AMBIENTALES</w:t>
            </w:r>
          </w:p>
        </w:tc>
        <w:tc>
          <w:tcPr>
            <w:tcW w:w="1726" w:type="pct"/>
            <w:tcBorders>
              <w:top w:val="nil"/>
              <w:left w:val="nil"/>
              <w:bottom w:val="single" w:sz="4" w:space="0" w:color="000000"/>
              <w:right w:val="single" w:sz="4" w:space="0" w:color="000000"/>
            </w:tcBorders>
            <w:vAlign w:val="center"/>
            <w:hideMark/>
          </w:tcPr>
          <w:p w14:paraId="1B9E9039"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Permisos y autorizaciones ambientales</w:t>
            </w:r>
          </w:p>
        </w:tc>
        <w:tc>
          <w:tcPr>
            <w:tcW w:w="1052" w:type="pct"/>
            <w:tcBorders>
              <w:top w:val="nil"/>
              <w:left w:val="nil"/>
              <w:bottom w:val="single" w:sz="4" w:space="0" w:color="000000"/>
              <w:right w:val="single" w:sz="4" w:space="0" w:color="000000"/>
            </w:tcBorders>
            <w:vAlign w:val="center"/>
            <w:hideMark/>
          </w:tcPr>
          <w:p w14:paraId="2D0F8857"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N/A</w:t>
            </w:r>
          </w:p>
        </w:tc>
        <w:tc>
          <w:tcPr>
            <w:tcW w:w="135" w:type="pct"/>
            <w:tcBorders>
              <w:top w:val="nil"/>
              <w:left w:val="nil"/>
              <w:bottom w:val="single" w:sz="4" w:space="0" w:color="000000"/>
              <w:right w:val="single" w:sz="4" w:space="0" w:color="000000"/>
            </w:tcBorders>
            <w:vAlign w:val="center"/>
            <w:hideMark/>
          </w:tcPr>
          <w:p w14:paraId="47EE3CD5"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19A09F4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420C4AB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C9AAD49"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04F6B7D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07F68EC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25FEBDDF" w14:textId="77777777" w:rsidTr="00FA1A3A">
        <w:trPr>
          <w:trHeight w:val="1456"/>
        </w:trPr>
        <w:tc>
          <w:tcPr>
            <w:tcW w:w="195" w:type="pct"/>
            <w:tcBorders>
              <w:top w:val="nil"/>
              <w:left w:val="single" w:sz="4" w:space="0" w:color="000000"/>
              <w:bottom w:val="single" w:sz="4" w:space="0" w:color="000000"/>
              <w:right w:val="single" w:sz="4" w:space="0" w:color="000000"/>
            </w:tcBorders>
            <w:vAlign w:val="center"/>
            <w:hideMark/>
          </w:tcPr>
          <w:p w14:paraId="17D3D3C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26</w:t>
            </w:r>
          </w:p>
        </w:tc>
        <w:tc>
          <w:tcPr>
            <w:tcW w:w="205" w:type="pct"/>
            <w:tcBorders>
              <w:top w:val="nil"/>
              <w:left w:val="nil"/>
              <w:bottom w:val="single" w:sz="4" w:space="0" w:color="000000"/>
              <w:right w:val="single" w:sz="4" w:space="0" w:color="000000"/>
            </w:tcBorders>
            <w:textDirection w:val="btLr"/>
            <w:vAlign w:val="center"/>
            <w:hideMark/>
          </w:tcPr>
          <w:p w14:paraId="346F5C8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ESPECÍFICO</w:t>
            </w:r>
          </w:p>
        </w:tc>
        <w:tc>
          <w:tcPr>
            <w:tcW w:w="205" w:type="pct"/>
            <w:tcBorders>
              <w:top w:val="nil"/>
              <w:left w:val="nil"/>
              <w:bottom w:val="single" w:sz="4" w:space="0" w:color="000000"/>
              <w:right w:val="single" w:sz="4" w:space="0" w:color="000000"/>
            </w:tcBorders>
            <w:textDirection w:val="btLr"/>
            <w:vAlign w:val="center"/>
            <w:hideMark/>
          </w:tcPr>
          <w:p w14:paraId="2F3E1AA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7C90A66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PLANEACIÓN</w:t>
            </w:r>
          </w:p>
        </w:tc>
        <w:tc>
          <w:tcPr>
            <w:tcW w:w="324" w:type="pct"/>
            <w:tcBorders>
              <w:top w:val="nil"/>
              <w:left w:val="nil"/>
              <w:bottom w:val="single" w:sz="4" w:space="0" w:color="000000"/>
              <w:right w:val="single" w:sz="4" w:space="0" w:color="000000"/>
            </w:tcBorders>
            <w:textDirection w:val="btLr"/>
            <w:vAlign w:val="center"/>
            <w:hideMark/>
          </w:tcPr>
          <w:p w14:paraId="544C5FF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AMBIENTALES</w:t>
            </w:r>
          </w:p>
        </w:tc>
        <w:tc>
          <w:tcPr>
            <w:tcW w:w="1726" w:type="pct"/>
            <w:tcBorders>
              <w:top w:val="nil"/>
              <w:left w:val="nil"/>
              <w:bottom w:val="single" w:sz="4" w:space="0" w:color="000000"/>
              <w:right w:val="single" w:sz="4" w:space="0" w:color="000000"/>
            </w:tcBorders>
            <w:vAlign w:val="center"/>
            <w:hideMark/>
          </w:tcPr>
          <w:p w14:paraId="110A302B"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Tasas retributivas y compensatorias</w:t>
            </w:r>
          </w:p>
        </w:tc>
        <w:tc>
          <w:tcPr>
            <w:tcW w:w="1052" w:type="pct"/>
            <w:tcBorders>
              <w:top w:val="nil"/>
              <w:left w:val="nil"/>
              <w:bottom w:val="single" w:sz="4" w:space="0" w:color="000000"/>
              <w:right w:val="single" w:sz="4" w:space="0" w:color="000000"/>
            </w:tcBorders>
            <w:vAlign w:val="center"/>
            <w:hideMark/>
          </w:tcPr>
          <w:p w14:paraId="4EE6A641"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N/A</w:t>
            </w:r>
          </w:p>
        </w:tc>
        <w:tc>
          <w:tcPr>
            <w:tcW w:w="135" w:type="pct"/>
            <w:tcBorders>
              <w:top w:val="nil"/>
              <w:left w:val="nil"/>
              <w:bottom w:val="single" w:sz="4" w:space="0" w:color="000000"/>
              <w:right w:val="single" w:sz="4" w:space="0" w:color="000000"/>
            </w:tcBorders>
            <w:vAlign w:val="center"/>
            <w:hideMark/>
          </w:tcPr>
          <w:p w14:paraId="0184F424"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6496CB7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RARO</w:t>
            </w:r>
          </w:p>
        </w:tc>
        <w:tc>
          <w:tcPr>
            <w:tcW w:w="135" w:type="pct"/>
            <w:tcBorders>
              <w:top w:val="nil"/>
              <w:left w:val="nil"/>
              <w:bottom w:val="single" w:sz="4" w:space="0" w:color="000000"/>
              <w:right w:val="single" w:sz="4" w:space="0" w:color="000000"/>
            </w:tcBorders>
            <w:vAlign w:val="center"/>
            <w:hideMark/>
          </w:tcPr>
          <w:p w14:paraId="08086B87"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4611CA1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3381FEF0"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4" w:type="pct"/>
            <w:tcBorders>
              <w:top w:val="nil"/>
              <w:left w:val="nil"/>
              <w:bottom w:val="single" w:sz="4" w:space="0" w:color="000000"/>
              <w:right w:val="single" w:sz="4" w:space="0" w:color="000000"/>
            </w:tcBorders>
            <w:textDirection w:val="btLr"/>
            <w:vAlign w:val="center"/>
            <w:hideMark/>
          </w:tcPr>
          <w:p w14:paraId="1D1E1455"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7D812AC8" w14:textId="77777777" w:rsidTr="00FA1A3A">
        <w:trPr>
          <w:trHeight w:val="1544"/>
        </w:trPr>
        <w:tc>
          <w:tcPr>
            <w:tcW w:w="195" w:type="pct"/>
            <w:tcBorders>
              <w:top w:val="nil"/>
              <w:left w:val="single" w:sz="4" w:space="0" w:color="000000"/>
              <w:bottom w:val="single" w:sz="4" w:space="0" w:color="000000"/>
              <w:right w:val="single" w:sz="4" w:space="0" w:color="000000"/>
            </w:tcBorders>
            <w:vAlign w:val="center"/>
            <w:hideMark/>
          </w:tcPr>
          <w:p w14:paraId="38C6E84F"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27</w:t>
            </w:r>
          </w:p>
        </w:tc>
        <w:tc>
          <w:tcPr>
            <w:tcW w:w="205" w:type="pct"/>
            <w:tcBorders>
              <w:top w:val="nil"/>
              <w:left w:val="nil"/>
              <w:bottom w:val="single" w:sz="4" w:space="0" w:color="000000"/>
              <w:right w:val="single" w:sz="4" w:space="0" w:color="000000"/>
            </w:tcBorders>
            <w:textDirection w:val="btLr"/>
            <w:vAlign w:val="center"/>
            <w:hideMark/>
          </w:tcPr>
          <w:p w14:paraId="41CADF7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1EEAA322"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2A8101D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3230F25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TECNOLÓGICOS</w:t>
            </w:r>
          </w:p>
        </w:tc>
        <w:tc>
          <w:tcPr>
            <w:tcW w:w="1726" w:type="pct"/>
            <w:tcBorders>
              <w:top w:val="nil"/>
              <w:left w:val="nil"/>
              <w:bottom w:val="single" w:sz="4" w:space="0" w:color="000000"/>
              <w:right w:val="single" w:sz="4" w:space="0" w:color="000000"/>
            </w:tcBorders>
            <w:vAlign w:val="center"/>
            <w:hideMark/>
          </w:tcPr>
          <w:p w14:paraId="1ACEE8C0"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 xml:space="preserve">Fallas en los sistemas de comunicación de voz y de datos </w:t>
            </w:r>
          </w:p>
        </w:tc>
        <w:tc>
          <w:tcPr>
            <w:tcW w:w="1052" w:type="pct"/>
            <w:tcBorders>
              <w:top w:val="nil"/>
              <w:left w:val="nil"/>
              <w:bottom w:val="single" w:sz="4" w:space="0" w:color="000000"/>
              <w:right w:val="single" w:sz="4" w:space="0" w:color="000000"/>
            </w:tcBorders>
            <w:vAlign w:val="center"/>
            <w:hideMark/>
          </w:tcPr>
          <w:p w14:paraId="0EC3D71C"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Actas de suspensión hasta que pase la eventualidad, ampliación de póliza</w:t>
            </w:r>
          </w:p>
        </w:tc>
        <w:tc>
          <w:tcPr>
            <w:tcW w:w="135" w:type="pct"/>
            <w:tcBorders>
              <w:top w:val="nil"/>
              <w:left w:val="nil"/>
              <w:bottom w:val="single" w:sz="4" w:space="0" w:color="000000"/>
              <w:right w:val="single" w:sz="4" w:space="0" w:color="000000"/>
            </w:tcBorders>
            <w:vAlign w:val="center"/>
            <w:hideMark/>
          </w:tcPr>
          <w:p w14:paraId="0A1FF9FC"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07C5DD7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4CCECCF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34990CC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6E8CC061"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4" w:type="pct"/>
            <w:tcBorders>
              <w:top w:val="nil"/>
              <w:left w:val="nil"/>
              <w:bottom w:val="single" w:sz="4" w:space="0" w:color="000000"/>
              <w:right w:val="single" w:sz="4" w:space="0" w:color="000000"/>
            </w:tcBorders>
            <w:textDirection w:val="btLr"/>
            <w:vAlign w:val="center"/>
            <w:hideMark/>
          </w:tcPr>
          <w:p w14:paraId="28BD340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619FE76D" w14:textId="77777777" w:rsidTr="00FA1A3A">
        <w:trPr>
          <w:trHeight w:val="1454"/>
        </w:trPr>
        <w:tc>
          <w:tcPr>
            <w:tcW w:w="195" w:type="pct"/>
            <w:tcBorders>
              <w:top w:val="nil"/>
              <w:left w:val="single" w:sz="4" w:space="0" w:color="000000"/>
              <w:bottom w:val="single" w:sz="4" w:space="0" w:color="000000"/>
              <w:right w:val="single" w:sz="4" w:space="0" w:color="000000"/>
            </w:tcBorders>
            <w:vAlign w:val="center"/>
            <w:hideMark/>
          </w:tcPr>
          <w:p w14:paraId="5F5336BC" w14:textId="77777777" w:rsidR="0029356C" w:rsidRPr="00B27593" w:rsidRDefault="0029356C" w:rsidP="00FA1A3A">
            <w:pPr>
              <w:spacing w:after="0" w:line="240" w:lineRule="auto"/>
              <w:jc w:val="center"/>
              <w:rPr>
                <w:rFonts w:ascii="Arial" w:hAnsi="Arial" w:cs="Arial"/>
                <w:color w:val="1A1717"/>
                <w:sz w:val="18"/>
                <w:szCs w:val="18"/>
                <w:lang w:eastAsia="es-CO"/>
              </w:rPr>
            </w:pPr>
            <w:r w:rsidRPr="00B27593">
              <w:rPr>
                <w:rFonts w:ascii="Arial" w:hAnsi="Arial" w:cs="Arial"/>
                <w:color w:val="1A1717"/>
                <w:sz w:val="18"/>
                <w:szCs w:val="18"/>
                <w:lang w:eastAsia="es-CO"/>
              </w:rPr>
              <w:t>28</w:t>
            </w:r>
          </w:p>
        </w:tc>
        <w:tc>
          <w:tcPr>
            <w:tcW w:w="205" w:type="pct"/>
            <w:tcBorders>
              <w:top w:val="nil"/>
              <w:left w:val="nil"/>
              <w:bottom w:val="single" w:sz="4" w:space="0" w:color="000000"/>
              <w:right w:val="single" w:sz="4" w:space="0" w:color="000000"/>
            </w:tcBorders>
            <w:textDirection w:val="btLr"/>
            <w:vAlign w:val="center"/>
            <w:hideMark/>
          </w:tcPr>
          <w:p w14:paraId="1667C2B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GENERAL</w:t>
            </w:r>
          </w:p>
        </w:tc>
        <w:tc>
          <w:tcPr>
            <w:tcW w:w="205" w:type="pct"/>
            <w:tcBorders>
              <w:top w:val="nil"/>
              <w:left w:val="nil"/>
              <w:bottom w:val="single" w:sz="4" w:space="0" w:color="000000"/>
              <w:right w:val="single" w:sz="4" w:space="0" w:color="000000"/>
            </w:tcBorders>
            <w:textDirection w:val="btLr"/>
            <w:vAlign w:val="center"/>
            <w:hideMark/>
          </w:tcPr>
          <w:p w14:paraId="25A56FA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56B806B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6CE79B0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TECNOLÓGICOS</w:t>
            </w:r>
          </w:p>
        </w:tc>
        <w:tc>
          <w:tcPr>
            <w:tcW w:w="1726" w:type="pct"/>
            <w:tcBorders>
              <w:top w:val="nil"/>
              <w:left w:val="nil"/>
              <w:bottom w:val="single" w:sz="4" w:space="0" w:color="000000"/>
              <w:right w:val="single" w:sz="4" w:space="0" w:color="000000"/>
            </w:tcBorders>
            <w:vAlign w:val="center"/>
            <w:hideMark/>
          </w:tcPr>
          <w:p w14:paraId="0C32A2D3"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Suspensión de servicios públicos</w:t>
            </w:r>
          </w:p>
        </w:tc>
        <w:tc>
          <w:tcPr>
            <w:tcW w:w="1052" w:type="pct"/>
            <w:tcBorders>
              <w:top w:val="nil"/>
              <w:left w:val="nil"/>
              <w:bottom w:val="single" w:sz="4" w:space="0" w:color="000000"/>
              <w:right w:val="single" w:sz="4" w:space="0" w:color="000000"/>
            </w:tcBorders>
            <w:vAlign w:val="center"/>
            <w:hideMark/>
          </w:tcPr>
          <w:p w14:paraId="0D9D3F50"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Actas de suspensión hasta que pase la eventualidad, ampliación de póliza</w:t>
            </w:r>
          </w:p>
        </w:tc>
        <w:tc>
          <w:tcPr>
            <w:tcW w:w="135" w:type="pct"/>
            <w:tcBorders>
              <w:top w:val="nil"/>
              <w:left w:val="nil"/>
              <w:bottom w:val="single" w:sz="4" w:space="0" w:color="000000"/>
              <w:right w:val="single" w:sz="4" w:space="0" w:color="000000"/>
            </w:tcBorders>
            <w:vAlign w:val="center"/>
            <w:hideMark/>
          </w:tcPr>
          <w:p w14:paraId="64929E8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67D973CB"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1C3C1428"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47DDFB1A"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29F6F39B"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4" w:type="pct"/>
            <w:tcBorders>
              <w:top w:val="nil"/>
              <w:left w:val="nil"/>
              <w:bottom w:val="single" w:sz="4" w:space="0" w:color="000000"/>
              <w:right w:val="single" w:sz="4" w:space="0" w:color="000000"/>
            </w:tcBorders>
            <w:textDirection w:val="btLr"/>
            <w:vAlign w:val="center"/>
            <w:hideMark/>
          </w:tcPr>
          <w:p w14:paraId="01EC4F03"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r w:rsidR="0029356C" w:rsidRPr="00B27593" w14:paraId="541FF073" w14:textId="77777777" w:rsidTr="00FA1A3A">
        <w:trPr>
          <w:trHeight w:val="1920"/>
        </w:trPr>
        <w:tc>
          <w:tcPr>
            <w:tcW w:w="195" w:type="pct"/>
            <w:tcBorders>
              <w:top w:val="nil"/>
              <w:left w:val="single" w:sz="4" w:space="0" w:color="000000"/>
              <w:bottom w:val="single" w:sz="4" w:space="0" w:color="000000"/>
              <w:right w:val="single" w:sz="4" w:space="0" w:color="000000"/>
            </w:tcBorders>
            <w:vAlign w:val="center"/>
            <w:hideMark/>
          </w:tcPr>
          <w:p w14:paraId="4E7E296D"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29</w:t>
            </w:r>
          </w:p>
        </w:tc>
        <w:tc>
          <w:tcPr>
            <w:tcW w:w="205" w:type="pct"/>
            <w:tcBorders>
              <w:top w:val="nil"/>
              <w:left w:val="nil"/>
              <w:bottom w:val="single" w:sz="4" w:space="0" w:color="000000"/>
              <w:right w:val="single" w:sz="4" w:space="0" w:color="000000"/>
            </w:tcBorders>
            <w:textDirection w:val="btLr"/>
            <w:vAlign w:val="center"/>
            <w:hideMark/>
          </w:tcPr>
          <w:p w14:paraId="5908097F"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ESPECÍFICO</w:t>
            </w:r>
          </w:p>
        </w:tc>
        <w:tc>
          <w:tcPr>
            <w:tcW w:w="205" w:type="pct"/>
            <w:tcBorders>
              <w:top w:val="nil"/>
              <w:left w:val="nil"/>
              <w:bottom w:val="single" w:sz="4" w:space="0" w:color="000000"/>
              <w:right w:val="single" w:sz="4" w:space="0" w:color="000000"/>
            </w:tcBorders>
            <w:textDirection w:val="btLr"/>
            <w:vAlign w:val="center"/>
            <w:hideMark/>
          </w:tcPr>
          <w:p w14:paraId="2461313E"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INTERNO</w:t>
            </w:r>
          </w:p>
        </w:tc>
        <w:tc>
          <w:tcPr>
            <w:tcW w:w="205" w:type="pct"/>
            <w:tcBorders>
              <w:top w:val="nil"/>
              <w:left w:val="nil"/>
              <w:bottom w:val="single" w:sz="4" w:space="0" w:color="000000"/>
              <w:right w:val="single" w:sz="4" w:space="0" w:color="000000"/>
            </w:tcBorders>
            <w:textDirection w:val="btLr"/>
            <w:vAlign w:val="center"/>
            <w:hideMark/>
          </w:tcPr>
          <w:p w14:paraId="3FAAE4C6"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EJECUCIÓN</w:t>
            </w:r>
          </w:p>
        </w:tc>
        <w:tc>
          <w:tcPr>
            <w:tcW w:w="324" w:type="pct"/>
            <w:tcBorders>
              <w:top w:val="nil"/>
              <w:left w:val="nil"/>
              <w:bottom w:val="single" w:sz="4" w:space="0" w:color="000000"/>
              <w:right w:val="single" w:sz="4" w:space="0" w:color="000000"/>
            </w:tcBorders>
            <w:textDirection w:val="btLr"/>
            <w:vAlign w:val="center"/>
            <w:hideMark/>
          </w:tcPr>
          <w:p w14:paraId="1A176430"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TECNOLÓGICOS</w:t>
            </w:r>
          </w:p>
        </w:tc>
        <w:tc>
          <w:tcPr>
            <w:tcW w:w="1726" w:type="pct"/>
            <w:tcBorders>
              <w:top w:val="nil"/>
              <w:left w:val="nil"/>
              <w:bottom w:val="single" w:sz="4" w:space="0" w:color="000000"/>
              <w:right w:val="single" w:sz="4" w:space="0" w:color="000000"/>
            </w:tcBorders>
            <w:vAlign w:val="center"/>
            <w:hideMark/>
          </w:tcPr>
          <w:p w14:paraId="0E6B3A44" w14:textId="77777777" w:rsidR="0029356C" w:rsidRPr="00B27593" w:rsidRDefault="0029356C" w:rsidP="00FA1A3A">
            <w:pPr>
              <w:spacing w:after="0" w:line="240" w:lineRule="auto"/>
              <w:jc w:val="both"/>
              <w:rPr>
                <w:rFonts w:ascii="Arial" w:hAnsi="Arial" w:cs="Arial"/>
                <w:sz w:val="18"/>
                <w:szCs w:val="18"/>
                <w:lang w:eastAsia="es-CO"/>
              </w:rPr>
            </w:pPr>
            <w:r w:rsidRPr="00B27593">
              <w:rPr>
                <w:rFonts w:ascii="Arial" w:hAnsi="Arial" w:cs="Arial"/>
                <w:sz w:val="18"/>
                <w:szCs w:val="18"/>
                <w:lang w:eastAsia="es-CO"/>
              </w:rPr>
              <w:t xml:space="preserve"> Nuevos desarrollos tecnológicos o estándares que deben ser tenidos en cuenta para la ejecución del contrato, obsolescencia tecnológica.</w:t>
            </w:r>
          </w:p>
        </w:tc>
        <w:tc>
          <w:tcPr>
            <w:tcW w:w="1052" w:type="pct"/>
            <w:tcBorders>
              <w:top w:val="nil"/>
              <w:left w:val="nil"/>
              <w:bottom w:val="single" w:sz="4" w:space="0" w:color="000000"/>
              <w:right w:val="single" w:sz="4" w:space="0" w:color="000000"/>
            </w:tcBorders>
            <w:vAlign w:val="center"/>
            <w:hideMark/>
          </w:tcPr>
          <w:p w14:paraId="42A6F85A" w14:textId="77777777" w:rsidR="0029356C" w:rsidRPr="00B27593" w:rsidRDefault="0029356C" w:rsidP="00FA1A3A">
            <w:pPr>
              <w:spacing w:after="0" w:line="240" w:lineRule="auto"/>
              <w:rPr>
                <w:rFonts w:ascii="Arial" w:hAnsi="Arial" w:cs="Arial"/>
                <w:sz w:val="18"/>
                <w:szCs w:val="18"/>
                <w:lang w:eastAsia="es-CO"/>
              </w:rPr>
            </w:pPr>
            <w:r w:rsidRPr="00B27593">
              <w:rPr>
                <w:rFonts w:ascii="Arial" w:hAnsi="Arial" w:cs="Arial"/>
                <w:sz w:val="18"/>
                <w:szCs w:val="18"/>
                <w:lang w:eastAsia="es-CO"/>
              </w:rPr>
              <w:t xml:space="preserve">Se Multa y se hace efectiva la cláusula penal  </w:t>
            </w:r>
          </w:p>
        </w:tc>
        <w:tc>
          <w:tcPr>
            <w:tcW w:w="135" w:type="pct"/>
            <w:tcBorders>
              <w:top w:val="nil"/>
              <w:left w:val="nil"/>
              <w:bottom w:val="single" w:sz="4" w:space="0" w:color="000000"/>
              <w:right w:val="single" w:sz="4" w:space="0" w:color="000000"/>
            </w:tcBorders>
            <w:vAlign w:val="center"/>
            <w:hideMark/>
          </w:tcPr>
          <w:p w14:paraId="1A9270A3"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2</w:t>
            </w:r>
          </w:p>
        </w:tc>
        <w:tc>
          <w:tcPr>
            <w:tcW w:w="205" w:type="pct"/>
            <w:tcBorders>
              <w:top w:val="nil"/>
              <w:left w:val="nil"/>
              <w:bottom w:val="single" w:sz="4" w:space="0" w:color="000000"/>
              <w:right w:val="single" w:sz="4" w:space="0" w:color="000000"/>
            </w:tcBorders>
            <w:textDirection w:val="btLr"/>
            <w:vAlign w:val="center"/>
            <w:hideMark/>
          </w:tcPr>
          <w:p w14:paraId="7EF7CBD1"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IMPROBABLE</w:t>
            </w:r>
          </w:p>
        </w:tc>
        <w:tc>
          <w:tcPr>
            <w:tcW w:w="135" w:type="pct"/>
            <w:tcBorders>
              <w:top w:val="nil"/>
              <w:left w:val="nil"/>
              <w:bottom w:val="single" w:sz="4" w:space="0" w:color="000000"/>
              <w:right w:val="single" w:sz="4" w:space="0" w:color="000000"/>
            </w:tcBorders>
            <w:vAlign w:val="center"/>
            <w:hideMark/>
          </w:tcPr>
          <w:p w14:paraId="03531062"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1</w:t>
            </w:r>
          </w:p>
        </w:tc>
        <w:tc>
          <w:tcPr>
            <w:tcW w:w="205" w:type="pct"/>
            <w:tcBorders>
              <w:top w:val="nil"/>
              <w:left w:val="nil"/>
              <w:bottom w:val="single" w:sz="4" w:space="0" w:color="000000"/>
              <w:right w:val="single" w:sz="4" w:space="0" w:color="000000"/>
            </w:tcBorders>
            <w:textDirection w:val="btLr"/>
            <w:vAlign w:val="center"/>
            <w:hideMark/>
          </w:tcPr>
          <w:p w14:paraId="24A83208"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INSIGNIFICANTE</w:t>
            </w:r>
          </w:p>
        </w:tc>
        <w:tc>
          <w:tcPr>
            <w:tcW w:w="205" w:type="pct"/>
            <w:tcBorders>
              <w:top w:val="nil"/>
              <w:left w:val="nil"/>
              <w:bottom w:val="single" w:sz="4" w:space="0" w:color="000000"/>
              <w:right w:val="single" w:sz="4" w:space="0" w:color="000000"/>
            </w:tcBorders>
            <w:shd w:val="clear" w:color="000000" w:fill="0E7806"/>
            <w:vAlign w:val="center"/>
            <w:hideMark/>
          </w:tcPr>
          <w:p w14:paraId="639419C0" w14:textId="77777777" w:rsidR="0029356C" w:rsidRPr="00B27593" w:rsidRDefault="0029356C" w:rsidP="00FA1A3A">
            <w:pPr>
              <w:spacing w:after="0" w:line="240" w:lineRule="auto"/>
              <w:jc w:val="center"/>
              <w:rPr>
                <w:rFonts w:ascii="Arial" w:hAnsi="Arial" w:cs="Arial"/>
                <w:color w:val="000000"/>
                <w:sz w:val="18"/>
                <w:szCs w:val="18"/>
                <w:lang w:eastAsia="es-CO"/>
              </w:rPr>
            </w:pPr>
            <w:r w:rsidRPr="00B27593">
              <w:rPr>
                <w:rFonts w:ascii="Arial" w:hAnsi="Arial" w:cs="Arial"/>
                <w:color w:val="000000"/>
                <w:sz w:val="18"/>
                <w:szCs w:val="18"/>
                <w:lang w:eastAsia="es-CO"/>
              </w:rPr>
              <w:t>3</w:t>
            </w:r>
          </w:p>
        </w:tc>
        <w:tc>
          <w:tcPr>
            <w:tcW w:w="204" w:type="pct"/>
            <w:tcBorders>
              <w:top w:val="nil"/>
              <w:left w:val="nil"/>
              <w:bottom w:val="single" w:sz="4" w:space="0" w:color="000000"/>
              <w:right w:val="single" w:sz="4" w:space="0" w:color="000000"/>
            </w:tcBorders>
            <w:textDirection w:val="btLr"/>
            <w:vAlign w:val="center"/>
            <w:hideMark/>
          </w:tcPr>
          <w:p w14:paraId="43ACB81C" w14:textId="77777777" w:rsidR="0029356C" w:rsidRPr="00B27593" w:rsidRDefault="0029356C" w:rsidP="00FA1A3A">
            <w:pPr>
              <w:spacing w:after="0" w:line="240" w:lineRule="auto"/>
              <w:jc w:val="center"/>
              <w:rPr>
                <w:rFonts w:ascii="Arial" w:hAnsi="Arial" w:cs="Arial"/>
                <w:sz w:val="18"/>
                <w:szCs w:val="18"/>
                <w:lang w:eastAsia="es-CO"/>
              </w:rPr>
            </w:pPr>
            <w:r w:rsidRPr="00B27593">
              <w:rPr>
                <w:rFonts w:ascii="Arial" w:hAnsi="Arial" w:cs="Arial"/>
                <w:sz w:val="18"/>
                <w:szCs w:val="18"/>
                <w:lang w:eastAsia="es-CO"/>
              </w:rPr>
              <w:t>RIESGO BAJO</w:t>
            </w:r>
          </w:p>
        </w:tc>
      </w:tr>
    </w:tbl>
    <w:p w14:paraId="1D1A7415" w14:textId="77777777" w:rsidR="0029356C" w:rsidRPr="0067247C" w:rsidRDefault="0029356C" w:rsidP="0029356C">
      <w:pPr>
        <w:spacing w:after="0"/>
        <w:jc w:val="both"/>
        <w:rPr>
          <w:rFonts w:ascii="Arial" w:hAnsi="Arial" w:cs="Arial"/>
          <w:b/>
          <w:bCs/>
          <w:sz w:val="20"/>
          <w:szCs w:val="20"/>
        </w:rPr>
      </w:pPr>
    </w:p>
    <w:p w14:paraId="1AE40952" w14:textId="77777777" w:rsidR="0029356C" w:rsidRPr="0067247C" w:rsidRDefault="0029356C" w:rsidP="0029356C">
      <w:pPr>
        <w:spacing w:after="0"/>
        <w:jc w:val="both"/>
        <w:rPr>
          <w:rFonts w:ascii="Arial" w:hAnsi="Arial" w:cs="Arial"/>
          <w:b/>
          <w:bCs/>
          <w:sz w:val="20"/>
          <w:szCs w:val="20"/>
        </w:rPr>
      </w:pPr>
      <w:r w:rsidRPr="0067247C">
        <w:rPr>
          <w:rFonts w:ascii="Arial" w:hAnsi="Arial" w:cs="Arial"/>
          <w:b/>
          <w:bCs/>
          <w:sz w:val="20"/>
          <w:szCs w:val="20"/>
        </w:rPr>
        <w:t>Forma de mitigarlo</w:t>
      </w:r>
    </w:p>
    <w:p w14:paraId="39465167" w14:textId="77777777" w:rsidR="0029356C" w:rsidRPr="0067247C" w:rsidRDefault="0029356C" w:rsidP="0029356C">
      <w:pPr>
        <w:spacing w:after="0"/>
        <w:ind w:left="708" w:hanging="708"/>
        <w:jc w:val="both"/>
        <w:rPr>
          <w:rFonts w:ascii="Arial" w:hAnsi="Arial" w:cs="Arial"/>
          <w:sz w:val="20"/>
          <w:szCs w:val="20"/>
        </w:rPr>
      </w:pPr>
      <w:r w:rsidRPr="0067247C">
        <w:rPr>
          <w:rFonts w:ascii="Arial" w:hAnsi="Arial" w:cs="Arial"/>
          <w:sz w:val="20"/>
          <w:szCs w:val="20"/>
        </w:rPr>
        <w:t>Para mitigar el riesgo antes descrito la Administración del Municipio tendrá en cuenta   lo siguiente:</w:t>
      </w:r>
    </w:p>
    <w:p w14:paraId="7536562D" w14:textId="77777777" w:rsidR="0029356C" w:rsidRPr="0067247C" w:rsidRDefault="0029356C" w:rsidP="0029356C">
      <w:pPr>
        <w:spacing w:after="0" w:line="240" w:lineRule="auto"/>
        <w:rPr>
          <w:rFonts w:ascii="Arial" w:hAnsi="Arial" w:cs="Arial"/>
          <w:sz w:val="20"/>
          <w:szCs w:val="20"/>
          <w:lang w:eastAsia="es-CO"/>
        </w:rPr>
      </w:pPr>
    </w:p>
    <w:tbl>
      <w:tblPr>
        <w:tblW w:w="0" w:type="auto"/>
        <w:tblLayout w:type="fixed"/>
        <w:tblCellMar>
          <w:left w:w="70" w:type="dxa"/>
          <w:right w:w="70" w:type="dxa"/>
        </w:tblCellMar>
        <w:tblLook w:val="04A0" w:firstRow="1" w:lastRow="0" w:firstColumn="1" w:lastColumn="0" w:noHBand="0" w:noVBand="1"/>
      </w:tblPr>
      <w:tblGrid>
        <w:gridCol w:w="324"/>
        <w:gridCol w:w="2506"/>
        <w:gridCol w:w="426"/>
        <w:gridCol w:w="511"/>
        <w:gridCol w:w="339"/>
        <w:gridCol w:w="284"/>
        <w:gridCol w:w="538"/>
        <w:gridCol w:w="454"/>
        <w:gridCol w:w="850"/>
        <w:gridCol w:w="426"/>
        <w:gridCol w:w="1319"/>
        <w:gridCol w:w="1373"/>
      </w:tblGrid>
      <w:tr w:rsidR="0029356C" w:rsidRPr="00536706" w14:paraId="2F04D6FC" w14:textId="77777777" w:rsidTr="00FA1A3A">
        <w:trPr>
          <w:trHeight w:val="810"/>
        </w:trPr>
        <w:tc>
          <w:tcPr>
            <w:tcW w:w="324"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094EFE3" w14:textId="77777777" w:rsidR="0029356C" w:rsidRPr="00536706" w:rsidRDefault="0029356C" w:rsidP="00FA1A3A">
            <w:pPr>
              <w:spacing w:after="0" w:line="240" w:lineRule="auto"/>
              <w:jc w:val="center"/>
              <w:rPr>
                <w:rFonts w:ascii="Arial" w:hAnsi="Arial" w:cs="Arial"/>
                <w:b/>
                <w:bCs/>
                <w:color w:val="000000"/>
                <w:sz w:val="15"/>
                <w:szCs w:val="15"/>
                <w:lang w:eastAsia="es-CO"/>
              </w:rPr>
            </w:pPr>
            <w:r w:rsidRPr="00536706">
              <w:rPr>
                <w:rFonts w:ascii="Arial" w:hAnsi="Arial" w:cs="Arial"/>
                <w:b/>
                <w:bCs/>
                <w:color w:val="000000"/>
                <w:sz w:val="15"/>
                <w:szCs w:val="15"/>
                <w:lang w:eastAsia="es-CO"/>
              </w:rPr>
              <w:t>¿A quién se le asigna?</w:t>
            </w:r>
          </w:p>
        </w:tc>
        <w:tc>
          <w:tcPr>
            <w:tcW w:w="250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CC3B4E7"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Tratamiento/Controles a ser implementados</w:t>
            </w:r>
          </w:p>
        </w:tc>
        <w:tc>
          <w:tcPr>
            <w:tcW w:w="1560" w:type="dxa"/>
            <w:gridSpan w:val="4"/>
            <w:tcBorders>
              <w:top w:val="single" w:sz="4" w:space="0" w:color="auto"/>
              <w:left w:val="nil"/>
              <w:bottom w:val="single" w:sz="4" w:space="0" w:color="auto"/>
              <w:right w:val="single" w:sz="4" w:space="0" w:color="auto"/>
            </w:tcBorders>
            <w:shd w:val="clear" w:color="000000" w:fill="D9D9D9"/>
            <w:vAlign w:val="center"/>
            <w:hideMark/>
          </w:tcPr>
          <w:p w14:paraId="6AFFC8CC"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Impacto después del tratamiento</w:t>
            </w:r>
          </w:p>
        </w:tc>
        <w:tc>
          <w:tcPr>
            <w:tcW w:w="538"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71C733DD"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¿Afecta el equilibrio económico del contrato?</w:t>
            </w:r>
          </w:p>
        </w:tc>
        <w:tc>
          <w:tcPr>
            <w:tcW w:w="454"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021DABEF"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Persona responsable por implementar el tratamiento</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759B309"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Fecha estimada en que se inicia el tratamiento</w:t>
            </w:r>
          </w:p>
        </w:tc>
        <w:tc>
          <w:tcPr>
            <w:tcW w:w="426"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5736377D"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Fecha estimada en que se completa el tratamiento</w:t>
            </w:r>
          </w:p>
        </w:tc>
        <w:tc>
          <w:tcPr>
            <w:tcW w:w="2692" w:type="dxa"/>
            <w:gridSpan w:val="2"/>
            <w:tcBorders>
              <w:top w:val="single" w:sz="4" w:space="0" w:color="auto"/>
              <w:left w:val="nil"/>
              <w:bottom w:val="single" w:sz="4" w:space="0" w:color="auto"/>
              <w:right w:val="single" w:sz="4" w:space="0" w:color="auto"/>
            </w:tcBorders>
            <w:shd w:val="clear" w:color="000000" w:fill="D9D9D9"/>
            <w:vAlign w:val="center"/>
            <w:hideMark/>
          </w:tcPr>
          <w:p w14:paraId="55FB915F"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Monitoreo y revisión</w:t>
            </w:r>
          </w:p>
        </w:tc>
      </w:tr>
      <w:tr w:rsidR="0029356C" w:rsidRPr="00536706" w14:paraId="18A6ACC8" w14:textId="77777777" w:rsidTr="00FA1A3A">
        <w:trPr>
          <w:trHeight w:val="2284"/>
        </w:trPr>
        <w:tc>
          <w:tcPr>
            <w:tcW w:w="324" w:type="dxa"/>
            <w:vMerge/>
            <w:tcBorders>
              <w:top w:val="single" w:sz="4" w:space="0" w:color="auto"/>
              <w:left w:val="single" w:sz="4" w:space="0" w:color="auto"/>
              <w:bottom w:val="single" w:sz="4" w:space="0" w:color="000000"/>
              <w:right w:val="single" w:sz="4" w:space="0" w:color="auto"/>
            </w:tcBorders>
            <w:vAlign w:val="center"/>
            <w:hideMark/>
          </w:tcPr>
          <w:p w14:paraId="67B8437B" w14:textId="77777777" w:rsidR="0029356C" w:rsidRPr="00536706" w:rsidRDefault="0029356C" w:rsidP="00FA1A3A">
            <w:pPr>
              <w:spacing w:after="0" w:line="240" w:lineRule="auto"/>
              <w:rPr>
                <w:rFonts w:ascii="Arial" w:hAnsi="Arial" w:cs="Arial"/>
                <w:b/>
                <w:bCs/>
                <w:color w:val="000000"/>
                <w:sz w:val="15"/>
                <w:szCs w:val="15"/>
                <w:lang w:eastAsia="es-CO"/>
              </w:rPr>
            </w:pPr>
          </w:p>
        </w:tc>
        <w:tc>
          <w:tcPr>
            <w:tcW w:w="2506" w:type="dxa"/>
            <w:vMerge/>
            <w:tcBorders>
              <w:top w:val="single" w:sz="4" w:space="0" w:color="auto"/>
              <w:left w:val="single" w:sz="4" w:space="0" w:color="auto"/>
              <w:bottom w:val="single" w:sz="4" w:space="0" w:color="000000"/>
              <w:right w:val="single" w:sz="4" w:space="0" w:color="auto"/>
            </w:tcBorders>
            <w:vAlign w:val="center"/>
            <w:hideMark/>
          </w:tcPr>
          <w:p w14:paraId="2301BFE5" w14:textId="77777777" w:rsidR="0029356C" w:rsidRPr="00536706" w:rsidRDefault="0029356C" w:rsidP="00FA1A3A">
            <w:pPr>
              <w:spacing w:after="0" w:line="240" w:lineRule="auto"/>
              <w:rPr>
                <w:rFonts w:ascii="Arial" w:hAnsi="Arial" w:cs="Arial"/>
                <w:b/>
                <w:bCs/>
                <w:sz w:val="15"/>
                <w:szCs w:val="15"/>
                <w:lang w:eastAsia="es-CO"/>
              </w:rPr>
            </w:pPr>
          </w:p>
        </w:tc>
        <w:tc>
          <w:tcPr>
            <w:tcW w:w="426" w:type="dxa"/>
            <w:tcBorders>
              <w:top w:val="nil"/>
              <w:left w:val="nil"/>
              <w:bottom w:val="single" w:sz="4" w:space="0" w:color="auto"/>
              <w:right w:val="single" w:sz="4" w:space="0" w:color="auto"/>
            </w:tcBorders>
            <w:shd w:val="clear" w:color="000000" w:fill="D9D9D9"/>
            <w:textDirection w:val="btLr"/>
            <w:vAlign w:val="center"/>
            <w:hideMark/>
          </w:tcPr>
          <w:p w14:paraId="152B717C" w14:textId="77777777" w:rsidR="0029356C" w:rsidRPr="00536706" w:rsidRDefault="0029356C" w:rsidP="00FA1A3A">
            <w:pPr>
              <w:spacing w:after="0" w:line="240" w:lineRule="auto"/>
              <w:jc w:val="center"/>
              <w:rPr>
                <w:rFonts w:ascii="Arial" w:hAnsi="Arial" w:cs="Arial"/>
                <w:b/>
                <w:bCs/>
                <w:color w:val="000000"/>
                <w:sz w:val="15"/>
                <w:szCs w:val="15"/>
                <w:lang w:eastAsia="es-CO"/>
              </w:rPr>
            </w:pPr>
            <w:r w:rsidRPr="00536706">
              <w:rPr>
                <w:rFonts w:ascii="Arial" w:hAnsi="Arial" w:cs="Arial"/>
                <w:b/>
                <w:bCs/>
                <w:color w:val="000000"/>
                <w:sz w:val="15"/>
                <w:szCs w:val="15"/>
                <w:lang w:eastAsia="es-CO"/>
              </w:rPr>
              <w:t>Probabilidad</w:t>
            </w:r>
          </w:p>
        </w:tc>
        <w:tc>
          <w:tcPr>
            <w:tcW w:w="511" w:type="dxa"/>
            <w:tcBorders>
              <w:top w:val="nil"/>
              <w:left w:val="nil"/>
              <w:bottom w:val="single" w:sz="4" w:space="0" w:color="auto"/>
              <w:right w:val="single" w:sz="4" w:space="0" w:color="auto"/>
            </w:tcBorders>
            <w:shd w:val="clear" w:color="000000" w:fill="D9D9D9"/>
            <w:textDirection w:val="btLr"/>
            <w:vAlign w:val="center"/>
            <w:hideMark/>
          </w:tcPr>
          <w:p w14:paraId="3EAD6BDA"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Impacto</w:t>
            </w:r>
          </w:p>
        </w:tc>
        <w:tc>
          <w:tcPr>
            <w:tcW w:w="339" w:type="dxa"/>
            <w:tcBorders>
              <w:top w:val="nil"/>
              <w:left w:val="nil"/>
              <w:bottom w:val="single" w:sz="4" w:space="0" w:color="auto"/>
              <w:right w:val="single" w:sz="4" w:space="0" w:color="auto"/>
            </w:tcBorders>
            <w:shd w:val="clear" w:color="000000" w:fill="D9D9D9"/>
            <w:textDirection w:val="btLr"/>
            <w:vAlign w:val="center"/>
            <w:hideMark/>
          </w:tcPr>
          <w:p w14:paraId="1E0F60D1"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Valoración del riesgo</w:t>
            </w:r>
          </w:p>
        </w:tc>
        <w:tc>
          <w:tcPr>
            <w:tcW w:w="284" w:type="dxa"/>
            <w:tcBorders>
              <w:top w:val="nil"/>
              <w:left w:val="nil"/>
              <w:bottom w:val="single" w:sz="4" w:space="0" w:color="auto"/>
              <w:right w:val="single" w:sz="4" w:space="0" w:color="auto"/>
            </w:tcBorders>
            <w:shd w:val="clear" w:color="000000" w:fill="D9D9D9"/>
            <w:textDirection w:val="btLr"/>
            <w:vAlign w:val="center"/>
            <w:hideMark/>
          </w:tcPr>
          <w:p w14:paraId="4F01E480" w14:textId="77777777" w:rsidR="0029356C" w:rsidRPr="00536706" w:rsidRDefault="0029356C" w:rsidP="00FA1A3A">
            <w:pPr>
              <w:spacing w:after="0" w:line="240" w:lineRule="auto"/>
              <w:jc w:val="center"/>
              <w:rPr>
                <w:rFonts w:ascii="Arial" w:hAnsi="Arial" w:cs="Arial"/>
                <w:b/>
                <w:bCs/>
                <w:sz w:val="15"/>
                <w:szCs w:val="15"/>
                <w:lang w:eastAsia="es-CO"/>
              </w:rPr>
            </w:pPr>
            <w:r w:rsidRPr="00536706">
              <w:rPr>
                <w:rFonts w:ascii="Arial" w:hAnsi="Arial" w:cs="Arial"/>
                <w:b/>
                <w:bCs/>
                <w:sz w:val="15"/>
                <w:szCs w:val="15"/>
                <w:lang w:eastAsia="es-CO"/>
              </w:rPr>
              <w:t>Categoría</w:t>
            </w:r>
          </w:p>
        </w:tc>
        <w:tc>
          <w:tcPr>
            <w:tcW w:w="538" w:type="dxa"/>
            <w:vMerge/>
            <w:tcBorders>
              <w:top w:val="single" w:sz="4" w:space="0" w:color="auto"/>
              <w:left w:val="single" w:sz="4" w:space="0" w:color="auto"/>
              <w:bottom w:val="single" w:sz="4" w:space="0" w:color="000000"/>
              <w:right w:val="single" w:sz="4" w:space="0" w:color="auto"/>
            </w:tcBorders>
            <w:vAlign w:val="center"/>
            <w:hideMark/>
          </w:tcPr>
          <w:p w14:paraId="16A7F3A5" w14:textId="77777777" w:rsidR="0029356C" w:rsidRPr="00536706" w:rsidRDefault="0029356C" w:rsidP="00FA1A3A">
            <w:pPr>
              <w:spacing w:after="0" w:line="240" w:lineRule="auto"/>
              <w:rPr>
                <w:rFonts w:ascii="Arial" w:hAnsi="Arial" w:cs="Arial"/>
                <w:b/>
                <w:bCs/>
                <w:sz w:val="15"/>
                <w:szCs w:val="15"/>
                <w:lang w:eastAsia="es-CO"/>
              </w:rPr>
            </w:pPr>
          </w:p>
        </w:tc>
        <w:tc>
          <w:tcPr>
            <w:tcW w:w="454" w:type="dxa"/>
            <w:vMerge/>
            <w:tcBorders>
              <w:top w:val="single" w:sz="4" w:space="0" w:color="auto"/>
              <w:left w:val="single" w:sz="4" w:space="0" w:color="auto"/>
              <w:bottom w:val="single" w:sz="4" w:space="0" w:color="000000"/>
              <w:right w:val="single" w:sz="4" w:space="0" w:color="auto"/>
            </w:tcBorders>
            <w:vAlign w:val="center"/>
            <w:hideMark/>
          </w:tcPr>
          <w:p w14:paraId="443ABF0F" w14:textId="77777777" w:rsidR="0029356C" w:rsidRPr="00536706" w:rsidRDefault="0029356C" w:rsidP="00FA1A3A">
            <w:pPr>
              <w:spacing w:after="0" w:line="240" w:lineRule="auto"/>
              <w:rPr>
                <w:rFonts w:ascii="Arial" w:hAnsi="Arial" w:cs="Arial"/>
                <w:b/>
                <w:bCs/>
                <w:sz w:val="15"/>
                <w:szCs w:val="15"/>
                <w:lang w:eastAsia="es-CO"/>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1CC06C2E" w14:textId="77777777" w:rsidR="0029356C" w:rsidRPr="00536706" w:rsidRDefault="0029356C" w:rsidP="00FA1A3A">
            <w:pPr>
              <w:spacing w:after="0" w:line="240" w:lineRule="auto"/>
              <w:rPr>
                <w:rFonts w:ascii="Arial" w:hAnsi="Arial" w:cs="Arial"/>
                <w:b/>
                <w:bCs/>
                <w:sz w:val="15"/>
                <w:szCs w:val="15"/>
                <w:lang w:eastAsia="es-CO"/>
              </w:rPr>
            </w:pPr>
          </w:p>
        </w:tc>
        <w:tc>
          <w:tcPr>
            <w:tcW w:w="426" w:type="dxa"/>
            <w:vMerge/>
            <w:tcBorders>
              <w:top w:val="single" w:sz="4" w:space="0" w:color="auto"/>
              <w:left w:val="single" w:sz="4" w:space="0" w:color="auto"/>
              <w:bottom w:val="single" w:sz="4" w:space="0" w:color="000000"/>
              <w:right w:val="single" w:sz="4" w:space="0" w:color="auto"/>
            </w:tcBorders>
            <w:vAlign w:val="center"/>
            <w:hideMark/>
          </w:tcPr>
          <w:p w14:paraId="1D02F05D" w14:textId="77777777" w:rsidR="0029356C" w:rsidRPr="00536706" w:rsidRDefault="0029356C" w:rsidP="00FA1A3A">
            <w:pPr>
              <w:spacing w:after="0" w:line="240" w:lineRule="auto"/>
              <w:rPr>
                <w:rFonts w:ascii="Arial" w:hAnsi="Arial" w:cs="Arial"/>
                <w:b/>
                <w:bCs/>
                <w:sz w:val="15"/>
                <w:szCs w:val="15"/>
                <w:lang w:eastAsia="es-CO"/>
              </w:rPr>
            </w:pPr>
          </w:p>
        </w:tc>
        <w:tc>
          <w:tcPr>
            <w:tcW w:w="1319" w:type="dxa"/>
            <w:tcBorders>
              <w:top w:val="nil"/>
              <w:left w:val="nil"/>
              <w:bottom w:val="single" w:sz="4" w:space="0" w:color="auto"/>
              <w:right w:val="single" w:sz="4" w:space="0" w:color="auto"/>
            </w:tcBorders>
            <w:shd w:val="clear" w:color="000000" w:fill="D9D9D9"/>
            <w:vAlign w:val="center"/>
            <w:hideMark/>
          </w:tcPr>
          <w:p w14:paraId="14CBD67C" w14:textId="77777777" w:rsidR="0029356C" w:rsidRPr="00536706" w:rsidRDefault="0029356C" w:rsidP="00FA1A3A">
            <w:pPr>
              <w:spacing w:after="0" w:line="240" w:lineRule="auto"/>
              <w:jc w:val="center"/>
              <w:rPr>
                <w:rFonts w:ascii="Arial" w:hAnsi="Arial" w:cs="Arial"/>
                <w:b/>
                <w:bCs/>
                <w:color w:val="000000"/>
                <w:sz w:val="15"/>
                <w:szCs w:val="15"/>
                <w:lang w:eastAsia="es-CO"/>
              </w:rPr>
            </w:pPr>
            <w:r w:rsidRPr="00536706">
              <w:rPr>
                <w:rFonts w:ascii="Arial" w:hAnsi="Arial" w:cs="Arial"/>
                <w:b/>
                <w:bCs/>
                <w:color w:val="000000"/>
                <w:sz w:val="15"/>
                <w:szCs w:val="15"/>
                <w:lang w:eastAsia="es-CO"/>
              </w:rPr>
              <w:t>¿Cómo se realiza el monitoreo?</w:t>
            </w:r>
          </w:p>
        </w:tc>
        <w:tc>
          <w:tcPr>
            <w:tcW w:w="1373" w:type="dxa"/>
            <w:tcBorders>
              <w:top w:val="nil"/>
              <w:left w:val="nil"/>
              <w:bottom w:val="single" w:sz="4" w:space="0" w:color="auto"/>
              <w:right w:val="single" w:sz="4" w:space="0" w:color="auto"/>
            </w:tcBorders>
            <w:shd w:val="clear" w:color="000000" w:fill="D9D9D9"/>
            <w:vAlign w:val="center"/>
            <w:hideMark/>
          </w:tcPr>
          <w:p w14:paraId="6AF01D73" w14:textId="77777777" w:rsidR="0029356C" w:rsidRPr="00536706" w:rsidRDefault="0029356C" w:rsidP="00FA1A3A">
            <w:pPr>
              <w:spacing w:after="0" w:line="240" w:lineRule="auto"/>
              <w:jc w:val="center"/>
              <w:rPr>
                <w:rFonts w:ascii="Arial" w:hAnsi="Arial" w:cs="Arial"/>
                <w:b/>
                <w:bCs/>
                <w:color w:val="000000"/>
                <w:sz w:val="15"/>
                <w:szCs w:val="15"/>
                <w:lang w:eastAsia="es-CO"/>
              </w:rPr>
            </w:pPr>
            <w:r w:rsidRPr="00536706">
              <w:rPr>
                <w:rFonts w:ascii="Arial" w:hAnsi="Arial" w:cs="Arial"/>
                <w:b/>
                <w:bCs/>
                <w:color w:val="000000"/>
                <w:sz w:val="15"/>
                <w:szCs w:val="15"/>
                <w:lang w:eastAsia="es-CO"/>
              </w:rPr>
              <w:t>Periodicidad ¿Cuándo?</w:t>
            </w:r>
          </w:p>
        </w:tc>
      </w:tr>
      <w:tr w:rsidR="0029356C" w:rsidRPr="00536706" w14:paraId="5AB585B8" w14:textId="77777777" w:rsidTr="00FA1A3A">
        <w:trPr>
          <w:trHeight w:val="2055"/>
        </w:trPr>
        <w:tc>
          <w:tcPr>
            <w:tcW w:w="324" w:type="dxa"/>
            <w:tcBorders>
              <w:top w:val="nil"/>
              <w:left w:val="single" w:sz="4" w:space="0" w:color="000000"/>
              <w:bottom w:val="single" w:sz="4" w:space="0" w:color="000000"/>
              <w:right w:val="single" w:sz="4" w:space="0" w:color="000000"/>
            </w:tcBorders>
            <w:textDirection w:val="btLr"/>
            <w:vAlign w:val="center"/>
            <w:hideMark/>
          </w:tcPr>
          <w:p w14:paraId="4D3F2CA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0B9FEA44"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0EAFB0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nil"/>
            </w:tcBorders>
            <w:vAlign w:val="center"/>
            <w:hideMark/>
          </w:tcPr>
          <w:p w14:paraId="21AC606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6CFC3A9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2360C2D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52209CF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48333D5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70C46175" w14:textId="77777777" w:rsidR="0029356C" w:rsidRPr="00536706" w:rsidRDefault="0029356C" w:rsidP="00FA1A3A">
            <w:pPr>
              <w:spacing w:after="0" w:line="240" w:lineRule="auto"/>
              <w:jc w:val="center"/>
              <w:rPr>
                <w:rFonts w:ascii="Arial" w:hAnsi="Arial" w:cs="Arial"/>
                <w:sz w:val="15"/>
                <w:szCs w:val="15"/>
                <w:lang w:eastAsia="es-CO"/>
              </w:rPr>
            </w:pPr>
            <w:r w:rsidRPr="00B27593">
              <w:rPr>
                <w:rFonts w:ascii="Arial" w:hAnsi="Arial" w:cs="Arial"/>
                <w:sz w:val="15"/>
                <w:szCs w:val="15"/>
                <w:lang w:eastAsia="es-CO"/>
              </w:rPr>
              <w:t>EN LA EJECUCION DEL CONTRATO</w:t>
            </w:r>
          </w:p>
        </w:tc>
        <w:tc>
          <w:tcPr>
            <w:tcW w:w="426" w:type="dxa"/>
            <w:tcBorders>
              <w:top w:val="nil"/>
              <w:left w:val="nil"/>
              <w:bottom w:val="single" w:sz="4" w:space="0" w:color="000000"/>
              <w:right w:val="single" w:sz="4" w:space="0" w:color="000000"/>
            </w:tcBorders>
            <w:vAlign w:val="center"/>
            <w:hideMark/>
          </w:tcPr>
          <w:p w14:paraId="38DBAA3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5E1D91E3"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Revisión y seguimiento a los informes de actividades</w:t>
            </w:r>
          </w:p>
        </w:tc>
        <w:tc>
          <w:tcPr>
            <w:tcW w:w="1373" w:type="dxa"/>
            <w:tcBorders>
              <w:top w:val="nil"/>
              <w:left w:val="nil"/>
              <w:bottom w:val="single" w:sz="4" w:space="0" w:color="000000"/>
              <w:right w:val="single" w:sz="4" w:space="0" w:color="000000"/>
            </w:tcBorders>
            <w:vAlign w:val="center"/>
            <w:hideMark/>
          </w:tcPr>
          <w:p w14:paraId="2F729B1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4DFC3998" w14:textId="77777777" w:rsidTr="0029356C">
        <w:trPr>
          <w:trHeight w:val="1260"/>
        </w:trPr>
        <w:tc>
          <w:tcPr>
            <w:tcW w:w="324" w:type="dxa"/>
            <w:tcBorders>
              <w:top w:val="nil"/>
              <w:left w:val="single" w:sz="4" w:space="0" w:color="000000"/>
              <w:bottom w:val="single" w:sz="4" w:space="0" w:color="000000"/>
              <w:right w:val="single" w:sz="4" w:space="0" w:color="000000"/>
            </w:tcBorders>
            <w:textDirection w:val="btLr"/>
            <w:vAlign w:val="center"/>
            <w:hideMark/>
          </w:tcPr>
          <w:p w14:paraId="00D7CA0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716EFEE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4A35EE3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nil"/>
            </w:tcBorders>
            <w:vAlign w:val="center"/>
            <w:hideMark/>
          </w:tcPr>
          <w:p w14:paraId="12016504"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5A8D0F89"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7099E6B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5B35D70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3B87C0E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620013B7" w14:textId="77777777" w:rsidR="0029356C" w:rsidRPr="00536706" w:rsidRDefault="0029356C" w:rsidP="00FA1A3A">
            <w:pPr>
              <w:spacing w:after="0" w:line="240" w:lineRule="auto"/>
              <w:jc w:val="center"/>
              <w:rPr>
                <w:rFonts w:ascii="Arial" w:hAnsi="Arial" w:cs="Arial"/>
                <w:sz w:val="15"/>
                <w:szCs w:val="15"/>
                <w:lang w:eastAsia="es-CO"/>
              </w:rPr>
            </w:pPr>
            <w:r w:rsidRPr="00B27593">
              <w:rPr>
                <w:rFonts w:ascii="Arial" w:hAnsi="Arial" w:cs="Arial"/>
                <w:sz w:val="15"/>
                <w:szCs w:val="15"/>
                <w:lang w:eastAsia="es-CO"/>
              </w:rPr>
              <w:t>EN LA EJECUCION DEL CONTRATO</w:t>
            </w:r>
          </w:p>
        </w:tc>
        <w:tc>
          <w:tcPr>
            <w:tcW w:w="426" w:type="dxa"/>
            <w:tcBorders>
              <w:top w:val="nil"/>
              <w:left w:val="nil"/>
              <w:bottom w:val="single" w:sz="4" w:space="0" w:color="000000"/>
              <w:right w:val="single" w:sz="4" w:space="0" w:color="000000"/>
            </w:tcBorders>
            <w:vAlign w:val="center"/>
            <w:hideMark/>
          </w:tcPr>
          <w:p w14:paraId="38013D5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229B98CA"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Revisión y seguimiento a los informes de actividades</w:t>
            </w:r>
          </w:p>
        </w:tc>
        <w:tc>
          <w:tcPr>
            <w:tcW w:w="1373" w:type="dxa"/>
            <w:tcBorders>
              <w:top w:val="nil"/>
              <w:left w:val="nil"/>
              <w:bottom w:val="single" w:sz="4" w:space="0" w:color="000000"/>
              <w:right w:val="single" w:sz="4" w:space="0" w:color="000000"/>
            </w:tcBorders>
            <w:vAlign w:val="center"/>
            <w:hideMark/>
          </w:tcPr>
          <w:p w14:paraId="464130D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302BAA50" w14:textId="77777777" w:rsidTr="00FA1A3A">
        <w:trPr>
          <w:trHeight w:val="1438"/>
        </w:trPr>
        <w:tc>
          <w:tcPr>
            <w:tcW w:w="324" w:type="dxa"/>
            <w:tcBorders>
              <w:top w:val="nil"/>
              <w:left w:val="single" w:sz="4" w:space="0" w:color="000000"/>
              <w:bottom w:val="single" w:sz="4" w:space="0" w:color="000000"/>
              <w:right w:val="single" w:sz="4" w:space="0" w:color="000000"/>
            </w:tcBorders>
            <w:textDirection w:val="btLr"/>
            <w:vAlign w:val="center"/>
            <w:hideMark/>
          </w:tcPr>
          <w:p w14:paraId="603A559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2506" w:type="dxa"/>
            <w:tcBorders>
              <w:top w:val="nil"/>
              <w:left w:val="nil"/>
              <w:bottom w:val="single" w:sz="4" w:space="0" w:color="000000"/>
              <w:right w:val="single" w:sz="4" w:space="0" w:color="000000"/>
            </w:tcBorders>
            <w:vAlign w:val="center"/>
            <w:hideMark/>
          </w:tcPr>
          <w:p w14:paraId="38F30FE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5FB5B64E"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591FC0A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322F8DB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655D137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3EC01EC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6B69D01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5561291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 EJECUCION DEL CONTRATO</w:t>
            </w:r>
          </w:p>
        </w:tc>
        <w:tc>
          <w:tcPr>
            <w:tcW w:w="426" w:type="dxa"/>
            <w:tcBorders>
              <w:top w:val="nil"/>
              <w:left w:val="nil"/>
              <w:bottom w:val="single" w:sz="4" w:space="0" w:color="000000"/>
              <w:right w:val="single" w:sz="4" w:space="0" w:color="000000"/>
            </w:tcBorders>
            <w:vAlign w:val="center"/>
            <w:hideMark/>
          </w:tcPr>
          <w:p w14:paraId="0B71773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1AF79DD3"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Seguimiento a las fechas establecidas de entrega parcial o final.</w:t>
            </w:r>
          </w:p>
        </w:tc>
        <w:tc>
          <w:tcPr>
            <w:tcW w:w="1373" w:type="dxa"/>
            <w:tcBorders>
              <w:top w:val="nil"/>
              <w:left w:val="nil"/>
              <w:bottom w:val="single" w:sz="4" w:space="0" w:color="000000"/>
              <w:right w:val="single" w:sz="4" w:space="0" w:color="000000"/>
            </w:tcBorders>
            <w:vAlign w:val="center"/>
            <w:hideMark/>
          </w:tcPr>
          <w:p w14:paraId="286E728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FA8DFCA" w14:textId="77777777" w:rsidTr="00FA1A3A">
        <w:trPr>
          <w:trHeight w:val="1529"/>
        </w:trPr>
        <w:tc>
          <w:tcPr>
            <w:tcW w:w="324" w:type="dxa"/>
            <w:tcBorders>
              <w:top w:val="nil"/>
              <w:left w:val="single" w:sz="4" w:space="0" w:color="000000"/>
              <w:bottom w:val="single" w:sz="4" w:space="0" w:color="000000"/>
              <w:right w:val="single" w:sz="4" w:space="0" w:color="000000"/>
            </w:tcBorders>
            <w:textDirection w:val="btLr"/>
            <w:vAlign w:val="center"/>
            <w:hideMark/>
          </w:tcPr>
          <w:p w14:paraId="163184A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2506" w:type="dxa"/>
            <w:tcBorders>
              <w:top w:val="nil"/>
              <w:left w:val="nil"/>
              <w:bottom w:val="single" w:sz="4" w:space="0" w:color="000000"/>
              <w:right w:val="single" w:sz="4" w:space="0" w:color="000000"/>
            </w:tcBorders>
            <w:vAlign w:val="center"/>
            <w:hideMark/>
          </w:tcPr>
          <w:p w14:paraId="04BB8A8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29BD76C4"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6482195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6E13EEA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0DB7962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5706FD1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4228A01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2B93784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537A7D1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1D1E66ED"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Seguimiento a las fechas establecidas de entrega parcial o final.</w:t>
            </w:r>
          </w:p>
        </w:tc>
        <w:tc>
          <w:tcPr>
            <w:tcW w:w="1373" w:type="dxa"/>
            <w:tcBorders>
              <w:top w:val="nil"/>
              <w:left w:val="nil"/>
              <w:bottom w:val="single" w:sz="4" w:space="0" w:color="000000"/>
              <w:right w:val="single" w:sz="4" w:space="0" w:color="000000"/>
            </w:tcBorders>
            <w:vAlign w:val="center"/>
            <w:hideMark/>
          </w:tcPr>
          <w:p w14:paraId="325F5E1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52B5EEB2" w14:textId="77777777" w:rsidTr="00FA1A3A">
        <w:trPr>
          <w:trHeight w:val="1423"/>
        </w:trPr>
        <w:tc>
          <w:tcPr>
            <w:tcW w:w="324" w:type="dxa"/>
            <w:tcBorders>
              <w:top w:val="nil"/>
              <w:left w:val="single" w:sz="4" w:space="0" w:color="000000"/>
              <w:bottom w:val="single" w:sz="4" w:space="0" w:color="000000"/>
              <w:right w:val="single" w:sz="4" w:space="0" w:color="000000"/>
            </w:tcBorders>
            <w:textDirection w:val="btLr"/>
            <w:vAlign w:val="center"/>
            <w:hideMark/>
          </w:tcPr>
          <w:p w14:paraId="5C9DF68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2506" w:type="dxa"/>
            <w:tcBorders>
              <w:top w:val="nil"/>
              <w:left w:val="nil"/>
              <w:bottom w:val="single" w:sz="4" w:space="0" w:color="000000"/>
              <w:right w:val="single" w:sz="4" w:space="0" w:color="000000"/>
            </w:tcBorders>
            <w:vAlign w:val="center"/>
            <w:hideMark/>
          </w:tcPr>
          <w:p w14:paraId="3307E1C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506D5A5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0E30C881"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0088B61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17BF215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1A6E15C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C45D06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6D594A4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1583B79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7925D3DE"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Seguimiento a las fechas establecidas de entrega parcial o final.</w:t>
            </w:r>
          </w:p>
        </w:tc>
        <w:tc>
          <w:tcPr>
            <w:tcW w:w="1373" w:type="dxa"/>
            <w:tcBorders>
              <w:top w:val="nil"/>
              <w:left w:val="nil"/>
              <w:bottom w:val="single" w:sz="4" w:space="0" w:color="000000"/>
              <w:right w:val="single" w:sz="4" w:space="0" w:color="000000"/>
            </w:tcBorders>
            <w:vAlign w:val="center"/>
            <w:hideMark/>
          </w:tcPr>
          <w:p w14:paraId="3B3DF39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584E7CCE" w14:textId="77777777" w:rsidTr="00FA1A3A">
        <w:trPr>
          <w:trHeight w:val="1260"/>
        </w:trPr>
        <w:tc>
          <w:tcPr>
            <w:tcW w:w="324" w:type="dxa"/>
            <w:tcBorders>
              <w:top w:val="nil"/>
              <w:left w:val="single" w:sz="4" w:space="0" w:color="000000"/>
              <w:bottom w:val="single" w:sz="4" w:space="0" w:color="000000"/>
              <w:right w:val="single" w:sz="4" w:space="0" w:color="000000"/>
            </w:tcBorders>
            <w:textDirection w:val="btLr"/>
            <w:vAlign w:val="center"/>
            <w:hideMark/>
          </w:tcPr>
          <w:p w14:paraId="2893078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2B943F8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7155D91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0575FFEE"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1AE80656"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5247BF8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58C417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10B74EE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635A353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16B7E47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27C42ACE"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Seguimiento a las fechas establecidas de entrega parcial o final.</w:t>
            </w:r>
          </w:p>
        </w:tc>
        <w:tc>
          <w:tcPr>
            <w:tcW w:w="1373" w:type="dxa"/>
            <w:tcBorders>
              <w:top w:val="nil"/>
              <w:left w:val="nil"/>
              <w:bottom w:val="single" w:sz="4" w:space="0" w:color="000000"/>
              <w:right w:val="single" w:sz="4" w:space="0" w:color="000000"/>
            </w:tcBorders>
            <w:vAlign w:val="center"/>
            <w:hideMark/>
          </w:tcPr>
          <w:p w14:paraId="2BAAF38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40230CF7" w14:textId="77777777" w:rsidTr="00FA1A3A">
        <w:trPr>
          <w:trHeight w:val="1278"/>
        </w:trPr>
        <w:tc>
          <w:tcPr>
            <w:tcW w:w="324" w:type="dxa"/>
            <w:tcBorders>
              <w:top w:val="nil"/>
              <w:left w:val="single" w:sz="4" w:space="0" w:color="000000"/>
              <w:bottom w:val="single" w:sz="4" w:space="0" w:color="000000"/>
              <w:right w:val="single" w:sz="4" w:space="0" w:color="000000"/>
            </w:tcBorders>
            <w:textDirection w:val="btLr"/>
            <w:vAlign w:val="center"/>
            <w:hideMark/>
          </w:tcPr>
          <w:p w14:paraId="5616CC1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lastRenderedPageBreak/>
              <w:t>CONTRATISTA</w:t>
            </w:r>
          </w:p>
        </w:tc>
        <w:tc>
          <w:tcPr>
            <w:tcW w:w="2506" w:type="dxa"/>
            <w:tcBorders>
              <w:top w:val="nil"/>
              <w:left w:val="nil"/>
              <w:bottom w:val="single" w:sz="4" w:space="0" w:color="000000"/>
              <w:right w:val="single" w:sz="4" w:space="0" w:color="000000"/>
            </w:tcBorders>
            <w:vAlign w:val="center"/>
            <w:hideMark/>
          </w:tcPr>
          <w:p w14:paraId="43A085B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036A4E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4B603F0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465FC47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6301034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38E8039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37DEFCF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009C722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0CD3AF1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2FEFC671"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1C9CA2E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80920FD" w14:textId="77777777" w:rsidTr="0029356C">
        <w:trPr>
          <w:trHeight w:val="2118"/>
        </w:trPr>
        <w:tc>
          <w:tcPr>
            <w:tcW w:w="324" w:type="dxa"/>
            <w:tcBorders>
              <w:top w:val="nil"/>
              <w:left w:val="single" w:sz="4" w:space="0" w:color="000000"/>
              <w:bottom w:val="single" w:sz="4" w:space="0" w:color="000000"/>
              <w:right w:val="single" w:sz="4" w:space="0" w:color="000000"/>
            </w:tcBorders>
            <w:textDirection w:val="btLr"/>
            <w:vAlign w:val="center"/>
            <w:hideMark/>
          </w:tcPr>
          <w:p w14:paraId="1BB53E0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1319700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51EC96F0"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7C67447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20BA4374"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24BA71D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1FAEF20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15876F4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07C4B8E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20F5718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0310D6BC"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380A8E7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115809EA" w14:textId="77777777" w:rsidTr="00FA1A3A">
        <w:trPr>
          <w:trHeight w:val="1402"/>
        </w:trPr>
        <w:tc>
          <w:tcPr>
            <w:tcW w:w="324" w:type="dxa"/>
            <w:tcBorders>
              <w:top w:val="nil"/>
              <w:left w:val="single" w:sz="4" w:space="0" w:color="000000"/>
              <w:bottom w:val="single" w:sz="4" w:space="0" w:color="000000"/>
              <w:right w:val="single" w:sz="4" w:space="0" w:color="000000"/>
            </w:tcBorders>
            <w:textDirection w:val="btLr"/>
            <w:vAlign w:val="center"/>
            <w:hideMark/>
          </w:tcPr>
          <w:p w14:paraId="614350A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6E798F6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487F2481"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50A84AC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634A371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31307C6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C20FF0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8E40B8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2F9A1F8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46B8DC8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3CF025DE"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63E989C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B4CB236" w14:textId="77777777" w:rsidTr="00FA1A3A">
        <w:trPr>
          <w:trHeight w:val="1281"/>
        </w:trPr>
        <w:tc>
          <w:tcPr>
            <w:tcW w:w="324" w:type="dxa"/>
            <w:tcBorders>
              <w:top w:val="nil"/>
              <w:left w:val="single" w:sz="4" w:space="0" w:color="000000"/>
              <w:bottom w:val="single" w:sz="4" w:space="0" w:color="000000"/>
              <w:right w:val="single" w:sz="4" w:space="0" w:color="000000"/>
            </w:tcBorders>
            <w:textDirection w:val="btLr"/>
            <w:vAlign w:val="center"/>
            <w:hideMark/>
          </w:tcPr>
          <w:p w14:paraId="79810F5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6735E1A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91DCEB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278FBAD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4FFF8FB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1A392F8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1EE0416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1C39E89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749C5FA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2E0DE34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5D6012C"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5DF7ED0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3D9D5997" w14:textId="77777777" w:rsidTr="00FA1A3A">
        <w:trPr>
          <w:trHeight w:val="1255"/>
        </w:trPr>
        <w:tc>
          <w:tcPr>
            <w:tcW w:w="324" w:type="dxa"/>
            <w:tcBorders>
              <w:top w:val="nil"/>
              <w:left w:val="single" w:sz="4" w:space="0" w:color="000000"/>
              <w:bottom w:val="single" w:sz="4" w:space="0" w:color="000000"/>
              <w:right w:val="single" w:sz="4" w:space="0" w:color="000000"/>
            </w:tcBorders>
            <w:textDirection w:val="btLr"/>
            <w:vAlign w:val="center"/>
            <w:hideMark/>
          </w:tcPr>
          <w:p w14:paraId="185D697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52A45F6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6EE17A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770EB5A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0A5B291A"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664479B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6BFE9FA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223F7D4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78B685E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0D3CD39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718D9F9E"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61315BD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7D648BFA" w14:textId="77777777" w:rsidTr="00FA1A3A">
        <w:trPr>
          <w:trHeight w:val="1415"/>
        </w:trPr>
        <w:tc>
          <w:tcPr>
            <w:tcW w:w="324" w:type="dxa"/>
            <w:tcBorders>
              <w:top w:val="nil"/>
              <w:left w:val="single" w:sz="4" w:space="0" w:color="000000"/>
              <w:bottom w:val="single" w:sz="4" w:space="0" w:color="000000"/>
              <w:right w:val="single" w:sz="4" w:space="0" w:color="000000"/>
            </w:tcBorders>
            <w:textDirection w:val="btLr"/>
            <w:vAlign w:val="center"/>
            <w:hideMark/>
          </w:tcPr>
          <w:p w14:paraId="5882D3D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2E04CA3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8CEC99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0019953C"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707EC24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49F154A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4A4946D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782F541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4ABAA43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753BB1E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0E256495"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4B90644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3F8FE2C8" w14:textId="77777777" w:rsidTr="00FA1A3A">
        <w:trPr>
          <w:trHeight w:val="1407"/>
        </w:trPr>
        <w:tc>
          <w:tcPr>
            <w:tcW w:w="324" w:type="dxa"/>
            <w:tcBorders>
              <w:top w:val="nil"/>
              <w:left w:val="single" w:sz="4" w:space="0" w:color="000000"/>
              <w:bottom w:val="single" w:sz="4" w:space="0" w:color="000000"/>
              <w:right w:val="single" w:sz="4" w:space="0" w:color="000000"/>
            </w:tcBorders>
            <w:textDirection w:val="btLr"/>
            <w:vAlign w:val="center"/>
            <w:hideMark/>
          </w:tcPr>
          <w:p w14:paraId="155AE3E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5AE5753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2FCEEBE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303D528A"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3B944C81"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4347B89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31808C5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2B957EA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2129000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3CF3A05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95B8E49"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786E6E7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2B790724" w14:textId="77777777" w:rsidTr="00FA1A3A">
        <w:trPr>
          <w:trHeight w:val="1413"/>
        </w:trPr>
        <w:tc>
          <w:tcPr>
            <w:tcW w:w="324" w:type="dxa"/>
            <w:tcBorders>
              <w:top w:val="nil"/>
              <w:left w:val="single" w:sz="4" w:space="0" w:color="000000"/>
              <w:bottom w:val="single" w:sz="4" w:space="0" w:color="000000"/>
              <w:right w:val="single" w:sz="4" w:space="0" w:color="000000"/>
            </w:tcBorders>
            <w:textDirection w:val="btLr"/>
            <w:vAlign w:val="center"/>
            <w:hideMark/>
          </w:tcPr>
          <w:p w14:paraId="0DFBE4B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1381A34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6F60FAF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76887CF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6D2FFD01"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6509FC6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4B24208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4400CE9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6E02076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5EE34CD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5106C990"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0C6F78C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47DF8E38" w14:textId="77777777" w:rsidTr="00FA1A3A">
        <w:trPr>
          <w:trHeight w:val="1371"/>
        </w:trPr>
        <w:tc>
          <w:tcPr>
            <w:tcW w:w="324" w:type="dxa"/>
            <w:tcBorders>
              <w:top w:val="nil"/>
              <w:left w:val="single" w:sz="4" w:space="0" w:color="000000"/>
              <w:bottom w:val="single" w:sz="4" w:space="0" w:color="000000"/>
              <w:right w:val="single" w:sz="4" w:space="0" w:color="000000"/>
            </w:tcBorders>
            <w:textDirection w:val="btLr"/>
            <w:vAlign w:val="center"/>
            <w:hideMark/>
          </w:tcPr>
          <w:p w14:paraId="5D13C74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lastRenderedPageBreak/>
              <w:t>CONTRATISTA</w:t>
            </w:r>
          </w:p>
        </w:tc>
        <w:tc>
          <w:tcPr>
            <w:tcW w:w="2506" w:type="dxa"/>
            <w:tcBorders>
              <w:top w:val="nil"/>
              <w:left w:val="nil"/>
              <w:bottom w:val="single" w:sz="4" w:space="0" w:color="000000"/>
              <w:right w:val="single" w:sz="4" w:space="0" w:color="000000"/>
            </w:tcBorders>
            <w:vAlign w:val="center"/>
            <w:hideMark/>
          </w:tcPr>
          <w:p w14:paraId="5AD1729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30251B3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1A91CE19"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669C42A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13B551D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E116AC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6D3A9E5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7CDA9E4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69F77FC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56EE0215"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03D2C51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2890EE06" w14:textId="77777777" w:rsidTr="0029356C">
        <w:trPr>
          <w:trHeight w:val="1583"/>
        </w:trPr>
        <w:tc>
          <w:tcPr>
            <w:tcW w:w="324" w:type="dxa"/>
            <w:tcBorders>
              <w:top w:val="nil"/>
              <w:left w:val="single" w:sz="4" w:space="0" w:color="000000"/>
              <w:bottom w:val="single" w:sz="4" w:space="0" w:color="000000"/>
              <w:right w:val="single" w:sz="4" w:space="0" w:color="000000"/>
            </w:tcBorders>
            <w:textDirection w:val="btLr"/>
            <w:vAlign w:val="center"/>
            <w:hideMark/>
          </w:tcPr>
          <w:p w14:paraId="665FE12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074D2A6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365F67D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05204B9A"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4300FCE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17F31F5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6505CB8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2A5EF1F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1775290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04B305E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2F5152D"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6F3A3F0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2AB2382B" w14:textId="77777777" w:rsidTr="00FA1A3A">
        <w:trPr>
          <w:trHeight w:val="1402"/>
        </w:trPr>
        <w:tc>
          <w:tcPr>
            <w:tcW w:w="324" w:type="dxa"/>
            <w:tcBorders>
              <w:top w:val="nil"/>
              <w:left w:val="single" w:sz="4" w:space="0" w:color="000000"/>
              <w:bottom w:val="single" w:sz="4" w:space="0" w:color="000000"/>
              <w:right w:val="single" w:sz="4" w:space="0" w:color="000000"/>
            </w:tcBorders>
            <w:textDirection w:val="btLr"/>
            <w:vAlign w:val="center"/>
            <w:hideMark/>
          </w:tcPr>
          <w:p w14:paraId="5B08270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62CE495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EE0EDA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360A892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339" w:type="dxa"/>
            <w:tcBorders>
              <w:top w:val="nil"/>
              <w:left w:val="nil"/>
              <w:bottom w:val="single" w:sz="4" w:space="0" w:color="000000"/>
              <w:right w:val="single" w:sz="4" w:space="0" w:color="000000"/>
            </w:tcBorders>
            <w:shd w:val="clear" w:color="000000" w:fill="0E7806"/>
            <w:vAlign w:val="center"/>
            <w:hideMark/>
          </w:tcPr>
          <w:p w14:paraId="4D3C29F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4</w:t>
            </w:r>
          </w:p>
        </w:tc>
        <w:tc>
          <w:tcPr>
            <w:tcW w:w="284" w:type="dxa"/>
            <w:tcBorders>
              <w:top w:val="nil"/>
              <w:left w:val="nil"/>
              <w:bottom w:val="single" w:sz="4" w:space="0" w:color="000000"/>
              <w:right w:val="single" w:sz="4" w:space="0" w:color="000000"/>
            </w:tcBorders>
            <w:textDirection w:val="btLr"/>
            <w:vAlign w:val="center"/>
            <w:hideMark/>
          </w:tcPr>
          <w:p w14:paraId="18235E5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1FE73FD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5890E3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75F26E0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7072EE0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0422A8D0"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40B2E97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9C3EA9E" w14:textId="77777777" w:rsidTr="00FA1A3A">
        <w:trPr>
          <w:trHeight w:val="1281"/>
        </w:trPr>
        <w:tc>
          <w:tcPr>
            <w:tcW w:w="324" w:type="dxa"/>
            <w:tcBorders>
              <w:top w:val="nil"/>
              <w:left w:val="single" w:sz="4" w:space="0" w:color="000000"/>
              <w:bottom w:val="single" w:sz="4" w:space="0" w:color="000000"/>
              <w:right w:val="single" w:sz="4" w:space="0" w:color="000000"/>
            </w:tcBorders>
            <w:textDirection w:val="btLr"/>
            <w:vAlign w:val="center"/>
            <w:hideMark/>
          </w:tcPr>
          <w:p w14:paraId="1221923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2CF3954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7B2DFAC"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443B8E4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339" w:type="dxa"/>
            <w:tcBorders>
              <w:top w:val="nil"/>
              <w:left w:val="nil"/>
              <w:bottom w:val="single" w:sz="4" w:space="0" w:color="000000"/>
              <w:right w:val="single" w:sz="4" w:space="0" w:color="000000"/>
            </w:tcBorders>
            <w:shd w:val="clear" w:color="000000" w:fill="0E7806"/>
            <w:vAlign w:val="center"/>
            <w:hideMark/>
          </w:tcPr>
          <w:p w14:paraId="3BCDBD2A"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4</w:t>
            </w:r>
          </w:p>
        </w:tc>
        <w:tc>
          <w:tcPr>
            <w:tcW w:w="284" w:type="dxa"/>
            <w:tcBorders>
              <w:top w:val="nil"/>
              <w:left w:val="nil"/>
              <w:bottom w:val="single" w:sz="4" w:space="0" w:color="000000"/>
              <w:right w:val="single" w:sz="4" w:space="0" w:color="000000"/>
            </w:tcBorders>
            <w:textDirection w:val="btLr"/>
            <w:vAlign w:val="center"/>
            <w:hideMark/>
          </w:tcPr>
          <w:p w14:paraId="5EDED4C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5953B3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690EA3C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71ADAC2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2EB17FF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A8660D2"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403D466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5BEDF98D" w14:textId="77777777" w:rsidTr="00FA1A3A">
        <w:trPr>
          <w:trHeight w:val="1256"/>
        </w:trPr>
        <w:tc>
          <w:tcPr>
            <w:tcW w:w="324" w:type="dxa"/>
            <w:tcBorders>
              <w:top w:val="nil"/>
              <w:left w:val="single" w:sz="4" w:space="0" w:color="000000"/>
              <w:bottom w:val="single" w:sz="4" w:space="0" w:color="000000"/>
              <w:right w:val="single" w:sz="4" w:space="0" w:color="000000"/>
            </w:tcBorders>
            <w:textDirection w:val="btLr"/>
            <w:vAlign w:val="center"/>
            <w:hideMark/>
          </w:tcPr>
          <w:p w14:paraId="3C0C5E2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4184E53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22597FA4"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5E826D3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339" w:type="dxa"/>
            <w:tcBorders>
              <w:top w:val="nil"/>
              <w:left w:val="nil"/>
              <w:bottom w:val="single" w:sz="4" w:space="0" w:color="000000"/>
              <w:right w:val="single" w:sz="4" w:space="0" w:color="000000"/>
            </w:tcBorders>
            <w:shd w:val="clear" w:color="000000" w:fill="0E7806"/>
            <w:vAlign w:val="center"/>
            <w:hideMark/>
          </w:tcPr>
          <w:p w14:paraId="4CA4275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4</w:t>
            </w:r>
          </w:p>
        </w:tc>
        <w:tc>
          <w:tcPr>
            <w:tcW w:w="284" w:type="dxa"/>
            <w:tcBorders>
              <w:top w:val="nil"/>
              <w:left w:val="nil"/>
              <w:bottom w:val="single" w:sz="4" w:space="0" w:color="000000"/>
              <w:right w:val="single" w:sz="4" w:space="0" w:color="000000"/>
            </w:tcBorders>
            <w:textDirection w:val="btLr"/>
            <w:vAlign w:val="center"/>
            <w:hideMark/>
          </w:tcPr>
          <w:p w14:paraId="5085874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DA3666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709BDB9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2645660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4F684A1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EEF9152"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77A6FAB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2F02E9E7" w14:textId="77777777" w:rsidTr="00FA1A3A">
        <w:trPr>
          <w:trHeight w:val="1415"/>
        </w:trPr>
        <w:tc>
          <w:tcPr>
            <w:tcW w:w="324" w:type="dxa"/>
            <w:tcBorders>
              <w:top w:val="nil"/>
              <w:left w:val="single" w:sz="4" w:space="0" w:color="000000"/>
              <w:bottom w:val="single" w:sz="4" w:space="0" w:color="000000"/>
              <w:right w:val="single" w:sz="4" w:space="0" w:color="000000"/>
            </w:tcBorders>
            <w:textDirection w:val="btLr"/>
            <w:vAlign w:val="center"/>
            <w:hideMark/>
          </w:tcPr>
          <w:p w14:paraId="538B8EC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2BF1727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68C0F09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4CDB5F0C"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16DA290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4A659B7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3709B92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B10413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09A1C79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1E73076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3DEFFDEB"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3AECF1B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7E601572" w14:textId="77777777" w:rsidTr="00FA1A3A">
        <w:trPr>
          <w:trHeight w:val="1266"/>
        </w:trPr>
        <w:tc>
          <w:tcPr>
            <w:tcW w:w="324" w:type="dxa"/>
            <w:tcBorders>
              <w:top w:val="nil"/>
              <w:left w:val="single" w:sz="4" w:space="0" w:color="000000"/>
              <w:bottom w:val="single" w:sz="4" w:space="0" w:color="000000"/>
              <w:right w:val="single" w:sz="4" w:space="0" w:color="000000"/>
            </w:tcBorders>
            <w:textDirection w:val="btLr"/>
            <w:vAlign w:val="center"/>
            <w:hideMark/>
          </w:tcPr>
          <w:p w14:paraId="1DD421A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6E1AE7B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9393E1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440FB8B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2A2E45C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4C38DD4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3C8EE1A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5072FE0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6689691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4091FA9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3B482FA7"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5B58F29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0EF943D" w14:textId="77777777" w:rsidTr="00FA1A3A">
        <w:trPr>
          <w:trHeight w:val="1441"/>
        </w:trPr>
        <w:tc>
          <w:tcPr>
            <w:tcW w:w="324" w:type="dxa"/>
            <w:tcBorders>
              <w:top w:val="nil"/>
              <w:left w:val="single" w:sz="4" w:space="0" w:color="000000"/>
              <w:bottom w:val="single" w:sz="4" w:space="0" w:color="000000"/>
              <w:right w:val="single" w:sz="4" w:space="0" w:color="000000"/>
            </w:tcBorders>
            <w:textDirection w:val="btLr"/>
            <w:vAlign w:val="center"/>
            <w:hideMark/>
          </w:tcPr>
          <w:p w14:paraId="4723C14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41B9CAC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FA5314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4F60235E"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339" w:type="dxa"/>
            <w:tcBorders>
              <w:top w:val="nil"/>
              <w:left w:val="nil"/>
              <w:bottom w:val="single" w:sz="4" w:space="0" w:color="000000"/>
              <w:right w:val="single" w:sz="4" w:space="0" w:color="000000"/>
            </w:tcBorders>
            <w:shd w:val="clear" w:color="000000" w:fill="0E7806"/>
            <w:vAlign w:val="center"/>
            <w:hideMark/>
          </w:tcPr>
          <w:p w14:paraId="3639BE4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3</w:t>
            </w:r>
          </w:p>
        </w:tc>
        <w:tc>
          <w:tcPr>
            <w:tcW w:w="284" w:type="dxa"/>
            <w:tcBorders>
              <w:top w:val="nil"/>
              <w:left w:val="nil"/>
              <w:bottom w:val="single" w:sz="4" w:space="0" w:color="000000"/>
              <w:right w:val="single" w:sz="4" w:space="0" w:color="000000"/>
            </w:tcBorders>
            <w:textDirection w:val="btLr"/>
            <w:vAlign w:val="center"/>
            <w:hideMark/>
          </w:tcPr>
          <w:p w14:paraId="6046015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78AF168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6FFF959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3B1B1215"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1891811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2111A0C1"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3C50C05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6B722599" w14:textId="77777777" w:rsidTr="00FA1A3A">
        <w:trPr>
          <w:trHeight w:val="1362"/>
        </w:trPr>
        <w:tc>
          <w:tcPr>
            <w:tcW w:w="324" w:type="dxa"/>
            <w:tcBorders>
              <w:top w:val="nil"/>
              <w:left w:val="single" w:sz="4" w:space="0" w:color="000000"/>
              <w:bottom w:val="single" w:sz="4" w:space="0" w:color="000000"/>
              <w:right w:val="single" w:sz="4" w:space="0" w:color="000000"/>
            </w:tcBorders>
            <w:textDirection w:val="btLr"/>
            <w:vAlign w:val="center"/>
            <w:hideMark/>
          </w:tcPr>
          <w:p w14:paraId="0216985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lastRenderedPageBreak/>
              <w:t>CONTRATISTA</w:t>
            </w:r>
          </w:p>
        </w:tc>
        <w:tc>
          <w:tcPr>
            <w:tcW w:w="2506" w:type="dxa"/>
            <w:tcBorders>
              <w:top w:val="nil"/>
              <w:left w:val="nil"/>
              <w:bottom w:val="single" w:sz="4" w:space="0" w:color="000000"/>
              <w:right w:val="single" w:sz="4" w:space="0" w:color="000000"/>
            </w:tcBorders>
            <w:vAlign w:val="center"/>
            <w:hideMark/>
          </w:tcPr>
          <w:p w14:paraId="37DF139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3FEEF2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6629FA0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736A656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53C08EA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1D2DC17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7F62A99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0710359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PLANEACIÓN DEL CONTRATO</w:t>
            </w:r>
          </w:p>
        </w:tc>
        <w:tc>
          <w:tcPr>
            <w:tcW w:w="426" w:type="dxa"/>
            <w:tcBorders>
              <w:top w:val="nil"/>
              <w:left w:val="nil"/>
              <w:bottom w:val="single" w:sz="4" w:space="0" w:color="000000"/>
              <w:right w:val="single" w:sz="4" w:space="0" w:color="000000"/>
            </w:tcBorders>
            <w:vAlign w:val="center"/>
            <w:hideMark/>
          </w:tcPr>
          <w:p w14:paraId="13E566F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2AC85B2"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0F91E7B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03F95CB1" w14:textId="77777777" w:rsidTr="00FA1A3A">
        <w:trPr>
          <w:trHeight w:val="1920"/>
        </w:trPr>
        <w:tc>
          <w:tcPr>
            <w:tcW w:w="324" w:type="dxa"/>
            <w:tcBorders>
              <w:top w:val="nil"/>
              <w:left w:val="single" w:sz="4" w:space="0" w:color="000000"/>
              <w:bottom w:val="single" w:sz="4" w:space="0" w:color="000000"/>
              <w:right w:val="single" w:sz="4" w:space="0" w:color="000000"/>
            </w:tcBorders>
            <w:textDirection w:val="btLr"/>
            <w:vAlign w:val="center"/>
            <w:hideMark/>
          </w:tcPr>
          <w:p w14:paraId="1519568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0819E4F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6472BD96"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20E0111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4EFD556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67C268B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8394BC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391D6D8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38FEE7F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PLANEACIÓN DEL CONTRATO</w:t>
            </w:r>
          </w:p>
        </w:tc>
        <w:tc>
          <w:tcPr>
            <w:tcW w:w="426" w:type="dxa"/>
            <w:tcBorders>
              <w:top w:val="nil"/>
              <w:left w:val="nil"/>
              <w:bottom w:val="single" w:sz="4" w:space="0" w:color="000000"/>
              <w:right w:val="single" w:sz="4" w:space="0" w:color="000000"/>
            </w:tcBorders>
            <w:vAlign w:val="center"/>
            <w:hideMark/>
          </w:tcPr>
          <w:p w14:paraId="2616FE5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5B278414"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1602C98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2D7C0F12" w14:textId="77777777" w:rsidTr="00FA1A3A">
        <w:trPr>
          <w:trHeight w:val="1260"/>
        </w:trPr>
        <w:tc>
          <w:tcPr>
            <w:tcW w:w="324" w:type="dxa"/>
            <w:tcBorders>
              <w:top w:val="nil"/>
              <w:left w:val="single" w:sz="4" w:space="0" w:color="000000"/>
              <w:bottom w:val="single" w:sz="4" w:space="0" w:color="000000"/>
              <w:right w:val="single" w:sz="4" w:space="0" w:color="000000"/>
            </w:tcBorders>
            <w:textDirection w:val="btLr"/>
            <w:vAlign w:val="center"/>
            <w:hideMark/>
          </w:tcPr>
          <w:p w14:paraId="1065AB5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276A4B6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33DB3D0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7CC11F7D"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17E1F879"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5305E96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24D753F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73BD95ED"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4B2DABD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PLANEACIÓN DEL CONTRATO</w:t>
            </w:r>
          </w:p>
        </w:tc>
        <w:tc>
          <w:tcPr>
            <w:tcW w:w="426" w:type="dxa"/>
            <w:tcBorders>
              <w:top w:val="nil"/>
              <w:left w:val="nil"/>
              <w:bottom w:val="single" w:sz="4" w:space="0" w:color="000000"/>
              <w:right w:val="single" w:sz="4" w:space="0" w:color="000000"/>
            </w:tcBorders>
            <w:vAlign w:val="center"/>
            <w:hideMark/>
          </w:tcPr>
          <w:p w14:paraId="3225618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5F1BEB8F"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4D28B38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7C0873AE" w14:textId="77777777" w:rsidTr="00FA1A3A">
        <w:trPr>
          <w:trHeight w:val="1331"/>
        </w:trPr>
        <w:tc>
          <w:tcPr>
            <w:tcW w:w="324" w:type="dxa"/>
            <w:tcBorders>
              <w:top w:val="nil"/>
              <w:left w:val="single" w:sz="4" w:space="0" w:color="000000"/>
              <w:bottom w:val="single" w:sz="4" w:space="0" w:color="000000"/>
              <w:right w:val="single" w:sz="4" w:space="0" w:color="000000"/>
            </w:tcBorders>
            <w:textDirection w:val="btLr"/>
            <w:vAlign w:val="center"/>
            <w:hideMark/>
          </w:tcPr>
          <w:p w14:paraId="0B5AF4E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3B71900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0EAEC45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61AF241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17090C3C"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512706E7"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6140B318"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A237E2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850" w:type="dxa"/>
            <w:tcBorders>
              <w:top w:val="nil"/>
              <w:left w:val="nil"/>
              <w:bottom w:val="single" w:sz="4" w:space="0" w:color="000000"/>
              <w:right w:val="single" w:sz="4" w:space="0" w:color="000000"/>
            </w:tcBorders>
            <w:textDirection w:val="btLr"/>
            <w:vAlign w:val="center"/>
            <w:hideMark/>
          </w:tcPr>
          <w:p w14:paraId="0EAA8CB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PLANEACIÓN DEL CONTRATO</w:t>
            </w:r>
          </w:p>
        </w:tc>
        <w:tc>
          <w:tcPr>
            <w:tcW w:w="426" w:type="dxa"/>
            <w:tcBorders>
              <w:top w:val="nil"/>
              <w:left w:val="nil"/>
              <w:bottom w:val="single" w:sz="4" w:space="0" w:color="000000"/>
              <w:right w:val="single" w:sz="4" w:space="0" w:color="000000"/>
            </w:tcBorders>
            <w:vAlign w:val="center"/>
            <w:hideMark/>
          </w:tcPr>
          <w:p w14:paraId="3FE5CC7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6DE26FC2"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22E666F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16751F50" w14:textId="77777777" w:rsidTr="00FA1A3A">
        <w:trPr>
          <w:trHeight w:val="1371"/>
        </w:trPr>
        <w:tc>
          <w:tcPr>
            <w:tcW w:w="324" w:type="dxa"/>
            <w:tcBorders>
              <w:top w:val="nil"/>
              <w:left w:val="single" w:sz="4" w:space="0" w:color="000000"/>
              <w:bottom w:val="single" w:sz="4" w:space="0" w:color="000000"/>
              <w:right w:val="single" w:sz="4" w:space="0" w:color="000000"/>
            </w:tcBorders>
            <w:textDirection w:val="btLr"/>
            <w:vAlign w:val="center"/>
            <w:hideMark/>
          </w:tcPr>
          <w:p w14:paraId="6B4AE0A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32987B9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1ECA60D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54F20427"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6396232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11CFB15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67D2269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041FA1F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4C942C4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6B74AE69"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7653D892"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09A83E9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77F6647A" w14:textId="77777777" w:rsidTr="00FA1A3A">
        <w:trPr>
          <w:trHeight w:val="1277"/>
        </w:trPr>
        <w:tc>
          <w:tcPr>
            <w:tcW w:w="324" w:type="dxa"/>
            <w:tcBorders>
              <w:top w:val="nil"/>
              <w:left w:val="single" w:sz="4" w:space="0" w:color="000000"/>
              <w:bottom w:val="single" w:sz="4" w:space="0" w:color="000000"/>
              <w:right w:val="single" w:sz="4" w:space="0" w:color="000000"/>
            </w:tcBorders>
            <w:textDirection w:val="btLr"/>
            <w:vAlign w:val="center"/>
            <w:hideMark/>
          </w:tcPr>
          <w:p w14:paraId="263F035A"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5A704B8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210DED2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2E4FE815"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4A872B38"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3E91E90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7EA5514F"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272D448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0EA9C5A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220F973E"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4B29F2A0"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234DBA7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r w:rsidR="0029356C" w:rsidRPr="00536706" w14:paraId="397A13AA" w14:textId="77777777" w:rsidTr="00FA1A3A">
        <w:trPr>
          <w:trHeight w:val="1254"/>
        </w:trPr>
        <w:tc>
          <w:tcPr>
            <w:tcW w:w="324" w:type="dxa"/>
            <w:tcBorders>
              <w:top w:val="nil"/>
              <w:left w:val="single" w:sz="4" w:space="0" w:color="000000"/>
              <w:bottom w:val="single" w:sz="4" w:space="0" w:color="000000"/>
              <w:right w:val="single" w:sz="4" w:space="0" w:color="000000"/>
            </w:tcBorders>
            <w:textDirection w:val="btLr"/>
            <w:vAlign w:val="center"/>
            <w:hideMark/>
          </w:tcPr>
          <w:p w14:paraId="42799DF2"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CONTRATISTA</w:t>
            </w:r>
          </w:p>
        </w:tc>
        <w:tc>
          <w:tcPr>
            <w:tcW w:w="2506" w:type="dxa"/>
            <w:tcBorders>
              <w:top w:val="nil"/>
              <w:left w:val="nil"/>
              <w:bottom w:val="single" w:sz="4" w:space="0" w:color="000000"/>
              <w:right w:val="single" w:sz="4" w:space="0" w:color="000000"/>
            </w:tcBorders>
            <w:vAlign w:val="center"/>
            <w:hideMark/>
          </w:tcPr>
          <w:p w14:paraId="4EAD300B"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Realización de reuniones periódicas para la supervisión y revisión de avances.</w:t>
            </w:r>
          </w:p>
        </w:tc>
        <w:tc>
          <w:tcPr>
            <w:tcW w:w="426" w:type="dxa"/>
            <w:tcBorders>
              <w:top w:val="nil"/>
              <w:left w:val="nil"/>
              <w:bottom w:val="single" w:sz="4" w:space="0" w:color="000000"/>
              <w:right w:val="single" w:sz="4" w:space="0" w:color="000000"/>
            </w:tcBorders>
            <w:vAlign w:val="center"/>
            <w:hideMark/>
          </w:tcPr>
          <w:p w14:paraId="6518FBBF"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511" w:type="dxa"/>
            <w:tcBorders>
              <w:top w:val="nil"/>
              <w:left w:val="nil"/>
              <w:bottom w:val="single" w:sz="4" w:space="0" w:color="000000"/>
              <w:right w:val="single" w:sz="4" w:space="0" w:color="000000"/>
            </w:tcBorders>
            <w:vAlign w:val="center"/>
            <w:hideMark/>
          </w:tcPr>
          <w:p w14:paraId="0A7EC1DB"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1</w:t>
            </w:r>
          </w:p>
        </w:tc>
        <w:tc>
          <w:tcPr>
            <w:tcW w:w="339" w:type="dxa"/>
            <w:tcBorders>
              <w:top w:val="nil"/>
              <w:left w:val="nil"/>
              <w:bottom w:val="single" w:sz="4" w:space="0" w:color="000000"/>
              <w:right w:val="single" w:sz="4" w:space="0" w:color="000000"/>
            </w:tcBorders>
            <w:shd w:val="clear" w:color="000000" w:fill="0E7806"/>
            <w:vAlign w:val="center"/>
            <w:hideMark/>
          </w:tcPr>
          <w:p w14:paraId="3BDF9E83" w14:textId="77777777" w:rsidR="0029356C" w:rsidRPr="00536706" w:rsidRDefault="0029356C" w:rsidP="00FA1A3A">
            <w:pPr>
              <w:spacing w:after="0" w:line="240" w:lineRule="auto"/>
              <w:jc w:val="center"/>
              <w:rPr>
                <w:rFonts w:ascii="Arial" w:hAnsi="Arial" w:cs="Arial"/>
                <w:color w:val="000000"/>
                <w:sz w:val="15"/>
                <w:szCs w:val="15"/>
                <w:lang w:eastAsia="es-CO"/>
              </w:rPr>
            </w:pPr>
            <w:r w:rsidRPr="00536706">
              <w:rPr>
                <w:rFonts w:ascii="Arial" w:hAnsi="Arial" w:cs="Arial"/>
                <w:color w:val="000000"/>
                <w:sz w:val="15"/>
                <w:szCs w:val="15"/>
                <w:lang w:eastAsia="es-CO"/>
              </w:rPr>
              <w:t>2</w:t>
            </w:r>
          </w:p>
        </w:tc>
        <w:tc>
          <w:tcPr>
            <w:tcW w:w="284" w:type="dxa"/>
            <w:tcBorders>
              <w:top w:val="nil"/>
              <w:left w:val="nil"/>
              <w:bottom w:val="single" w:sz="4" w:space="0" w:color="000000"/>
              <w:right w:val="single" w:sz="4" w:space="0" w:color="000000"/>
            </w:tcBorders>
            <w:textDirection w:val="btLr"/>
            <w:vAlign w:val="center"/>
            <w:hideMark/>
          </w:tcPr>
          <w:p w14:paraId="0CD0EB06"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RIESGO BAJO</w:t>
            </w:r>
          </w:p>
        </w:tc>
        <w:tc>
          <w:tcPr>
            <w:tcW w:w="538" w:type="dxa"/>
            <w:tcBorders>
              <w:top w:val="nil"/>
              <w:left w:val="nil"/>
              <w:bottom w:val="single" w:sz="4" w:space="0" w:color="000000"/>
              <w:right w:val="single" w:sz="4" w:space="0" w:color="000000"/>
            </w:tcBorders>
            <w:vAlign w:val="center"/>
            <w:hideMark/>
          </w:tcPr>
          <w:p w14:paraId="45D4FA14"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NO</w:t>
            </w:r>
          </w:p>
        </w:tc>
        <w:tc>
          <w:tcPr>
            <w:tcW w:w="454" w:type="dxa"/>
            <w:tcBorders>
              <w:top w:val="nil"/>
              <w:left w:val="nil"/>
              <w:bottom w:val="single" w:sz="4" w:space="0" w:color="000000"/>
              <w:right w:val="single" w:sz="4" w:space="0" w:color="000000"/>
            </w:tcBorders>
            <w:textDirection w:val="btLr"/>
            <w:vAlign w:val="center"/>
            <w:hideMark/>
          </w:tcPr>
          <w:p w14:paraId="168AB440"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MUNICIPIO</w:t>
            </w:r>
          </w:p>
        </w:tc>
        <w:tc>
          <w:tcPr>
            <w:tcW w:w="850" w:type="dxa"/>
            <w:tcBorders>
              <w:top w:val="nil"/>
              <w:left w:val="nil"/>
              <w:bottom w:val="single" w:sz="4" w:space="0" w:color="000000"/>
              <w:right w:val="single" w:sz="4" w:space="0" w:color="000000"/>
            </w:tcBorders>
            <w:textDirection w:val="btLr"/>
            <w:vAlign w:val="center"/>
            <w:hideMark/>
          </w:tcPr>
          <w:p w14:paraId="6231ACB3"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EN LA</w:t>
            </w:r>
            <w:r w:rsidRPr="00536706">
              <w:rPr>
                <w:rFonts w:ascii="Arial" w:hAnsi="Arial" w:cs="Arial"/>
                <w:sz w:val="15"/>
                <w:szCs w:val="15"/>
                <w:lang w:eastAsia="es-CO"/>
              </w:rPr>
              <w:br/>
              <w:t>EJECUCION DEL CONTRATO</w:t>
            </w:r>
          </w:p>
        </w:tc>
        <w:tc>
          <w:tcPr>
            <w:tcW w:w="426" w:type="dxa"/>
            <w:tcBorders>
              <w:top w:val="nil"/>
              <w:left w:val="nil"/>
              <w:bottom w:val="single" w:sz="4" w:space="0" w:color="000000"/>
              <w:right w:val="single" w:sz="4" w:space="0" w:color="000000"/>
            </w:tcBorders>
            <w:vAlign w:val="center"/>
            <w:hideMark/>
          </w:tcPr>
          <w:p w14:paraId="26BB4ABC"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N/A</w:t>
            </w:r>
          </w:p>
        </w:tc>
        <w:tc>
          <w:tcPr>
            <w:tcW w:w="1319" w:type="dxa"/>
            <w:tcBorders>
              <w:top w:val="nil"/>
              <w:left w:val="nil"/>
              <w:bottom w:val="single" w:sz="4" w:space="0" w:color="000000"/>
              <w:right w:val="single" w:sz="4" w:space="0" w:color="000000"/>
            </w:tcBorders>
            <w:vAlign w:val="center"/>
            <w:hideMark/>
          </w:tcPr>
          <w:p w14:paraId="7A2EE3DD" w14:textId="77777777" w:rsidR="0029356C" w:rsidRPr="00536706" w:rsidRDefault="0029356C" w:rsidP="00FA1A3A">
            <w:pPr>
              <w:spacing w:after="0" w:line="240" w:lineRule="auto"/>
              <w:rPr>
                <w:rFonts w:ascii="Arial" w:hAnsi="Arial" w:cs="Arial"/>
                <w:sz w:val="15"/>
                <w:szCs w:val="15"/>
                <w:lang w:eastAsia="es-CO"/>
              </w:rPr>
            </w:pPr>
            <w:r w:rsidRPr="00536706">
              <w:rPr>
                <w:rFonts w:ascii="Arial" w:hAnsi="Arial" w:cs="Arial"/>
                <w:sz w:val="15"/>
                <w:szCs w:val="15"/>
                <w:lang w:eastAsia="es-CO"/>
              </w:rPr>
              <w:t>Adecuada supervisión o interventoría</w:t>
            </w:r>
          </w:p>
        </w:tc>
        <w:tc>
          <w:tcPr>
            <w:tcW w:w="1373" w:type="dxa"/>
            <w:tcBorders>
              <w:top w:val="nil"/>
              <w:left w:val="nil"/>
              <w:bottom w:val="single" w:sz="4" w:space="0" w:color="000000"/>
              <w:right w:val="single" w:sz="4" w:space="0" w:color="000000"/>
            </w:tcBorders>
            <w:vAlign w:val="center"/>
            <w:hideMark/>
          </w:tcPr>
          <w:p w14:paraId="73E87FC1" w14:textId="77777777" w:rsidR="0029356C" w:rsidRPr="00536706" w:rsidRDefault="0029356C" w:rsidP="00FA1A3A">
            <w:pPr>
              <w:spacing w:after="0" w:line="240" w:lineRule="auto"/>
              <w:jc w:val="center"/>
              <w:rPr>
                <w:rFonts w:ascii="Arial" w:hAnsi="Arial" w:cs="Arial"/>
                <w:sz w:val="15"/>
                <w:szCs w:val="15"/>
                <w:lang w:eastAsia="es-CO"/>
              </w:rPr>
            </w:pPr>
            <w:r w:rsidRPr="00536706">
              <w:rPr>
                <w:rFonts w:ascii="Arial" w:hAnsi="Arial" w:cs="Arial"/>
                <w:sz w:val="15"/>
                <w:szCs w:val="15"/>
                <w:lang w:eastAsia="es-CO"/>
              </w:rPr>
              <w:t>Durante la ejecución del contrato.</w:t>
            </w:r>
          </w:p>
        </w:tc>
      </w:tr>
    </w:tbl>
    <w:p w14:paraId="1B5120AD" w14:textId="77777777" w:rsidR="0029356C" w:rsidRPr="0067247C" w:rsidRDefault="0029356C" w:rsidP="0029356C">
      <w:pPr>
        <w:spacing w:after="0" w:line="240" w:lineRule="auto"/>
        <w:rPr>
          <w:rFonts w:ascii="Arial" w:hAnsi="Arial" w:cs="Arial"/>
          <w:sz w:val="20"/>
          <w:szCs w:val="20"/>
          <w:lang w:eastAsia="es-CO"/>
        </w:rPr>
      </w:pPr>
    </w:p>
    <w:p w14:paraId="125F3E01" w14:textId="77777777" w:rsidR="0029356C" w:rsidRPr="0067247C" w:rsidRDefault="0029356C" w:rsidP="0029356C">
      <w:pPr>
        <w:autoSpaceDE w:val="0"/>
        <w:autoSpaceDN w:val="0"/>
        <w:adjustRightInd w:val="0"/>
        <w:spacing w:after="0" w:line="240" w:lineRule="auto"/>
        <w:jc w:val="both"/>
        <w:rPr>
          <w:rFonts w:ascii="Arial" w:hAnsi="Arial" w:cs="Arial"/>
          <w:sz w:val="20"/>
          <w:szCs w:val="20"/>
        </w:rPr>
      </w:pPr>
      <w:r w:rsidRPr="0067247C">
        <w:rPr>
          <w:rFonts w:ascii="Arial" w:hAnsi="Arial" w:cs="Arial"/>
          <w:sz w:val="20"/>
          <w:szCs w:val="20"/>
        </w:rPr>
        <w:t>Para realizar el contrato se puede descartar la posibilidad de riesgos económicos, ya que se ha establecido una forma de pago mediante acta única y final, cuando se verifica por parte del supervisor que se ha cumplido con el objeto del contrato, garantizando la calidad en el servicio prestado.</w:t>
      </w:r>
    </w:p>
    <w:p w14:paraId="6ADA65D5" w14:textId="77777777" w:rsidR="0029356C" w:rsidRPr="0029356C" w:rsidRDefault="0029356C" w:rsidP="0029356C">
      <w:pPr>
        <w:spacing w:after="0" w:line="240" w:lineRule="auto"/>
        <w:jc w:val="center"/>
        <w:rPr>
          <w:rFonts w:ascii="Arial" w:hAnsi="Arial" w:cs="Arial"/>
          <w:b/>
          <w:bCs/>
          <w:sz w:val="20"/>
          <w:szCs w:val="20"/>
          <w:lang w:eastAsia="es-CO"/>
        </w:rPr>
      </w:pPr>
    </w:p>
    <w:p w14:paraId="5781826E" w14:textId="64D7F35A" w:rsidR="0029356C" w:rsidRPr="0029356C" w:rsidRDefault="0029356C" w:rsidP="0029356C">
      <w:pPr>
        <w:spacing w:after="0" w:line="240" w:lineRule="auto"/>
        <w:jc w:val="center"/>
        <w:rPr>
          <w:rFonts w:ascii="Arial" w:hAnsi="Arial" w:cs="Arial"/>
          <w:b/>
          <w:bCs/>
          <w:sz w:val="20"/>
          <w:szCs w:val="20"/>
          <w:lang w:eastAsia="es-CO"/>
        </w:rPr>
      </w:pPr>
      <w:r w:rsidRPr="0029356C">
        <w:rPr>
          <w:rFonts w:ascii="Arial" w:hAnsi="Arial" w:cs="Arial"/>
          <w:b/>
          <w:bCs/>
          <w:sz w:val="20"/>
          <w:szCs w:val="20"/>
          <w:lang w:eastAsia="es-CO"/>
        </w:rPr>
        <w:t>GARANTIAS</w:t>
      </w:r>
    </w:p>
    <w:p w14:paraId="57815B00" w14:textId="6F59666C" w:rsidR="0029356C" w:rsidRDefault="0029356C" w:rsidP="0029356C">
      <w:pPr>
        <w:spacing w:before="100" w:beforeAutospacing="1" w:after="100" w:afterAutospacing="1" w:line="0" w:lineRule="atLeast"/>
        <w:jc w:val="both"/>
        <w:rPr>
          <w:rFonts w:ascii="Arial" w:eastAsia="Times New Roman" w:hAnsi="Arial" w:cs="Arial"/>
          <w:sz w:val="20"/>
          <w:szCs w:val="20"/>
        </w:rPr>
      </w:pPr>
      <w:r w:rsidRPr="00490B91">
        <w:rPr>
          <w:rFonts w:ascii="Arial" w:eastAsia="Times New Roman" w:hAnsi="Arial" w:cs="Arial"/>
          <w:sz w:val="20"/>
          <w:szCs w:val="20"/>
        </w:rPr>
        <w:lastRenderedPageBreak/>
        <w:t xml:space="preserve">El Ente Territorial, según lo establecido por la </w:t>
      </w:r>
      <w:r w:rsidR="001D7FF6">
        <w:rPr>
          <w:rFonts w:ascii="Arial" w:eastAsia="Times New Roman" w:hAnsi="Arial" w:cs="Arial"/>
          <w:sz w:val="20"/>
          <w:szCs w:val="20"/>
        </w:rPr>
        <w:t xml:space="preserve">Decreto </w:t>
      </w:r>
      <w:r w:rsidRPr="00490B91">
        <w:rPr>
          <w:rFonts w:ascii="Arial" w:eastAsia="Times New Roman" w:hAnsi="Arial" w:cs="Arial"/>
          <w:sz w:val="20"/>
          <w:szCs w:val="20"/>
        </w:rPr>
        <w:t>1082 de 2015, atiende a que las garantías no serán obligatorias en los siguientes tipos de contratos:</w:t>
      </w:r>
      <w:r>
        <w:rPr>
          <w:rFonts w:ascii="Arial" w:eastAsia="Times New Roman" w:hAnsi="Arial" w:cs="Arial"/>
          <w:sz w:val="20"/>
          <w:szCs w:val="20"/>
        </w:rPr>
        <w:t xml:space="preserve"> </w:t>
      </w:r>
      <w:r w:rsidRPr="00490B91">
        <w:rPr>
          <w:rFonts w:ascii="Arial" w:eastAsia="Times New Roman" w:hAnsi="Arial" w:cs="Arial"/>
          <w:sz w:val="20"/>
          <w:szCs w:val="20"/>
        </w:rPr>
        <w:t>Empréstito,</w:t>
      </w:r>
      <w:r>
        <w:rPr>
          <w:rFonts w:ascii="Arial" w:eastAsia="Times New Roman" w:hAnsi="Arial" w:cs="Arial"/>
          <w:sz w:val="20"/>
          <w:szCs w:val="20"/>
        </w:rPr>
        <w:t xml:space="preserve"> </w:t>
      </w:r>
      <w:r w:rsidRPr="00490B91">
        <w:rPr>
          <w:rFonts w:ascii="Arial" w:eastAsia="Times New Roman" w:hAnsi="Arial" w:cs="Arial"/>
          <w:sz w:val="20"/>
          <w:szCs w:val="20"/>
        </w:rPr>
        <w:t>Interadministrativos</w:t>
      </w:r>
      <w:r>
        <w:rPr>
          <w:rFonts w:ascii="Arial" w:eastAsia="Times New Roman" w:hAnsi="Arial" w:cs="Arial"/>
          <w:sz w:val="20"/>
          <w:szCs w:val="20"/>
        </w:rPr>
        <w:t xml:space="preserve">, </w:t>
      </w:r>
      <w:r w:rsidRPr="00490B91">
        <w:rPr>
          <w:rFonts w:ascii="Arial" w:eastAsia="Times New Roman" w:hAnsi="Arial" w:cs="Arial"/>
          <w:sz w:val="20"/>
          <w:szCs w:val="20"/>
        </w:rPr>
        <w:t>Contratos de seguro</w:t>
      </w:r>
      <w:r>
        <w:rPr>
          <w:rFonts w:ascii="Arial" w:eastAsia="Times New Roman" w:hAnsi="Arial" w:cs="Arial"/>
          <w:sz w:val="20"/>
          <w:szCs w:val="20"/>
        </w:rPr>
        <w:t xml:space="preserve"> y </w:t>
      </w:r>
      <w:r w:rsidRPr="00490B91">
        <w:rPr>
          <w:rFonts w:ascii="Arial" w:eastAsia="Times New Roman" w:hAnsi="Arial" w:cs="Arial"/>
          <w:sz w:val="20"/>
          <w:szCs w:val="20"/>
        </w:rPr>
        <w:t>Contratos cuyo valor sea inferior al 10% de la menor cuantía (contratos de mínima cuantía)</w:t>
      </w:r>
      <w:r>
        <w:rPr>
          <w:rFonts w:ascii="Arial" w:eastAsia="Times New Roman" w:hAnsi="Arial" w:cs="Arial"/>
          <w:sz w:val="20"/>
          <w:szCs w:val="20"/>
        </w:rPr>
        <w:t>.</w:t>
      </w:r>
    </w:p>
    <w:p w14:paraId="619FF2B4" w14:textId="282967D7" w:rsidR="0029356C" w:rsidRPr="00490B91" w:rsidRDefault="0029356C" w:rsidP="0029356C">
      <w:pPr>
        <w:spacing w:before="100" w:beforeAutospacing="1" w:after="100" w:afterAutospacing="1" w:line="0" w:lineRule="atLeast"/>
        <w:jc w:val="both"/>
        <w:rPr>
          <w:rFonts w:ascii="Arial" w:eastAsia="Times New Roman" w:hAnsi="Arial" w:cs="Arial"/>
          <w:sz w:val="20"/>
          <w:szCs w:val="20"/>
        </w:rPr>
      </w:pPr>
      <w:r w:rsidRPr="00490B91">
        <w:rPr>
          <w:rFonts w:ascii="Arial" w:eastAsia="Times New Roman" w:hAnsi="Arial" w:cs="Arial"/>
          <w:sz w:val="20"/>
          <w:szCs w:val="20"/>
        </w:rPr>
        <w:t xml:space="preserve">En estos casos corresponde a la entidad determinar la necesidad de exigirla, atendiendo a la naturaleza del objeto del contrato y a la forma de pago, así como en los demás que señale el reglamento.  Según lo determinado Artículo 2.2.1.2.1.4.5. del Decreto 1082 de 2015. </w:t>
      </w:r>
      <w:r w:rsidRPr="00490B91">
        <w:rPr>
          <w:rFonts w:ascii="Arial" w:eastAsia="Times New Roman" w:hAnsi="Arial" w:cs="Arial"/>
          <w:b/>
          <w:bCs/>
          <w:i/>
          <w:iCs/>
          <w:sz w:val="20"/>
          <w:szCs w:val="20"/>
        </w:rPr>
        <w:t>No obligatoriedad de garantías</w:t>
      </w:r>
      <w:r w:rsidRPr="00490B91">
        <w:rPr>
          <w:rFonts w:ascii="Arial" w:eastAsia="Times New Roman" w:hAnsi="Arial" w:cs="Arial"/>
          <w:sz w:val="20"/>
          <w:szCs w:val="20"/>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   Con fundamento en lo anterior, y dado que el valor estimado para el presente proceso contractual es inferior al (10%) de la menor cuantía, el municipio de Remedios decide NO SOLICITAR GARANTÍAS en el presente proceso contractual. </w:t>
      </w:r>
    </w:p>
    <w:p w14:paraId="4511D9E5" w14:textId="4B5F29AE" w:rsidR="00575056" w:rsidRDefault="00224401" w:rsidP="00F313CB">
      <w:pPr>
        <w:pStyle w:val="Sinespaciado"/>
        <w:jc w:val="center"/>
        <w:rPr>
          <w:rFonts w:ascii="Arial" w:hAnsi="Arial" w:cs="Arial"/>
          <w:b/>
          <w:sz w:val="20"/>
          <w:szCs w:val="20"/>
        </w:rPr>
      </w:pPr>
      <w:r>
        <w:rPr>
          <w:rFonts w:ascii="Arial" w:hAnsi="Arial" w:cs="Arial"/>
          <w:b/>
          <w:sz w:val="20"/>
          <w:szCs w:val="20"/>
        </w:rPr>
        <w:t>ORIGINAL FIRMADO</w:t>
      </w:r>
    </w:p>
    <w:p w14:paraId="474D1171" w14:textId="77777777" w:rsidR="00FD00F5" w:rsidRPr="001A78E1" w:rsidRDefault="00FD00F5" w:rsidP="00F313CB">
      <w:pPr>
        <w:pStyle w:val="Sinespaciado"/>
        <w:jc w:val="center"/>
        <w:rPr>
          <w:rFonts w:ascii="Arial" w:hAnsi="Arial" w:cs="Arial"/>
          <w:b/>
          <w:sz w:val="20"/>
          <w:szCs w:val="20"/>
        </w:rPr>
      </w:pPr>
    </w:p>
    <w:p w14:paraId="7A048EE1" w14:textId="71C73BD0" w:rsidR="00F313CB" w:rsidRPr="0029356C" w:rsidRDefault="00575056" w:rsidP="00F313CB">
      <w:pPr>
        <w:pStyle w:val="Sinespaciado"/>
        <w:jc w:val="center"/>
        <w:rPr>
          <w:rFonts w:ascii="Arial" w:hAnsi="Arial" w:cs="Arial"/>
          <w:b/>
          <w:sz w:val="20"/>
          <w:szCs w:val="20"/>
        </w:rPr>
      </w:pPr>
      <w:bookmarkStart w:id="5" w:name="_Hlk89779005"/>
      <w:r w:rsidRPr="0029356C">
        <w:rPr>
          <w:rFonts w:ascii="Arial" w:hAnsi="Arial" w:cs="Arial"/>
          <w:b/>
          <w:sz w:val="20"/>
          <w:szCs w:val="20"/>
        </w:rPr>
        <w:t>DAVID ENRIQUE LEON CHICO</w:t>
      </w:r>
    </w:p>
    <w:p w14:paraId="07C27C75" w14:textId="73B2F069" w:rsidR="00F313CB" w:rsidRDefault="00F313CB" w:rsidP="0029356C">
      <w:pPr>
        <w:pStyle w:val="Sinespaciado"/>
        <w:jc w:val="center"/>
        <w:rPr>
          <w:rFonts w:ascii="Arial" w:hAnsi="Arial" w:cs="Arial"/>
          <w:bCs/>
          <w:sz w:val="20"/>
          <w:szCs w:val="20"/>
        </w:rPr>
      </w:pPr>
      <w:r w:rsidRPr="0029356C">
        <w:rPr>
          <w:rFonts w:ascii="Arial" w:hAnsi="Arial" w:cs="Arial"/>
          <w:bCs/>
          <w:sz w:val="20"/>
          <w:szCs w:val="20"/>
        </w:rPr>
        <w:t>Secretari</w:t>
      </w:r>
      <w:r w:rsidR="00575056" w:rsidRPr="0029356C">
        <w:rPr>
          <w:rFonts w:ascii="Arial" w:hAnsi="Arial" w:cs="Arial"/>
          <w:bCs/>
          <w:sz w:val="20"/>
          <w:szCs w:val="20"/>
        </w:rPr>
        <w:t xml:space="preserve">o </w:t>
      </w:r>
      <w:r w:rsidRPr="0029356C">
        <w:rPr>
          <w:rFonts w:ascii="Arial" w:hAnsi="Arial" w:cs="Arial"/>
          <w:bCs/>
          <w:sz w:val="20"/>
          <w:szCs w:val="20"/>
        </w:rPr>
        <w:t xml:space="preserve">de Gobierno y Servicios Administrativos </w:t>
      </w:r>
      <w:bookmarkEnd w:id="5"/>
    </w:p>
    <w:p w14:paraId="23C37AD4" w14:textId="77777777" w:rsidR="0029356C" w:rsidRPr="0029356C" w:rsidRDefault="0029356C" w:rsidP="0029356C">
      <w:pPr>
        <w:pStyle w:val="Sinespaciado"/>
        <w:jc w:val="center"/>
        <w:rPr>
          <w:rFonts w:ascii="Arial" w:hAnsi="Arial" w:cs="Arial"/>
          <w:bCs/>
          <w:sz w:val="20"/>
          <w:szCs w:val="20"/>
        </w:rPr>
      </w:pPr>
    </w:p>
    <w:tbl>
      <w:tblPr>
        <w:tblW w:w="92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1"/>
        <w:gridCol w:w="1276"/>
        <w:gridCol w:w="1984"/>
        <w:gridCol w:w="1908"/>
      </w:tblGrid>
      <w:tr w:rsidR="0029356C" w:rsidRPr="00E208EA" w14:paraId="7A24B168" w14:textId="77777777" w:rsidTr="00FA1A3A">
        <w:trPr>
          <w:trHeight w:val="235"/>
        </w:trPr>
        <w:tc>
          <w:tcPr>
            <w:tcW w:w="4111" w:type="dxa"/>
            <w:tcBorders>
              <w:top w:val="single" w:sz="4" w:space="0" w:color="auto"/>
              <w:left w:val="single" w:sz="4" w:space="0" w:color="auto"/>
              <w:bottom w:val="single" w:sz="4" w:space="0" w:color="auto"/>
              <w:right w:val="single" w:sz="4" w:space="0" w:color="auto"/>
            </w:tcBorders>
            <w:hideMark/>
          </w:tcPr>
          <w:p w14:paraId="15585E73" w14:textId="77777777" w:rsidR="0029356C" w:rsidRPr="00D65845" w:rsidRDefault="0029356C" w:rsidP="00FA1A3A">
            <w:pPr>
              <w:pStyle w:val="Sinespaciado"/>
              <w:jc w:val="center"/>
              <w:rPr>
                <w:rFonts w:ascii="Arial" w:hAnsi="Arial" w:cs="Arial"/>
                <w:b/>
                <w:sz w:val="16"/>
                <w:szCs w:val="16"/>
              </w:rPr>
            </w:pPr>
            <w:bookmarkStart w:id="6" w:name="_Hlk89159797"/>
            <w:r w:rsidRPr="00D65845">
              <w:rPr>
                <w:rFonts w:ascii="Arial" w:hAnsi="Arial" w:cs="Arial"/>
                <w:b/>
                <w:sz w:val="16"/>
                <w:szCs w:val="16"/>
              </w:rPr>
              <w:t>CARGO</w:t>
            </w:r>
          </w:p>
        </w:tc>
        <w:tc>
          <w:tcPr>
            <w:tcW w:w="1276" w:type="dxa"/>
            <w:tcBorders>
              <w:top w:val="single" w:sz="4" w:space="0" w:color="auto"/>
              <w:left w:val="single" w:sz="4" w:space="0" w:color="auto"/>
              <w:bottom w:val="single" w:sz="4" w:space="0" w:color="auto"/>
              <w:right w:val="single" w:sz="4" w:space="0" w:color="auto"/>
            </w:tcBorders>
            <w:hideMark/>
          </w:tcPr>
          <w:p w14:paraId="7A2C1C85" w14:textId="77777777" w:rsidR="0029356C" w:rsidRPr="00D65845" w:rsidRDefault="0029356C" w:rsidP="00FA1A3A">
            <w:pPr>
              <w:pStyle w:val="Sinespaciado"/>
              <w:jc w:val="center"/>
              <w:rPr>
                <w:rFonts w:ascii="Arial" w:hAnsi="Arial" w:cs="Arial"/>
                <w:b/>
                <w:sz w:val="16"/>
                <w:szCs w:val="16"/>
              </w:rPr>
            </w:pPr>
            <w:r w:rsidRPr="00D65845">
              <w:rPr>
                <w:rFonts w:ascii="Arial" w:hAnsi="Arial" w:cs="Arial"/>
                <w:b/>
                <w:sz w:val="16"/>
                <w:szCs w:val="16"/>
              </w:rPr>
              <w:t>ROL</w:t>
            </w:r>
          </w:p>
        </w:tc>
        <w:tc>
          <w:tcPr>
            <w:tcW w:w="1984" w:type="dxa"/>
            <w:tcBorders>
              <w:top w:val="single" w:sz="4" w:space="0" w:color="auto"/>
              <w:left w:val="single" w:sz="4" w:space="0" w:color="auto"/>
              <w:bottom w:val="single" w:sz="4" w:space="0" w:color="auto"/>
              <w:right w:val="single" w:sz="4" w:space="0" w:color="auto"/>
            </w:tcBorders>
            <w:hideMark/>
          </w:tcPr>
          <w:p w14:paraId="094F03BF" w14:textId="77777777" w:rsidR="0029356C" w:rsidRPr="00D65845" w:rsidRDefault="0029356C" w:rsidP="00FA1A3A">
            <w:pPr>
              <w:pStyle w:val="Sinespaciado"/>
              <w:jc w:val="center"/>
              <w:rPr>
                <w:rFonts w:ascii="Arial" w:hAnsi="Arial" w:cs="Arial"/>
                <w:b/>
                <w:sz w:val="16"/>
                <w:szCs w:val="16"/>
              </w:rPr>
            </w:pPr>
            <w:r w:rsidRPr="00D65845">
              <w:rPr>
                <w:rFonts w:ascii="Arial" w:hAnsi="Arial" w:cs="Arial"/>
                <w:b/>
                <w:sz w:val="16"/>
                <w:szCs w:val="16"/>
              </w:rPr>
              <w:t>NOMBRE</w:t>
            </w:r>
          </w:p>
        </w:tc>
        <w:tc>
          <w:tcPr>
            <w:tcW w:w="1908" w:type="dxa"/>
            <w:tcBorders>
              <w:top w:val="single" w:sz="4" w:space="0" w:color="auto"/>
              <w:left w:val="single" w:sz="4" w:space="0" w:color="auto"/>
              <w:bottom w:val="single" w:sz="4" w:space="0" w:color="auto"/>
              <w:right w:val="single" w:sz="4" w:space="0" w:color="auto"/>
            </w:tcBorders>
            <w:hideMark/>
          </w:tcPr>
          <w:p w14:paraId="374F5961" w14:textId="77777777" w:rsidR="0029356C" w:rsidRPr="00D65845" w:rsidRDefault="0029356C" w:rsidP="00FA1A3A">
            <w:pPr>
              <w:pStyle w:val="Sinespaciado"/>
              <w:jc w:val="center"/>
              <w:rPr>
                <w:rFonts w:ascii="Arial" w:hAnsi="Arial" w:cs="Arial"/>
                <w:b/>
                <w:sz w:val="16"/>
                <w:szCs w:val="16"/>
              </w:rPr>
            </w:pPr>
            <w:r w:rsidRPr="00D65845">
              <w:rPr>
                <w:rFonts w:ascii="Arial" w:hAnsi="Arial" w:cs="Arial"/>
                <w:b/>
                <w:sz w:val="16"/>
                <w:szCs w:val="16"/>
              </w:rPr>
              <w:t>FIRMA</w:t>
            </w:r>
          </w:p>
        </w:tc>
      </w:tr>
      <w:tr w:rsidR="0029356C" w:rsidRPr="00E208EA" w14:paraId="602686F0" w14:textId="77777777" w:rsidTr="00FA1A3A">
        <w:trPr>
          <w:trHeight w:val="186"/>
        </w:trPr>
        <w:tc>
          <w:tcPr>
            <w:tcW w:w="4111" w:type="dxa"/>
            <w:tcBorders>
              <w:top w:val="single" w:sz="4" w:space="0" w:color="auto"/>
              <w:left w:val="single" w:sz="4" w:space="0" w:color="auto"/>
              <w:bottom w:val="single" w:sz="4" w:space="0" w:color="auto"/>
              <w:right w:val="single" w:sz="4" w:space="0" w:color="auto"/>
            </w:tcBorders>
          </w:tcPr>
          <w:p w14:paraId="6CB6D472" w14:textId="77777777" w:rsidR="0029356C" w:rsidRDefault="0029356C" w:rsidP="00FA1A3A">
            <w:pPr>
              <w:pStyle w:val="Sinespaciado"/>
              <w:rPr>
                <w:rFonts w:ascii="Arial" w:hAnsi="Arial" w:cs="Arial"/>
                <w:bCs/>
                <w:sz w:val="16"/>
                <w:szCs w:val="16"/>
              </w:rPr>
            </w:pPr>
            <w:r>
              <w:rPr>
                <w:rFonts w:ascii="Arial" w:hAnsi="Arial" w:cs="Arial"/>
                <w:bCs/>
                <w:sz w:val="16"/>
                <w:szCs w:val="16"/>
              </w:rPr>
              <w:t xml:space="preserve">Profesional Universitario </w:t>
            </w:r>
          </w:p>
        </w:tc>
        <w:tc>
          <w:tcPr>
            <w:tcW w:w="1276" w:type="dxa"/>
            <w:tcBorders>
              <w:top w:val="single" w:sz="4" w:space="0" w:color="auto"/>
              <w:left w:val="single" w:sz="4" w:space="0" w:color="auto"/>
              <w:bottom w:val="single" w:sz="4" w:space="0" w:color="auto"/>
              <w:right w:val="single" w:sz="4" w:space="0" w:color="auto"/>
            </w:tcBorders>
          </w:tcPr>
          <w:p w14:paraId="3D010862" w14:textId="77777777" w:rsidR="0029356C" w:rsidRPr="007A5151" w:rsidRDefault="0029356C" w:rsidP="00FA1A3A">
            <w:pPr>
              <w:pStyle w:val="Sinespaciado"/>
              <w:jc w:val="center"/>
              <w:rPr>
                <w:rFonts w:ascii="Arial" w:hAnsi="Arial" w:cs="Arial"/>
                <w:sz w:val="16"/>
                <w:szCs w:val="16"/>
              </w:rPr>
            </w:pPr>
            <w:r>
              <w:rPr>
                <w:rFonts w:ascii="Arial" w:hAnsi="Arial" w:cs="Arial"/>
                <w:sz w:val="16"/>
                <w:szCs w:val="16"/>
              </w:rPr>
              <w:t>Revisó</w:t>
            </w:r>
          </w:p>
        </w:tc>
        <w:tc>
          <w:tcPr>
            <w:tcW w:w="1984" w:type="dxa"/>
            <w:tcBorders>
              <w:top w:val="single" w:sz="4" w:space="0" w:color="auto"/>
              <w:left w:val="single" w:sz="4" w:space="0" w:color="auto"/>
              <w:bottom w:val="single" w:sz="4" w:space="0" w:color="auto"/>
              <w:right w:val="single" w:sz="4" w:space="0" w:color="auto"/>
            </w:tcBorders>
          </w:tcPr>
          <w:p w14:paraId="6BAB71E3" w14:textId="77777777" w:rsidR="0029356C" w:rsidRDefault="0029356C" w:rsidP="00FA1A3A">
            <w:pPr>
              <w:pStyle w:val="Sinespaciado"/>
              <w:jc w:val="both"/>
              <w:rPr>
                <w:rFonts w:ascii="Arial" w:hAnsi="Arial" w:cs="Arial"/>
                <w:bCs/>
                <w:sz w:val="16"/>
                <w:szCs w:val="16"/>
              </w:rPr>
            </w:pPr>
            <w:r>
              <w:rPr>
                <w:rFonts w:ascii="Arial" w:hAnsi="Arial" w:cs="Arial"/>
                <w:bCs/>
                <w:sz w:val="16"/>
                <w:szCs w:val="16"/>
              </w:rPr>
              <w:t xml:space="preserve">Humberto Mosquera </w:t>
            </w:r>
          </w:p>
        </w:tc>
        <w:tc>
          <w:tcPr>
            <w:tcW w:w="1908" w:type="dxa"/>
            <w:tcBorders>
              <w:top w:val="single" w:sz="4" w:space="0" w:color="auto"/>
              <w:left w:val="single" w:sz="4" w:space="0" w:color="auto"/>
              <w:bottom w:val="single" w:sz="4" w:space="0" w:color="auto"/>
              <w:right w:val="single" w:sz="4" w:space="0" w:color="auto"/>
            </w:tcBorders>
          </w:tcPr>
          <w:p w14:paraId="2B3D0CF3" w14:textId="77777777" w:rsidR="0029356C" w:rsidRPr="007A5151" w:rsidRDefault="0029356C" w:rsidP="00FA1A3A">
            <w:pPr>
              <w:pStyle w:val="Sinespaciado"/>
              <w:jc w:val="center"/>
              <w:rPr>
                <w:rFonts w:ascii="Arial" w:hAnsi="Arial" w:cs="Arial"/>
                <w:b/>
                <w:sz w:val="16"/>
                <w:szCs w:val="16"/>
              </w:rPr>
            </w:pPr>
          </w:p>
        </w:tc>
      </w:tr>
      <w:tr w:rsidR="0029356C" w:rsidRPr="00E208EA" w14:paraId="2AE0684A" w14:textId="77777777" w:rsidTr="00FA1A3A">
        <w:trPr>
          <w:trHeight w:val="93"/>
        </w:trPr>
        <w:tc>
          <w:tcPr>
            <w:tcW w:w="4111" w:type="dxa"/>
            <w:tcBorders>
              <w:top w:val="single" w:sz="4" w:space="0" w:color="auto"/>
              <w:left w:val="single" w:sz="4" w:space="0" w:color="auto"/>
              <w:bottom w:val="single" w:sz="4" w:space="0" w:color="auto"/>
              <w:right w:val="single" w:sz="4" w:space="0" w:color="auto"/>
            </w:tcBorders>
            <w:hideMark/>
          </w:tcPr>
          <w:p w14:paraId="41139C06" w14:textId="77777777" w:rsidR="0029356C" w:rsidRPr="007A5151" w:rsidRDefault="0029356C" w:rsidP="00FA1A3A">
            <w:pPr>
              <w:pStyle w:val="Sinespaciado"/>
              <w:rPr>
                <w:rFonts w:ascii="Arial" w:hAnsi="Arial" w:cs="Arial"/>
                <w:sz w:val="16"/>
                <w:szCs w:val="16"/>
              </w:rPr>
            </w:pPr>
            <w:r w:rsidRPr="007A5151">
              <w:rPr>
                <w:rFonts w:ascii="Arial" w:hAnsi="Arial" w:cs="Arial"/>
                <w:bCs/>
                <w:sz w:val="16"/>
                <w:szCs w:val="16"/>
              </w:rPr>
              <w:t>Secretari</w:t>
            </w:r>
            <w:r>
              <w:rPr>
                <w:rFonts w:ascii="Arial" w:hAnsi="Arial" w:cs="Arial"/>
                <w:bCs/>
                <w:sz w:val="16"/>
                <w:szCs w:val="16"/>
              </w:rPr>
              <w:t xml:space="preserve">o </w:t>
            </w:r>
            <w:r w:rsidRPr="007A5151">
              <w:rPr>
                <w:rFonts w:ascii="Arial" w:hAnsi="Arial" w:cs="Arial"/>
                <w:bCs/>
                <w:sz w:val="16"/>
                <w:szCs w:val="16"/>
              </w:rPr>
              <w:t>de Gobierno y Servicios Administrativos</w:t>
            </w:r>
          </w:p>
        </w:tc>
        <w:tc>
          <w:tcPr>
            <w:tcW w:w="1276" w:type="dxa"/>
            <w:tcBorders>
              <w:top w:val="single" w:sz="4" w:space="0" w:color="auto"/>
              <w:left w:val="single" w:sz="4" w:space="0" w:color="auto"/>
              <w:bottom w:val="single" w:sz="4" w:space="0" w:color="auto"/>
              <w:right w:val="single" w:sz="4" w:space="0" w:color="auto"/>
            </w:tcBorders>
            <w:hideMark/>
          </w:tcPr>
          <w:p w14:paraId="28556F2B" w14:textId="77777777" w:rsidR="0029356C" w:rsidRPr="007A5151" w:rsidRDefault="0029356C" w:rsidP="00FA1A3A">
            <w:pPr>
              <w:pStyle w:val="Sinespaciado"/>
              <w:jc w:val="center"/>
              <w:rPr>
                <w:rFonts w:ascii="Arial" w:hAnsi="Arial" w:cs="Arial"/>
                <w:sz w:val="16"/>
                <w:szCs w:val="16"/>
              </w:rPr>
            </w:pPr>
            <w:r w:rsidRPr="007A5151">
              <w:rPr>
                <w:rFonts w:ascii="Arial" w:hAnsi="Arial" w:cs="Arial"/>
                <w:sz w:val="16"/>
                <w:szCs w:val="16"/>
              </w:rPr>
              <w:t>Aprobó</w:t>
            </w:r>
          </w:p>
        </w:tc>
        <w:tc>
          <w:tcPr>
            <w:tcW w:w="1984" w:type="dxa"/>
            <w:tcBorders>
              <w:top w:val="single" w:sz="4" w:space="0" w:color="auto"/>
              <w:left w:val="single" w:sz="4" w:space="0" w:color="auto"/>
              <w:bottom w:val="single" w:sz="4" w:space="0" w:color="auto"/>
              <w:right w:val="single" w:sz="4" w:space="0" w:color="auto"/>
            </w:tcBorders>
            <w:hideMark/>
          </w:tcPr>
          <w:p w14:paraId="7096880E" w14:textId="77777777" w:rsidR="0029356C" w:rsidRPr="007A5151" w:rsidRDefault="0029356C" w:rsidP="00FA1A3A">
            <w:pPr>
              <w:pStyle w:val="Sinespaciado"/>
              <w:jc w:val="both"/>
              <w:rPr>
                <w:rFonts w:ascii="Arial" w:hAnsi="Arial" w:cs="Arial"/>
                <w:sz w:val="16"/>
                <w:szCs w:val="16"/>
              </w:rPr>
            </w:pPr>
            <w:r>
              <w:rPr>
                <w:rFonts w:ascii="Arial" w:hAnsi="Arial" w:cs="Arial"/>
                <w:bCs/>
                <w:sz w:val="16"/>
                <w:szCs w:val="16"/>
              </w:rPr>
              <w:t>David Enrique León Chico</w:t>
            </w:r>
          </w:p>
        </w:tc>
        <w:tc>
          <w:tcPr>
            <w:tcW w:w="1908" w:type="dxa"/>
            <w:tcBorders>
              <w:top w:val="single" w:sz="4" w:space="0" w:color="auto"/>
              <w:left w:val="single" w:sz="4" w:space="0" w:color="auto"/>
              <w:bottom w:val="single" w:sz="4" w:space="0" w:color="auto"/>
              <w:right w:val="single" w:sz="4" w:space="0" w:color="auto"/>
            </w:tcBorders>
          </w:tcPr>
          <w:p w14:paraId="59EE6D35" w14:textId="77777777" w:rsidR="0029356C" w:rsidRPr="007A5151" w:rsidRDefault="0029356C" w:rsidP="00FA1A3A">
            <w:pPr>
              <w:pStyle w:val="Sinespaciado"/>
              <w:jc w:val="center"/>
              <w:rPr>
                <w:rFonts w:ascii="Arial" w:hAnsi="Arial" w:cs="Arial"/>
                <w:b/>
                <w:sz w:val="16"/>
                <w:szCs w:val="16"/>
              </w:rPr>
            </w:pPr>
          </w:p>
        </w:tc>
      </w:tr>
      <w:tr w:rsidR="0029356C" w:rsidRPr="00E208EA" w14:paraId="6F380598" w14:textId="77777777" w:rsidTr="00D65845">
        <w:trPr>
          <w:trHeight w:val="455"/>
        </w:trPr>
        <w:tc>
          <w:tcPr>
            <w:tcW w:w="9279" w:type="dxa"/>
            <w:gridSpan w:val="4"/>
            <w:tcBorders>
              <w:top w:val="single" w:sz="4" w:space="0" w:color="auto"/>
              <w:left w:val="single" w:sz="4" w:space="0" w:color="auto"/>
              <w:bottom w:val="single" w:sz="4" w:space="0" w:color="auto"/>
              <w:right w:val="single" w:sz="4" w:space="0" w:color="auto"/>
            </w:tcBorders>
            <w:hideMark/>
          </w:tcPr>
          <w:p w14:paraId="7E0DB725" w14:textId="77777777" w:rsidR="0029356C" w:rsidRPr="007A5151" w:rsidRDefault="0029356C" w:rsidP="00FA1A3A">
            <w:pPr>
              <w:pStyle w:val="Sinespaciado"/>
              <w:jc w:val="both"/>
              <w:rPr>
                <w:rFonts w:ascii="Arial" w:hAnsi="Arial" w:cs="Arial"/>
                <w:sz w:val="16"/>
                <w:szCs w:val="16"/>
              </w:rPr>
            </w:pPr>
            <w:r w:rsidRPr="007A5151">
              <w:rPr>
                <w:rFonts w:ascii="Arial" w:hAnsi="Arial" w:cs="Arial"/>
                <w:sz w:val="16"/>
                <w:szCs w:val="16"/>
              </w:rPr>
              <w:t>Los arriba firmantes declaramos que hemos revisado el documento y lo encontramos ajustados a las normas y disposiciones legales vigentes y, por lo tanto, bajo nuestra responsabilidad lo presentamos para firma.</w:t>
            </w:r>
          </w:p>
        </w:tc>
      </w:tr>
      <w:bookmarkEnd w:id="6"/>
    </w:tbl>
    <w:p w14:paraId="2137CE37" w14:textId="35C9CAEA" w:rsidR="000A5BDB" w:rsidRDefault="000A5BDB" w:rsidP="0029356C"/>
    <w:sectPr w:rsidR="000A5BDB" w:rsidSect="00D01A58">
      <w:headerReference w:type="default" r:id="rId18"/>
      <w:footerReference w:type="default" r:id="rId19"/>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9E5A2" w14:textId="77777777" w:rsidR="00901F78" w:rsidRDefault="00901F78" w:rsidP="000A5BDB">
      <w:pPr>
        <w:spacing w:after="0" w:line="240" w:lineRule="auto"/>
      </w:pPr>
      <w:r>
        <w:separator/>
      </w:r>
    </w:p>
  </w:endnote>
  <w:endnote w:type="continuationSeparator" w:id="0">
    <w:p w14:paraId="5BB59553" w14:textId="77777777" w:rsidR="00901F78" w:rsidRDefault="00901F78"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A155" w14:textId="77777777" w:rsidR="00FD00F5" w:rsidRPr="00237D67" w:rsidRDefault="00AC241B" w:rsidP="00FD00F5">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w:t>
    </w:r>
    <w:r w:rsidR="00FD00F5" w:rsidRPr="00CD7633">
      <w:rPr>
        <w:rFonts w:ascii="Tahoma" w:hAnsi="Tahoma" w:cs="Tahoma"/>
        <w:color w:val="00773C"/>
        <w:sz w:val="20"/>
        <w:szCs w:val="20"/>
      </w:rPr>
      <w:t>Calle 10 # 9-62, Centro Administrativo Municipal (CAM)</w:t>
    </w:r>
    <w:r w:rsidR="00FD00F5" w:rsidRPr="00237D67">
      <w:rPr>
        <w:rFonts w:ascii="Tahoma" w:hAnsi="Tahoma" w:cs="Tahoma"/>
        <w:color w:val="00773C"/>
        <w:sz w:val="20"/>
        <w:szCs w:val="20"/>
      </w:rPr>
      <w:t xml:space="preserve"> – </w:t>
    </w:r>
    <w:r w:rsidR="00FD00F5" w:rsidRPr="00237D67">
      <w:rPr>
        <w:rFonts w:ascii="Tahoma" w:hAnsi="Tahoma" w:cs="Tahoma"/>
        <w:b/>
        <w:bCs/>
        <w:color w:val="00773C"/>
        <w:sz w:val="20"/>
        <w:szCs w:val="20"/>
      </w:rPr>
      <w:t>Código Postal</w:t>
    </w:r>
    <w:r w:rsidR="00FD00F5">
      <w:rPr>
        <w:rFonts w:ascii="Tahoma" w:hAnsi="Tahoma" w:cs="Tahoma"/>
        <w:b/>
        <w:bCs/>
        <w:color w:val="00773C"/>
        <w:sz w:val="20"/>
        <w:szCs w:val="20"/>
      </w:rPr>
      <w:t>:</w:t>
    </w:r>
    <w:r w:rsidR="00FD00F5" w:rsidRPr="00237D67">
      <w:rPr>
        <w:rFonts w:ascii="Tahoma" w:hAnsi="Tahoma" w:cs="Tahoma"/>
        <w:color w:val="00773C"/>
        <w:sz w:val="20"/>
        <w:szCs w:val="20"/>
      </w:rPr>
      <w:t xml:space="preserve"> 052820 </w:t>
    </w:r>
  </w:p>
  <w:p w14:paraId="7275567C" w14:textId="61ED8E4C" w:rsidR="00312540" w:rsidRPr="00237D67" w:rsidRDefault="00FD00F5" w:rsidP="00FD00F5">
    <w:pPr>
      <w:pStyle w:val="Piedepgina"/>
      <w:jc w:val="center"/>
      <w:rPr>
        <w:rFonts w:ascii="Tahoma" w:hAnsi="Tahoma" w:cs="Tahoma"/>
        <w:b/>
        <w:bCs/>
        <w:color w:val="00773C"/>
        <w:sz w:val="20"/>
        <w:szCs w:val="20"/>
      </w:rPr>
    </w:pP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w:t>
    </w:r>
    <w:r w:rsidRPr="00CD7633">
      <w:rPr>
        <w:rFonts w:ascii="Tahoma" w:hAnsi="Tahoma" w:cs="Tahoma"/>
        <w:color w:val="00773C"/>
        <w:sz w:val="20"/>
        <w:szCs w:val="20"/>
      </w:rPr>
      <w:t>+57 (604) 322 2867</w:t>
    </w:r>
    <w:r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Pr="00CD7633">
      <w:rPr>
        <w:rFonts w:ascii="Tahoma" w:hAnsi="Tahoma" w:cs="Tahoma"/>
        <w:color w:val="00773C"/>
        <w:sz w:val="20"/>
        <w:szCs w:val="20"/>
      </w:rPr>
      <w:t>contactenos@remedios-antioquia.gov.co</w:t>
    </w:r>
    <w:r w:rsidRPr="00237D67">
      <w:rPr>
        <w:rFonts w:ascii="Tahoma" w:hAnsi="Tahoma" w:cs="Tahoma"/>
        <w:b/>
        <w:bCs/>
        <w:color w:val="00773C"/>
        <w:sz w:val="20"/>
        <w:szCs w:val="20"/>
      </w:rPr>
      <w:t xml:space="preserve"> </w:t>
    </w:r>
    <w:r w:rsidR="00312540"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9C66" w14:textId="77777777" w:rsidR="00901F78" w:rsidRDefault="00901F78" w:rsidP="000A5BDB">
      <w:pPr>
        <w:spacing w:after="0" w:line="240" w:lineRule="auto"/>
      </w:pPr>
      <w:r>
        <w:separator/>
      </w:r>
    </w:p>
  </w:footnote>
  <w:footnote w:type="continuationSeparator" w:id="0">
    <w:p w14:paraId="63324F2B" w14:textId="77777777" w:rsidR="00901F78" w:rsidRDefault="00901F78"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CF0577B" w:rsidR="006C5BAF" w:rsidRDefault="00237D67">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1A50B2" w:rsidRDefault="000E3822" w:rsidP="000E3822">
    <w:pPr>
      <w:pStyle w:val="Encabezado"/>
      <w:tabs>
        <w:tab w:val="clear" w:pos="4680"/>
        <w:tab w:val="clear" w:pos="9360"/>
        <w:tab w:val="left" w:pos="3195"/>
      </w:tabs>
      <w:rPr>
        <w:noProof/>
        <w:lang w:eastAsia="es-CO"/>
      </w:rPr>
    </w:pPr>
    <w:r>
      <w:rPr>
        <w:noProof/>
        <w:lang w:eastAsia="es-CO"/>
      </w:rPr>
      <w:tab/>
    </w: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A6A6D"/>
    <w:multiLevelType w:val="hybridMultilevel"/>
    <w:tmpl w:val="3B465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7B1282"/>
    <w:multiLevelType w:val="hybridMultilevel"/>
    <w:tmpl w:val="7110E81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3DA58C5"/>
    <w:multiLevelType w:val="hybridMultilevel"/>
    <w:tmpl w:val="E9B20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F51098"/>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B0048A"/>
    <w:multiLevelType w:val="hybridMultilevel"/>
    <w:tmpl w:val="906C000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6B3029C"/>
    <w:multiLevelType w:val="hybridMultilevel"/>
    <w:tmpl w:val="3DB4834C"/>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17240346"/>
    <w:multiLevelType w:val="hybridMultilevel"/>
    <w:tmpl w:val="7D84A9E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82734D2"/>
    <w:multiLevelType w:val="hybridMultilevel"/>
    <w:tmpl w:val="D6B0BDF4"/>
    <w:lvl w:ilvl="0" w:tplc="300A0019">
      <w:start w:val="1"/>
      <w:numFmt w:val="lowerLetter"/>
      <w:lvlText w:val="%1."/>
      <w:lvlJc w:val="left"/>
      <w:pPr>
        <w:ind w:left="1068" w:hanging="360"/>
      </w:pPr>
      <w:rPr>
        <w:rFonts w:hint="default"/>
      </w:rPr>
    </w:lvl>
    <w:lvl w:ilvl="1" w:tplc="300A0003" w:tentative="1">
      <w:start w:val="1"/>
      <w:numFmt w:val="bullet"/>
      <w:lvlText w:val="o"/>
      <w:lvlJc w:val="left"/>
      <w:pPr>
        <w:ind w:left="1788" w:hanging="360"/>
      </w:pPr>
      <w:rPr>
        <w:rFonts w:ascii="Courier New" w:hAnsi="Courier New" w:cs="Courier New" w:hint="default"/>
      </w:rPr>
    </w:lvl>
    <w:lvl w:ilvl="2" w:tplc="300A0005" w:tentative="1">
      <w:start w:val="1"/>
      <w:numFmt w:val="bullet"/>
      <w:lvlText w:val=""/>
      <w:lvlJc w:val="left"/>
      <w:pPr>
        <w:ind w:left="2508" w:hanging="360"/>
      </w:pPr>
      <w:rPr>
        <w:rFonts w:ascii="Wingdings" w:hAnsi="Wingdings" w:hint="default"/>
      </w:rPr>
    </w:lvl>
    <w:lvl w:ilvl="3" w:tplc="300A0001" w:tentative="1">
      <w:start w:val="1"/>
      <w:numFmt w:val="bullet"/>
      <w:lvlText w:val=""/>
      <w:lvlJc w:val="left"/>
      <w:pPr>
        <w:ind w:left="3228" w:hanging="360"/>
      </w:pPr>
      <w:rPr>
        <w:rFonts w:ascii="Symbol" w:hAnsi="Symbol" w:hint="default"/>
      </w:rPr>
    </w:lvl>
    <w:lvl w:ilvl="4" w:tplc="300A0003" w:tentative="1">
      <w:start w:val="1"/>
      <w:numFmt w:val="bullet"/>
      <w:lvlText w:val="o"/>
      <w:lvlJc w:val="left"/>
      <w:pPr>
        <w:ind w:left="3948" w:hanging="360"/>
      </w:pPr>
      <w:rPr>
        <w:rFonts w:ascii="Courier New" w:hAnsi="Courier New" w:cs="Courier New" w:hint="default"/>
      </w:rPr>
    </w:lvl>
    <w:lvl w:ilvl="5" w:tplc="300A0005" w:tentative="1">
      <w:start w:val="1"/>
      <w:numFmt w:val="bullet"/>
      <w:lvlText w:val=""/>
      <w:lvlJc w:val="left"/>
      <w:pPr>
        <w:ind w:left="4668" w:hanging="360"/>
      </w:pPr>
      <w:rPr>
        <w:rFonts w:ascii="Wingdings" w:hAnsi="Wingdings" w:hint="default"/>
      </w:rPr>
    </w:lvl>
    <w:lvl w:ilvl="6" w:tplc="300A0001" w:tentative="1">
      <w:start w:val="1"/>
      <w:numFmt w:val="bullet"/>
      <w:lvlText w:val=""/>
      <w:lvlJc w:val="left"/>
      <w:pPr>
        <w:ind w:left="5388" w:hanging="360"/>
      </w:pPr>
      <w:rPr>
        <w:rFonts w:ascii="Symbol" w:hAnsi="Symbol" w:hint="default"/>
      </w:rPr>
    </w:lvl>
    <w:lvl w:ilvl="7" w:tplc="300A0003" w:tentative="1">
      <w:start w:val="1"/>
      <w:numFmt w:val="bullet"/>
      <w:lvlText w:val="o"/>
      <w:lvlJc w:val="left"/>
      <w:pPr>
        <w:ind w:left="6108" w:hanging="360"/>
      </w:pPr>
      <w:rPr>
        <w:rFonts w:ascii="Courier New" w:hAnsi="Courier New" w:cs="Courier New" w:hint="default"/>
      </w:rPr>
    </w:lvl>
    <w:lvl w:ilvl="8" w:tplc="300A0005" w:tentative="1">
      <w:start w:val="1"/>
      <w:numFmt w:val="bullet"/>
      <w:lvlText w:val=""/>
      <w:lvlJc w:val="left"/>
      <w:pPr>
        <w:ind w:left="6828" w:hanging="360"/>
      </w:pPr>
      <w:rPr>
        <w:rFonts w:ascii="Wingdings" w:hAnsi="Wingdings" w:hint="default"/>
      </w:rPr>
    </w:lvl>
  </w:abstractNum>
  <w:abstractNum w:abstractNumId="8" w15:restartNumberingAfterBreak="0">
    <w:nsid w:val="192A0D7A"/>
    <w:multiLevelType w:val="hybridMultilevel"/>
    <w:tmpl w:val="64F6BED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F74177"/>
    <w:multiLevelType w:val="hybridMultilevel"/>
    <w:tmpl w:val="2B76DABC"/>
    <w:lvl w:ilvl="0" w:tplc="0B7840C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CE15E1"/>
    <w:multiLevelType w:val="hybridMultilevel"/>
    <w:tmpl w:val="8564B28C"/>
    <w:lvl w:ilvl="0" w:tplc="17464A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775B8B"/>
    <w:multiLevelType w:val="hybridMultilevel"/>
    <w:tmpl w:val="3B5C9EB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04829DD"/>
    <w:multiLevelType w:val="multilevel"/>
    <w:tmpl w:val="E396B3BA"/>
    <w:lvl w:ilvl="0">
      <w:start w:val="1"/>
      <w:numFmt w:val="decimal"/>
      <w:lvlText w:val="%1."/>
      <w:lvlJc w:val="left"/>
      <w:pPr>
        <w:ind w:left="720" w:hanging="360"/>
      </w:pPr>
      <w:rPr>
        <w:rFonts w:ascii="Arial" w:eastAsia="Times New Roman" w:hAnsi="Arial" w:cs="Arial"/>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08429A7"/>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771182"/>
    <w:multiLevelType w:val="hybridMultilevel"/>
    <w:tmpl w:val="9F7A7E8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B01C74"/>
    <w:multiLevelType w:val="hybridMultilevel"/>
    <w:tmpl w:val="E474BB8C"/>
    <w:lvl w:ilvl="0" w:tplc="8D824F9E">
      <w:numFmt w:val="bullet"/>
      <w:lvlText w:val="-"/>
      <w:lvlJc w:val="left"/>
      <w:pPr>
        <w:ind w:left="720" w:hanging="360"/>
      </w:pPr>
      <w:rPr>
        <w:rFonts w:ascii="Arial" w:eastAsia="Calibri" w:hAnsi="Arial" w:cs="Arial" w:hint="default"/>
        <w:b w:val="0"/>
        <w:color w:val="00000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83043D"/>
    <w:multiLevelType w:val="hybridMultilevel"/>
    <w:tmpl w:val="8048BB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5C77867"/>
    <w:multiLevelType w:val="hybridMultilevel"/>
    <w:tmpl w:val="97807A58"/>
    <w:lvl w:ilvl="0" w:tplc="15E8C136">
      <w:start w:val="1"/>
      <w:numFmt w:val="decimal"/>
      <w:lvlText w:val="%1."/>
      <w:lvlJc w:val="left"/>
      <w:pPr>
        <w:tabs>
          <w:tab w:val="num" w:pos="720"/>
        </w:tabs>
        <w:ind w:left="720" w:hanging="360"/>
      </w:pPr>
    </w:lvl>
    <w:lvl w:ilvl="1" w:tplc="C750053A">
      <w:start w:val="1"/>
      <w:numFmt w:val="decimal"/>
      <w:lvlText w:val="%2."/>
      <w:lvlJc w:val="left"/>
      <w:pPr>
        <w:tabs>
          <w:tab w:val="num" w:pos="1440"/>
        </w:tabs>
        <w:ind w:left="1440" w:hanging="360"/>
      </w:pPr>
    </w:lvl>
    <w:lvl w:ilvl="2" w:tplc="C7BE6D9E" w:tentative="1">
      <w:start w:val="1"/>
      <w:numFmt w:val="decimal"/>
      <w:lvlText w:val="%3."/>
      <w:lvlJc w:val="left"/>
      <w:pPr>
        <w:tabs>
          <w:tab w:val="num" w:pos="2160"/>
        </w:tabs>
        <w:ind w:left="2160" w:hanging="360"/>
      </w:pPr>
    </w:lvl>
    <w:lvl w:ilvl="3" w:tplc="C7C20FEE" w:tentative="1">
      <w:start w:val="1"/>
      <w:numFmt w:val="decimal"/>
      <w:lvlText w:val="%4."/>
      <w:lvlJc w:val="left"/>
      <w:pPr>
        <w:tabs>
          <w:tab w:val="num" w:pos="2880"/>
        </w:tabs>
        <w:ind w:left="2880" w:hanging="360"/>
      </w:pPr>
    </w:lvl>
    <w:lvl w:ilvl="4" w:tplc="7DF4723C" w:tentative="1">
      <w:start w:val="1"/>
      <w:numFmt w:val="decimal"/>
      <w:lvlText w:val="%5."/>
      <w:lvlJc w:val="left"/>
      <w:pPr>
        <w:tabs>
          <w:tab w:val="num" w:pos="3600"/>
        </w:tabs>
        <w:ind w:left="3600" w:hanging="360"/>
      </w:pPr>
    </w:lvl>
    <w:lvl w:ilvl="5" w:tplc="E05CE958" w:tentative="1">
      <w:start w:val="1"/>
      <w:numFmt w:val="decimal"/>
      <w:lvlText w:val="%6."/>
      <w:lvlJc w:val="left"/>
      <w:pPr>
        <w:tabs>
          <w:tab w:val="num" w:pos="4320"/>
        </w:tabs>
        <w:ind w:left="4320" w:hanging="360"/>
      </w:pPr>
    </w:lvl>
    <w:lvl w:ilvl="6" w:tplc="68B08BF2" w:tentative="1">
      <w:start w:val="1"/>
      <w:numFmt w:val="decimal"/>
      <w:lvlText w:val="%7."/>
      <w:lvlJc w:val="left"/>
      <w:pPr>
        <w:tabs>
          <w:tab w:val="num" w:pos="5040"/>
        </w:tabs>
        <w:ind w:left="5040" w:hanging="360"/>
      </w:pPr>
    </w:lvl>
    <w:lvl w:ilvl="7" w:tplc="6A70D628" w:tentative="1">
      <w:start w:val="1"/>
      <w:numFmt w:val="decimal"/>
      <w:lvlText w:val="%8."/>
      <w:lvlJc w:val="left"/>
      <w:pPr>
        <w:tabs>
          <w:tab w:val="num" w:pos="5760"/>
        </w:tabs>
        <w:ind w:left="5760" w:hanging="360"/>
      </w:pPr>
    </w:lvl>
    <w:lvl w:ilvl="8" w:tplc="57B2D51A" w:tentative="1">
      <w:start w:val="1"/>
      <w:numFmt w:val="decimal"/>
      <w:lvlText w:val="%9."/>
      <w:lvlJc w:val="left"/>
      <w:pPr>
        <w:tabs>
          <w:tab w:val="num" w:pos="6480"/>
        </w:tabs>
        <w:ind w:left="6480" w:hanging="360"/>
      </w:pPr>
    </w:lvl>
  </w:abstractNum>
  <w:abstractNum w:abstractNumId="18" w15:restartNumberingAfterBreak="0">
    <w:nsid w:val="266E7FF3"/>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2D73B4"/>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6E439E"/>
    <w:multiLevelType w:val="hybridMultilevel"/>
    <w:tmpl w:val="AA480F5A"/>
    <w:lvl w:ilvl="0" w:tplc="12268902">
      <w:numFmt w:val="bullet"/>
      <w:lvlText w:val="-"/>
      <w:lvlJc w:val="left"/>
      <w:pPr>
        <w:ind w:left="720" w:hanging="360"/>
      </w:pPr>
      <w:rPr>
        <w:rFonts w:ascii="Arial" w:eastAsia="Calibri" w:hAnsi="Arial" w:cs="Arial" w:hint="default"/>
        <w:b w:val="0"/>
        <w:color w:val="FF000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87A0B9C"/>
    <w:multiLevelType w:val="hybridMultilevel"/>
    <w:tmpl w:val="C22C9CB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2B395E05"/>
    <w:multiLevelType w:val="hybridMultilevel"/>
    <w:tmpl w:val="9A60DD32"/>
    <w:lvl w:ilvl="0" w:tplc="3926B39A">
      <w:numFmt w:val="bullet"/>
      <w:lvlText w:val="-"/>
      <w:lvlJc w:val="left"/>
      <w:pPr>
        <w:ind w:left="644" w:hanging="360"/>
      </w:pPr>
      <w:rPr>
        <w:rFonts w:ascii="Arial" w:eastAsia="Times New Roman" w:hAnsi="Arial" w:cs="Arial"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3" w15:restartNumberingAfterBreak="0">
    <w:nsid w:val="30445EB4"/>
    <w:multiLevelType w:val="multilevel"/>
    <w:tmpl w:val="BF6AEB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0A55E8D"/>
    <w:multiLevelType w:val="hybridMultilevel"/>
    <w:tmpl w:val="70366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056CE1"/>
    <w:multiLevelType w:val="hybridMultilevel"/>
    <w:tmpl w:val="8A36DAD4"/>
    <w:lvl w:ilvl="0" w:tplc="5F8E60A2">
      <w:start w:val="2"/>
      <w:numFmt w:val="bullet"/>
      <w:lvlText w:val="-"/>
      <w:lvlJc w:val="left"/>
      <w:pPr>
        <w:ind w:left="303" w:hanging="360"/>
      </w:pPr>
      <w:rPr>
        <w:rFonts w:ascii="Arial Narrow" w:eastAsia="Times New Roman" w:hAnsi="Arial Narrow" w:cs="Arial" w:hint="default"/>
      </w:rPr>
    </w:lvl>
    <w:lvl w:ilvl="1" w:tplc="0C0A0003" w:tentative="1">
      <w:start w:val="1"/>
      <w:numFmt w:val="bullet"/>
      <w:lvlText w:val="o"/>
      <w:lvlJc w:val="left"/>
      <w:pPr>
        <w:ind w:left="1023" w:hanging="360"/>
      </w:pPr>
      <w:rPr>
        <w:rFonts w:ascii="Courier New" w:hAnsi="Courier New" w:cs="Courier New" w:hint="default"/>
      </w:rPr>
    </w:lvl>
    <w:lvl w:ilvl="2" w:tplc="0C0A0005" w:tentative="1">
      <w:start w:val="1"/>
      <w:numFmt w:val="bullet"/>
      <w:lvlText w:val=""/>
      <w:lvlJc w:val="left"/>
      <w:pPr>
        <w:ind w:left="1743" w:hanging="360"/>
      </w:pPr>
      <w:rPr>
        <w:rFonts w:ascii="Wingdings" w:hAnsi="Wingdings" w:hint="default"/>
      </w:rPr>
    </w:lvl>
    <w:lvl w:ilvl="3" w:tplc="0C0A0001" w:tentative="1">
      <w:start w:val="1"/>
      <w:numFmt w:val="bullet"/>
      <w:lvlText w:val=""/>
      <w:lvlJc w:val="left"/>
      <w:pPr>
        <w:ind w:left="2463" w:hanging="360"/>
      </w:pPr>
      <w:rPr>
        <w:rFonts w:ascii="Symbol" w:hAnsi="Symbol" w:hint="default"/>
      </w:rPr>
    </w:lvl>
    <w:lvl w:ilvl="4" w:tplc="0C0A0003" w:tentative="1">
      <w:start w:val="1"/>
      <w:numFmt w:val="bullet"/>
      <w:lvlText w:val="o"/>
      <w:lvlJc w:val="left"/>
      <w:pPr>
        <w:ind w:left="3183" w:hanging="360"/>
      </w:pPr>
      <w:rPr>
        <w:rFonts w:ascii="Courier New" w:hAnsi="Courier New" w:cs="Courier New" w:hint="default"/>
      </w:rPr>
    </w:lvl>
    <w:lvl w:ilvl="5" w:tplc="0C0A0005" w:tentative="1">
      <w:start w:val="1"/>
      <w:numFmt w:val="bullet"/>
      <w:lvlText w:val=""/>
      <w:lvlJc w:val="left"/>
      <w:pPr>
        <w:ind w:left="3903" w:hanging="360"/>
      </w:pPr>
      <w:rPr>
        <w:rFonts w:ascii="Wingdings" w:hAnsi="Wingdings" w:hint="default"/>
      </w:rPr>
    </w:lvl>
    <w:lvl w:ilvl="6" w:tplc="0C0A0001" w:tentative="1">
      <w:start w:val="1"/>
      <w:numFmt w:val="bullet"/>
      <w:lvlText w:val=""/>
      <w:lvlJc w:val="left"/>
      <w:pPr>
        <w:ind w:left="4623" w:hanging="360"/>
      </w:pPr>
      <w:rPr>
        <w:rFonts w:ascii="Symbol" w:hAnsi="Symbol" w:hint="default"/>
      </w:rPr>
    </w:lvl>
    <w:lvl w:ilvl="7" w:tplc="0C0A0003" w:tentative="1">
      <w:start w:val="1"/>
      <w:numFmt w:val="bullet"/>
      <w:lvlText w:val="o"/>
      <w:lvlJc w:val="left"/>
      <w:pPr>
        <w:ind w:left="5343" w:hanging="360"/>
      </w:pPr>
      <w:rPr>
        <w:rFonts w:ascii="Courier New" w:hAnsi="Courier New" w:cs="Courier New" w:hint="default"/>
      </w:rPr>
    </w:lvl>
    <w:lvl w:ilvl="8" w:tplc="0C0A0005" w:tentative="1">
      <w:start w:val="1"/>
      <w:numFmt w:val="bullet"/>
      <w:lvlText w:val=""/>
      <w:lvlJc w:val="left"/>
      <w:pPr>
        <w:ind w:left="6063" w:hanging="360"/>
      </w:pPr>
      <w:rPr>
        <w:rFonts w:ascii="Wingdings" w:hAnsi="Wingdings" w:hint="default"/>
      </w:rPr>
    </w:lvl>
  </w:abstractNum>
  <w:abstractNum w:abstractNumId="26" w15:restartNumberingAfterBreak="0">
    <w:nsid w:val="36C7206C"/>
    <w:multiLevelType w:val="hybridMultilevel"/>
    <w:tmpl w:val="EB1082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78E1315"/>
    <w:multiLevelType w:val="hybridMultilevel"/>
    <w:tmpl w:val="85548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A271A1A"/>
    <w:multiLevelType w:val="hybridMultilevel"/>
    <w:tmpl w:val="B3BEF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AA1501"/>
    <w:multiLevelType w:val="hybridMultilevel"/>
    <w:tmpl w:val="4AFCF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047351"/>
    <w:multiLevelType w:val="hybridMultilevel"/>
    <w:tmpl w:val="3782C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1A76A60"/>
    <w:multiLevelType w:val="hybridMultilevel"/>
    <w:tmpl w:val="1456AF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3D055B0"/>
    <w:multiLevelType w:val="hybridMultilevel"/>
    <w:tmpl w:val="221870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390E13"/>
    <w:multiLevelType w:val="hybridMultilevel"/>
    <w:tmpl w:val="FAF2B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6781E3C"/>
    <w:multiLevelType w:val="hybridMultilevel"/>
    <w:tmpl w:val="537886C2"/>
    <w:lvl w:ilvl="0" w:tplc="2B547B8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93302C"/>
    <w:multiLevelType w:val="multilevel"/>
    <w:tmpl w:val="3D5AF7F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46B9770F"/>
    <w:multiLevelType w:val="hybridMultilevel"/>
    <w:tmpl w:val="AF0E4EF8"/>
    <w:lvl w:ilvl="0" w:tplc="240A000F">
      <w:start w:val="1"/>
      <w:numFmt w:val="decimal"/>
      <w:lvlText w:val="%1."/>
      <w:lvlJc w:val="left"/>
      <w:pPr>
        <w:ind w:left="720" w:hanging="360"/>
      </w:pPr>
    </w:lvl>
    <w:lvl w:ilvl="1" w:tplc="EDEE7DE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E7598B"/>
    <w:multiLevelType w:val="hybridMultilevel"/>
    <w:tmpl w:val="B78C048E"/>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B2A4014"/>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D8E062D"/>
    <w:multiLevelType w:val="hybridMultilevel"/>
    <w:tmpl w:val="AC163B36"/>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B46306"/>
    <w:multiLevelType w:val="hybridMultilevel"/>
    <w:tmpl w:val="CA327B04"/>
    <w:lvl w:ilvl="0" w:tplc="F064C9B6">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1" w15:restartNumberingAfterBreak="0">
    <w:nsid w:val="55CA68C9"/>
    <w:multiLevelType w:val="hybridMultilevel"/>
    <w:tmpl w:val="893A1A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8B90063"/>
    <w:multiLevelType w:val="hybridMultilevel"/>
    <w:tmpl w:val="A96AE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8EF050B"/>
    <w:multiLevelType w:val="hybridMultilevel"/>
    <w:tmpl w:val="63484EB8"/>
    <w:lvl w:ilvl="0" w:tplc="240A000B">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393720"/>
    <w:multiLevelType w:val="hybridMultilevel"/>
    <w:tmpl w:val="043E1D6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6" w15:restartNumberingAfterBreak="0">
    <w:nsid w:val="62AB0A5A"/>
    <w:multiLevelType w:val="hybridMultilevel"/>
    <w:tmpl w:val="A98C04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62EF2A19"/>
    <w:multiLevelType w:val="hybridMultilevel"/>
    <w:tmpl w:val="9AD685DA"/>
    <w:lvl w:ilvl="0" w:tplc="080A000F">
      <w:start w:val="1"/>
      <w:numFmt w:val="decimal"/>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8" w15:restartNumberingAfterBreak="0">
    <w:nsid w:val="634176B2"/>
    <w:multiLevelType w:val="hybridMultilevel"/>
    <w:tmpl w:val="ABCE97A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4CD5A86"/>
    <w:multiLevelType w:val="multilevel"/>
    <w:tmpl w:val="D5524CD2"/>
    <w:lvl w:ilvl="0">
      <w:start w:val="1"/>
      <w:numFmt w:val="decimal"/>
      <w:lvlText w:val="%1."/>
      <w:lvlJc w:val="left"/>
      <w:pPr>
        <w:ind w:left="360" w:hanging="360"/>
      </w:pPr>
      <w:rPr>
        <w:rFonts w:ascii="Arial" w:hAnsi="Arial" w:hint="default"/>
        <w:b/>
        <w:i w:val="0"/>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54C5A51"/>
    <w:multiLevelType w:val="hybridMultilevel"/>
    <w:tmpl w:val="5038E3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66360499"/>
    <w:multiLevelType w:val="hybridMultilevel"/>
    <w:tmpl w:val="E7066780"/>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2" w15:restartNumberingAfterBreak="0">
    <w:nsid w:val="68EE43DD"/>
    <w:multiLevelType w:val="hybridMultilevel"/>
    <w:tmpl w:val="4E94F0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6A586DE8"/>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565D96"/>
    <w:multiLevelType w:val="hybridMultilevel"/>
    <w:tmpl w:val="9516D28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5" w15:restartNumberingAfterBreak="0">
    <w:nsid w:val="6E381789"/>
    <w:multiLevelType w:val="hybridMultilevel"/>
    <w:tmpl w:val="8FD43624"/>
    <w:lvl w:ilvl="0" w:tplc="2DBA98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F4B67C5"/>
    <w:multiLevelType w:val="hybridMultilevel"/>
    <w:tmpl w:val="5DF03A8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7" w15:restartNumberingAfterBreak="0">
    <w:nsid w:val="6FB370EB"/>
    <w:multiLevelType w:val="hybridMultilevel"/>
    <w:tmpl w:val="550E9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28D635D"/>
    <w:multiLevelType w:val="hybridMultilevel"/>
    <w:tmpl w:val="5F32812E"/>
    <w:lvl w:ilvl="0" w:tplc="240A000B">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9" w15:restartNumberingAfterBreak="0">
    <w:nsid w:val="72B71D23"/>
    <w:multiLevelType w:val="hybridMultilevel"/>
    <w:tmpl w:val="7B5A9B02"/>
    <w:lvl w:ilvl="0" w:tplc="579A0B14">
      <w:start w:val="1"/>
      <w:numFmt w:val="low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0"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74802970"/>
    <w:multiLevelType w:val="hybridMultilevel"/>
    <w:tmpl w:val="F2FE8B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DD4766E"/>
    <w:multiLevelType w:val="hybridMultilevel"/>
    <w:tmpl w:val="65807D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13213586">
    <w:abstractNumId w:val="9"/>
  </w:num>
  <w:num w:numId="2" w16cid:durableId="1740126274">
    <w:abstractNumId w:val="34"/>
  </w:num>
  <w:num w:numId="3" w16cid:durableId="193925360">
    <w:abstractNumId w:val="8"/>
  </w:num>
  <w:num w:numId="4" w16cid:durableId="2066904271">
    <w:abstractNumId w:val="33"/>
  </w:num>
  <w:num w:numId="5" w16cid:durableId="25566166">
    <w:abstractNumId w:val="11"/>
  </w:num>
  <w:num w:numId="6" w16cid:durableId="554244145">
    <w:abstractNumId w:val="4"/>
  </w:num>
  <w:num w:numId="7" w16cid:durableId="972832350">
    <w:abstractNumId w:val="45"/>
  </w:num>
  <w:num w:numId="8" w16cid:durableId="1646935172">
    <w:abstractNumId w:val="1"/>
  </w:num>
  <w:num w:numId="9" w16cid:durableId="1629358704">
    <w:abstractNumId w:val="43"/>
  </w:num>
  <w:num w:numId="10" w16cid:durableId="660894335">
    <w:abstractNumId w:val="58"/>
  </w:num>
  <w:num w:numId="11" w16cid:durableId="944118582">
    <w:abstractNumId w:val="21"/>
  </w:num>
  <w:num w:numId="12" w16cid:durableId="566646623">
    <w:abstractNumId w:val="42"/>
  </w:num>
  <w:num w:numId="13" w16cid:durableId="681861222">
    <w:abstractNumId w:val="32"/>
  </w:num>
  <w:num w:numId="14" w16cid:durableId="2062439437">
    <w:abstractNumId w:val="31"/>
  </w:num>
  <w:num w:numId="15" w16cid:durableId="729235079">
    <w:abstractNumId w:val="2"/>
  </w:num>
  <w:num w:numId="16" w16cid:durableId="276644344">
    <w:abstractNumId w:val="13"/>
  </w:num>
  <w:num w:numId="17" w16cid:durableId="207032127">
    <w:abstractNumId w:val="38"/>
  </w:num>
  <w:num w:numId="18" w16cid:durableId="628903329">
    <w:abstractNumId w:val="55"/>
  </w:num>
  <w:num w:numId="19" w16cid:durableId="1838689808">
    <w:abstractNumId w:val="40"/>
  </w:num>
  <w:num w:numId="20" w16cid:durableId="1686243743">
    <w:abstractNumId w:val="10"/>
  </w:num>
  <w:num w:numId="21" w16cid:durableId="1157182907">
    <w:abstractNumId w:val="20"/>
  </w:num>
  <w:num w:numId="22" w16cid:durableId="2007856563">
    <w:abstractNumId w:val="15"/>
  </w:num>
  <w:num w:numId="23" w16cid:durableId="9229074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021072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5172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85919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5092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1194242">
    <w:abstractNumId w:val="57"/>
  </w:num>
  <w:num w:numId="29" w16cid:durableId="1633707297">
    <w:abstractNumId w:val="57"/>
  </w:num>
  <w:num w:numId="30" w16cid:durableId="1882328915">
    <w:abstractNumId w:val="60"/>
  </w:num>
  <w:num w:numId="31" w16cid:durableId="567497310">
    <w:abstractNumId w:val="22"/>
  </w:num>
  <w:num w:numId="32" w16cid:durableId="573859248">
    <w:abstractNumId w:val="59"/>
  </w:num>
  <w:num w:numId="33" w16cid:durableId="1768497134">
    <w:abstractNumId w:val="53"/>
  </w:num>
  <w:num w:numId="34" w16cid:durableId="757212846">
    <w:abstractNumId w:val="19"/>
  </w:num>
  <w:num w:numId="35" w16cid:durableId="242614882">
    <w:abstractNumId w:val="23"/>
  </w:num>
  <w:num w:numId="36" w16cid:durableId="236090338">
    <w:abstractNumId w:val="52"/>
  </w:num>
  <w:num w:numId="37" w16cid:durableId="1764186335">
    <w:abstractNumId w:val="46"/>
  </w:num>
  <w:num w:numId="38" w16cid:durableId="1251695930">
    <w:abstractNumId w:val="16"/>
  </w:num>
  <w:num w:numId="39" w16cid:durableId="1756895599">
    <w:abstractNumId w:val="50"/>
  </w:num>
  <w:num w:numId="40" w16cid:durableId="1278947093">
    <w:abstractNumId w:val="27"/>
  </w:num>
  <w:num w:numId="41" w16cid:durableId="1316184759">
    <w:abstractNumId w:val="26"/>
  </w:num>
  <w:num w:numId="42" w16cid:durableId="907030386">
    <w:abstractNumId w:val="29"/>
  </w:num>
  <w:num w:numId="43" w16cid:durableId="2078818010">
    <w:abstractNumId w:val="30"/>
  </w:num>
  <w:num w:numId="44" w16cid:durableId="803428697">
    <w:abstractNumId w:val="41"/>
  </w:num>
  <w:num w:numId="45" w16cid:durableId="2048992860">
    <w:abstractNumId w:val="62"/>
  </w:num>
  <w:num w:numId="46" w16cid:durableId="1929650284">
    <w:abstractNumId w:val="5"/>
  </w:num>
  <w:num w:numId="47" w16cid:durableId="2101174052">
    <w:abstractNumId w:val="54"/>
  </w:num>
  <w:num w:numId="48" w16cid:durableId="2078235729">
    <w:abstractNumId w:val="51"/>
  </w:num>
  <w:num w:numId="49" w16cid:durableId="123164467">
    <w:abstractNumId w:val="7"/>
  </w:num>
  <w:num w:numId="50" w16cid:durableId="1764301305">
    <w:abstractNumId w:val="35"/>
  </w:num>
  <w:num w:numId="51" w16cid:durableId="4212579">
    <w:abstractNumId w:val="56"/>
  </w:num>
  <w:num w:numId="52" w16cid:durableId="422460061">
    <w:abstractNumId w:val="6"/>
  </w:num>
  <w:num w:numId="53" w16cid:durableId="407582750">
    <w:abstractNumId w:val="17"/>
  </w:num>
  <w:num w:numId="54" w16cid:durableId="1539663337">
    <w:abstractNumId w:val="25"/>
  </w:num>
  <w:num w:numId="55" w16cid:durableId="1951664532">
    <w:abstractNumId w:val="3"/>
  </w:num>
  <w:num w:numId="56" w16cid:durableId="726489214">
    <w:abstractNumId w:val="12"/>
  </w:num>
  <w:num w:numId="57" w16cid:durableId="1397584769">
    <w:abstractNumId w:val="36"/>
  </w:num>
  <w:num w:numId="58" w16cid:durableId="2003467931">
    <w:abstractNumId w:val="24"/>
  </w:num>
  <w:num w:numId="59" w16cid:durableId="1232278793">
    <w:abstractNumId w:val="14"/>
  </w:num>
  <w:num w:numId="60" w16cid:durableId="1014458470">
    <w:abstractNumId w:val="61"/>
  </w:num>
  <w:num w:numId="61" w16cid:durableId="1739867165">
    <w:abstractNumId w:val="28"/>
  </w:num>
  <w:num w:numId="62" w16cid:durableId="1235357813">
    <w:abstractNumId w:val="47"/>
  </w:num>
  <w:num w:numId="63" w16cid:durableId="310866814">
    <w:abstractNumId w:val="12"/>
    <w:lvlOverride w:ilvl="0">
      <w:startOverride w:val="1"/>
    </w:lvlOverride>
    <w:lvlOverride w:ilvl="1"/>
    <w:lvlOverride w:ilvl="2"/>
    <w:lvlOverride w:ilvl="3"/>
    <w:lvlOverride w:ilvl="4"/>
    <w:lvlOverride w:ilvl="5"/>
    <w:lvlOverride w:ilvl="6"/>
    <w:lvlOverride w:ilvl="7"/>
    <w:lvlOverride w:ilvl="8"/>
  </w:num>
  <w:num w:numId="64" w16cid:durableId="2119526465">
    <w:abstractNumId w:val="37"/>
  </w:num>
  <w:num w:numId="65" w16cid:durableId="1691643538">
    <w:abstractNumId w:val="44"/>
  </w:num>
  <w:num w:numId="66" w16cid:durableId="700983467">
    <w:abstractNumId w:val="18"/>
  </w:num>
  <w:num w:numId="67" w16cid:durableId="1237714543">
    <w:abstractNumId w:val="0"/>
  </w:num>
  <w:num w:numId="68" w16cid:durableId="1206605571">
    <w:abstractNumId w:val="49"/>
  </w:num>
  <w:num w:numId="69" w16cid:durableId="4426985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6471146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A5BDB"/>
    <w:rsid w:val="000E3822"/>
    <w:rsid w:val="00100991"/>
    <w:rsid w:val="00123A58"/>
    <w:rsid w:val="0016644B"/>
    <w:rsid w:val="001828F6"/>
    <w:rsid w:val="001A50B2"/>
    <w:rsid w:val="001B4278"/>
    <w:rsid w:val="001D7FF6"/>
    <w:rsid w:val="001E277C"/>
    <w:rsid w:val="00224401"/>
    <w:rsid w:val="00237D67"/>
    <w:rsid w:val="00252CFD"/>
    <w:rsid w:val="00291483"/>
    <w:rsid w:val="0029356C"/>
    <w:rsid w:val="00301DEE"/>
    <w:rsid w:val="00312540"/>
    <w:rsid w:val="0037682E"/>
    <w:rsid w:val="00381A30"/>
    <w:rsid w:val="00401EE2"/>
    <w:rsid w:val="00402AE9"/>
    <w:rsid w:val="00440250"/>
    <w:rsid w:val="004C7DCA"/>
    <w:rsid w:val="004D09DA"/>
    <w:rsid w:val="00507A70"/>
    <w:rsid w:val="00575056"/>
    <w:rsid w:val="005B1E08"/>
    <w:rsid w:val="00635963"/>
    <w:rsid w:val="00682B13"/>
    <w:rsid w:val="00694B1B"/>
    <w:rsid w:val="006C3074"/>
    <w:rsid w:val="006C5BAF"/>
    <w:rsid w:val="006D0AE6"/>
    <w:rsid w:val="006F05A4"/>
    <w:rsid w:val="00734059"/>
    <w:rsid w:val="00762550"/>
    <w:rsid w:val="007670BE"/>
    <w:rsid w:val="007853B5"/>
    <w:rsid w:val="00891D02"/>
    <w:rsid w:val="00901F78"/>
    <w:rsid w:val="009109A9"/>
    <w:rsid w:val="00955BB8"/>
    <w:rsid w:val="00961090"/>
    <w:rsid w:val="009805AD"/>
    <w:rsid w:val="0099771B"/>
    <w:rsid w:val="00A03C3C"/>
    <w:rsid w:val="00AB69D6"/>
    <w:rsid w:val="00AC241B"/>
    <w:rsid w:val="00AC412C"/>
    <w:rsid w:val="00AD0DC9"/>
    <w:rsid w:val="00AE1BE6"/>
    <w:rsid w:val="00B13DCB"/>
    <w:rsid w:val="00B20A92"/>
    <w:rsid w:val="00B524DD"/>
    <w:rsid w:val="00B7409E"/>
    <w:rsid w:val="00B8089E"/>
    <w:rsid w:val="00BA705F"/>
    <w:rsid w:val="00C0617D"/>
    <w:rsid w:val="00C453BC"/>
    <w:rsid w:val="00D01A58"/>
    <w:rsid w:val="00D65845"/>
    <w:rsid w:val="00EC4E03"/>
    <w:rsid w:val="00EF08E8"/>
    <w:rsid w:val="00F313CB"/>
    <w:rsid w:val="00FD00F5"/>
    <w:rsid w:val="00FD41CF"/>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rsid w:val="00F313CB"/>
    <w:pPr>
      <w:keepNext/>
      <w:keepLines/>
      <w:spacing w:before="320" w:after="80" w:line="240" w:lineRule="auto"/>
      <w:jc w:val="center"/>
      <w:outlineLvl w:val="0"/>
    </w:pPr>
    <w:rPr>
      <w:rFonts w:ascii="Calibri Light" w:eastAsia="Times New Roman" w:hAnsi="Calibri Light" w:cs="Times New Roman"/>
      <w:color w:val="2E74B5"/>
      <w:sz w:val="40"/>
      <w:szCs w:val="40"/>
    </w:rPr>
  </w:style>
  <w:style w:type="paragraph" w:styleId="Ttulo2">
    <w:name w:val="heading 2"/>
    <w:basedOn w:val="Normal"/>
    <w:next w:val="Normal"/>
    <w:link w:val="Ttulo2Car"/>
    <w:uiPriority w:val="9"/>
    <w:semiHidden/>
    <w:unhideWhenUsed/>
    <w:qFormat/>
    <w:rsid w:val="00F313CB"/>
    <w:pPr>
      <w:keepNext/>
      <w:keepLines/>
      <w:spacing w:before="160" w:after="40" w:line="240" w:lineRule="auto"/>
      <w:jc w:val="center"/>
      <w:outlineLvl w:val="1"/>
    </w:pPr>
    <w:rPr>
      <w:rFonts w:ascii="Calibri Light" w:eastAsia="Times New Roman" w:hAnsi="Calibri Light" w:cs="Times New Roman"/>
      <w:sz w:val="32"/>
      <w:szCs w:val="32"/>
    </w:rPr>
  </w:style>
  <w:style w:type="paragraph" w:styleId="Ttulo3">
    <w:name w:val="heading 3"/>
    <w:basedOn w:val="Normal"/>
    <w:next w:val="Normal"/>
    <w:link w:val="Ttulo3Car"/>
    <w:uiPriority w:val="9"/>
    <w:semiHidden/>
    <w:unhideWhenUsed/>
    <w:qFormat/>
    <w:rsid w:val="00F313CB"/>
    <w:pPr>
      <w:keepNext/>
      <w:keepLines/>
      <w:spacing w:before="160" w:after="0" w:line="240" w:lineRule="auto"/>
      <w:outlineLvl w:val="2"/>
    </w:pPr>
    <w:rPr>
      <w:rFonts w:ascii="Calibri Light" w:eastAsia="Times New Roman" w:hAnsi="Calibri Light" w:cs="Times New Roman"/>
      <w:sz w:val="32"/>
      <w:szCs w:val="32"/>
    </w:rPr>
  </w:style>
  <w:style w:type="paragraph" w:styleId="Ttulo4">
    <w:name w:val="heading 4"/>
    <w:basedOn w:val="Normal"/>
    <w:next w:val="Normal"/>
    <w:link w:val="Ttulo4Car"/>
    <w:uiPriority w:val="9"/>
    <w:semiHidden/>
    <w:unhideWhenUsed/>
    <w:qFormat/>
    <w:rsid w:val="00F313CB"/>
    <w:pPr>
      <w:keepNext/>
      <w:keepLines/>
      <w:spacing w:before="80" w:after="0" w:line="300" w:lineRule="auto"/>
      <w:outlineLvl w:val="3"/>
    </w:pPr>
    <w:rPr>
      <w:rFonts w:ascii="Calibri Light" w:eastAsia="Times New Roman" w:hAnsi="Calibri Light" w:cs="Times New Roman"/>
      <w:i/>
      <w:iCs/>
      <w:sz w:val="30"/>
      <w:szCs w:val="30"/>
    </w:rPr>
  </w:style>
  <w:style w:type="paragraph" w:styleId="Ttulo5">
    <w:name w:val="heading 5"/>
    <w:basedOn w:val="Normal"/>
    <w:next w:val="Normal"/>
    <w:link w:val="Ttulo5Car"/>
    <w:uiPriority w:val="9"/>
    <w:semiHidden/>
    <w:unhideWhenUsed/>
    <w:qFormat/>
    <w:rsid w:val="00F313CB"/>
    <w:pPr>
      <w:keepNext/>
      <w:keepLines/>
      <w:spacing w:before="40" w:after="0" w:line="300" w:lineRule="auto"/>
      <w:outlineLvl w:val="4"/>
    </w:pPr>
    <w:rPr>
      <w:rFonts w:ascii="Calibri Light" w:eastAsia="Times New Roman" w:hAnsi="Calibri Light" w:cs="Times New Roman"/>
      <w:sz w:val="28"/>
      <w:szCs w:val="28"/>
    </w:rPr>
  </w:style>
  <w:style w:type="paragraph" w:styleId="Ttulo6">
    <w:name w:val="heading 6"/>
    <w:basedOn w:val="Normal"/>
    <w:next w:val="Normal"/>
    <w:link w:val="Ttulo6Car"/>
    <w:uiPriority w:val="9"/>
    <w:semiHidden/>
    <w:unhideWhenUsed/>
    <w:qFormat/>
    <w:rsid w:val="00F313CB"/>
    <w:pPr>
      <w:keepNext/>
      <w:keepLines/>
      <w:spacing w:before="40" w:after="0" w:line="300" w:lineRule="auto"/>
      <w:outlineLvl w:val="5"/>
    </w:pPr>
    <w:rPr>
      <w:rFonts w:ascii="Calibri Light" w:eastAsia="Times New Roman" w:hAnsi="Calibri Light" w:cs="Times New Roman"/>
      <w:i/>
      <w:iCs/>
      <w:sz w:val="26"/>
      <w:szCs w:val="26"/>
    </w:rPr>
  </w:style>
  <w:style w:type="paragraph" w:styleId="Ttulo7">
    <w:name w:val="heading 7"/>
    <w:basedOn w:val="Normal"/>
    <w:next w:val="Normal"/>
    <w:link w:val="Ttulo7Car"/>
    <w:uiPriority w:val="9"/>
    <w:semiHidden/>
    <w:unhideWhenUsed/>
    <w:qFormat/>
    <w:rsid w:val="00F313CB"/>
    <w:pPr>
      <w:keepNext/>
      <w:keepLines/>
      <w:spacing w:before="40" w:after="0" w:line="300" w:lineRule="auto"/>
      <w:outlineLvl w:val="6"/>
    </w:pPr>
    <w:rPr>
      <w:rFonts w:ascii="Calibri Light" w:eastAsia="Times New Roman" w:hAnsi="Calibri Light" w:cs="Times New Roman"/>
      <w:sz w:val="24"/>
      <w:szCs w:val="24"/>
    </w:rPr>
  </w:style>
  <w:style w:type="paragraph" w:styleId="Ttulo8">
    <w:name w:val="heading 8"/>
    <w:basedOn w:val="Normal"/>
    <w:next w:val="Normal"/>
    <w:link w:val="Ttulo8Car"/>
    <w:uiPriority w:val="9"/>
    <w:semiHidden/>
    <w:unhideWhenUsed/>
    <w:qFormat/>
    <w:rsid w:val="00F313CB"/>
    <w:pPr>
      <w:keepNext/>
      <w:keepLines/>
      <w:spacing w:before="40" w:after="0" w:line="300" w:lineRule="auto"/>
      <w:outlineLvl w:val="7"/>
    </w:pPr>
    <w:rPr>
      <w:rFonts w:ascii="Calibri Light" w:eastAsia="Times New Roman" w:hAnsi="Calibri Light" w:cs="Times New Roman"/>
      <w:i/>
      <w:iCs/>
    </w:rPr>
  </w:style>
  <w:style w:type="paragraph" w:styleId="Ttulo9">
    <w:name w:val="heading 9"/>
    <w:basedOn w:val="Normal"/>
    <w:next w:val="Normal"/>
    <w:link w:val="Ttulo9Car"/>
    <w:uiPriority w:val="9"/>
    <w:semiHidden/>
    <w:unhideWhenUsed/>
    <w:qFormat/>
    <w:rsid w:val="00F313CB"/>
    <w:pPr>
      <w:keepNext/>
      <w:keepLines/>
      <w:spacing w:before="40" w:after="0" w:line="300" w:lineRule="auto"/>
      <w:outlineLvl w:val="8"/>
    </w:pPr>
    <w:rPr>
      <w:rFonts w:ascii="Calibri" w:eastAsia="Times New Roman" w:hAnsi="Calibri" w:cs="Times New Roman"/>
      <w:b/>
      <w:bCs/>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nhideWhenUsed/>
    <w:rsid w:val="000A5BDB"/>
    <w:pPr>
      <w:tabs>
        <w:tab w:val="center" w:pos="4680"/>
        <w:tab w:val="right" w:pos="9360"/>
      </w:tabs>
      <w:spacing w:after="0" w:line="240" w:lineRule="auto"/>
    </w:pPr>
  </w:style>
  <w:style w:type="character" w:customStyle="1" w:styleId="EncabezadoCar">
    <w:name w:val="Encabezado Car"/>
    <w:aliases w:val="h Car,h8 Car,h9 Car,h10 Car,h18 Car,encabezado Car,Encabezado1 Car"/>
    <w:basedOn w:val="Fuentedeprrafopredeter"/>
    <w:link w:val="Encabezado"/>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character" w:customStyle="1" w:styleId="Ttulo1Car">
    <w:name w:val="Título 1 Car"/>
    <w:basedOn w:val="Fuentedeprrafopredeter"/>
    <w:link w:val="Ttulo1"/>
    <w:uiPriority w:val="9"/>
    <w:rsid w:val="00F313CB"/>
    <w:rPr>
      <w:rFonts w:ascii="Calibri Light" w:eastAsia="Times New Roman" w:hAnsi="Calibri Light" w:cs="Times New Roman"/>
      <w:color w:val="2E74B5"/>
      <w:sz w:val="40"/>
      <w:szCs w:val="40"/>
      <w:lang w:val="es-CO"/>
    </w:rPr>
  </w:style>
  <w:style w:type="character" w:customStyle="1" w:styleId="Ttulo2Car">
    <w:name w:val="Título 2 Car"/>
    <w:basedOn w:val="Fuentedeprrafopredeter"/>
    <w:link w:val="Ttulo2"/>
    <w:uiPriority w:val="9"/>
    <w:semiHidden/>
    <w:rsid w:val="00F313CB"/>
    <w:rPr>
      <w:rFonts w:ascii="Calibri Light" w:eastAsia="Times New Roman" w:hAnsi="Calibri Light" w:cs="Times New Roman"/>
      <w:sz w:val="32"/>
      <w:szCs w:val="32"/>
      <w:lang w:val="es-CO"/>
    </w:rPr>
  </w:style>
  <w:style w:type="character" w:customStyle="1" w:styleId="Ttulo3Car">
    <w:name w:val="Título 3 Car"/>
    <w:basedOn w:val="Fuentedeprrafopredeter"/>
    <w:link w:val="Ttulo3"/>
    <w:uiPriority w:val="9"/>
    <w:semiHidden/>
    <w:rsid w:val="00F313CB"/>
    <w:rPr>
      <w:rFonts w:ascii="Calibri Light" w:eastAsia="Times New Roman" w:hAnsi="Calibri Light" w:cs="Times New Roman"/>
      <w:sz w:val="32"/>
      <w:szCs w:val="32"/>
      <w:lang w:val="es-CO"/>
    </w:rPr>
  </w:style>
  <w:style w:type="character" w:customStyle="1" w:styleId="Ttulo4Car">
    <w:name w:val="Título 4 Car"/>
    <w:basedOn w:val="Fuentedeprrafopredeter"/>
    <w:link w:val="Ttulo4"/>
    <w:uiPriority w:val="9"/>
    <w:semiHidden/>
    <w:rsid w:val="00F313CB"/>
    <w:rPr>
      <w:rFonts w:ascii="Calibri Light" w:eastAsia="Times New Roman" w:hAnsi="Calibri Light" w:cs="Times New Roman"/>
      <w:i/>
      <w:iCs/>
      <w:sz w:val="30"/>
      <w:szCs w:val="30"/>
      <w:lang w:val="es-CO"/>
    </w:rPr>
  </w:style>
  <w:style w:type="character" w:customStyle="1" w:styleId="Ttulo5Car">
    <w:name w:val="Título 5 Car"/>
    <w:basedOn w:val="Fuentedeprrafopredeter"/>
    <w:link w:val="Ttulo5"/>
    <w:uiPriority w:val="9"/>
    <w:semiHidden/>
    <w:rsid w:val="00F313CB"/>
    <w:rPr>
      <w:rFonts w:ascii="Calibri Light" w:eastAsia="Times New Roman" w:hAnsi="Calibri Light" w:cs="Times New Roman"/>
      <w:sz w:val="28"/>
      <w:szCs w:val="28"/>
      <w:lang w:val="es-CO"/>
    </w:rPr>
  </w:style>
  <w:style w:type="character" w:customStyle="1" w:styleId="Ttulo6Car">
    <w:name w:val="Título 6 Car"/>
    <w:basedOn w:val="Fuentedeprrafopredeter"/>
    <w:link w:val="Ttulo6"/>
    <w:uiPriority w:val="9"/>
    <w:semiHidden/>
    <w:rsid w:val="00F313CB"/>
    <w:rPr>
      <w:rFonts w:ascii="Calibri Light" w:eastAsia="Times New Roman" w:hAnsi="Calibri Light" w:cs="Times New Roman"/>
      <w:i/>
      <w:iCs/>
      <w:sz w:val="26"/>
      <w:szCs w:val="26"/>
      <w:lang w:val="es-CO"/>
    </w:rPr>
  </w:style>
  <w:style w:type="character" w:customStyle="1" w:styleId="Ttulo7Car">
    <w:name w:val="Título 7 Car"/>
    <w:basedOn w:val="Fuentedeprrafopredeter"/>
    <w:link w:val="Ttulo7"/>
    <w:uiPriority w:val="9"/>
    <w:semiHidden/>
    <w:rsid w:val="00F313CB"/>
    <w:rPr>
      <w:rFonts w:ascii="Calibri Light" w:eastAsia="Times New Roman" w:hAnsi="Calibri Light" w:cs="Times New Roman"/>
      <w:sz w:val="24"/>
      <w:szCs w:val="24"/>
      <w:lang w:val="es-CO"/>
    </w:rPr>
  </w:style>
  <w:style w:type="character" w:customStyle="1" w:styleId="Ttulo8Car">
    <w:name w:val="Título 8 Car"/>
    <w:basedOn w:val="Fuentedeprrafopredeter"/>
    <w:link w:val="Ttulo8"/>
    <w:uiPriority w:val="9"/>
    <w:semiHidden/>
    <w:rsid w:val="00F313CB"/>
    <w:rPr>
      <w:rFonts w:ascii="Calibri Light" w:eastAsia="Times New Roman" w:hAnsi="Calibri Light" w:cs="Times New Roman"/>
      <w:i/>
      <w:iCs/>
      <w:lang w:val="es-CO"/>
    </w:rPr>
  </w:style>
  <w:style w:type="character" w:customStyle="1" w:styleId="Ttulo9Car">
    <w:name w:val="Título 9 Car"/>
    <w:basedOn w:val="Fuentedeprrafopredeter"/>
    <w:link w:val="Ttulo9"/>
    <w:uiPriority w:val="9"/>
    <w:semiHidden/>
    <w:rsid w:val="00F313CB"/>
    <w:rPr>
      <w:rFonts w:ascii="Calibri" w:eastAsia="Times New Roman" w:hAnsi="Calibri" w:cs="Times New Roman"/>
      <w:b/>
      <w:bCs/>
      <w:i/>
      <w:iCs/>
      <w:sz w:val="21"/>
      <w:szCs w:val="21"/>
      <w:lang w:val="es-CO"/>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F313CB"/>
    <w:pPr>
      <w:spacing w:after="0" w:line="240" w:lineRule="auto"/>
    </w:pPr>
    <w:rPr>
      <w:rFonts w:ascii="Calibri" w:eastAsia="Times New Roman" w:hAnsi="Calibri" w:cs="Times New Roman"/>
      <w:sz w:val="21"/>
      <w:szCs w:val="21"/>
      <w:lang w:val="es-CO"/>
    </w:rPr>
  </w:style>
  <w:style w:type="paragraph" w:styleId="Textodeglobo">
    <w:name w:val="Balloon Text"/>
    <w:basedOn w:val="Normal"/>
    <w:link w:val="TextodegloboCar"/>
    <w:uiPriority w:val="99"/>
    <w:semiHidden/>
    <w:unhideWhenUsed/>
    <w:rsid w:val="00F313CB"/>
    <w:pPr>
      <w:spacing w:after="0" w:line="240" w:lineRule="auto"/>
    </w:pPr>
    <w:rPr>
      <w:rFonts w:ascii="Segoe UI" w:eastAsia="Times New Roman" w:hAnsi="Segoe UI" w:cs="Segoe UI"/>
      <w:sz w:val="18"/>
      <w:szCs w:val="18"/>
    </w:rPr>
  </w:style>
  <w:style w:type="character" w:customStyle="1" w:styleId="TextodegloboCar">
    <w:name w:val="Texto de globo Car"/>
    <w:basedOn w:val="Fuentedeprrafopredeter"/>
    <w:link w:val="Textodeglobo"/>
    <w:uiPriority w:val="99"/>
    <w:semiHidden/>
    <w:rsid w:val="00F313CB"/>
    <w:rPr>
      <w:rFonts w:ascii="Segoe UI" w:eastAsia="Times New Roman" w:hAnsi="Segoe UI" w:cs="Segoe UI"/>
      <w:sz w:val="18"/>
      <w:szCs w:val="18"/>
      <w:lang w:val="es-CO"/>
    </w:rPr>
  </w:style>
  <w:style w:type="paragraph" w:styleId="Descripcin">
    <w:name w:val="caption"/>
    <w:basedOn w:val="Normal"/>
    <w:next w:val="Normal"/>
    <w:uiPriority w:val="35"/>
    <w:semiHidden/>
    <w:unhideWhenUsed/>
    <w:qFormat/>
    <w:rsid w:val="00F313CB"/>
    <w:pPr>
      <w:spacing w:line="240" w:lineRule="auto"/>
    </w:pPr>
    <w:rPr>
      <w:rFonts w:ascii="Calibri" w:eastAsia="Times New Roman" w:hAnsi="Calibri" w:cs="Times New Roman"/>
      <w:b/>
      <w:bCs/>
      <w:color w:val="404040"/>
      <w:sz w:val="16"/>
      <w:szCs w:val="16"/>
    </w:rPr>
  </w:style>
  <w:style w:type="paragraph" w:styleId="Ttulo">
    <w:name w:val="Title"/>
    <w:basedOn w:val="Normal"/>
    <w:next w:val="Normal"/>
    <w:link w:val="TtuloCar"/>
    <w:uiPriority w:val="10"/>
    <w:qFormat/>
    <w:rsid w:val="00F313CB"/>
    <w:pPr>
      <w:pBdr>
        <w:top w:val="single" w:sz="6" w:space="8" w:color="A5A5A5"/>
        <w:bottom w:val="single" w:sz="6" w:space="8" w:color="A5A5A5"/>
      </w:pBdr>
      <w:spacing w:after="400" w:line="240" w:lineRule="auto"/>
      <w:contextualSpacing/>
      <w:jc w:val="center"/>
    </w:pPr>
    <w:rPr>
      <w:rFonts w:ascii="Calibri Light" w:eastAsia="Times New Roman" w:hAnsi="Calibri Light" w:cs="Times New Roman"/>
      <w:caps/>
      <w:color w:val="44546A"/>
      <w:spacing w:val="30"/>
      <w:sz w:val="72"/>
      <w:szCs w:val="72"/>
    </w:rPr>
  </w:style>
  <w:style w:type="character" w:customStyle="1" w:styleId="TtuloCar">
    <w:name w:val="Título Car"/>
    <w:basedOn w:val="Fuentedeprrafopredeter"/>
    <w:link w:val="Ttulo"/>
    <w:uiPriority w:val="10"/>
    <w:rsid w:val="00F313CB"/>
    <w:rPr>
      <w:rFonts w:ascii="Calibri Light" w:eastAsia="Times New Roman" w:hAnsi="Calibri Light" w:cs="Times New Roman"/>
      <w:caps/>
      <w:color w:val="44546A"/>
      <w:spacing w:val="30"/>
      <w:sz w:val="72"/>
      <w:szCs w:val="72"/>
      <w:lang w:val="es-CO"/>
    </w:rPr>
  </w:style>
  <w:style w:type="paragraph" w:styleId="Subttulo">
    <w:name w:val="Subtitle"/>
    <w:basedOn w:val="Normal"/>
    <w:next w:val="Normal"/>
    <w:link w:val="SubttuloCar"/>
    <w:uiPriority w:val="11"/>
    <w:qFormat/>
    <w:rsid w:val="00F313CB"/>
    <w:pPr>
      <w:numPr>
        <w:ilvl w:val="1"/>
      </w:numPr>
      <w:spacing w:line="300" w:lineRule="auto"/>
      <w:jc w:val="center"/>
    </w:pPr>
    <w:rPr>
      <w:rFonts w:ascii="Calibri" w:eastAsia="Times New Roman" w:hAnsi="Calibri" w:cs="Times New Roman"/>
      <w:color w:val="44546A"/>
      <w:sz w:val="28"/>
      <w:szCs w:val="28"/>
    </w:rPr>
  </w:style>
  <w:style w:type="character" w:customStyle="1" w:styleId="SubttuloCar">
    <w:name w:val="Subtítulo Car"/>
    <w:basedOn w:val="Fuentedeprrafopredeter"/>
    <w:link w:val="Subttulo"/>
    <w:uiPriority w:val="11"/>
    <w:rsid w:val="00F313CB"/>
    <w:rPr>
      <w:rFonts w:ascii="Calibri" w:eastAsia="Times New Roman" w:hAnsi="Calibri" w:cs="Times New Roman"/>
      <w:color w:val="44546A"/>
      <w:sz w:val="28"/>
      <w:szCs w:val="28"/>
      <w:lang w:val="es-CO"/>
    </w:rPr>
  </w:style>
  <w:style w:type="character" w:styleId="Textoennegrita">
    <w:name w:val="Strong"/>
    <w:qFormat/>
    <w:rsid w:val="00F313CB"/>
    <w:rPr>
      <w:b/>
      <w:bCs/>
    </w:rPr>
  </w:style>
  <w:style w:type="character" w:styleId="nfasis">
    <w:name w:val="Emphasis"/>
    <w:uiPriority w:val="20"/>
    <w:qFormat/>
    <w:rsid w:val="00F313CB"/>
    <w:rPr>
      <w:i/>
      <w:iCs/>
      <w:color w:val="000000"/>
    </w:rPr>
  </w:style>
  <w:style w:type="paragraph" w:styleId="Cita">
    <w:name w:val="Quote"/>
    <w:basedOn w:val="Normal"/>
    <w:next w:val="Normal"/>
    <w:link w:val="CitaCar"/>
    <w:uiPriority w:val="29"/>
    <w:qFormat/>
    <w:rsid w:val="00F313CB"/>
    <w:pPr>
      <w:spacing w:before="160" w:line="300" w:lineRule="auto"/>
      <w:ind w:left="720" w:right="720"/>
      <w:jc w:val="center"/>
    </w:pPr>
    <w:rPr>
      <w:rFonts w:ascii="Calibri" w:eastAsia="Times New Roman" w:hAnsi="Calibri" w:cs="Times New Roman"/>
      <w:i/>
      <w:iCs/>
      <w:color w:val="7B7B7B"/>
      <w:sz w:val="24"/>
      <w:szCs w:val="24"/>
    </w:rPr>
  </w:style>
  <w:style w:type="character" w:customStyle="1" w:styleId="CitaCar">
    <w:name w:val="Cita Car"/>
    <w:basedOn w:val="Fuentedeprrafopredeter"/>
    <w:link w:val="Cita"/>
    <w:uiPriority w:val="29"/>
    <w:rsid w:val="00F313CB"/>
    <w:rPr>
      <w:rFonts w:ascii="Calibri" w:eastAsia="Times New Roman" w:hAnsi="Calibri" w:cs="Times New Roman"/>
      <w:i/>
      <w:iCs/>
      <w:color w:val="7B7B7B"/>
      <w:sz w:val="24"/>
      <w:szCs w:val="24"/>
      <w:lang w:val="es-CO"/>
    </w:rPr>
  </w:style>
  <w:style w:type="paragraph" w:styleId="Citadestacada">
    <w:name w:val="Intense Quote"/>
    <w:basedOn w:val="Normal"/>
    <w:next w:val="Normal"/>
    <w:link w:val="CitadestacadaCar"/>
    <w:uiPriority w:val="30"/>
    <w:qFormat/>
    <w:rsid w:val="00F313CB"/>
    <w:pPr>
      <w:spacing w:before="160" w:line="276" w:lineRule="auto"/>
      <w:ind w:left="936" w:right="936"/>
      <w:jc w:val="center"/>
    </w:pPr>
    <w:rPr>
      <w:rFonts w:ascii="Calibri Light" w:eastAsia="Times New Roman" w:hAnsi="Calibri Light" w:cs="Times New Roman"/>
      <w:caps/>
      <w:color w:val="2E74B5"/>
      <w:sz w:val="28"/>
      <w:szCs w:val="28"/>
    </w:rPr>
  </w:style>
  <w:style w:type="character" w:customStyle="1" w:styleId="CitadestacadaCar">
    <w:name w:val="Cita destacada Car"/>
    <w:basedOn w:val="Fuentedeprrafopredeter"/>
    <w:link w:val="Citadestacada"/>
    <w:uiPriority w:val="30"/>
    <w:rsid w:val="00F313CB"/>
    <w:rPr>
      <w:rFonts w:ascii="Calibri Light" w:eastAsia="Times New Roman" w:hAnsi="Calibri Light" w:cs="Times New Roman"/>
      <w:caps/>
      <w:color w:val="2E74B5"/>
      <w:sz w:val="28"/>
      <w:szCs w:val="28"/>
      <w:lang w:val="es-CO"/>
    </w:rPr>
  </w:style>
  <w:style w:type="character" w:styleId="nfasissutil">
    <w:name w:val="Subtle Emphasis"/>
    <w:uiPriority w:val="19"/>
    <w:qFormat/>
    <w:rsid w:val="00F313CB"/>
    <w:rPr>
      <w:i/>
      <w:iCs/>
      <w:color w:val="595959"/>
    </w:rPr>
  </w:style>
  <w:style w:type="character" w:styleId="nfasisintenso">
    <w:name w:val="Intense Emphasis"/>
    <w:uiPriority w:val="21"/>
    <w:qFormat/>
    <w:rsid w:val="00F313CB"/>
    <w:rPr>
      <w:b/>
      <w:bCs/>
      <w:i/>
      <w:iCs/>
      <w:color w:val="auto"/>
    </w:rPr>
  </w:style>
  <w:style w:type="character" w:styleId="Referenciasutil">
    <w:name w:val="Subtle Reference"/>
    <w:uiPriority w:val="31"/>
    <w:qFormat/>
    <w:rsid w:val="00F313CB"/>
    <w:rPr>
      <w:caps w:val="0"/>
      <w:smallCaps/>
      <w:color w:val="404040"/>
      <w:spacing w:val="0"/>
      <w:u w:val="single" w:color="7F7F7F"/>
    </w:rPr>
  </w:style>
  <w:style w:type="character" w:styleId="Referenciaintensa">
    <w:name w:val="Intense Reference"/>
    <w:uiPriority w:val="32"/>
    <w:qFormat/>
    <w:rsid w:val="00F313CB"/>
    <w:rPr>
      <w:b/>
      <w:bCs/>
      <w:caps w:val="0"/>
      <w:smallCaps/>
      <w:color w:val="auto"/>
      <w:spacing w:val="0"/>
      <w:u w:val="single"/>
    </w:rPr>
  </w:style>
  <w:style w:type="character" w:styleId="Ttulodellibro">
    <w:name w:val="Book Title"/>
    <w:uiPriority w:val="33"/>
    <w:qFormat/>
    <w:rsid w:val="00F313CB"/>
    <w:rPr>
      <w:b/>
      <w:bCs/>
      <w:caps w:val="0"/>
      <w:smallCaps/>
      <w:spacing w:val="0"/>
    </w:rPr>
  </w:style>
  <w:style w:type="paragraph" w:styleId="TtuloTDC">
    <w:name w:val="TOC Heading"/>
    <w:basedOn w:val="Ttulo1"/>
    <w:next w:val="Normal"/>
    <w:uiPriority w:val="39"/>
    <w:semiHidden/>
    <w:unhideWhenUsed/>
    <w:qFormat/>
    <w:rsid w:val="00F313CB"/>
    <w:pPr>
      <w:outlineLvl w:val="9"/>
    </w:pPr>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
    <w:basedOn w:val="Normal"/>
    <w:link w:val="PrrafodelistaCar"/>
    <w:uiPriority w:val="34"/>
    <w:qFormat/>
    <w:rsid w:val="00F313CB"/>
    <w:pPr>
      <w:ind w:left="720"/>
      <w:contextualSpacing/>
    </w:pPr>
    <w:rPr>
      <w:rFonts w:ascii="Calibri" w:eastAsia="Calibri" w:hAnsi="Calibri" w:cs="Times New Roman"/>
    </w:rPr>
  </w:style>
  <w:style w:type="character" w:styleId="Nmerodelnea">
    <w:name w:val="line number"/>
    <w:basedOn w:val="Fuentedeprrafopredeter"/>
    <w:uiPriority w:val="99"/>
    <w:semiHidden/>
    <w:unhideWhenUsed/>
    <w:rsid w:val="00F313CB"/>
  </w:style>
  <w:style w:type="table" w:styleId="Tablaconcuadrcula">
    <w:name w:val="Table Grid"/>
    <w:basedOn w:val="Tablanormal"/>
    <w:uiPriority w:val="39"/>
    <w:rsid w:val="00F313CB"/>
    <w:pPr>
      <w:spacing w:after="0" w:line="240" w:lineRule="auto"/>
    </w:pPr>
    <w:rPr>
      <w:rFonts w:ascii="Calibri" w:eastAsia="Times New Roman" w:hAnsi="Calibri" w:cs="Times New Roman"/>
      <w:sz w:val="20"/>
      <w:szCs w:val="20"/>
      <w:lang w:val="es-CO"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F313CB"/>
    <w:rPr>
      <w:rFonts w:ascii="Calibri" w:eastAsia="Times New Roman" w:hAnsi="Calibri" w:cs="Times New Roman"/>
      <w:sz w:val="21"/>
      <w:szCs w:val="21"/>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locked/>
    <w:rsid w:val="00F313CB"/>
    <w:rPr>
      <w:rFonts w:ascii="Calibri" w:eastAsia="Calibri" w:hAnsi="Calibri" w:cs="Times New Roman"/>
      <w:lang w:val="es-CO"/>
    </w:rPr>
  </w:style>
  <w:style w:type="character" w:customStyle="1" w:styleId="titulo">
    <w:name w:val="titulo"/>
    <w:rsid w:val="00F313CB"/>
  </w:style>
  <w:style w:type="paragraph" w:customStyle="1" w:styleId="TableParagraph">
    <w:name w:val="Table Paragraph"/>
    <w:basedOn w:val="Normal"/>
    <w:uiPriority w:val="1"/>
    <w:qFormat/>
    <w:rsid w:val="00F313CB"/>
    <w:pPr>
      <w:widowControl w:val="0"/>
      <w:autoSpaceDE w:val="0"/>
      <w:autoSpaceDN w:val="0"/>
      <w:spacing w:after="0" w:line="240" w:lineRule="auto"/>
    </w:pPr>
    <w:rPr>
      <w:rFonts w:ascii="Arial MT" w:eastAsia="Arial MT" w:hAnsi="Arial MT" w:cs="Arial MT"/>
      <w:lang w:val="es-ES"/>
    </w:rPr>
  </w:style>
  <w:style w:type="paragraph" w:customStyle="1" w:styleId="Norma">
    <w:name w:val="Norma"/>
    <w:qFormat/>
    <w:rsid w:val="00F313CB"/>
    <w:pPr>
      <w:spacing w:after="200" w:line="276" w:lineRule="auto"/>
    </w:pPr>
    <w:rPr>
      <w:rFonts w:ascii="Calibri" w:eastAsia="Calibri" w:hAnsi="Calibri" w:cs="Times New Roman"/>
      <w:lang w:val="es-CO"/>
    </w:rPr>
  </w:style>
  <w:style w:type="table" w:styleId="Tablanormal3">
    <w:name w:val="Plain Table 3"/>
    <w:basedOn w:val="Tablanormal"/>
    <w:uiPriority w:val="43"/>
    <w:rsid w:val="0016644B"/>
    <w:pPr>
      <w:spacing w:after="0" w:line="240" w:lineRule="auto"/>
    </w:pPr>
    <w:rPr>
      <w:rFonts w:ascii="Calibri" w:eastAsia="Calibri" w:hAnsi="Calibri" w:cs="Times New Roman"/>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link w:val="DefaultCar"/>
    <w:rsid w:val="0029356C"/>
    <w:pPr>
      <w:autoSpaceDE w:val="0"/>
      <w:autoSpaceDN w:val="0"/>
      <w:adjustRightInd w:val="0"/>
      <w:spacing w:after="0" w:line="240" w:lineRule="auto"/>
    </w:pPr>
    <w:rPr>
      <w:rFonts w:ascii="Arial" w:eastAsia="Calibri" w:hAnsi="Arial" w:cs="Times New Roman"/>
      <w:color w:val="000000"/>
      <w:sz w:val="24"/>
      <w:szCs w:val="24"/>
      <w:lang w:val="es-CO" w:eastAsia="es-CO"/>
    </w:rPr>
  </w:style>
  <w:style w:type="paragraph" w:customStyle="1" w:styleId="CM14">
    <w:name w:val="CM14"/>
    <w:basedOn w:val="Default"/>
    <w:next w:val="Default"/>
    <w:uiPriority w:val="99"/>
    <w:rsid w:val="0029356C"/>
    <w:rPr>
      <w:color w:val="auto"/>
    </w:rPr>
  </w:style>
  <w:style w:type="character" w:customStyle="1" w:styleId="DefaultCar">
    <w:name w:val="Default Car"/>
    <w:link w:val="Default"/>
    <w:locked/>
    <w:rsid w:val="0029356C"/>
    <w:rPr>
      <w:rFonts w:ascii="Arial" w:eastAsia="Calibri" w:hAnsi="Arial" w:cs="Times New Roman"/>
      <w:color w:val="000000"/>
      <w:sz w:val="24"/>
      <w:szCs w:val="24"/>
      <w:lang w:val="es-CO" w:eastAsia="es-CO"/>
    </w:rPr>
  </w:style>
  <w:style w:type="paragraph" w:customStyle="1" w:styleId="C1">
    <w:name w:val="C1"/>
    <w:basedOn w:val="Normal"/>
    <w:rsid w:val="0029356C"/>
    <w:pPr>
      <w:tabs>
        <w:tab w:val="left" w:pos="0"/>
      </w:tabs>
      <w:overflowPunct w:val="0"/>
      <w:autoSpaceDE w:val="0"/>
      <w:autoSpaceDN w:val="0"/>
      <w:adjustRightInd w:val="0"/>
      <w:spacing w:before="120" w:after="120" w:line="240" w:lineRule="auto"/>
      <w:jc w:val="both"/>
    </w:pPr>
    <w:rPr>
      <w:rFonts w:ascii="Arial" w:eastAsia="Times New Roman" w:hAnsi="Arial" w:cs="Times New Roman"/>
      <w:szCs w:val="20"/>
      <w:lang w:eastAsia="es-MX"/>
    </w:rPr>
  </w:style>
  <w:style w:type="paragraph" w:styleId="NormalWeb">
    <w:name w:val="Normal (Web)"/>
    <w:basedOn w:val="Normal"/>
    <w:uiPriority w:val="99"/>
    <w:unhideWhenUsed/>
    <w:rsid w:val="00293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93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79245">
      <w:bodyDiv w:val="1"/>
      <w:marLeft w:val="0"/>
      <w:marRight w:val="0"/>
      <w:marTop w:val="0"/>
      <w:marBottom w:val="0"/>
      <w:divBdr>
        <w:top w:val="none" w:sz="0" w:space="0" w:color="auto"/>
        <w:left w:val="none" w:sz="0" w:space="0" w:color="auto"/>
        <w:bottom w:val="none" w:sz="0" w:space="0" w:color="auto"/>
        <w:right w:val="none" w:sz="0" w:space="0" w:color="auto"/>
      </w:divBdr>
      <w:divsChild>
        <w:div w:id="1723556485">
          <w:marLeft w:val="0"/>
          <w:marRight w:val="0"/>
          <w:marTop w:val="0"/>
          <w:marBottom w:val="0"/>
          <w:divBdr>
            <w:top w:val="none" w:sz="0" w:space="0" w:color="auto"/>
            <w:left w:val="none" w:sz="0" w:space="0" w:color="auto"/>
            <w:bottom w:val="none" w:sz="0" w:space="0" w:color="auto"/>
            <w:right w:val="none" w:sz="0" w:space="0" w:color="auto"/>
          </w:divBdr>
        </w:div>
      </w:divsChild>
    </w:div>
    <w:div w:id="423841107">
      <w:bodyDiv w:val="1"/>
      <w:marLeft w:val="0"/>
      <w:marRight w:val="0"/>
      <w:marTop w:val="0"/>
      <w:marBottom w:val="0"/>
      <w:divBdr>
        <w:top w:val="none" w:sz="0" w:space="0" w:color="auto"/>
        <w:left w:val="none" w:sz="0" w:space="0" w:color="auto"/>
        <w:bottom w:val="none" w:sz="0" w:space="0" w:color="auto"/>
        <w:right w:val="none" w:sz="0" w:space="0" w:color="auto"/>
      </w:divBdr>
    </w:div>
    <w:div w:id="1041244959">
      <w:bodyDiv w:val="1"/>
      <w:marLeft w:val="0"/>
      <w:marRight w:val="0"/>
      <w:marTop w:val="0"/>
      <w:marBottom w:val="0"/>
      <w:divBdr>
        <w:top w:val="none" w:sz="0" w:space="0" w:color="auto"/>
        <w:left w:val="none" w:sz="0" w:space="0" w:color="auto"/>
        <w:bottom w:val="none" w:sz="0" w:space="0" w:color="auto"/>
        <w:right w:val="none" w:sz="0" w:space="0" w:color="auto"/>
      </w:divBdr>
      <w:divsChild>
        <w:div w:id="2077968548">
          <w:marLeft w:val="0"/>
          <w:marRight w:val="0"/>
          <w:marTop w:val="0"/>
          <w:marBottom w:val="0"/>
          <w:divBdr>
            <w:top w:val="none" w:sz="0" w:space="0" w:color="auto"/>
            <w:left w:val="none" w:sz="0" w:space="0" w:color="auto"/>
            <w:bottom w:val="none" w:sz="0" w:space="0" w:color="auto"/>
            <w:right w:val="none" w:sz="0" w:space="0" w:color="auto"/>
          </w:divBdr>
        </w:div>
      </w:divsChild>
    </w:div>
    <w:div w:id="1295519854">
      <w:bodyDiv w:val="1"/>
      <w:marLeft w:val="0"/>
      <w:marRight w:val="0"/>
      <w:marTop w:val="0"/>
      <w:marBottom w:val="0"/>
      <w:divBdr>
        <w:top w:val="none" w:sz="0" w:space="0" w:color="auto"/>
        <w:left w:val="none" w:sz="0" w:space="0" w:color="auto"/>
        <w:bottom w:val="none" w:sz="0" w:space="0" w:color="auto"/>
        <w:right w:val="none" w:sz="0" w:space="0" w:color="auto"/>
      </w:divBdr>
    </w:div>
    <w:div w:id="140910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816_2003.html"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ecretariasenado.gov.co/senado/basedoc/ley_1150_2007.html"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37</Pages>
  <Words>14067</Words>
  <Characters>77369</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18</cp:revision>
  <cp:lastPrinted>2025-03-05T18:39:00Z</cp:lastPrinted>
  <dcterms:created xsi:type="dcterms:W3CDTF">2024-02-20T03:20:00Z</dcterms:created>
  <dcterms:modified xsi:type="dcterms:W3CDTF">2026-04-20T15:05:00Z</dcterms:modified>
</cp:coreProperties>
</file>