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1AC6C" w14:textId="77777777" w:rsidR="00D472B4" w:rsidRDefault="00D472B4" w:rsidP="00D472B4">
      <w:pPr>
        <w:spacing w:after="0"/>
        <w:jc w:val="center"/>
        <w:outlineLvl w:val="1"/>
        <w:rPr>
          <w:rFonts w:ascii="Verdana" w:eastAsia="Times New Roman" w:hAnsi="Verdana" w:cs="Times New Roman"/>
          <w:b/>
          <w:bCs/>
          <w:lang w:eastAsia="es-CO"/>
        </w:rPr>
      </w:pPr>
      <w:r w:rsidRPr="00E61ED7">
        <w:rPr>
          <w:rFonts w:ascii="Verdana" w:hAnsi="Verdana"/>
          <w:b/>
          <w:bCs/>
          <w:lang w:eastAsia="es-CO"/>
        </w:rPr>
        <w:t>AMP/SDA</w:t>
      </w:r>
      <w:r w:rsidRPr="00E61ED7">
        <w:rPr>
          <w:rFonts w:ascii="Verdana" w:eastAsia="Times New Roman" w:hAnsi="Verdana" w:cs="Times New Roman"/>
          <w:b/>
          <w:bCs/>
          <w:lang w:eastAsia="es-CO"/>
        </w:rPr>
        <w:t xml:space="preserve"> de Ciberseguridad</w:t>
      </w:r>
    </w:p>
    <w:p w14:paraId="67E7CA08" w14:textId="3461A508" w:rsidR="00F90C6B" w:rsidRDefault="00F90C6B" w:rsidP="00D472B4">
      <w:pPr>
        <w:spacing w:after="0"/>
        <w:jc w:val="center"/>
        <w:outlineLvl w:val="1"/>
        <w:rPr>
          <w:rFonts w:ascii="Verdana" w:eastAsia="Times New Roman" w:hAnsi="Verdana" w:cs="Times New Roman"/>
          <w:b/>
          <w:bCs/>
          <w:lang w:eastAsia="es-CO"/>
        </w:rPr>
      </w:pPr>
      <w:r>
        <w:rPr>
          <w:rStyle w:val="normaltextrun"/>
          <w:rFonts w:ascii="Verdana" w:hAnsi="Verdana"/>
          <w:b/>
          <w:bCs/>
          <w:color w:val="000000"/>
          <w:shd w:val="clear" w:color="auto" w:fill="FFFFFF"/>
        </w:rPr>
        <w:t>CCENEG-094-1-AMP-2026</w:t>
      </w:r>
    </w:p>
    <w:p w14:paraId="1B072CDA" w14:textId="69E65E20" w:rsidR="00CE431D" w:rsidRPr="00E61ED7" w:rsidRDefault="00CE431D" w:rsidP="00D472B4">
      <w:pPr>
        <w:spacing w:after="0" w:line="240" w:lineRule="auto"/>
        <w:jc w:val="center"/>
        <w:outlineLvl w:val="1"/>
        <w:rPr>
          <w:rFonts w:ascii="Verdana" w:eastAsia="Times New Roman" w:hAnsi="Verdana" w:cs="Times New Roman"/>
          <w:b/>
          <w:bCs/>
          <w:lang w:eastAsia="es-CO"/>
        </w:rPr>
      </w:pPr>
      <w:r w:rsidRPr="00E61ED7">
        <w:rPr>
          <w:rFonts w:ascii="Verdana" w:hAnsi="Verdana"/>
          <w:b/>
          <w:bCs/>
          <w:lang w:eastAsia="es-CO"/>
        </w:rPr>
        <w:t xml:space="preserve">ANEXO 2 </w:t>
      </w:r>
      <w:r>
        <w:rPr>
          <w:rFonts w:ascii="Verdana" w:hAnsi="Verdana"/>
          <w:b/>
          <w:bCs/>
          <w:lang w:eastAsia="es-CO"/>
        </w:rPr>
        <w:t>–</w:t>
      </w:r>
      <w:r w:rsidRPr="00E61ED7">
        <w:rPr>
          <w:rFonts w:ascii="Verdana" w:hAnsi="Verdana"/>
          <w:b/>
          <w:bCs/>
          <w:lang w:eastAsia="es-CO"/>
        </w:rPr>
        <w:t xml:space="preserve"> </w:t>
      </w:r>
      <w:r>
        <w:rPr>
          <w:rFonts w:ascii="Verdana" w:hAnsi="Verdana"/>
          <w:b/>
          <w:bCs/>
          <w:lang w:eastAsia="es-CO"/>
        </w:rPr>
        <w:t xml:space="preserve">Estructura </w:t>
      </w:r>
      <w:r w:rsidRPr="00E61ED7">
        <w:rPr>
          <w:rFonts w:ascii="Verdana" w:eastAsia="Times New Roman" w:hAnsi="Verdana" w:cs="Times New Roman"/>
          <w:b/>
          <w:bCs/>
          <w:lang w:eastAsia="es-CO"/>
        </w:rPr>
        <w:t>Fichas Técnicas</w:t>
      </w:r>
    </w:p>
    <w:p w14:paraId="3B99B1D5" w14:textId="77777777" w:rsidR="00D472B4" w:rsidRDefault="00D472B4" w:rsidP="00CE431D">
      <w:pPr>
        <w:spacing w:before="100" w:beforeAutospacing="1" w:after="100" w:afterAutospacing="1" w:line="240" w:lineRule="auto"/>
        <w:jc w:val="both"/>
        <w:outlineLvl w:val="1"/>
        <w:rPr>
          <w:rFonts w:ascii="Verdana" w:eastAsia="Times New Roman" w:hAnsi="Verdana" w:cs="Times New Roman"/>
          <w:b/>
          <w:bCs/>
          <w:lang w:eastAsia="es-CO"/>
        </w:rPr>
      </w:pPr>
    </w:p>
    <w:p w14:paraId="7D5065D5" w14:textId="479F0BEF"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Introducción</w:t>
      </w:r>
    </w:p>
    <w:p w14:paraId="105F96E4" w14:textId="77777777" w:rsidR="00CE431D" w:rsidRPr="00E61ED7" w:rsidRDefault="00CE431D" w:rsidP="00CE431D">
      <w:pPr>
        <w:spacing w:after="0" w:line="240" w:lineRule="auto"/>
        <w:jc w:val="both"/>
        <w:rPr>
          <w:rFonts w:ascii="Verdana" w:eastAsia="Times New Roman" w:hAnsi="Verdana" w:cs="Times New Roman"/>
          <w:lang w:eastAsia="es-CO"/>
        </w:rPr>
      </w:pPr>
    </w:p>
    <w:p w14:paraId="3E2C5BB4" w14:textId="77777777" w:rsidR="00CE431D" w:rsidRDefault="00CE431D" w:rsidP="00CE431D">
      <w:pPr>
        <w:spacing w:after="0"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 xml:space="preserve">El Acuerdo Marco de Precios de Ciberseguridad opera bajo un esquema estructurado en líneas de defensa en profundidad, organizadas en segmentos funcionales que agrupan tecnologías y servicios de ciberseguridad según su rol dentro de la arquitectura institucional (infraestructura, identidades, datos, nube, monitoreo, entre otros). Para cada segmento se conformará un catálogo por fabricante, siempre que cumpla con las tecnologías definidas para ese segmento, garantizando como mínimo la participación de dos (2) fabricantes por segmento, y que cada fabricante cuente con al menos dos (2) canales o </w:t>
      </w:r>
      <w:proofErr w:type="spellStart"/>
      <w:r w:rsidRPr="00E61ED7">
        <w:rPr>
          <w:rFonts w:ascii="Verdana" w:eastAsia="Times New Roman" w:hAnsi="Verdana" w:cs="Times New Roman"/>
          <w:lang w:eastAsia="es-CO"/>
        </w:rPr>
        <w:t>partners</w:t>
      </w:r>
      <w:proofErr w:type="spellEnd"/>
      <w:r w:rsidRPr="00E61ED7">
        <w:rPr>
          <w:rFonts w:ascii="Verdana" w:eastAsia="Times New Roman" w:hAnsi="Verdana" w:cs="Times New Roman"/>
          <w:lang w:eastAsia="es-CO"/>
        </w:rPr>
        <w:t xml:space="preserve"> autorizados, asegurando pluralidad y competencia. De esta manera, la Entidad Compradora podrá seleccionar el fabricante que mejor se ajuste a su arquitectura tecnológica; no obstante, al momento de cotizar deberá remitir la solicitud a todos los canales habilitados del segmento correspondiente, permitiendo conocer la oferta del mercado y justificar técnicamente la elección realizada. En el caso de los servicios, no existirá catálogo por fabricante sino catálogo por tipo de servicio, dado que muchos son prestados directamente por canales o integradores. Las fichas técnicas establecerán las características mínimas exigidas y la pluralidad de fabricantes para cada tecnología; sin embargo, las Entidades Compradoras deberán considerar que, aunque pertenezcan a una misma categoría tecnológica, las soluciones varían entre fabricantes en enfoque, arquitectura y funcionalidades, por lo que al estructurar el RFI deberán contemplar dichas diferencias técnicas para garantizar una evaluación objetiva y alineada con su necesidad específica.</w:t>
      </w:r>
      <w:r w:rsidRPr="00E61ED7">
        <w:rPr>
          <w:rFonts w:ascii="Verdana" w:eastAsia="Times New Roman" w:hAnsi="Verdana" w:cs="Times New Roman"/>
          <w:lang w:eastAsia="es-CO"/>
        </w:rPr>
        <w:tab/>
      </w:r>
      <w:r w:rsidRPr="00E61ED7">
        <w:rPr>
          <w:rFonts w:ascii="Verdana" w:eastAsia="Times New Roman" w:hAnsi="Verdana" w:cs="Times New Roman"/>
          <w:lang w:eastAsia="es-CO"/>
        </w:rPr>
        <w:tab/>
      </w:r>
      <w:r w:rsidRPr="00E61ED7">
        <w:rPr>
          <w:rFonts w:ascii="Verdana" w:eastAsia="Times New Roman" w:hAnsi="Verdana" w:cs="Times New Roman"/>
          <w:lang w:eastAsia="es-CO"/>
        </w:rPr>
        <w:tab/>
      </w:r>
      <w:r w:rsidRPr="00E61ED7">
        <w:rPr>
          <w:rFonts w:ascii="Verdana" w:eastAsia="Times New Roman" w:hAnsi="Verdana" w:cs="Times New Roman"/>
          <w:lang w:eastAsia="es-CO"/>
        </w:rPr>
        <w:tab/>
      </w:r>
    </w:p>
    <w:p w14:paraId="093AC828" w14:textId="77777777" w:rsidR="00557D03" w:rsidRPr="00E61ED7" w:rsidRDefault="00557D03" w:rsidP="00CE431D">
      <w:pPr>
        <w:spacing w:after="0" w:line="240" w:lineRule="auto"/>
        <w:jc w:val="both"/>
        <w:rPr>
          <w:rFonts w:ascii="Verdana" w:eastAsia="Times New Roman" w:hAnsi="Verdana" w:cs="Times New Roman"/>
          <w:lang w:eastAsia="es-CO"/>
        </w:rPr>
      </w:pPr>
    </w:p>
    <w:p w14:paraId="5CDD1A16" w14:textId="77777777" w:rsidR="00547DEB" w:rsidRDefault="00CE431D" w:rsidP="00CE431D">
      <w:pPr>
        <w:spacing w:after="0"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ab/>
      </w:r>
      <w:r w:rsidRPr="00E61ED7">
        <w:rPr>
          <w:rFonts w:ascii="Verdana" w:eastAsia="Times New Roman" w:hAnsi="Verdana" w:cs="Times New Roman"/>
          <w:lang w:eastAsia="es-CO"/>
        </w:rPr>
        <w:tab/>
      </w:r>
      <w:r w:rsidRPr="00E61ED7">
        <w:rPr>
          <w:rFonts w:ascii="Verdana" w:eastAsia="Times New Roman" w:hAnsi="Verdana" w:cs="Times New Roman"/>
          <w:lang w:eastAsia="es-CO"/>
        </w:rPr>
        <w:tab/>
      </w:r>
    </w:p>
    <w:p w14:paraId="46C6EF0B" w14:textId="670C45C2" w:rsidR="00CE431D" w:rsidRPr="00E61ED7" w:rsidRDefault="00CE431D" w:rsidP="00CE431D">
      <w:pPr>
        <w:spacing w:after="0"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ab/>
      </w:r>
      <w:r w:rsidRPr="00E61ED7">
        <w:rPr>
          <w:rFonts w:ascii="Verdana" w:eastAsia="Times New Roman" w:hAnsi="Verdana" w:cs="Times New Roman"/>
          <w:lang w:eastAsia="es-CO"/>
        </w:rPr>
        <w:tab/>
      </w:r>
      <w:r w:rsidRPr="00E61ED7">
        <w:rPr>
          <w:rFonts w:ascii="Verdana" w:eastAsia="Times New Roman" w:hAnsi="Verdana" w:cs="Times New Roman"/>
          <w:lang w:eastAsia="es-CO"/>
        </w:rPr>
        <w:tab/>
      </w:r>
    </w:p>
    <w:p w14:paraId="58CD4CFD"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lastRenderedPageBreak/>
        <w:t>1. Objeto del Documento</w:t>
      </w:r>
    </w:p>
    <w:p w14:paraId="570F7780"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 xml:space="preserve">El presente documento tiene como finalidad explicar la estructura, alcance y metodología de diligenciamiento del archivo </w:t>
      </w:r>
      <w:r w:rsidRPr="00E61ED7">
        <w:rPr>
          <w:rFonts w:ascii="Verdana" w:eastAsia="Times New Roman" w:hAnsi="Verdana" w:cs="Times New Roman"/>
          <w:b/>
          <w:bCs/>
          <w:lang w:eastAsia="es-CO"/>
        </w:rPr>
        <w:t>“Ficha Técnica”</w:t>
      </w:r>
      <w:r w:rsidRPr="00E61ED7">
        <w:rPr>
          <w:rFonts w:ascii="Verdana" w:eastAsia="Times New Roman" w:hAnsi="Verdana" w:cs="Times New Roman"/>
          <w:lang w:eastAsia="es-CO"/>
        </w:rPr>
        <w:t>, el cual constituye el instrumento técnico de referencia para la habilitación, evaluación y catalogación de tecnologías y servicios de ciberseguridad dentro del Acuerdo Marco.</w:t>
      </w:r>
    </w:p>
    <w:p w14:paraId="0768516E"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Este documento permite:</w:t>
      </w:r>
    </w:p>
    <w:p w14:paraId="480899F7" w14:textId="77777777" w:rsidR="00CE431D" w:rsidRPr="00E61ED7" w:rsidRDefault="00CE431D" w:rsidP="00CE431D">
      <w:pPr>
        <w:numPr>
          <w:ilvl w:val="0"/>
          <w:numId w:val="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Interpretación homogénea del contenido técnico.</w:t>
      </w:r>
    </w:p>
    <w:p w14:paraId="0D076AA1" w14:textId="77777777" w:rsidR="00CE431D" w:rsidRPr="00E61ED7" w:rsidRDefault="00CE431D" w:rsidP="00CE431D">
      <w:pPr>
        <w:numPr>
          <w:ilvl w:val="0"/>
          <w:numId w:val="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Correcta presentación de información por parte de los Proveedores.</w:t>
      </w:r>
    </w:p>
    <w:p w14:paraId="70926A6B" w14:textId="77777777" w:rsidR="00CE431D" w:rsidRPr="00E61ED7" w:rsidRDefault="00CE431D" w:rsidP="00CE431D">
      <w:pPr>
        <w:numPr>
          <w:ilvl w:val="0"/>
          <w:numId w:val="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Evaluación objetiva por parte de Colombia Compra Eficiente.</w:t>
      </w:r>
    </w:p>
    <w:p w14:paraId="3C097319" w14:textId="77777777" w:rsidR="00CE431D" w:rsidRPr="00E61ED7" w:rsidRDefault="00CE431D" w:rsidP="00CE431D">
      <w:pPr>
        <w:numPr>
          <w:ilvl w:val="0"/>
          <w:numId w:val="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Uso adecuado por parte de las Entidades Compradoras.</w:t>
      </w:r>
    </w:p>
    <w:p w14:paraId="4F2B48A6"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2. Estructura General del Archivo</w:t>
      </w:r>
    </w:p>
    <w:p w14:paraId="4A8EF3FA"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archivo Excel está organizado bajo un modelo modular compuesto por:</w:t>
      </w:r>
    </w:p>
    <w:p w14:paraId="69329855"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2.1 Hoja Marco General</w:t>
      </w:r>
    </w:p>
    <w:p w14:paraId="550ADEE7" w14:textId="77777777" w:rsidR="00CE431D" w:rsidRPr="00E61ED7" w:rsidRDefault="00CE431D" w:rsidP="00CE431D">
      <w:pPr>
        <w:numPr>
          <w:ilvl w:val="0"/>
          <w:numId w:val="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Define el contexto del AMP de Ciberseguridad.</w:t>
      </w:r>
    </w:p>
    <w:p w14:paraId="1D161E95" w14:textId="77777777" w:rsidR="00CE431D" w:rsidRPr="00E61ED7" w:rsidRDefault="00CE431D" w:rsidP="00CE431D">
      <w:pPr>
        <w:numPr>
          <w:ilvl w:val="0"/>
          <w:numId w:val="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Establece lineamientos transversales.</w:t>
      </w:r>
    </w:p>
    <w:p w14:paraId="74A00BB9" w14:textId="77777777" w:rsidR="00CE431D" w:rsidRPr="00E61ED7" w:rsidRDefault="00CE431D" w:rsidP="00CE431D">
      <w:pPr>
        <w:numPr>
          <w:ilvl w:val="0"/>
          <w:numId w:val="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Consolida principios de defensa en profundidad.</w:t>
      </w:r>
    </w:p>
    <w:p w14:paraId="3AEEB0FE"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2.2 Hojas por Tecnología</w:t>
      </w:r>
    </w:p>
    <w:p w14:paraId="7208D29E"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Cada hoja corresponde a una tecnología o categoría específica (ej. NGFW, EDR, CASB, CNAPP, PAM, DLP, WAF, etc.).</w:t>
      </w:r>
    </w:p>
    <w:p w14:paraId="5784E923" w14:textId="77777777" w:rsidR="00CE431D"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Estas hojas contienen los requisitos mínimos técnicos exigibles para que un producto pueda ser habilitado dentro del catálogo del segmento correspondiente.</w:t>
      </w:r>
    </w:p>
    <w:p w14:paraId="368DC286" w14:textId="77777777" w:rsidR="00547DEB" w:rsidRPr="00E61ED7" w:rsidRDefault="00547DEB" w:rsidP="00CE431D">
      <w:pPr>
        <w:spacing w:before="100" w:beforeAutospacing="1" w:after="100" w:afterAutospacing="1" w:line="240" w:lineRule="auto"/>
        <w:jc w:val="both"/>
        <w:rPr>
          <w:rFonts w:ascii="Verdana" w:eastAsia="Times New Roman" w:hAnsi="Verdana" w:cs="Times New Roman"/>
          <w:lang w:eastAsia="es-CO"/>
        </w:rPr>
      </w:pPr>
    </w:p>
    <w:p w14:paraId="20F0D994"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lastRenderedPageBreak/>
        <w:t>2.3 Hojas de Servicios</w:t>
      </w:r>
    </w:p>
    <w:p w14:paraId="52D7D1E4"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Incluyen servicios gestionados, consultoría especializada, operación de seguridad, resiliencia, gobierno, entre otros.</w:t>
      </w:r>
    </w:p>
    <w:p w14:paraId="3C9BEA79"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2.4 Hojas por Rol</w:t>
      </w:r>
    </w:p>
    <w:p w14:paraId="447F0B35"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Definen perfiles profesionales asociados a servicios técnicos, indicando requisitos mínimos de experiencia y competencias.</w:t>
      </w:r>
    </w:p>
    <w:p w14:paraId="51597879"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3. Principios Rectores del Modelo</w:t>
      </w:r>
    </w:p>
    <w:p w14:paraId="706FA4E1"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modelo de fichas técnicas se fundamenta en los siguientes principios:</w:t>
      </w:r>
    </w:p>
    <w:p w14:paraId="06152D4C"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3.1 Defensa en Profundidad</w:t>
      </w:r>
    </w:p>
    <w:p w14:paraId="7577831D"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Cada tecnología debe entenderse como un componente complementario dentro de una arquitectura integral de seguridad.</w:t>
      </w:r>
    </w:p>
    <w:p w14:paraId="04EDECD2"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3.2 Neutralidad Tecnológica</w:t>
      </w:r>
    </w:p>
    <w:p w14:paraId="36A2DC60"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se diseñan fichas para marcas específicas, sino para capacidades técnicas verificables.</w:t>
      </w:r>
    </w:p>
    <w:p w14:paraId="20ED2F89"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3.3 Pluralidad de Mercado</w:t>
      </w:r>
    </w:p>
    <w:p w14:paraId="46455A62"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Las fichas establecen requisitos mínimos que permitan la participación de múltiples fabricantes, evitando restricciones indebidas.</w:t>
      </w:r>
    </w:p>
    <w:p w14:paraId="6DA9439B"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3.4 Verificabilidad</w:t>
      </w:r>
    </w:p>
    <w:p w14:paraId="119381A1"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Todo requisito declarado por el Proveedor deberá estar soportado mediante evidencia técnica objetiva.</w:t>
      </w:r>
    </w:p>
    <w:p w14:paraId="62E0BBC0" w14:textId="77777777" w:rsidR="00CE431D" w:rsidRPr="00E61ED7" w:rsidRDefault="00CE431D" w:rsidP="00CE431D">
      <w:pPr>
        <w:spacing w:after="0" w:line="240" w:lineRule="auto"/>
        <w:jc w:val="both"/>
        <w:rPr>
          <w:rFonts w:ascii="Verdana" w:eastAsia="Times New Roman" w:hAnsi="Verdana" w:cs="Times New Roman"/>
          <w:lang w:eastAsia="es-CO"/>
        </w:rPr>
      </w:pPr>
    </w:p>
    <w:p w14:paraId="628FB2C7"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lastRenderedPageBreak/>
        <w:t>4. Forma de Lectura de Cada Ficha Técnica</w:t>
      </w:r>
    </w:p>
    <w:p w14:paraId="3DCA6A10"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Cada hoja debe interpretarse bajo la siguiente lógica:</w:t>
      </w:r>
    </w:p>
    <w:p w14:paraId="1953C5A0"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4.1 Requisitos Técnicos Mínimos</w:t>
      </w:r>
    </w:p>
    <w:p w14:paraId="3DD14E7C"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Los requisitos señalados en cada ficha:</w:t>
      </w:r>
    </w:p>
    <w:p w14:paraId="21BCD034" w14:textId="77777777" w:rsidR="00CE431D" w:rsidRPr="00E61ED7" w:rsidRDefault="00CE431D" w:rsidP="00CE431D">
      <w:pPr>
        <w:numPr>
          <w:ilvl w:val="0"/>
          <w:numId w:val="3"/>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Son de obligatorio cumplimiento.</w:t>
      </w:r>
    </w:p>
    <w:p w14:paraId="638C169B" w14:textId="77777777" w:rsidR="00CE431D" w:rsidRPr="00E61ED7" w:rsidRDefault="00CE431D" w:rsidP="00CE431D">
      <w:pPr>
        <w:numPr>
          <w:ilvl w:val="0"/>
          <w:numId w:val="3"/>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son opcionales.</w:t>
      </w:r>
    </w:p>
    <w:p w14:paraId="104C2F99" w14:textId="77777777" w:rsidR="00CE431D" w:rsidRPr="00E61ED7" w:rsidRDefault="00CE431D" w:rsidP="00CE431D">
      <w:pPr>
        <w:numPr>
          <w:ilvl w:val="0"/>
          <w:numId w:val="3"/>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Deben ser demostrables.</w:t>
      </w:r>
    </w:p>
    <w:p w14:paraId="55CABAA7" w14:textId="77777777" w:rsidR="00CE431D" w:rsidRPr="00E61ED7" w:rsidRDefault="00CE431D" w:rsidP="00CE431D">
      <w:pPr>
        <w:numPr>
          <w:ilvl w:val="0"/>
          <w:numId w:val="3"/>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Constituyen criterios habilitantes.</w:t>
      </w:r>
    </w:p>
    <w:p w14:paraId="5D6769BD"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Proveedor debe indicar expresamente el cumplimiento y adjuntar soporte técnico (</w:t>
      </w:r>
      <w:proofErr w:type="spellStart"/>
      <w:r w:rsidRPr="00E61ED7">
        <w:rPr>
          <w:rFonts w:ascii="Verdana" w:eastAsia="Times New Roman" w:hAnsi="Verdana" w:cs="Times New Roman"/>
          <w:lang w:eastAsia="es-CO"/>
        </w:rPr>
        <w:t>datasheet</w:t>
      </w:r>
      <w:proofErr w:type="spellEnd"/>
      <w:r w:rsidRPr="00E61ED7">
        <w:rPr>
          <w:rFonts w:ascii="Verdana" w:eastAsia="Times New Roman" w:hAnsi="Verdana" w:cs="Times New Roman"/>
          <w:lang w:eastAsia="es-CO"/>
        </w:rPr>
        <w:t>, certificación oficial, documento del fabricante, enlace verificable o declaración formal).</w:t>
      </w:r>
    </w:p>
    <w:p w14:paraId="1E6709BD"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4.2 Alcance Funcional</w:t>
      </w:r>
    </w:p>
    <w:p w14:paraId="71ED606A"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Cuando la ficha indique que:</w:t>
      </w:r>
    </w:p>
    <w:p w14:paraId="3A98AAA9" w14:textId="77777777" w:rsidR="00CE431D" w:rsidRPr="00E61ED7" w:rsidRDefault="00CE431D" w:rsidP="00CE431D">
      <w:pPr>
        <w:spacing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 solución deberá permitir…”</w:t>
      </w:r>
    </w:p>
    <w:p w14:paraId="0DD7DB4E"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Se trata de una exigencia funcional mínima.</w:t>
      </w:r>
    </w:p>
    <w:p w14:paraId="2D0504DF"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se aceptarán formulaciones ambiguas como:</w:t>
      </w:r>
    </w:p>
    <w:p w14:paraId="3498A811" w14:textId="77777777" w:rsidR="00CE431D" w:rsidRPr="00E61ED7" w:rsidRDefault="00CE431D" w:rsidP="00CE431D">
      <w:pPr>
        <w:numPr>
          <w:ilvl w:val="0"/>
          <w:numId w:val="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“Soporta parcialmente”</w:t>
      </w:r>
    </w:p>
    <w:p w14:paraId="5F7471D6" w14:textId="77777777" w:rsidR="00CE431D" w:rsidRPr="00E61ED7" w:rsidRDefault="00CE431D" w:rsidP="00CE431D">
      <w:pPr>
        <w:numPr>
          <w:ilvl w:val="0"/>
          <w:numId w:val="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 xml:space="preserve">“En </w:t>
      </w:r>
      <w:proofErr w:type="spellStart"/>
      <w:r w:rsidRPr="00E61ED7">
        <w:rPr>
          <w:rFonts w:ascii="Verdana" w:eastAsia="Times New Roman" w:hAnsi="Verdana" w:cs="Times New Roman"/>
          <w:lang w:eastAsia="es-CO"/>
        </w:rPr>
        <w:t>roadmap</w:t>
      </w:r>
      <w:proofErr w:type="spellEnd"/>
      <w:r w:rsidRPr="00E61ED7">
        <w:rPr>
          <w:rFonts w:ascii="Verdana" w:eastAsia="Times New Roman" w:hAnsi="Verdana" w:cs="Times New Roman"/>
          <w:lang w:eastAsia="es-CO"/>
        </w:rPr>
        <w:t>”</w:t>
      </w:r>
    </w:p>
    <w:p w14:paraId="113FFA88" w14:textId="77777777" w:rsidR="00CE431D" w:rsidRPr="00E61ED7" w:rsidRDefault="00CE431D" w:rsidP="00CE431D">
      <w:pPr>
        <w:numPr>
          <w:ilvl w:val="0"/>
          <w:numId w:val="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“Disponible bajo solicitud”</w:t>
      </w:r>
    </w:p>
    <w:p w14:paraId="5E7AFA70" w14:textId="77777777" w:rsidR="00CE431D" w:rsidRDefault="00CE431D" w:rsidP="00CE431D">
      <w:pPr>
        <w:spacing w:after="0" w:line="240" w:lineRule="auto"/>
        <w:jc w:val="both"/>
        <w:rPr>
          <w:rFonts w:ascii="Verdana" w:eastAsia="Times New Roman" w:hAnsi="Verdana" w:cs="Times New Roman"/>
          <w:lang w:eastAsia="es-CO"/>
        </w:rPr>
      </w:pPr>
    </w:p>
    <w:p w14:paraId="5724E69F" w14:textId="77777777" w:rsidR="00547DEB" w:rsidRDefault="00547DEB" w:rsidP="00CE431D">
      <w:pPr>
        <w:spacing w:after="0" w:line="240" w:lineRule="auto"/>
        <w:jc w:val="both"/>
        <w:rPr>
          <w:rFonts w:ascii="Verdana" w:eastAsia="Times New Roman" w:hAnsi="Verdana" w:cs="Times New Roman"/>
          <w:lang w:eastAsia="es-CO"/>
        </w:rPr>
      </w:pPr>
    </w:p>
    <w:p w14:paraId="2BD1A14B" w14:textId="77777777" w:rsidR="00547DEB" w:rsidRDefault="00547DEB" w:rsidP="00CE431D">
      <w:pPr>
        <w:spacing w:after="0" w:line="240" w:lineRule="auto"/>
        <w:jc w:val="both"/>
        <w:rPr>
          <w:rFonts w:ascii="Verdana" w:eastAsia="Times New Roman" w:hAnsi="Verdana" w:cs="Times New Roman"/>
          <w:lang w:eastAsia="es-CO"/>
        </w:rPr>
      </w:pPr>
    </w:p>
    <w:p w14:paraId="4DE601BC" w14:textId="77777777" w:rsidR="00547DEB" w:rsidRPr="00E61ED7" w:rsidRDefault="00547DEB" w:rsidP="00CE431D">
      <w:pPr>
        <w:spacing w:after="0" w:line="240" w:lineRule="auto"/>
        <w:jc w:val="both"/>
        <w:rPr>
          <w:rFonts w:ascii="Verdana" w:eastAsia="Times New Roman" w:hAnsi="Verdana" w:cs="Times New Roman"/>
          <w:lang w:eastAsia="es-CO"/>
        </w:rPr>
      </w:pPr>
    </w:p>
    <w:p w14:paraId="2EE67C05"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lastRenderedPageBreak/>
        <w:t>4.3 Interoperabilidad</w:t>
      </w:r>
    </w:p>
    <w:p w14:paraId="5B30A3C8"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Toda tecnología deberá:</w:t>
      </w:r>
    </w:p>
    <w:p w14:paraId="740812EF" w14:textId="77777777" w:rsidR="00CE431D" w:rsidRPr="00E61ED7" w:rsidRDefault="00CE431D" w:rsidP="00CE431D">
      <w:pPr>
        <w:numPr>
          <w:ilvl w:val="0"/>
          <w:numId w:val="5"/>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Permitir integración con herramientas externas.</w:t>
      </w:r>
    </w:p>
    <w:p w14:paraId="74CB4E83" w14:textId="77777777" w:rsidR="00CE431D" w:rsidRPr="00E61ED7" w:rsidRDefault="00CE431D" w:rsidP="00CE431D">
      <w:pPr>
        <w:numPr>
          <w:ilvl w:val="0"/>
          <w:numId w:val="5"/>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Soportar estándares abiertos cuando sea aplicable.</w:t>
      </w:r>
    </w:p>
    <w:p w14:paraId="368FE2D0" w14:textId="77777777" w:rsidR="00CE431D" w:rsidRPr="00E61ED7" w:rsidRDefault="00CE431D" w:rsidP="00CE431D">
      <w:pPr>
        <w:numPr>
          <w:ilvl w:val="0"/>
          <w:numId w:val="5"/>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Generar registros auditables (logs).</w:t>
      </w:r>
    </w:p>
    <w:p w14:paraId="48FD1CB4" w14:textId="77777777" w:rsidR="00CE431D" w:rsidRPr="00E61ED7" w:rsidRDefault="00CE431D" w:rsidP="00CE431D">
      <w:pPr>
        <w:numPr>
          <w:ilvl w:val="0"/>
          <w:numId w:val="5"/>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Facilitar exportación de información para monitoreo centralizado.</w:t>
      </w:r>
    </w:p>
    <w:p w14:paraId="73B35BAE"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4.4 Seguridad por Diseño</w:t>
      </w:r>
    </w:p>
    <w:p w14:paraId="42D10950"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Las soluciones deberán incorporar:</w:t>
      </w:r>
    </w:p>
    <w:p w14:paraId="685F1980" w14:textId="77777777" w:rsidR="00CE431D" w:rsidRPr="00E61ED7" w:rsidRDefault="00CE431D" w:rsidP="00CE431D">
      <w:pPr>
        <w:numPr>
          <w:ilvl w:val="0"/>
          <w:numId w:val="6"/>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Control de acceso basado en roles (RBAC).</w:t>
      </w:r>
    </w:p>
    <w:p w14:paraId="236242BB" w14:textId="77777777" w:rsidR="00CE431D" w:rsidRPr="00E61ED7" w:rsidRDefault="00CE431D" w:rsidP="00CE431D">
      <w:pPr>
        <w:numPr>
          <w:ilvl w:val="0"/>
          <w:numId w:val="6"/>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Registro de eventos.</w:t>
      </w:r>
    </w:p>
    <w:p w14:paraId="0BA6C3BF" w14:textId="77777777" w:rsidR="00CE431D" w:rsidRPr="00E61ED7" w:rsidRDefault="00CE431D" w:rsidP="00CE431D">
      <w:pPr>
        <w:numPr>
          <w:ilvl w:val="0"/>
          <w:numId w:val="6"/>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Cifrado de datos en tránsito y en reposo cuando aplique.</w:t>
      </w:r>
    </w:p>
    <w:p w14:paraId="17B038A0" w14:textId="77777777" w:rsidR="00CE431D" w:rsidRPr="00E61ED7" w:rsidRDefault="00CE431D" w:rsidP="00CE431D">
      <w:pPr>
        <w:numPr>
          <w:ilvl w:val="0"/>
          <w:numId w:val="6"/>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Gestión segura de credenciales.</w:t>
      </w:r>
    </w:p>
    <w:p w14:paraId="672010DA"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5. Soporte, Ciclo de Vida y Obsolescencia</w:t>
      </w:r>
    </w:p>
    <w:p w14:paraId="54336CDC"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Todo producto incluido en el catálogo deberá:</w:t>
      </w:r>
    </w:p>
    <w:p w14:paraId="53E422D1" w14:textId="77777777" w:rsidR="00CE431D" w:rsidRPr="00E61ED7" w:rsidRDefault="00CE431D" w:rsidP="00CE431D">
      <w:pPr>
        <w:numPr>
          <w:ilvl w:val="0"/>
          <w:numId w:val="7"/>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Contar con mínimo cinco (5) años restantes de soporte oficial del fabricante.</w:t>
      </w:r>
    </w:p>
    <w:p w14:paraId="72187F2B" w14:textId="77777777" w:rsidR="00CE431D" w:rsidRPr="00E61ED7" w:rsidRDefault="00CE431D" w:rsidP="00CE431D">
      <w:pPr>
        <w:numPr>
          <w:ilvl w:val="0"/>
          <w:numId w:val="7"/>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Disponer de actualizaciones de seguridad activas.</w:t>
      </w:r>
    </w:p>
    <w:p w14:paraId="30D38D42" w14:textId="77777777" w:rsidR="00CE431D" w:rsidRPr="00E61ED7" w:rsidRDefault="00CE431D" w:rsidP="00CE431D">
      <w:pPr>
        <w:numPr>
          <w:ilvl w:val="0"/>
          <w:numId w:val="7"/>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encontrarse en estado de fin de venta (</w:t>
      </w:r>
      <w:proofErr w:type="spellStart"/>
      <w:r w:rsidRPr="00E61ED7">
        <w:rPr>
          <w:rFonts w:ascii="Verdana" w:eastAsia="Times New Roman" w:hAnsi="Verdana" w:cs="Times New Roman"/>
          <w:lang w:eastAsia="es-CO"/>
        </w:rPr>
        <w:t>EoS</w:t>
      </w:r>
      <w:proofErr w:type="spellEnd"/>
      <w:r w:rsidRPr="00E61ED7">
        <w:rPr>
          <w:rFonts w:ascii="Verdana" w:eastAsia="Times New Roman" w:hAnsi="Verdana" w:cs="Times New Roman"/>
          <w:lang w:eastAsia="es-CO"/>
        </w:rPr>
        <w:t>) o fin de vida (</w:t>
      </w:r>
      <w:proofErr w:type="spellStart"/>
      <w:r w:rsidRPr="00E61ED7">
        <w:rPr>
          <w:rFonts w:ascii="Verdana" w:eastAsia="Times New Roman" w:hAnsi="Verdana" w:cs="Times New Roman"/>
          <w:lang w:eastAsia="es-CO"/>
        </w:rPr>
        <w:t>EoL</w:t>
      </w:r>
      <w:proofErr w:type="spellEnd"/>
      <w:r w:rsidRPr="00E61ED7">
        <w:rPr>
          <w:rFonts w:ascii="Verdana" w:eastAsia="Times New Roman" w:hAnsi="Verdana" w:cs="Times New Roman"/>
          <w:lang w:eastAsia="es-CO"/>
        </w:rPr>
        <w:t>) próximo.</w:t>
      </w:r>
    </w:p>
    <w:p w14:paraId="3EDEE163"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Proveedor deberá certificar oficialmente estas fechas.</w:t>
      </w:r>
    </w:p>
    <w:p w14:paraId="07796697" w14:textId="77777777" w:rsidR="00CE431D" w:rsidRDefault="00CE431D" w:rsidP="00CE431D">
      <w:pPr>
        <w:spacing w:after="0" w:line="240" w:lineRule="auto"/>
        <w:jc w:val="both"/>
        <w:rPr>
          <w:rFonts w:ascii="Verdana" w:eastAsia="Times New Roman" w:hAnsi="Verdana" w:cs="Times New Roman"/>
          <w:lang w:eastAsia="es-CO"/>
        </w:rPr>
      </w:pPr>
    </w:p>
    <w:p w14:paraId="43889848" w14:textId="77777777" w:rsidR="00547DEB" w:rsidRDefault="00547DEB" w:rsidP="00CE431D">
      <w:pPr>
        <w:spacing w:after="0" w:line="240" w:lineRule="auto"/>
        <w:jc w:val="both"/>
        <w:rPr>
          <w:rFonts w:ascii="Verdana" w:eastAsia="Times New Roman" w:hAnsi="Verdana" w:cs="Times New Roman"/>
          <w:lang w:eastAsia="es-CO"/>
        </w:rPr>
      </w:pPr>
    </w:p>
    <w:p w14:paraId="3AE89D84" w14:textId="77777777" w:rsidR="00547DEB" w:rsidRDefault="00547DEB" w:rsidP="00CE431D">
      <w:pPr>
        <w:spacing w:after="0" w:line="240" w:lineRule="auto"/>
        <w:jc w:val="both"/>
        <w:rPr>
          <w:rFonts w:ascii="Verdana" w:eastAsia="Times New Roman" w:hAnsi="Verdana" w:cs="Times New Roman"/>
          <w:lang w:eastAsia="es-CO"/>
        </w:rPr>
      </w:pPr>
    </w:p>
    <w:p w14:paraId="6E4CB5D8" w14:textId="77777777" w:rsidR="00547DEB" w:rsidRDefault="00547DEB" w:rsidP="00CE431D">
      <w:pPr>
        <w:spacing w:after="0" w:line="240" w:lineRule="auto"/>
        <w:jc w:val="both"/>
        <w:rPr>
          <w:rFonts w:ascii="Verdana" w:eastAsia="Times New Roman" w:hAnsi="Verdana" w:cs="Times New Roman"/>
          <w:lang w:eastAsia="es-CO"/>
        </w:rPr>
      </w:pPr>
    </w:p>
    <w:p w14:paraId="7DAA58A4" w14:textId="77777777" w:rsidR="00547DEB" w:rsidRPr="00E61ED7" w:rsidRDefault="00547DEB" w:rsidP="00CE431D">
      <w:pPr>
        <w:spacing w:after="0" w:line="240" w:lineRule="auto"/>
        <w:jc w:val="both"/>
        <w:rPr>
          <w:rFonts w:ascii="Verdana" w:eastAsia="Times New Roman" w:hAnsi="Verdana" w:cs="Times New Roman"/>
          <w:lang w:eastAsia="es-CO"/>
        </w:rPr>
      </w:pPr>
    </w:p>
    <w:p w14:paraId="5761573E"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lastRenderedPageBreak/>
        <w:t>6. Diferenciación entre Tecnología y Servicio</w:t>
      </w:r>
    </w:p>
    <w:p w14:paraId="4C5CBBB1"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modelo distingue claramente:</w:t>
      </w:r>
    </w:p>
    <w:p w14:paraId="1C994ACC"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6.1 Tecnología</w:t>
      </w:r>
    </w:p>
    <w:p w14:paraId="3FD73140"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Producto de hardware o software que cumple requisitos técnicos específicos.</w:t>
      </w:r>
    </w:p>
    <w:p w14:paraId="3D89467B" w14:textId="77777777" w:rsidR="00CE431D" w:rsidRPr="00E61ED7" w:rsidRDefault="00CE431D" w:rsidP="00CE431D">
      <w:pPr>
        <w:spacing w:before="100" w:beforeAutospacing="1" w:after="100" w:afterAutospacing="1" w:line="240" w:lineRule="auto"/>
        <w:jc w:val="both"/>
        <w:outlineLvl w:val="2"/>
        <w:rPr>
          <w:rFonts w:ascii="Verdana" w:eastAsia="Times New Roman" w:hAnsi="Verdana" w:cs="Times New Roman"/>
          <w:b/>
          <w:bCs/>
          <w:lang w:eastAsia="es-CO"/>
        </w:rPr>
      </w:pPr>
      <w:r w:rsidRPr="00E61ED7">
        <w:rPr>
          <w:rFonts w:ascii="Verdana" w:eastAsia="Times New Roman" w:hAnsi="Verdana" w:cs="Times New Roman"/>
          <w:b/>
          <w:bCs/>
          <w:lang w:eastAsia="es-CO"/>
        </w:rPr>
        <w:t>6.2 Servicio</w:t>
      </w:r>
    </w:p>
    <w:p w14:paraId="5661BB8B"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Actividad profesional asociada a:</w:t>
      </w:r>
    </w:p>
    <w:p w14:paraId="7E649BAF"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Implementación</w:t>
      </w:r>
    </w:p>
    <w:p w14:paraId="74B580C2"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Configuración</w:t>
      </w:r>
    </w:p>
    <w:p w14:paraId="721979CD"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Monitoreo</w:t>
      </w:r>
    </w:p>
    <w:p w14:paraId="566299E5"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Operación</w:t>
      </w:r>
    </w:p>
    <w:p w14:paraId="1FB6B9BD"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Consultoría</w:t>
      </w:r>
    </w:p>
    <w:p w14:paraId="40004F71" w14:textId="77777777" w:rsidR="00CE431D" w:rsidRPr="00E61ED7" w:rsidRDefault="00CE431D" w:rsidP="00CE431D">
      <w:pPr>
        <w:numPr>
          <w:ilvl w:val="0"/>
          <w:numId w:val="8"/>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Auditoría</w:t>
      </w:r>
    </w:p>
    <w:p w14:paraId="66F47C56"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Las condiciones de evaluación para servicios incluyen además:</w:t>
      </w:r>
    </w:p>
    <w:p w14:paraId="4C52EAB9" w14:textId="77777777" w:rsidR="00CE431D" w:rsidRPr="00E61ED7" w:rsidRDefault="00CE431D" w:rsidP="00CE431D">
      <w:pPr>
        <w:numPr>
          <w:ilvl w:val="0"/>
          <w:numId w:val="9"/>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Experiencia demostrable.</w:t>
      </w:r>
    </w:p>
    <w:p w14:paraId="2403A23C" w14:textId="77777777" w:rsidR="00CE431D" w:rsidRPr="00E61ED7" w:rsidRDefault="00CE431D" w:rsidP="00CE431D">
      <w:pPr>
        <w:numPr>
          <w:ilvl w:val="0"/>
          <w:numId w:val="9"/>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Certificaciones del personal.</w:t>
      </w:r>
    </w:p>
    <w:p w14:paraId="3A73A845" w14:textId="77777777" w:rsidR="00CE431D" w:rsidRPr="00E61ED7" w:rsidRDefault="00CE431D" w:rsidP="00CE431D">
      <w:pPr>
        <w:numPr>
          <w:ilvl w:val="0"/>
          <w:numId w:val="9"/>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Perfil técnico del equipo asignado.</w:t>
      </w:r>
    </w:p>
    <w:p w14:paraId="040BA886"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7. Roles Técnicos</w:t>
      </w:r>
    </w:p>
    <w:p w14:paraId="4E4CE271"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Las hojas “Rol 1” a “Rol 10” establecen perfiles mínimos requeridos para servicios especializados.</w:t>
      </w:r>
    </w:p>
    <w:p w14:paraId="7697D7A5"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Cada rol debe cumplir con:</w:t>
      </w:r>
    </w:p>
    <w:p w14:paraId="3A38BBE5" w14:textId="77777777" w:rsidR="00CE431D" w:rsidRPr="00E61ED7" w:rsidRDefault="00CE431D" w:rsidP="00CE431D">
      <w:pPr>
        <w:numPr>
          <w:ilvl w:val="0"/>
          <w:numId w:val="10"/>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Experiencia mínima comprobable.</w:t>
      </w:r>
    </w:p>
    <w:p w14:paraId="2D8D09B3" w14:textId="77777777" w:rsidR="00CE431D" w:rsidRPr="00E61ED7" w:rsidRDefault="00CE431D" w:rsidP="00CE431D">
      <w:pPr>
        <w:numPr>
          <w:ilvl w:val="0"/>
          <w:numId w:val="10"/>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Certificaciones vigentes.</w:t>
      </w:r>
    </w:p>
    <w:p w14:paraId="16B9D2C6" w14:textId="77777777" w:rsidR="00CE431D" w:rsidRPr="00E61ED7" w:rsidRDefault="00CE431D" w:rsidP="00CE431D">
      <w:pPr>
        <w:numPr>
          <w:ilvl w:val="0"/>
          <w:numId w:val="10"/>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Nivel de especialización acorde al servicio.</w:t>
      </w:r>
    </w:p>
    <w:p w14:paraId="71D7B8FD" w14:textId="77777777" w:rsidR="00CE431D" w:rsidRPr="00E61ED7" w:rsidRDefault="00CE431D" w:rsidP="00CE431D">
      <w:pPr>
        <w:numPr>
          <w:ilvl w:val="0"/>
          <w:numId w:val="10"/>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Definición clara de responsabilidades.</w:t>
      </w:r>
    </w:p>
    <w:p w14:paraId="7BE0B18D"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lastRenderedPageBreak/>
        <w:t>La Entidad Compradora podrá exigir validación documental del perfil asignado antes del inicio del servicio.</w:t>
      </w:r>
    </w:p>
    <w:p w14:paraId="3A75F4E2"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8. Evaluación y Verificación</w:t>
      </w:r>
    </w:p>
    <w:p w14:paraId="5A40514D"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 evaluación de las fichas técnicas se realizará bajo los siguientes criterios:</w:t>
      </w:r>
    </w:p>
    <w:p w14:paraId="707BD096" w14:textId="77777777" w:rsidR="00CE431D" w:rsidRPr="00E61ED7" w:rsidRDefault="00CE431D" w:rsidP="00CE431D">
      <w:pPr>
        <w:numPr>
          <w:ilvl w:val="0"/>
          <w:numId w:val="1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Cumplimiento total de requisitos obligatorios.</w:t>
      </w:r>
    </w:p>
    <w:p w14:paraId="58FDED9F" w14:textId="77777777" w:rsidR="00CE431D" w:rsidRPr="00E61ED7" w:rsidRDefault="00CE431D" w:rsidP="00CE431D">
      <w:pPr>
        <w:numPr>
          <w:ilvl w:val="0"/>
          <w:numId w:val="1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Evidencia técnica suficiente.</w:t>
      </w:r>
    </w:p>
    <w:p w14:paraId="2091D297" w14:textId="77777777" w:rsidR="00CE431D" w:rsidRPr="00E61ED7" w:rsidRDefault="00CE431D" w:rsidP="00CE431D">
      <w:pPr>
        <w:numPr>
          <w:ilvl w:val="0"/>
          <w:numId w:val="1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Coherencia entre capacidades declaradas y documentación aportada.</w:t>
      </w:r>
    </w:p>
    <w:p w14:paraId="1548BEEE" w14:textId="77777777" w:rsidR="00CE431D" w:rsidRPr="00E61ED7" w:rsidRDefault="00CE431D" w:rsidP="00CE431D">
      <w:pPr>
        <w:numPr>
          <w:ilvl w:val="0"/>
          <w:numId w:val="11"/>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contradicción con información pública del fabricante.</w:t>
      </w:r>
    </w:p>
    <w:p w14:paraId="22D15C4C"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 omisión de evidencia podrá generar rechazo del producto en el catálogo.</w:t>
      </w:r>
    </w:p>
    <w:p w14:paraId="13060377" w14:textId="77777777"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9. Uso por Parte de las Entidades Compradoras</w:t>
      </w:r>
    </w:p>
    <w:p w14:paraId="68BFBA9A"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La Entidad Compradora deberá:</w:t>
      </w:r>
    </w:p>
    <w:p w14:paraId="1E66A600" w14:textId="77777777" w:rsidR="00CE431D" w:rsidRPr="00E61ED7" w:rsidRDefault="00CE431D" w:rsidP="00CE431D">
      <w:pPr>
        <w:numPr>
          <w:ilvl w:val="0"/>
          <w:numId w:val="1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Analizar su arquitectura y necesidades previas.</w:t>
      </w:r>
    </w:p>
    <w:p w14:paraId="62FB11BC" w14:textId="77777777" w:rsidR="00CE431D" w:rsidRPr="00E61ED7" w:rsidRDefault="00CE431D" w:rsidP="00CE431D">
      <w:pPr>
        <w:numPr>
          <w:ilvl w:val="0"/>
          <w:numId w:val="1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Identificar el segmento correspondiente.</w:t>
      </w:r>
    </w:p>
    <w:p w14:paraId="54E43AED" w14:textId="77777777" w:rsidR="00CE431D" w:rsidRPr="00E61ED7" w:rsidRDefault="00CE431D" w:rsidP="00CE431D">
      <w:pPr>
        <w:numPr>
          <w:ilvl w:val="0"/>
          <w:numId w:val="1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Solicitar cotización a los canales habilitados.</w:t>
      </w:r>
    </w:p>
    <w:p w14:paraId="52B589F0" w14:textId="77777777" w:rsidR="00CE431D" w:rsidRPr="00E61ED7" w:rsidRDefault="00CE431D" w:rsidP="00CE431D">
      <w:pPr>
        <w:numPr>
          <w:ilvl w:val="0"/>
          <w:numId w:val="1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Justificar la selección del fabricante escogido.</w:t>
      </w:r>
    </w:p>
    <w:p w14:paraId="19798EFC" w14:textId="77777777" w:rsidR="00CE431D" w:rsidRPr="00E61ED7" w:rsidRDefault="00CE431D" w:rsidP="00CE431D">
      <w:pPr>
        <w:numPr>
          <w:ilvl w:val="0"/>
          <w:numId w:val="12"/>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Verificar cumplimiento de requisitos mínimos antes de colocar la Orden de Compra.</w:t>
      </w:r>
    </w:p>
    <w:p w14:paraId="2B68A968" w14:textId="2B5CD8E4" w:rsidR="00CE431D" w:rsidRPr="00E61ED7" w:rsidRDefault="00CE431D" w:rsidP="00CE431D">
      <w:pPr>
        <w:spacing w:before="100" w:beforeAutospacing="1" w:after="100" w:afterAutospacing="1" w:line="240" w:lineRule="auto"/>
        <w:jc w:val="both"/>
        <w:outlineLvl w:val="1"/>
        <w:rPr>
          <w:rFonts w:ascii="Verdana" w:eastAsia="Times New Roman" w:hAnsi="Verdana" w:cs="Times New Roman"/>
          <w:b/>
          <w:bCs/>
          <w:lang w:eastAsia="es-CO"/>
        </w:rPr>
      </w:pPr>
      <w:r w:rsidRPr="00E61ED7">
        <w:rPr>
          <w:rFonts w:ascii="Verdana" w:eastAsia="Times New Roman" w:hAnsi="Verdana" w:cs="Times New Roman"/>
          <w:b/>
          <w:bCs/>
          <w:lang w:eastAsia="es-CO"/>
        </w:rPr>
        <w:t>1</w:t>
      </w:r>
      <w:r w:rsidR="00E02852">
        <w:rPr>
          <w:rFonts w:ascii="Verdana" w:eastAsia="Times New Roman" w:hAnsi="Verdana" w:cs="Times New Roman"/>
          <w:b/>
          <w:bCs/>
          <w:lang w:eastAsia="es-CO"/>
        </w:rPr>
        <w:t>0</w:t>
      </w:r>
      <w:r w:rsidRPr="00E61ED7">
        <w:rPr>
          <w:rFonts w:ascii="Verdana" w:eastAsia="Times New Roman" w:hAnsi="Verdana" w:cs="Times New Roman"/>
          <w:b/>
          <w:bCs/>
          <w:lang w:eastAsia="es-CO"/>
        </w:rPr>
        <w:t>. Alcance y Limitaciones</w:t>
      </w:r>
    </w:p>
    <w:p w14:paraId="6937CA21" w14:textId="77777777" w:rsidR="00CE431D" w:rsidRPr="00E61ED7" w:rsidRDefault="00CE431D" w:rsidP="00CE431D">
      <w:p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El presente modelo:</w:t>
      </w:r>
    </w:p>
    <w:p w14:paraId="1C523B8B" w14:textId="77777777" w:rsidR="00CE431D" w:rsidRPr="00E61ED7" w:rsidRDefault="00CE431D" w:rsidP="00CE431D">
      <w:pPr>
        <w:numPr>
          <w:ilvl w:val="0"/>
          <w:numId w:val="1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sustituye los estudios previos que debe realizar cada Entidad Compradora.</w:t>
      </w:r>
    </w:p>
    <w:p w14:paraId="19C2F806" w14:textId="77777777" w:rsidR="00CE431D" w:rsidRPr="00E61ED7" w:rsidRDefault="00CE431D" w:rsidP="00CE431D">
      <w:pPr>
        <w:numPr>
          <w:ilvl w:val="0"/>
          <w:numId w:val="1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exonera al Proveedor de responsabilidad técnica.</w:t>
      </w:r>
    </w:p>
    <w:p w14:paraId="67B1BE51" w14:textId="77777777" w:rsidR="00CE431D" w:rsidRPr="00E61ED7" w:rsidRDefault="00CE431D" w:rsidP="00CE431D">
      <w:pPr>
        <w:numPr>
          <w:ilvl w:val="0"/>
          <w:numId w:val="14"/>
        </w:numPr>
        <w:spacing w:before="100" w:beforeAutospacing="1" w:after="100" w:afterAutospacing="1" w:line="240" w:lineRule="auto"/>
        <w:jc w:val="both"/>
        <w:rPr>
          <w:rFonts w:ascii="Verdana" w:eastAsia="Times New Roman" w:hAnsi="Verdana" w:cs="Times New Roman"/>
          <w:lang w:eastAsia="es-CO"/>
        </w:rPr>
      </w:pPr>
      <w:r w:rsidRPr="00E61ED7">
        <w:rPr>
          <w:rFonts w:ascii="Verdana" w:eastAsia="Times New Roman" w:hAnsi="Verdana" w:cs="Times New Roman"/>
          <w:lang w:eastAsia="es-CO"/>
        </w:rPr>
        <w:t>No constituye garantía automática de adecuación a todos los entornos.</w:t>
      </w:r>
    </w:p>
    <w:p w14:paraId="1F40FBC3" w14:textId="15666380" w:rsidR="00CE431D" w:rsidRPr="00CE431D" w:rsidRDefault="00CE431D" w:rsidP="00EE3FA1">
      <w:pPr>
        <w:spacing w:before="100" w:beforeAutospacing="1" w:after="100" w:afterAutospacing="1" w:line="240" w:lineRule="auto"/>
        <w:jc w:val="both"/>
        <w:rPr>
          <w:rFonts w:ascii="Verdana" w:hAnsi="Verdana"/>
          <w:sz w:val="18"/>
          <w:szCs w:val="18"/>
          <w:lang w:val="es-ES_tradnl"/>
        </w:rPr>
      </w:pPr>
      <w:r w:rsidRPr="00E61ED7">
        <w:rPr>
          <w:rFonts w:ascii="Verdana" w:eastAsia="Times New Roman" w:hAnsi="Verdana" w:cs="Times New Roman"/>
          <w:lang w:eastAsia="es-CO"/>
        </w:rPr>
        <w:t>La selección final del producto deberá responder al análisis de riesgo institucional y a la arquitectura de ciberseguridad definida por la Entidad.</w:t>
      </w:r>
    </w:p>
    <w:sectPr w:rsidR="00CE431D" w:rsidRPr="00CE431D">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F71C6" w14:textId="77777777" w:rsidR="003909BD" w:rsidRDefault="003909BD" w:rsidP="00841637">
      <w:pPr>
        <w:spacing w:after="0" w:line="240" w:lineRule="auto"/>
      </w:pPr>
      <w:r>
        <w:separator/>
      </w:r>
    </w:p>
  </w:endnote>
  <w:endnote w:type="continuationSeparator" w:id="0">
    <w:p w14:paraId="60722847" w14:textId="77777777" w:rsidR="003909BD" w:rsidRDefault="003909BD" w:rsidP="0084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E8E97" w14:textId="77777777" w:rsidR="00AF0E21" w:rsidRPr="00174B77" w:rsidRDefault="00AF0E21" w:rsidP="00557D03">
    <w:pPr>
      <w:pBdr>
        <w:top w:val="single" w:sz="4" w:space="1" w:color="auto"/>
      </w:pBdr>
      <w:spacing w:after="0"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65012081" w14:textId="77777777" w:rsidR="00AF0E21" w:rsidRDefault="00AF0E21" w:rsidP="00557D03">
    <w:pPr>
      <w:spacing w:after="0" w:line="276" w:lineRule="auto"/>
      <w:rPr>
        <w:rFonts w:ascii="Verdana" w:hAnsi="Verdana"/>
        <w:sz w:val="18"/>
        <w:szCs w:val="18"/>
      </w:rPr>
    </w:pPr>
    <w:r w:rsidRPr="00E41027">
      <w:rPr>
        <w:rFonts w:ascii="Verdana" w:hAnsi="Verdana"/>
        <w:sz w:val="18"/>
        <w:szCs w:val="18"/>
      </w:rPr>
      <w:t>Dirección: Carrera 7 # 26 – 20 - Bogotá, Colombia</w:t>
    </w:r>
  </w:p>
  <w:p w14:paraId="7748D30C" w14:textId="77777777" w:rsidR="00AF0E21" w:rsidRDefault="00AF0E21" w:rsidP="00557D03">
    <w:pPr>
      <w:spacing w:after="0" w:line="276" w:lineRule="auto"/>
      <w:rPr>
        <w:rFonts w:ascii="Verdana" w:hAnsi="Verdana"/>
        <w:sz w:val="18"/>
        <w:szCs w:val="18"/>
      </w:rPr>
    </w:pPr>
    <w:r w:rsidRPr="00E41027">
      <w:rPr>
        <w:rFonts w:ascii="Verdana" w:hAnsi="Verdana"/>
        <w:sz w:val="18"/>
        <w:szCs w:val="18"/>
      </w:rPr>
      <w:t>Mesa de servicio: (+57) 601 7456788</w:t>
    </w:r>
  </w:p>
  <w:p w14:paraId="3FD55990" w14:textId="77777777" w:rsidR="00AF0E21" w:rsidRDefault="00AF0E21" w:rsidP="00557D03">
    <w:pPr>
      <w:spacing w:after="0"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5F36CFE2" w14:textId="77777777" w:rsidR="00AF0E21" w:rsidRDefault="00AF0E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CDA47" w14:textId="77777777" w:rsidR="003909BD" w:rsidRDefault="003909BD" w:rsidP="00841637">
      <w:pPr>
        <w:spacing w:after="0" w:line="240" w:lineRule="auto"/>
      </w:pPr>
      <w:r>
        <w:separator/>
      </w:r>
    </w:p>
  </w:footnote>
  <w:footnote w:type="continuationSeparator" w:id="0">
    <w:p w14:paraId="46EA8570" w14:textId="77777777" w:rsidR="003909BD" w:rsidRDefault="003909BD" w:rsidP="00841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D77F" w14:textId="77777777" w:rsidR="009E2AA2" w:rsidRDefault="009E2AA2" w:rsidP="009E2AA2"/>
  <w:p w14:paraId="7E53F76D" w14:textId="77777777" w:rsidR="009E2AA2" w:rsidRDefault="009E2AA2" w:rsidP="009E2AA2"/>
  <w:p w14:paraId="76481E0F" w14:textId="77777777" w:rsidR="009E2AA2" w:rsidRDefault="009E2AA2" w:rsidP="009E2AA2">
    <w:r>
      <w:rPr>
        <w:rFonts w:ascii="Geomanist Bold" w:hAnsi="Geomanist Bold" w:cs="Arial"/>
        <w:b/>
        <w:bCs/>
        <w:noProof/>
        <w:color w:val="002060"/>
        <w:szCs w:val="20"/>
      </w:rPr>
      <w:drawing>
        <wp:anchor distT="0" distB="0" distL="114300" distR="114300" simplePos="0" relativeHeight="251659264" behindDoc="1" locked="0" layoutInCell="1" allowOverlap="1" wp14:anchorId="7FBA35CD" wp14:editId="25AEED9D">
          <wp:simplePos x="0" y="0"/>
          <wp:positionH relativeFrom="margin">
            <wp:align>center</wp:align>
          </wp:positionH>
          <wp:positionV relativeFrom="page">
            <wp:posOffset>680085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7B62341" w14:textId="77777777" w:rsidR="009E2AA2" w:rsidRDefault="009E2AA2" w:rsidP="009E2AA2"/>
  <w:p w14:paraId="7CFDEEF8" w14:textId="77777777" w:rsidR="009E2AA2" w:rsidRPr="00D36010" w:rsidRDefault="009E2AA2" w:rsidP="009E2AA2">
    <w:pPr>
      <w:rPr>
        <w:rFonts w:ascii="Verdana" w:hAnsi="Verdana"/>
        <w:b/>
        <w:bCs/>
      </w:rPr>
    </w:pPr>
    <w:r>
      <w:rPr>
        <w:rFonts w:ascii="Verdana" w:hAnsi="Verdana"/>
        <w:b/>
        <w:bCs/>
      </w:rPr>
      <w:t>ANEXO 2 – ESTRUCTURA FICHAS TÉCNICAS</w:t>
    </w:r>
  </w:p>
  <w:p w14:paraId="34C5A385" w14:textId="77777777" w:rsidR="009E2AA2" w:rsidRPr="009060E4" w:rsidRDefault="009E2AA2" w:rsidP="009E2AA2">
    <w:pPr>
      <w:pStyle w:val="Encabezado"/>
      <w:rPr>
        <w:rFonts w:ascii="Century Gothic" w:hAnsi="Century Gothic"/>
        <w:sz w:val="16"/>
        <w:szCs w:val="16"/>
      </w:rPr>
    </w:pPr>
    <w:r w:rsidRPr="009060E4">
      <w:rPr>
        <w:rFonts w:ascii="Century Gothic" w:hAnsi="Century Gothic"/>
        <w:b/>
        <w:bCs/>
        <w:sz w:val="16"/>
        <w:szCs w:val="16"/>
      </w:rPr>
      <w:t>CÓDIGO:</w:t>
    </w:r>
    <w:r w:rsidRPr="009060E4">
      <w:rPr>
        <w:rFonts w:ascii="Century Gothic" w:hAnsi="Century Gothic"/>
        <w:sz w:val="16"/>
        <w:szCs w:val="16"/>
      </w:rPr>
      <w:t xml:space="preserve"> CCE-GAD-FM-14           </w:t>
    </w:r>
  </w:p>
  <w:p w14:paraId="1D1EEFB9" w14:textId="77777777" w:rsidR="009E2AA2" w:rsidRPr="009060E4" w:rsidRDefault="009E2AA2" w:rsidP="009E2AA2">
    <w:pPr>
      <w:pStyle w:val="Encabezado"/>
      <w:rPr>
        <w:rFonts w:ascii="Century Gothic" w:hAnsi="Century Gothic"/>
        <w:sz w:val="16"/>
        <w:szCs w:val="16"/>
      </w:rPr>
    </w:pPr>
    <w:r w:rsidRPr="009060E4">
      <w:rPr>
        <w:rFonts w:ascii="Century Gothic" w:hAnsi="Century Gothic"/>
        <w:b/>
        <w:bCs/>
        <w:sz w:val="16"/>
        <w:szCs w:val="16"/>
      </w:rPr>
      <w:t>VERSIÓN:</w:t>
    </w:r>
    <w:r w:rsidRPr="009060E4">
      <w:rPr>
        <w:rFonts w:ascii="Century Gothic" w:hAnsi="Century Gothic"/>
        <w:sz w:val="16"/>
        <w:szCs w:val="16"/>
      </w:rPr>
      <w:t xml:space="preserve"> 01 DEL 02 DE AGOSTO DE 2022</w:t>
    </w:r>
  </w:p>
  <w:p w14:paraId="7ED4709E" w14:textId="074366A6" w:rsidR="00841637" w:rsidRDefault="009E2AA2" w:rsidP="009E2AA2">
    <w:pPr>
      <w:pStyle w:val="Encabezado"/>
    </w:pP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7E13"/>
    <w:multiLevelType w:val="multilevel"/>
    <w:tmpl w:val="E786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A638C"/>
    <w:multiLevelType w:val="multilevel"/>
    <w:tmpl w:val="A1BA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94303"/>
    <w:multiLevelType w:val="multilevel"/>
    <w:tmpl w:val="282E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B23C4"/>
    <w:multiLevelType w:val="multilevel"/>
    <w:tmpl w:val="AC18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D5059"/>
    <w:multiLevelType w:val="multilevel"/>
    <w:tmpl w:val="6A2A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FB7BD4"/>
    <w:multiLevelType w:val="multilevel"/>
    <w:tmpl w:val="6B6C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31A78"/>
    <w:multiLevelType w:val="multilevel"/>
    <w:tmpl w:val="668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43E7D"/>
    <w:multiLevelType w:val="multilevel"/>
    <w:tmpl w:val="2910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64FAE"/>
    <w:multiLevelType w:val="multilevel"/>
    <w:tmpl w:val="0434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5A23E2"/>
    <w:multiLevelType w:val="multilevel"/>
    <w:tmpl w:val="80C8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B7B87"/>
    <w:multiLevelType w:val="multilevel"/>
    <w:tmpl w:val="8E6E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AF0E4C"/>
    <w:multiLevelType w:val="multilevel"/>
    <w:tmpl w:val="70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6E013E"/>
    <w:multiLevelType w:val="multilevel"/>
    <w:tmpl w:val="B9F2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9644D3"/>
    <w:multiLevelType w:val="multilevel"/>
    <w:tmpl w:val="1AF4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802957">
    <w:abstractNumId w:val="6"/>
  </w:num>
  <w:num w:numId="2" w16cid:durableId="930890226">
    <w:abstractNumId w:val="7"/>
  </w:num>
  <w:num w:numId="3" w16cid:durableId="732854851">
    <w:abstractNumId w:val="4"/>
  </w:num>
  <w:num w:numId="4" w16cid:durableId="870339648">
    <w:abstractNumId w:val="2"/>
  </w:num>
  <w:num w:numId="5" w16cid:durableId="17661229">
    <w:abstractNumId w:val="3"/>
  </w:num>
  <w:num w:numId="6" w16cid:durableId="1794130668">
    <w:abstractNumId w:val="13"/>
  </w:num>
  <w:num w:numId="7" w16cid:durableId="1533036115">
    <w:abstractNumId w:val="8"/>
  </w:num>
  <w:num w:numId="8" w16cid:durableId="149106182">
    <w:abstractNumId w:val="12"/>
  </w:num>
  <w:num w:numId="9" w16cid:durableId="1583107102">
    <w:abstractNumId w:val="11"/>
  </w:num>
  <w:num w:numId="10" w16cid:durableId="621807018">
    <w:abstractNumId w:val="1"/>
  </w:num>
  <w:num w:numId="11" w16cid:durableId="1199777188">
    <w:abstractNumId w:val="9"/>
  </w:num>
  <w:num w:numId="12" w16cid:durableId="1088577424">
    <w:abstractNumId w:val="10"/>
  </w:num>
  <w:num w:numId="13" w16cid:durableId="1605073659">
    <w:abstractNumId w:val="0"/>
  </w:num>
  <w:num w:numId="14" w16cid:durableId="1359984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637"/>
    <w:rsid w:val="003627CF"/>
    <w:rsid w:val="003909BD"/>
    <w:rsid w:val="00416D9F"/>
    <w:rsid w:val="00494AA6"/>
    <w:rsid w:val="004B717A"/>
    <w:rsid w:val="00547DEB"/>
    <w:rsid w:val="00557D03"/>
    <w:rsid w:val="00841637"/>
    <w:rsid w:val="0091403D"/>
    <w:rsid w:val="009E2AA2"/>
    <w:rsid w:val="00AF0E21"/>
    <w:rsid w:val="00BB7737"/>
    <w:rsid w:val="00CE431D"/>
    <w:rsid w:val="00D472B4"/>
    <w:rsid w:val="00E02852"/>
    <w:rsid w:val="00EE3FA1"/>
    <w:rsid w:val="00F90C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3DC6B"/>
  <w15:chartTrackingRefBased/>
  <w15:docId w15:val="{ADE62B58-05A4-4298-9B0F-02A360A4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16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1637"/>
  </w:style>
  <w:style w:type="paragraph" w:styleId="Piedepgina">
    <w:name w:val="footer"/>
    <w:basedOn w:val="Normal"/>
    <w:link w:val="PiedepginaCar"/>
    <w:uiPriority w:val="99"/>
    <w:unhideWhenUsed/>
    <w:rsid w:val="008416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1637"/>
  </w:style>
  <w:style w:type="character" w:customStyle="1" w:styleId="normaltextrun">
    <w:name w:val="normaltextrun"/>
    <w:basedOn w:val="Fuentedeprrafopredeter"/>
    <w:rsid w:val="00F90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017223">
      <w:bodyDiv w:val="1"/>
      <w:marLeft w:val="0"/>
      <w:marRight w:val="0"/>
      <w:marTop w:val="0"/>
      <w:marBottom w:val="0"/>
      <w:divBdr>
        <w:top w:val="none" w:sz="0" w:space="0" w:color="auto"/>
        <w:left w:val="none" w:sz="0" w:space="0" w:color="auto"/>
        <w:bottom w:val="none" w:sz="0" w:space="0" w:color="auto"/>
        <w:right w:val="none" w:sz="0" w:space="0" w:color="auto"/>
      </w:divBdr>
      <w:divsChild>
        <w:div w:id="1914660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829573-8270-4DC1-9872-EB38D171056D}">
  <ds:schemaRefs>
    <ds:schemaRef ds:uri="http://schemas.microsoft.com/sharepoint/v3/contenttype/forms"/>
  </ds:schemaRefs>
</ds:datastoreItem>
</file>

<file path=customXml/itemProps2.xml><?xml version="1.0" encoding="utf-8"?>
<ds:datastoreItem xmlns:ds="http://schemas.openxmlformats.org/officeDocument/2006/customXml" ds:itemID="{CCCA78A9-16B5-4D81-9CF1-246BEBAAA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2295BF-3459-4829-900A-8D66D751B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974</Words>
  <Characters>6343</Characters>
  <Application>Microsoft Office Word</Application>
  <DocSecurity>0</DocSecurity>
  <Lines>166</Lines>
  <Paragraphs>130</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Mauricio Vargas Forero</dc:creator>
  <cp:keywords/>
  <dc:description/>
  <cp:lastModifiedBy>Daniel Pardo Lopez</cp:lastModifiedBy>
  <cp:revision>14</cp:revision>
  <dcterms:created xsi:type="dcterms:W3CDTF">2026-02-24T03:19:00Z</dcterms:created>
  <dcterms:modified xsi:type="dcterms:W3CDTF">2026-03-19T15:53:00Z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ies>
</file>