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5E732B" w:rsidRDefault="0077727E" w:rsidP="00BC5FB4">
      <w:pPr>
        <w:jc w:val="center"/>
        <w:rPr>
          <w:rFonts w:ascii="Bookman Old Style" w:hAnsi="Bookman Old Style" w:cs="Arial"/>
          <w:b/>
          <w:sz w:val="18"/>
          <w:szCs w:val="18"/>
        </w:rPr>
      </w:pPr>
      <w:r w:rsidRPr="005E732B">
        <w:rPr>
          <w:rFonts w:ascii="Bookman Old Style" w:hAnsi="Bookman Old Style" w:cs="Arial"/>
          <w:b/>
          <w:sz w:val="18"/>
          <w:szCs w:val="18"/>
        </w:rPr>
        <w:t>MATRIZ 3</w:t>
      </w:r>
      <w:r w:rsidR="00136C78" w:rsidRPr="005E732B">
        <w:rPr>
          <w:rFonts w:ascii="Bookman Old Style" w:hAnsi="Bookman Old Style" w:cs="Arial"/>
          <w:b/>
          <w:sz w:val="18"/>
          <w:szCs w:val="18"/>
        </w:rPr>
        <w:t xml:space="preserve"> - </w:t>
      </w:r>
      <w:r w:rsidRPr="005E732B">
        <w:rPr>
          <w:rFonts w:ascii="Bookman Old Style" w:hAnsi="Bookman Old Style" w:cs="Arial"/>
          <w:b/>
          <w:sz w:val="18"/>
          <w:szCs w:val="18"/>
        </w:rPr>
        <w:t>RIESGOS</w:t>
      </w:r>
    </w:p>
    <w:p w14:paraId="7241FB81" w14:textId="77777777" w:rsidR="00BC5FB4" w:rsidRDefault="00BC5FB4" w:rsidP="00BC5FB4">
      <w:pPr>
        <w:rPr>
          <w:rFonts w:ascii="Bookman Old Style" w:hAnsi="Bookman Old Style" w:cs="Arial"/>
          <w:sz w:val="18"/>
          <w:szCs w:val="18"/>
          <w:lang w:val="es-ES_tradnl" w:eastAsia="es-CO"/>
        </w:rPr>
      </w:pPr>
    </w:p>
    <w:p w14:paraId="375D8135" w14:textId="37DE9D36" w:rsidR="005E732B" w:rsidRPr="005E732B" w:rsidRDefault="005E732B" w:rsidP="00BC5FB4">
      <w:pPr>
        <w:rPr>
          <w:rFonts w:ascii="Bookman Old Style" w:hAnsi="Bookman Old Style" w:cs="Arial"/>
          <w:sz w:val="18"/>
          <w:szCs w:val="18"/>
          <w:lang w:val="es-ES_tradnl" w:eastAsia="es-CO"/>
        </w:rPr>
      </w:pPr>
      <w:r w:rsidRPr="005E732B">
        <w:rPr>
          <w:rFonts w:ascii="Bookman Old Style" w:hAnsi="Bookman Old Style" w:cs="Arial"/>
          <w:sz w:val="18"/>
          <w:szCs w:val="18"/>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1932AB8B" w14:textId="77777777" w:rsidR="005E732B" w:rsidRPr="005E732B" w:rsidRDefault="005E732B" w:rsidP="00BC5FB4">
      <w:pPr>
        <w:rPr>
          <w:rFonts w:ascii="Bookman Old Style" w:hAnsi="Bookman Old Style" w:cs="Arial"/>
          <w:sz w:val="18"/>
          <w:szCs w:val="18"/>
          <w:lang w:val="es-ES_tradnl" w:eastAsia="es-CO"/>
        </w:rPr>
      </w:pPr>
    </w:p>
    <w:p w14:paraId="47EBAC71" w14:textId="77777777" w:rsidR="005E732B" w:rsidRPr="005E732B" w:rsidRDefault="005E732B" w:rsidP="00BC5FB4">
      <w:pPr>
        <w:rPr>
          <w:rFonts w:ascii="Bookman Old Style" w:hAnsi="Bookman Old Style" w:cs="Arial"/>
          <w:sz w:val="18"/>
          <w:szCs w:val="18"/>
          <w:lang w:val="es-ES_tradnl" w:eastAsia="es-CO"/>
        </w:rPr>
      </w:pPr>
      <w:r w:rsidRPr="005E732B">
        <w:rPr>
          <w:rFonts w:ascii="Bookman Old Style" w:hAnsi="Bookman Old Style" w:cs="Arial"/>
          <w:sz w:val="18"/>
          <w:szCs w:val="18"/>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74346B0" w14:textId="77777777" w:rsidR="005E732B" w:rsidRPr="005E732B" w:rsidRDefault="005E732B" w:rsidP="00BC5FB4">
      <w:pPr>
        <w:rPr>
          <w:rFonts w:ascii="Bookman Old Style" w:hAnsi="Bookman Old Style" w:cs="Arial"/>
          <w:sz w:val="18"/>
          <w:szCs w:val="18"/>
          <w:lang w:val="es-ES_tradnl" w:eastAsia="es-CO"/>
        </w:rPr>
      </w:pPr>
    </w:p>
    <w:p w14:paraId="2AFBAD66" w14:textId="77777777" w:rsidR="005E732B" w:rsidRPr="005E732B" w:rsidRDefault="005E732B" w:rsidP="00BC5FB4">
      <w:pPr>
        <w:rPr>
          <w:rFonts w:ascii="Bookman Old Style" w:hAnsi="Bookman Old Style" w:cs="Arial"/>
          <w:sz w:val="18"/>
          <w:szCs w:val="18"/>
          <w:lang w:val="es-ES_tradnl" w:eastAsia="es-CO"/>
        </w:rPr>
      </w:pPr>
      <w:r w:rsidRPr="005E732B">
        <w:rPr>
          <w:rFonts w:ascii="Bookman Old Style" w:hAnsi="Bookman Old Style" w:cs="Arial"/>
          <w:sz w:val="18"/>
          <w:szCs w:val="18"/>
          <w:lang w:val="es-ES_tradnl" w:eastAsia="es-CO"/>
        </w:rPr>
        <w:t>De acuerdo con procedimiento de la referencia, nos permitimos establecer la tipificación, estimación y asignación de los riesgos previsibles que puedan afectar el presente procedimiento.</w:t>
      </w:r>
    </w:p>
    <w:p w14:paraId="1437E545" w14:textId="77777777" w:rsidR="005E732B" w:rsidRPr="005E732B" w:rsidRDefault="005E732B" w:rsidP="00BC5FB4">
      <w:pPr>
        <w:rPr>
          <w:rFonts w:ascii="Bookman Old Style" w:hAnsi="Bookman Old Style" w:cs="Arial"/>
          <w:sz w:val="18"/>
          <w:szCs w:val="18"/>
          <w:lang w:val="es-ES_tradnl" w:eastAsia="es-CO"/>
        </w:rPr>
      </w:pPr>
    </w:p>
    <w:p w14:paraId="3F6338EC" w14:textId="77777777" w:rsidR="005E732B" w:rsidRPr="005E732B" w:rsidRDefault="005E732B" w:rsidP="00BC5FB4">
      <w:pPr>
        <w:rPr>
          <w:rFonts w:ascii="Bookman Old Style" w:eastAsia="Arial" w:hAnsi="Bookman Old Style" w:cs="Arial"/>
          <w:b/>
          <w:bCs/>
          <w:sz w:val="18"/>
          <w:szCs w:val="18"/>
        </w:rPr>
      </w:pPr>
      <w:r w:rsidRPr="005E732B">
        <w:rPr>
          <w:rFonts w:ascii="Bookman Old Style" w:eastAsia="Arial" w:hAnsi="Bookman Old Style" w:cs="Arial"/>
          <w:b/>
          <w:bCs/>
          <w:sz w:val="18"/>
          <w:szCs w:val="18"/>
        </w:rPr>
        <w:t xml:space="preserve">DISTRIBUCIÓN DE RIESGOS QUE ASUME EL MUNICIPIO: </w:t>
      </w:r>
    </w:p>
    <w:p w14:paraId="5C8B79B1" w14:textId="77777777" w:rsidR="005E732B" w:rsidRPr="005E732B" w:rsidRDefault="005E732B" w:rsidP="00BC5FB4">
      <w:pPr>
        <w:rPr>
          <w:rFonts w:ascii="Bookman Old Style" w:eastAsia="Arial" w:hAnsi="Bookman Old Style" w:cs="Arial"/>
          <w:sz w:val="18"/>
          <w:szCs w:val="18"/>
        </w:rPr>
      </w:pPr>
    </w:p>
    <w:p w14:paraId="6DC871D6" w14:textId="77777777" w:rsidR="005E732B" w:rsidRPr="005E732B" w:rsidRDefault="005E732B" w:rsidP="00BC5FB4">
      <w:pPr>
        <w:rPr>
          <w:rFonts w:ascii="Bookman Old Style" w:eastAsia="Arial" w:hAnsi="Bookman Old Style" w:cs="Arial"/>
          <w:sz w:val="18"/>
          <w:szCs w:val="18"/>
        </w:rPr>
      </w:pPr>
      <w:r w:rsidRPr="005E732B">
        <w:rPr>
          <w:rFonts w:ascii="Bookman Old Style" w:eastAsia="Arial" w:hAnsi="Bookman Old Style" w:cs="Arial"/>
          <w:sz w:val="18"/>
          <w:szCs w:val="18"/>
        </w:rPr>
        <w:t xml:space="preserve">A partir de la fecha de suscripción del Contrato, el MUNICIPIO asume, única y exclusivamente, los efectos derivados de los riesgos que se listan a continuación, además de aquellos que de manera expresa y clara se desprendan de otras cláusulas o estipulaciones del Contrato y sus apéndices. </w:t>
      </w:r>
    </w:p>
    <w:p w14:paraId="3DC40638" w14:textId="77777777" w:rsidR="005E732B" w:rsidRPr="005E732B" w:rsidRDefault="005E732B" w:rsidP="00BC5FB4">
      <w:pPr>
        <w:rPr>
          <w:rFonts w:ascii="Bookman Old Style" w:eastAsia="Arial" w:hAnsi="Bookman Old Style" w:cs="Arial"/>
          <w:sz w:val="18"/>
          <w:szCs w:val="18"/>
        </w:rPr>
      </w:pPr>
    </w:p>
    <w:p w14:paraId="242F6657" w14:textId="77777777" w:rsidR="005E732B" w:rsidRPr="005E732B" w:rsidRDefault="005E732B" w:rsidP="00BC5FB4">
      <w:pPr>
        <w:rPr>
          <w:rFonts w:ascii="Bookman Old Style" w:eastAsia="Arial" w:hAnsi="Bookman Old Style" w:cs="Arial"/>
          <w:sz w:val="18"/>
          <w:szCs w:val="18"/>
        </w:rPr>
      </w:pPr>
      <w:r w:rsidRPr="005E732B">
        <w:rPr>
          <w:rFonts w:ascii="Bookman Old Style" w:eastAsia="Arial" w:hAnsi="Bookman Old Style" w:cs="Arial"/>
          <w:sz w:val="18"/>
          <w:szCs w:val="18"/>
        </w:rPr>
        <w:t xml:space="preserve">En todo caso, cuando de la ocurrencia de tales riesgos, se desprenda una obligación de pagar una suma de dinero al Contratista, se entenderá que tal suma de dinero será cancelada en los términos establecidos en las cláusulas aplicables: </w:t>
      </w:r>
    </w:p>
    <w:p w14:paraId="4975E2D5" w14:textId="77777777" w:rsidR="005E732B" w:rsidRPr="005E732B" w:rsidRDefault="005E732B" w:rsidP="00BC5FB4">
      <w:pPr>
        <w:rPr>
          <w:rFonts w:ascii="Bookman Old Style" w:eastAsia="Arial" w:hAnsi="Bookman Old Style" w:cs="Arial"/>
          <w:b/>
          <w:bCs/>
          <w:sz w:val="18"/>
          <w:szCs w:val="18"/>
        </w:rPr>
      </w:pPr>
    </w:p>
    <w:p w14:paraId="4A8BED4E" w14:textId="77777777" w:rsidR="005E732B" w:rsidRPr="005E732B" w:rsidRDefault="005E732B" w:rsidP="00BC5FB4">
      <w:pPr>
        <w:rPr>
          <w:rFonts w:ascii="Bookman Old Style" w:eastAsia="Arial" w:hAnsi="Bookman Old Style" w:cs="Arial"/>
          <w:b/>
          <w:bCs/>
          <w:sz w:val="18"/>
          <w:szCs w:val="18"/>
        </w:rPr>
      </w:pPr>
      <w:r w:rsidRPr="005E732B">
        <w:rPr>
          <w:rFonts w:ascii="Bookman Old Style" w:eastAsia="Arial" w:hAnsi="Bookman Old Style" w:cs="Arial"/>
          <w:b/>
          <w:bCs/>
          <w:sz w:val="18"/>
          <w:szCs w:val="18"/>
        </w:rPr>
        <w:t xml:space="preserve">En el evento que se requiera realizar una expropiación judicial. </w:t>
      </w:r>
    </w:p>
    <w:p w14:paraId="751BA0B3" w14:textId="77777777" w:rsidR="005E732B" w:rsidRPr="005E732B" w:rsidRDefault="005E732B" w:rsidP="00BC5FB4">
      <w:pPr>
        <w:rPr>
          <w:rFonts w:ascii="Bookman Old Style" w:eastAsia="Arial" w:hAnsi="Bookman Old Style" w:cs="Arial"/>
          <w:sz w:val="18"/>
          <w:szCs w:val="18"/>
        </w:rPr>
      </w:pPr>
    </w:p>
    <w:p w14:paraId="3FF0EB4A" w14:textId="77777777" w:rsidR="005E732B" w:rsidRPr="005E732B" w:rsidRDefault="005E732B" w:rsidP="00BC5FB4">
      <w:pPr>
        <w:rPr>
          <w:rFonts w:ascii="Bookman Old Style" w:eastAsia="Arial" w:hAnsi="Bookman Old Style" w:cs="Arial"/>
          <w:sz w:val="18"/>
          <w:szCs w:val="18"/>
        </w:rPr>
      </w:pPr>
      <w:r w:rsidRPr="005E732B">
        <w:rPr>
          <w:rFonts w:ascii="Bookman Old Style" w:eastAsia="Arial" w:hAnsi="Bookman Old Style" w:cs="Arial"/>
          <w:sz w:val="18"/>
          <w:szCs w:val="18"/>
        </w:rPr>
        <w:t xml:space="preserve">1 </w:t>
      </w:r>
      <w:proofErr w:type="gramStart"/>
      <w:r w:rsidRPr="005E732B">
        <w:rPr>
          <w:rFonts w:ascii="Bookman Old Style" w:eastAsia="Arial" w:hAnsi="Bookman Old Style" w:cs="Arial"/>
          <w:sz w:val="18"/>
          <w:szCs w:val="18"/>
        </w:rPr>
        <w:t>Los</w:t>
      </w:r>
      <w:proofErr w:type="gramEnd"/>
      <w:r w:rsidRPr="005E732B">
        <w:rPr>
          <w:rFonts w:ascii="Bookman Old Style" w:eastAsia="Arial" w:hAnsi="Bookman Old Style" w:cs="Arial"/>
          <w:sz w:val="18"/>
          <w:szCs w:val="18"/>
        </w:rPr>
        <w:t xml:space="preserve"> efectos desfavorables, derivados de la existencia de daño emergente del Contratista, por la ocurrencia de hechos de Fuerza Mayor o Caso Fortuito, en los términos del Contrato y la legislación existente. </w:t>
      </w:r>
    </w:p>
    <w:p w14:paraId="187F3DE4" w14:textId="77777777" w:rsidR="005E732B" w:rsidRPr="005E732B" w:rsidRDefault="005E732B" w:rsidP="00BC5FB4">
      <w:pPr>
        <w:rPr>
          <w:rFonts w:ascii="Bookman Old Style" w:eastAsia="Arial" w:hAnsi="Bookman Old Style" w:cs="Arial"/>
          <w:sz w:val="18"/>
          <w:szCs w:val="18"/>
        </w:rPr>
      </w:pPr>
    </w:p>
    <w:p w14:paraId="64761CA8" w14:textId="77777777" w:rsidR="005E732B" w:rsidRPr="005E732B" w:rsidRDefault="005E732B" w:rsidP="00BC5FB4">
      <w:pPr>
        <w:rPr>
          <w:rFonts w:ascii="Bookman Old Style" w:eastAsia="Arial" w:hAnsi="Bookman Old Style" w:cs="Arial"/>
          <w:sz w:val="18"/>
          <w:szCs w:val="18"/>
        </w:rPr>
      </w:pPr>
      <w:r w:rsidRPr="005E732B">
        <w:rPr>
          <w:rFonts w:ascii="Bookman Old Style" w:eastAsia="Arial" w:hAnsi="Bookman Old Style" w:cs="Arial"/>
          <w:sz w:val="18"/>
          <w:szCs w:val="18"/>
        </w:rPr>
        <w:t xml:space="preserve">2 </w:t>
      </w:r>
      <w:proofErr w:type="gramStart"/>
      <w:r w:rsidRPr="005E732B">
        <w:rPr>
          <w:rFonts w:ascii="Bookman Old Style" w:eastAsia="Arial" w:hAnsi="Bookman Old Style" w:cs="Arial"/>
          <w:sz w:val="18"/>
          <w:szCs w:val="18"/>
        </w:rPr>
        <w:t>Los</w:t>
      </w:r>
      <w:proofErr w:type="gramEnd"/>
      <w:r w:rsidRPr="005E732B">
        <w:rPr>
          <w:rFonts w:ascii="Bookman Old Style" w:eastAsia="Arial" w:hAnsi="Bookman Old Style" w:cs="Arial"/>
          <w:sz w:val="18"/>
          <w:szCs w:val="18"/>
        </w:rPr>
        <w:t xml:space="preserve"> efectos desfavorables originados por nuevas normas durante la ejecución del contrato y que sean aplicables al proyecto. </w:t>
      </w:r>
    </w:p>
    <w:p w14:paraId="22364827" w14:textId="77777777" w:rsidR="005E732B" w:rsidRPr="005E732B" w:rsidRDefault="005E732B" w:rsidP="00BC5FB4">
      <w:pPr>
        <w:rPr>
          <w:rFonts w:ascii="Bookman Old Style" w:eastAsia="Arial" w:hAnsi="Bookman Old Style" w:cs="Arial"/>
          <w:sz w:val="18"/>
          <w:szCs w:val="18"/>
        </w:rPr>
      </w:pPr>
    </w:p>
    <w:p w14:paraId="177AC1F5" w14:textId="77777777" w:rsidR="005E732B" w:rsidRPr="005E732B" w:rsidRDefault="005E732B" w:rsidP="00BC5FB4">
      <w:pPr>
        <w:rPr>
          <w:rFonts w:ascii="Bookman Old Style" w:eastAsia="Arial" w:hAnsi="Bookman Old Style" w:cs="Arial"/>
          <w:b/>
          <w:bCs/>
          <w:sz w:val="18"/>
          <w:szCs w:val="18"/>
        </w:rPr>
      </w:pPr>
      <w:r w:rsidRPr="005E732B">
        <w:rPr>
          <w:rFonts w:ascii="Bookman Old Style" w:eastAsia="Arial" w:hAnsi="Bookman Old Style" w:cs="Arial"/>
          <w:sz w:val="18"/>
          <w:szCs w:val="18"/>
        </w:rPr>
        <w:t xml:space="preserve">3 </w:t>
      </w:r>
      <w:proofErr w:type="gramStart"/>
      <w:r w:rsidRPr="005E732B">
        <w:rPr>
          <w:rFonts w:ascii="Bookman Old Style" w:eastAsia="Arial" w:hAnsi="Bookman Old Style" w:cs="Arial"/>
          <w:sz w:val="18"/>
          <w:szCs w:val="18"/>
        </w:rPr>
        <w:t>Los</w:t>
      </w:r>
      <w:proofErr w:type="gramEnd"/>
      <w:r w:rsidRPr="005E732B">
        <w:rPr>
          <w:rFonts w:ascii="Bookman Old Style" w:eastAsia="Arial" w:hAnsi="Bookman Old Style" w:cs="Arial"/>
          <w:sz w:val="18"/>
          <w:szCs w:val="18"/>
        </w:rPr>
        <w:t xml:space="preserve"> efectos, favorables o desfavorables, de las variaciones en la legislación Tributaria, de tal manera que el MUNICIPIO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r w:rsidRPr="005E732B">
        <w:rPr>
          <w:rFonts w:ascii="Bookman Old Style" w:eastAsia="Arial" w:hAnsi="Bookman Old Style" w:cs="Arial"/>
          <w:b/>
          <w:bCs/>
          <w:sz w:val="18"/>
          <w:szCs w:val="18"/>
        </w:rPr>
        <w:t xml:space="preserve"> </w:t>
      </w:r>
    </w:p>
    <w:p w14:paraId="5B6F99E9" w14:textId="77777777" w:rsidR="005E732B" w:rsidRPr="005E732B" w:rsidRDefault="005E732B" w:rsidP="00BC5FB4">
      <w:pPr>
        <w:rPr>
          <w:rFonts w:ascii="Bookman Old Style" w:eastAsia="Arial" w:hAnsi="Bookman Old Style" w:cs="Arial"/>
          <w:sz w:val="18"/>
          <w:szCs w:val="18"/>
        </w:rPr>
      </w:pPr>
    </w:p>
    <w:p w14:paraId="09226901" w14:textId="63706B8A" w:rsidR="0058222E" w:rsidRPr="005E732B" w:rsidRDefault="005E732B" w:rsidP="00BC5FB4">
      <w:pPr>
        <w:rPr>
          <w:rFonts w:ascii="Bookman Old Style" w:eastAsia="Arial" w:hAnsi="Bookman Old Style" w:cs="Arial"/>
          <w:sz w:val="18"/>
          <w:szCs w:val="18"/>
        </w:rPr>
      </w:pPr>
      <w:r w:rsidRPr="005E732B">
        <w:rPr>
          <w:rFonts w:ascii="Bookman Old Style" w:eastAsia="Arial" w:hAnsi="Bookman Old Style" w:cs="Arial"/>
          <w:sz w:val="18"/>
          <w:szCs w:val="18"/>
        </w:rPr>
        <w:t xml:space="preserve">4 </w:t>
      </w:r>
      <w:proofErr w:type="gramStart"/>
      <w:r w:rsidRPr="005E732B">
        <w:rPr>
          <w:rFonts w:ascii="Bookman Old Style" w:eastAsia="Arial" w:hAnsi="Bookman Old Style" w:cs="Arial"/>
          <w:sz w:val="18"/>
          <w:szCs w:val="18"/>
        </w:rPr>
        <w:t>Mayores</w:t>
      </w:r>
      <w:proofErr w:type="gramEnd"/>
      <w:r w:rsidRPr="005E732B">
        <w:rPr>
          <w:rFonts w:ascii="Bookman Old Style" w:eastAsia="Arial" w:hAnsi="Bookman Old Style" w:cs="Arial"/>
          <w:sz w:val="18"/>
          <w:szCs w:val="18"/>
        </w:rPr>
        <w:t xml:space="preserve"> costos en que incurra el contratista durante la ejecución del contrato por situaciones de fuerza mayor o caso fortuito.</w:t>
      </w:r>
    </w:p>
    <w:p w14:paraId="16501B29" w14:textId="77777777" w:rsidR="005E732B" w:rsidRPr="005E732B" w:rsidRDefault="005E732B" w:rsidP="00BC5FB4">
      <w:pPr>
        <w:rPr>
          <w:rFonts w:ascii="Bookman Old Style" w:eastAsia="Arial" w:hAnsi="Bookman Old Style" w:cs="Arial"/>
          <w:sz w:val="18"/>
          <w:szCs w:val="18"/>
        </w:rPr>
      </w:pPr>
    </w:p>
    <w:p w14:paraId="316BD591"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sz w:val="18"/>
          <w:szCs w:val="18"/>
          <w:lang w:eastAsia="es-CO"/>
        </w:rPr>
        <w:t xml:space="preserve">Conforme a lo establecido en los Artículos 4º y 7º de la ley 1150 del año 2007 y Artículo </w:t>
      </w:r>
      <w:r w:rsidRPr="005E732B">
        <w:rPr>
          <w:rFonts w:ascii="Bookman Old Style" w:hAnsi="Bookman Old Style" w:cs="Arial"/>
          <w:b/>
          <w:bCs/>
          <w:sz w:val="18"/>
          <w:szCs w:val="18"/>
          <w:lang w:eastAsia="es-CO"/>
        </w:rPr>
        <w:t>2.2.1.1.1.6.3.</w:t>
      </w:r>
      <w:r w:rsidRPr="005E732B">
        <w:rPr>
          <w:rFonts w:ascii="Bookman Old Style" w:hAnsi="Bookman Old Style" w:cs="Arial"/>
          <w:sz w:val="18"/>
          <w:szCs w:val="18"/>
          <w:lang w:eastAsia="es-CO"/>
        </w:rPr>
        <w:t xml:space="preserve"> del Decreto 1082 de 2015, Decreto 1082 de 2015 y el</w:t>
      </w:r>
      <w:r w:rsidRPr="005E732B">
        <w:rPr>
          <w:rFonts w:ascii="Bookman Old Style" w:hAnsi="Bookman Old Style" w:cs="Arial"/>
          <w:b/>
          <w:bCs/>
          <w:sz w:val="18"/>
          <w:szCs w:val="18"/>
          <w:lang w:eastAsia="es-CO"/>
        </w:rPr>
        <w:t xml:space="preserve"> Manual para la Identificación y Cobertura del Riesgo en los Procesos de Contratación (Versión 1)</w:t>
      </w:r>
      <w:r w:rsidRPr="005E732B">
        <w:rPr>
          <w:rFonts w:ascii="Bookman Old Style" w:hAnsi="Bookman Old Style" w:cs="Arial"/>
          <w:sz w:val="18"/>
          <w:szCs w:val="18"/>
          <w:lang w:eastAsia="es-CO"/>
        </w:rPr>
        <w:t xml:space="preserve"> los riesgos que se pueden presentar dentro del Presente Proceso de Selección y que pueden afectar La Etapa de Planeación hasta la terminación del Plazo de Ejecución, La Liquidación del Contrato </w:t>
      </w:r>
      <w:proofErr w:type="gramStart"/>
      <w:r w:rsidRPr="005E732B">
        <w:rPr>
          <w:rFonts w:ascii="Bookman Old Style" w:hAnsi="Bookman Old Style" w:cs="Arial"/>
          <w:sz w:val="18"/>
          <w:szCs w:val="18"/>
          <w:lang w:eastAsia="es-CO"/>
        </w:rPr>
        <w:t>y  el</w:t>
      </w:r>
      <w:proofErr w:type="gramEnd"/>
      <w:r w:rsidRPr="005E732B">
        <w:rPr>
          <w:rFonts w:ascii="Bookman Old Style" w:hAnsi="Bookman Old Style" w:cs="Arial"/>
          <w:sz w:val="18"/>
          <w:szCs w:val="18"/>
          <w:lang w:eastAsia="es-CO"/>
        </w:rPr>
        <w:t xml:space="preserve"> Vencimiento de las Garantías: </w:t>
      </w:r>
    </w:p>
    <w:p w14:paraId="10ECF84B" w14:textId="77777777" w:rsidR="005E732B" w:rsidRPr="005E732B" w:rsidRDefault="005E732B" w:rsidP="00BC5FB4">
      <w:pPr>
        <w:rPr>
          <w:rFonts w:ascii="Bookman Old Style" w:hAnsi="Bookman Old Style" w:cs="Arial"/>
          <w:sz w:val="18"/>
          <w:szCs w:val="18"/>
          <w:lang w:eastAsia="es-CO"/>
        </w:rPr>
      </w:pPr>
    </w:p>
    <w:p w14:paraId="6DFE0CD7"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sz w:val="18"/>
          <w:szCs w:val="18"/>
          <w:lang w:eastAsia="es-CO"/>
        </w:rPr>
        <w:lastRenderedPageBreak/>
        <w:t>El Municipio señala que de conformidad al manual para la identificación y cobertura del Riesgo en los procesos de contratación (Versión 1) expedido por Colombia Compra Eficiente, los riegos serán asumidos de acuerdo a las siguientes reglas:</w:t>
      </w:r>
    </w:p>
    <w:p w14:paraId="463F8BC4" w14:textId="77777777" w:rsidR="005E732B" w:rsidRPr="005E732B" w:rsidRDefault="005E732B" w:rsidP="00BC5FB4">
      <w:pPr>
        <w:rPr>
          <w:rFonts w:ascii="Bookman Old Style" w:hAnsi="Bookman Old Style" w:cs="Arial"/>
          <w:sz w:val="18"/>
          <w:szCs w:val="18"/>
          <w:lang w:eastAsia="es-CO"/>
        </w:rPr>
      </w:pPr>
    </w:p>
    <w:p w14:paraId="0EE1BB31" w14:textId="77777777" w:rsidR="005E732B" w:rsidRPr="005E732B" w:rsidRDefault="005E732B" w:rsidP="00BC5FB4">
      <w:pPr>
        <w:numPr>
          <w:ilvl w:val="0"/>
          <w:numId w:val="39"/>
        </w:numPr>
        <w:rPr>
          <w:rFonts w:ascii="Bookman Old Style" w:hAnsi="Bookman Old Style" w:cs="Arial"/>
          <w:sz w:val="18"/>
          <w:szCs w:val="18"/>
          <w:lang w:eastAsia="es-CO"/>
        </w:rPr>
      </w:pPr>
      <w:r w:rsidRPr="005E732B">
        <w:rPr>
          <w:rFonts w:ascii="Bookman Old Style" w:hAnsi="Bookman Old Style" w:cs="Arial"/>
          <w:sz w:val="18"/>
          <w:szCs w:val="18"/>
          <w:lang w:eastAsia="es-CO"/>
        </w:rPr>
        <w:t>Por la parte que esté en mejor disposición de evaluarlos, controlarlos y administrarlos.</w:t>
      </w:r>
    </w:p>
    <w:p w14:paraId="04D70A3D" w14:textId="77777777" w:rsidR="005E732B" w:rsidRPr="005E732B" w:rsidRDefault="005E732B" w:rsidP="00BC5FB4">
      <w:pPr>
        <w:numPr>
          <w:ilvl w:val="0"/>
          <w:numId w:val="39"/>
        </w:numPr>
        <w:rPr>
          <w:rFonts w:ascii="Bookman Old Style" w:hAnsi="Bookman Old Style" w:cs="Arial"/>
          <w:sz w:val="18"/>
          <w:szCs w:val="18"/>
          <w:lang w:eastAsia="es-CO"/>
        </w:rPr>
      </w:pPr>
      <w:r w:rsidRPr="005E732B">
        <w:rPr>
          <w:rFonts w:ascii="Bookman Old Style" w:hAnsi="Bookman Old Style" w:cs="Arial"/>
          <w:sz w:val="18"/>
          <w:szCs w:val="18"/>
          <w:lang w:eastAsia="es-CO"/>
        </w:rPr>
        <w:t>y/o por la parte que disponga de mejor acceso a los instrumentos de protección, mitigación y/ o de diversificación</w:t>
      </w:r>
    </w:p>
    <w:p w14:paraId="48B08BEB" w14:textId="77777777" w:rsidR="005E732B" w:rsidRPr="005E732B" w:rsidRDefault="005E732B" w:rsidP="00BC5FB4">
      <w:pPr>
        <w:rPr>
          <w:rFonts w:ascii="Bookman Old Style" w:hAnsi="Bookman Old Style" w:cs="Arial"/>
          <w:sz w:val="18"/>
          <w:szCs w:val="18"/>
          <w:lang w:eastAsia="es-CO"/>
        </w:rPr>
      </w:pPr>
    </w:p>
    <w:p w14:paraId="37F49455"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sz w:val="18"/>
          <w:szCs w:val="18"/>
          <w:lang w:eastAsia="es-CO"/>
        </w:rPr>
        <w:t xml:space="preserve">Conforme a lo establecido en los Artículos 4º de la ley 1150 del año 2007, Artículo </w:t>
      </w:r>
      <w:r w:rsidRPr="005E732B">
        <w:rPr>
          <w:rFonts w:ascii="Bookman Old Style" w:hAnsi="Bookman Old Style" w:cs="Arial"/>
          <w:b/>
          <w:bCs/>
          <w:sz w:val="18"/>
          <w:szCs w:val="18"/>
          <w:lang w:eastAsia="es-CO"/>
        </w:rPr>
        <w:t>2.2.1.1.1.6.3</w:t>
      </w:r>
      <w:r w:rsidRPr="005E732B">
        <w:rPr>
          <w:rFonts w:ascii="Bookman Old Style" w:hAnsi="Bookman Old Style" w:cs="Arial"/>
          <w:sz w:val="18"/>
          <w:szCs w:val="18"/>
          <w:lang w:eastAsia="es-CO"/>
        </w:rPr>
        <w:t xml:space="preserve"> del Decreto 1082 de 2015, y los riesgos que se pueden presentar dentro de la presente convocatoria pública son:</w:t>
      </w:r>
    </w:p>
    <w:p w14:paraId="3CEB522D" w14:textId="77777777" w:rsidR="005E732B" w:rsidRPr="005E732B" w:rsidRDefault="005E732B" w:rsidP="00BC5FB4">
      <w:pPr>
        <w:rPr>
          <w:rFonts w:ascii="Bookman Old Style" w:hAnsi="Bookman Old Style" w:cs="Arial"/>
          <w:sz w:val="18"/>
          <w:szCs w:val="18"/>
          <w:lang w:eastAsia="es-CO"/>
        </w:rPr>
      </w:pPr>
    </w:p>
    <w:p w14:paraId="2ABC6543"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b/>
          <w:bCs/>
          <w:sz w:val="18"/>
          <w:szCs w:val="18"/>
          <w:u w:val="single"/>
          <w:lang w:eastAsia="es-CO"/>
        </w:rPr>
        <w:t>Riesgo Previsible</w:t>
      </w:r>
      <w:r w:rsidRPr="005E732B">
        <w:rPr>
          <w:rFonts w:ascii="Bookman Old Style" w:hAnsi="Bookman Old Style" w:cs="Arial"/>
          <w:sz w:val="18"/>
          <w:szCs w:val="18"/>
          <w:lang w:eastAsia="es-CO"/>
        </w:rPr>
        <w:t>: Son los posibles hechos o circunstancias que por la naturaleza del contrato y de la actividad a ejecutar es factible su ocurrencia.</w:t>
      </w:r>
    </w:p>
    <w:p w14:paraId="188577CF" w14:textId="77777777" w:rsidR="005E732B" w:rsidRPr="005E732B" w:rsidRDefault="005E732B" w:rsidP="00BC5FB4">
      <w:pPr>
        <w:rPr>
          <w:rFonts w:ascii="Bookman Old Style" w:hAnsi="Bookman Old Style" w:cs="Arial"/>
          <w:sz w:val="18"/>
          <w:szCs w:val="18"/>
          <w:lang w:eastAsia="es-CO"/>
        </w:rPr>
      </w:pPr>
    </w:p>
    <w:p w14:paraId="53520A14"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b/>
          <w:bCs/>
          <w:sz w:val="18"/>
          <w:szCs w:val="18"/>
          <w:u w:val="single"/>
          <w:lang w:eastAsia="es-CO"/>
        </w:rPr>
        <w:t>Riesgo Imprevisible</w:t>
      </w:r>
      <w:r w:rsidRPr="005E732B">
        <w:rPr>
          <w:rFonts w:ascii="Bookman Old Style" w:hAnsi="Bookman Old Style" w:cs="Arial"/>
          <w:sz w:val="18"/>
          <w:szCs w:val="18"/>
          <w:lang w:eastAsia="es-CO"/>
        </w:rPr>
        <w:t>: Son aquellos hechos o circunstancias donde no es factible su</w:t>
      </w:r>
      <w:r w:rsidRPr="005E732B">
        <w:rPr>
          <w:rFonts w:ascii="Bookman Old Style" w:hAnsi="Bookman Old Style" w:cs="Arial"/>
          <w:sz w:val="18"/>
          <w:szCs w:val="18"/>
          <w:u w:val="single"/>
          <w:lang w:eastAsia="es-CO"/>
        </w:rPr>
        <w:t xml:space="preserve"> </w:t>
      </w:r>
      <w:r w:rsidRPr="005E732B">
        <w:rPr>
          <w:rFonts w:ascii="Bookman Old Style" w:hAnsi="Bookman Old Style" w:cs="Arial"/>
          <w:sz w:val="18"/>
          <w:szCs w:val="18"/>
          <w:lang w:eastAsia="es-CO"/>
        </w:rPr>
        <w:t>previsión, es decir el acontecimiento de su ocurrencia, tales como desastres naturales, actos terroristas, guerra o eventos que alteren el orden público.</w:t>
      </w:r>
    </w:p>
    <w:p w14:paraId="0D597EDB" w14:textId="77777777" w:rsidR="005E732B" w:rsidRPr="005E732B" w:rsidRDefault="005E732B" w:rsidP="00BC5FB4">
      <w:pPr>
        <w:rPr>
          <w:rFonts w:ascii="Bookman Old Style" w:hAnsi="Bookman Old Style" w:cs="Arial"/>
          <w:sz w:val="18"/>
          <w:szCs w:val="18"/>
          <w:u w:val="single"/>
          <w:lang w:eastAsia="es-CO"/>
        </w:rPr>
      </w:pPr>
    </w:p>
    <w:p w14:paraId="3D644604"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b/>
          <w:bCs/>
          <w:sz w:val="18"/>
          <w:szCs w:val="18"/>
          <w:u w:val="single"/>
          <w:lang w:eastAsia="es-CO"/>
        </w:rPr>
        <w:t>Tipificación del Riesgo</w:t>
      </w:r>
      <w:r w:rsidRPr="005E732B">
        <w:rPr>
          <w:rFonts w:ascii="Bookman Old Style" w:hAnsi="Bookman Old Style" w:cs="Arial"/>
          <w:sz w:val="18"/>
          <w:szCs w:val="18"/>
          <w:lang w:eastAsia="es-CO"/>
        </w:rPr>
        <w:t>: Es la enunciación que se hace de aquellos hechos previsibles</w:t>
      </w:r>
      <w:r w:rsidRPr="005E732B">
        <w:rPr>
          <w:rFonts w:ascii="Bookman Old Style" w:hAnsi="Bookman Old Style" w:cs="Arial"/>
          <w:sz w:val="18"/>
          <w:szCs w:val="18"/>
          <w:u w:val="single"/>
          <w:lang w:eastAsia="es-CO"/>
        </w:rPr>
        <w:t xml:space="preserve"> </w:t>
      </w:r>
      <w:r w:rsidRPr="005E732B">
        <w:rPr>
          <w:rFonts w:ascii="Bookman Old Style" w:hAnsi="Bookman Old Style" w:cs="Arial"/>
          <w:sz w:val="18"/>
          <w:szCs w:val="18"/>
          <w:lang w:eastAsia="es-CO"/>
        </w:rPr>
        <w:t>constitutivos de riesgo que, en criterio del Municipio, pueden presentarse durante y con ocasión de la ejecución del contrato.</w:t>
      </w:r>
    </w:p>
    <w:p w14:paraId="4ADED29B" w14:textId="77777777" w:rsidR="005E732B" w:rsidRPr="005E732B" w:rsidRDefault="005E732B" w:rsidP="00BC5FB4">
      <w:pPr>
        <w:rPr>
          <w:rFonts w:ascii="Bookman Old Style" w:hAnsi="Bookman Old Style" w:cs="Arial"/>
          <w:sz w:val="18"/>
          <w:szCs w:val="18"/>
          <w:u w:val="single"/>
          <w:lang w:eastAsia="es-CO"/>
        </w:rPr>
      </w:pPr>
    </w:p>
    <w:p w14:paraId="61426544" w14:textId="77777777" w:rsidR="005E732B" w:rsidRPr="005E732B" w:rsidRDefault="005E732B" w:rsidP="00BC5FB4">
      <w:pPr>
        <w:rPr>
          <w:rFonts w:ascii="Bookman Old Style" w:hAnsi="Bookman Old Style" w:cs="Arial"/>
          <w:sz w:val="18"/>
          <w:szCs w:val="18"/>
          <w:lang w:eastAsia="es-CO"/>
        </w:rPr>
      </w:pPr>
      <w:r w:rsidRPr="005E732B">
        <w:rPr>
          <w:rFonts w:ascii="Bookman Old Style" w:hAnsi="Bookman Old Style" w:cs="Arial"/>
          <w:b/>
          <w:bCs/>
          <w:sz w:val="18"/>
          <w:szCs w:val="18"/>
          <w:u w:val="single"/>
          <w:lang w:eastAsia="es-CO"/>
        </w:rPr>
        <w:t>Asignación del Riesgo</w:t>
      </w:r>
      <w:r w:rsidRPr="005E732B">
        <w:rPr>
          <w:rFonts w:ascii="Bookman Old Style" w:hAnsi="Bookman Old Style" w:cs="Arial"/>
          <w:sz w:val="18"/>
          <w:szCs w:val="18"/>
          <w:lang w:eastAsia="es-CO"/>
        </w:rPr>
        <w:t>: Es el señalamiento que hace El Municipio y que deberá soportar total o parcialmente la ocurrencia de la circunstancia tipificada, asumiendo su costo.</w:t>
      </w:r>
    </w:p>
    <w:p w14:paraId="4B33BD31" w14:textId="77777777" w:rsidR="005E732B" w:rsidRPr="005E732B" w:rsidRDefault="005E732B" w:rsidP="00BC5FB4">
      <w:pPr>
        <w:rPr>
          <w:rFonts w:ascii="Bookman Old Style" w:hAnsi="Bookman Old Style" w:cs="Arial"/>
          <w:b/>
          <w:bCs/>
          <w:sz w:val="18"/>
          <w:szCs w:val="18"/>
          <w:lang w:eastAsia="es-CO"/>
        </w:rPr>
      </w:pPr>
    </w:p>
    <w:p w14:paraId="1AEDD253" w14:textId="77777777" w:rsidR="005E732B" w:rsidRPr="005E732B" w:rsidRDefault="005E732B" w:rsidP="00BC5FB4">
      <w:pPr>
        <w:numPr>
          <w:ilvl w:val="0"/>
          <w:numId w:val="40"/>
        </w:numPr>
        <w:rPr>
          <w:rFonts w:ascii="Bookman Old Style" w:hAnsi="Bookman Old Style" w:cs="Arial"/>
          <w:b/>
          <w:bCs/>
          <w:sz w:val="18"/>
          <w:szCs w:val="18"/>
          <w:lang w:eastAsia="es-CO"/>
        </w:rPr>
      </w:pPr>
      <w:r w:rsidRPr="005E732B">
        <w:rPr>
          <w:rFonts w:ascii="Bookman Old Style" w:hAnsi="Bookman Old Style" w:cs="Arial"/>
          <w:b/>
          <w:bCs/>
          <w:sz w:val="18"/>
          <w:szCs w:val="18"/>
          <w:lang w:eastAsia="es-CO"/>
        </w:rPr>
        <w:t>RIESGOS PREVISIBLES</w:t>
      </w:r>
    </w:p>
    <w:p w14:paraId="30AA859B" w14:textId="77777777" w:rsidR="005E732B" w:rsidRPr="005E732B" w:rsidRDefault="005E732B" w:rsidP="00BC5FB4">
      <w:pPr>
        <w:rPr>
          <w:rFonts w:ascii="Bookman Old Style" w:hAnsi="Bookman Old Style" w:cs="Arial"/>
          <w:sz w:val="18"/>
          <w:szCs w:val="18"/>
          <w:lang w:eastAsia="es-CO"/>
        </w:rPr>
      </w:pPr>
    </w:p>
    <w:p w14:paraId="18D461C7" w14:textId="77777777" w:rsidR="005E732B" w:rsidRPr="005E732B" w:rsidRDefault="005E732B" w:rsidP="00BC5FB4">
      <w:pPr>
        <w:rPr>
          <w:rFonts w:ascii="Bookman Old Style" w:hAnsi="Bookman Old Style" w:cs="Arial"/>
          <w:b/>
          <w:bCs/>
          <w:sz w:val="18"/>
          <w:szCs w:val="18"/>
          <w:lang w:eastAsia="es-CO"/>
        </w:rPr>
      </w:pPr>
      <w:r w:rsidRPr="005E732B">
        <w:rPr>
          <w:rFonts w:ascii="Bookman Old Style" w:hAnsi="Bookman Old Style" w:cs="Arial"/>
          <w:b/>
          <w:bCs/>
          <w:sz w:val="18"/>
          <w:szCs w:val="18"/>
          <w:lang w:eastAsia="es-CO"/>
        </w:rPr>
        <w:t>Para los efectos del presente proceso de selección, son riesgos previsibles:</w:t>
      </w:r>
    </w:p>
    <w:p w14:paraId="763E68A0" w14:textId="77777777" w:rsidR="005E732B" w:rsidRPr="005E732B" w:rsidRDefault="005E732B" w:rsidP="00BC5FB4">
      <w:pPr>
        <w:numPr>
          <w:ilvl w:val="0"/>
          <w:numId w:val="41"/>
        </w:numPr>
        <w:rPr>
          <w:rFonts w:ascii="Bookman Old Style" w:hAnsi="Bookman Old Style" w:cs="Arial"/>
          <w:sz w:val="18"/>
          <w:szCs w:val="18"/>
          <w:lang w:eastAsia="es-CO"/>
        </w:rPr>
      </w:pPr>
      <w:r w:rsidRPr="005E732B">
        <w:rPr>
          <w:rFonts w:ascii="Bookman Old Style" w:hAnsi="Bookman Old Style" w:cs="Arial"/>
          <w:sz w:val="18"/>
          <w:szCs w:val="18"/>
          <w:lang w:eastAsia="es-CO"/>
        </w:rPr>
        <w:t>Riesgo de no inclusión en el plan anual de adquisiciones</w:t>
      </w:r>
    </w:p>
    <w:p w14:paraId="5340CC38" w14:textId="77777777" w:rsidR="005E732B" w:rsidRPr="005E732B" w:rsidRDefault="005E732B" w:rsidP="00BC5FB4">
      <w:pPr>
        <w:numPr>
          <w:ilvl w:val="0"/>
          <w:numId w:val="41"/>
        </w:numPr>
        <w:rPr>
          <w:rFonts w:ascii="Bookman Old Style" w:hAnsi="Bookman Old Style" w:cs="Arial"/>
          <w:sz w:val="18"/>
          <w:szCs w:val="18"/>
          <w:lang w:eastAsia="es-CO"/>
        </w:rPr>
      </w:pPr>
      <w:r w:rsidRPr="005E732B">
        <w:rPr>
          <w:rFonts w:ascii="Bookman Old Style" w:hAnsi="Bookman Old Style" w:cs="Arial"/>
          <w:sz w:val="18"/>
          <w:szCs w:val="18"/>
          <w:lang w:eastAsia="es-CO"/>
        </w:rPr>
        <w:t>Riesgo de indebida utilización de la modalidad de selección</w:t>
      </w:r>
    </w:p>
    <w:p w14:paraId="77E75130" w14:textId="77777777" w:rsidR="005E732B" w:rsidRPr="005E732B" w:rsidRDefault="005E732B" w:rsidP="00BC5FB4">
      <w:pPr>
        <w:numPr>
          <w:ilvl w:val="0"/>
          <w:numId w:val="41"/>
        </w:numPr>
        <w:rPr>
          <w:rFonts w:ascii="Bookman Old Style" w:hAnsi="Bookman Old Style" w:cs="Arial"/>
          <w:sz w:val="18"/>
          <w:szCs w:val="18"/>
          <w:lang w:eastAsia="es-CO"/>
        </w:rPr>
      </w:pPr>
      <w:r w:rsidRPr="005E732B">
        <w:rPr>
          <w:rFonts w:ascii="Bookman Old Style" w:hAnsi="Bookman Old Style" w:cs="Arial"/>
          <w:sz w:val="18"/>
          <w:szCs w:val="18"/>
          <w:lang w:eastAsia="es-CO"/>
        </w:rPr>
        <w:t>Riesgo de no descripción clara de los servicios contratados</w:t>
      </w:r>
    </w:p>
    <w:p w14:paraId="6704BF44"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diseño del proceso de contratación que permita satisfacer las necesidades de la entidad estatal, cumplir su misión y si es coherente con el cumplimiento de sus objetivos y metas</w:t>
      </w:r>
    </w:p>
    <w:p w14:paraId="3C2A915C"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 xml:space="preserve">Falta de Coordinación Interinstitucional  </w:t>
      </w:r>
    </w:p>
    <w:p w14:paraId="4817415A"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no verificación de factores de selección del contratista consagrados por la norma</w:t>
      </w:r>
    </w:p>
    <w:p w14:paraId="3F32E5BF"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que no se firme el contrato</w:t>
      </w:r>
    </w:p>
    <w:p w14:paraId="1EA4B83D"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que no se presenten las Garantías</w:t>
      </w:r>
    </w:p>
    <w:p w14:paraId="303CCC8F"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No Publicación.</w:t>
      </w:r>
    </w:p>
    <w:p w14:paraId="27805FF8"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 xml:space="preserve">Riesgo de no realizar Registro Presupuestal </w:t>
      </w:r>
    </w:p>
    <w:p w14:paraId="02EE74A8"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Incumplimiento del servicio.</w:t>
      </w:r>
    </w:p>
    <w:p w14:paraId="10FDF00E"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Riesgo de Calidad del servicio</w:t>
      </w:r>
    </w:p>
    <w:p w14:paraId="78EF0434" w14:textId="77777777" w:rsidR="005E732B" w:rsidRP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 xml:space="preserve">Riesgo de Financiero </w:t>
      </w:r>
    </w:p>
    <w:p w14:paraId="4805128C" w14:textId="77777777" w:rsidR="00BC5FB4"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 xml:space="preserve">Riesgo de Cambios normativos o de legislación tributaria </w:t>
      </w:r>
    </w:p>
    <w:p w14:paraId="0DE875E2" w14:textId="05A56F90" w:rsidR="005E732B" w:rsidRDefault="005E732B" w:rsidP="00BC5FB4">
      <w:pPr>
        <w:numPr>
          <w:ilvl w:val="0"/>
          <w:numId w:val="41"/>
        </w:numPr>
        <w:pBdr>
          <w:top w:val="nil"/>
          <w:left w:val="nil"/>
          <w:bottom w:val="nil"/>
          <w:right w:val="nil"/>
          <w:between w:val="nil"/>
        </w:pBdr>
        <w:spacing w:line="240" w:lineRule="auto"/>
        <w:contextualSpacing w:val="0"/>
        <w:rPr>
          <w:rFonts w:ascii="Bookman Old Style" w:eastAsia="Arial" w:hAnsi="Bookman Old Style" w:cs="Arial"/>
          <w:color w:val="000000"/>
          <w:sz w:val="18"/>
          <w:szCs w:val="18"/>
        </w:rPr>
      </w:pPr>
      <w:r w:rsidRPr="00BC5FB4">
        <w:rPr>
          <w:rFonts w:ascii="Bookman Old Style" w:eastAsia="Arial" w:hAnsi="Bookman Old Style" w:cs="Arial"/>
          <w:color w:val="000000"/>
          <w:sz w:val="18"/>
          <w:szCs w:val="18"/>
        </w:rPr>
        <w:t>Riesgos Laborales</w:t>
      </w:r>
    </w:p>
    <w:p w14:paraId="77E50DE9" w14:textId="3859267B" w:rsidR="005E732B" w:rsidRPr="00BC5FB4" w:rsidRDefault="005E732B" w:rsidP="00BC5FB4">
      <w:pPr>
        <w:pStyle w:val="Prrafodelista"/>
        <w:numPr>
          <w:ilvl w:val="0"/>
          <w:numId w:val="40"/>
        </w:numPr>
        <w:pBdr>
          <w:top w:val="nil"/>
          <w:left w:val="nil"/>
          <w:bottom w:val="nil"/>
          <w:right w:val="nil"/>
          <w:between w:val="nil"/>
        </w:pBdr>
        <w:spacing w:line="240" w:lineRule="auto"/>
        <w:contextualSpacing w:val="0"/>
        <w:rPr>
          <w:rFonts w:ascii="Bookman Old Style" w:eastAsia="Arial" w:hAnsi="Bookman Old Style" w:cs="Arial"/>
          <w:b/>
          <w:bCs/>
          <w:color w:val="000000"/>
          <w:sz w:val="18"/>
          <w:szCs w:val="18"/>
        </w:rPr>
      </w:pPr>
      <w:r w:rsidRPr="00BC5FB4">
        <w:rPr>
          <w:rFonts w:ascii="Bookman Old Style" w:eastAsia="Arial" w:hAnsi="Bookman Old Style" w:cs="Arial"/>
          <w:b/>
          <w:bCs/>
          <w:color w:val="000000"/>
          <w:sz w:val="18"/>
          <w:szCs w:val="18"/>
        </w:rPr>
        <w:lastRenderedPageBreak/>
        <w:t>RIESGOS IMPREVISIBLES</w:t>
      </w:r>
    </w:p>
    <w:p w14:paraId="2953A041" w14:textId="77777777" w:rsidR="005E732B" w:rsidRPr="005E732B" w:rsidRDefault="005E732B" w:rsidP="00BC5FB4">
      <w:pPr>
        <w:pBdr>
          <w:top w:val="nil"/>
          <w:left w:val="nil"/>
          <w:bottom w:val="nil"/>
          <w:right w:val="nil"/>
          <w:between w:val="nil"/>
        </w:pBdr>
        <w:ind w:firstLine="708"/>
        <w:jc w:val="left"/>
        <w:rPr>
          <w:rFonts w:ascii="Bookman Old Style" w:eastAsia="Arial" w:hAnsi="Bookman Old Style" w:cs="Arial"/>
          <w:color w:val="000000"/>
          <w:sz w:val="18"/>
          <w:szCs w:val="18"/>
        </w:rPr>
      </w:pPr>
    </w:p>
    <w:p w14:paraId="083793CA" w14:textId="77777777" w:rsidR="005E732B" w:rsidRPr="005E732B" w:rsidRDefault="005E732B" w:rsidP="00BC5FB4">
      <w:pPr>
        <w:pBdr>
          <w:top w:val="nil"/>
          <w:left w:val="nil"/>
          <w:bottom w:val="nil"/>
          <w:right w:val="nil"/>
          <w:between w:val="nil"/>
        </w:pBdr>
        <w:jc w:val="left"/>
        <w:rPr>
          <w:rFonts w:ascii="Bookman Old Style" w:eastAsia="Arial" w:hAnsi="Bookman Old Style" w:cs="Arial"/>
          <w:color w:val="000000"/>
          <w:sz w:val="18"/>
          <w:szCs w:val="18"/>
        </w:rPr>
      </w:pPr>
      <w:r w:rsidRPr="005E732B">
        <w:rPr>
          <w:rFonts w:ascii="Bookman Old Style" w:eastAsia="Arial" w:hAnsi="Bookman Old Style" w:cs="Arial"/>
          <w:color w:val="000000"/>
          <w:sz w:val="18"/>
          <w:szCs w:val="18"/>
        </w:rPr>
        <w:t>Se consideran riesgos no previsibles, por la incertidumbre de su ocurrencia, los de fuerza mayor, caso fortuito o hechos de terceros, tales como desastres naturales, actos terroristas, guerras, asonadas o eventos que alteren el orden público.</w:t>
      </w:r>
    </w:p>
    <w:p w14:paraId="572D6C5F" w14:textId="77777777" w:rsidR="005E732B" w:rsidRPr="005E732B" w:rsidRDefault="005E732B" w:rsidP="00BC5FB4">
      <w:pPr>
        <w:rPr>
          <w:rFonts w:ascii="Bookman Old Style" w:eastAsia="Arial" w:hAnsi="Bookman Old Style" w:cs="Arial"/>
          <w:b/>
          <w:bCs/>
          <w:sz w:val="18"/>
          <w:szCs w:val="18"/>
        </w:rPr>
      </w:pPr>
    </w:p>
    <w:p w14:paraId="04A35700" w14:textId="77777777" w:rsidR="005E732B" w:rsidRPr="005E732B" w:rsidRDefault="005E732B" w:rsidP="00BC5FB4">
      <w:pPr>
        <w:rPr>
          <w:rFonts w:ascii="Bookman Old Style" w:eastAsia="Arial" w:hAnsi="Bookman Old Style" w:cs="Arial"/>
          <w:b/>
          <w:bCs/>
          <w:sz w:val="18"/>
          <w:szCs w:val="18"/>
        </w:rPr>
      </w:pPr>
      <w:r w:rsidRPr="005E732B">
        <w:rPr>
          <w:rFonts w:ascii="Bookman Old Style" w:eastAsia="Arial" w:hAnsi="Bookman Old Style" w:cs="Arial"/>
          <w:b/>
          <w:bCs/>
          <w:sz w:val="18"/>
          <w:szCs w:val="18"/>
        </w:rPr>
        <w:t xml:space="preserve">MATRIZ DE RIESGOS </w:t>
      </w:r>
    </w:p>
    <w:p w14:paraId="094D505A" w14:textId="77777777" w:rsidR="005E732B" w:rsidRPr="005E732B" w:rsidRDefault="005E732B" w:rsidP="00BC5FB4">
      <w:pPr>
        <w:rPr>
          <w:rFonts w:ascii="Bookman Old Style" w:eastAsia="Arial" w:hAnsi="Bookman Old Style" w:cs="Arial"/>
          <w:b/>
          <w:bCs/>
          <w:sz w:val="18"/>
          <w:szCs w:val="18"/>
        </w:rPr>
      </w:pPr>
    </w:p>
    <w:p w14:paraId="76104CC2" w14:textId="77777777" w:rsidR="005E732B" w:rsidRPr="005E732B" w:rsidRDefault="005E732B" w:rsidP="00BC5FB4">
      <w:pPr>
        <w:rPr>
          <w:rFonts w:ascii="Bookman Old Style" w:eastAsia="Arial" w:hAnsi="Bookman Old Style" w:cs="Arial"/>
          <w:color w:val="262626"/>
          <w:sz w:val="18"/>
          <w:szCs w:val="18"/>
        </w:rPr>
      </w:pPr>
      <w:r w:rsidRPr="005E732B">
        <w:rPr>
          <w:rFonts w:ascii="Bookman Old Style" w:eastAsia="Arial" w:hAnsi="Bookman Old Style" w:cs="Arial"/>
          <w:color w:val="262626"/>
          <w:sz w:val="18"/>
          <w:szCs w:val="18"/>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729FB4C4" w14:textId="77777777" w:rsidR="005E732B" w:rsidRPr="005E732B" w:rsidRDefault="005E732B" w:rsidP="00BC5FB4">
      <w:pPr>
        <w:rPr>
          <w:rFonts w:ascii="Bookman Old Style" w:hAnsi="Bookman Old Style" w:cs="Arial"/>
          <w:sz w:val="18"/>
          <w:szCs w:val="18"/>
          <w:lang w:val="es-ES_tradnl" w:eastAsia="es-CO"/>
        </w:rPr>
      </w:pPr>
    </w:p>
    <w:p w14:paraId="486AF7F9" w14:textId="77777777" w:rsidR="005E732B" w:rsidRPr="005E732B" w:rsidRDefault="005E732B" w:rsidP="00BC5FB4">
      <w:pPr>
        <w:rPr>
          <w:rFonts w:ascii="Bookman Old Style" w:eastAsia="Arial" w:hAnsi="Bookman Old Style" w:cs="Arial"/>
          <w:color w:val="262626"/>
          <w:sz w:val="18"/>
          <w:szCs w:val="18"/>
        </w:rPr>
      </w:pPr>
      <w:r w:rsidRPr="005E732B">
        <w:rPr>
          <w:rFonts w:ascii="Bookman Old Style" w:eastAsia="Arial" w:hAnsi="Bookman Old Style" w:cs="Arial"/>
          <w:color w:val="262626"/>
          <w:sz w:val="18"/>
          <w:szCs w:val="18"/>
        </w:rPr>
        <w:t xml:space="preserve">Corresponderá al contratista seleccionado la asunción del Riesgo previsible propio de este tipo de contratación asumiendo su costo, siempre que el mismo no se encuentre expresamente a cargo de la Entidad en el contrato. </w:t>
      </w:r>
    </w:p>
    <w:p w14:paraId="4AB7DB68" w14:textId="77777777" w:rsidR="005E732B" w:rsidRPr="005E732B" w:rsidRDefault="005E732B" w:rsidP="00BC5FB4">
      <w:pPr>
        <w:rPr>
          <w:rFonts w:ascii="Bookman Old Style" w:eastAsia="Arial" w:hAnsi="Bookman Old Style" w:cs="Arial"/>
          <w:color w:val="262626"/>
          <w:sz w:val="18"/>
          <w:szCs w:val="18"/>
        </w:rPr>
      </w:pPr>
    </w:p>
    <w:p w14:paraId="1052644E" w14:textId="0A68F75B" w:rsidR="005E732B" w:rsidRDefault="005E732B" w:rsidP="00BC5FB4">
      <w:pPr>
        <w:rPr>
          <w:rFonts w:ascii="Bookman Old Style" w:eastAsia="Arial" w:hAnsi="Bookman Old Style" w:cs="Arial"/>
          <w:color w:val="262626"/>
          <w:sz w:val="18"/>
          <w:szCs w:val="18"/>
        </w:rPr>
      </w:pPr>
      <w:r w:rsidRPr="005E732B">
        <w:rPr>
          <w:rFonts w:ascii="Bookman Old Style" w:eastAsia="Arial" w:hAnsi="Bookman Old Style" w:cs="Arial"/>
          <w:color w:val="262626"/>
          <w:sz w:val="18"/>
          <w:szCs w:val="18"/>
        </w:rPr>
        <w:t>De acuerdo con procedimiento de la referencia, nos permitimos establecer la tipificación, estimación y asignación de los riesgos previsibles que puedan afectar el presente procedimiento</w:t>
      </w:r>
    </w:p>
    <w:p w14:paraId="2BF11E49" w14:textId="77777777" w:rsidR="00E261A7" w:rsidRDefault="00E261A7" w:rsidP="00BC5FB4">
      <w:pPr>
        <w:rPr>
          <w:rFonts w:ascii="Bookman Old Style" w:hAnsi="Bookman Old Style" w:cs="Arial"/>
          <w:sz w:val="18"/>
          <w:szCs w:val="18"/>
          <w:lang w:val="es-ES_tradnl" w:eastAsia="es-CO"/>
        </w:rPr>
      </w:pPr>
    </w:p>
    <w:tbl>
      <w:tblPr>
        <w:tblW w:w="17056" w:type="dxa"/>
        <w:tblCellMar>
          <w:left w:w="70" w:type="dxa"/>
          <w:right w:w="70" w:type="dxa"/>
        </w:tblCellMar>
        <w:tblLook w:val="04A0" w:firstRow="1" w:lastRow="0" w:firstColumn="1" w:lastColumn="0" w:noHBand="0" w:noVBand="1"/>
      </w:tblPr>
      <w:tblGrid>
        <w:gridCol w:w="334"/>
        <w:gridCol w:w="316"/>
        <w:gridCol w:w="317"/>
        <w:gridCol w:w="446"/>
        <w:gridCol w:w="315"/>
        <w:gridCol w:w="3766"/>
        <w:gridCol w:w="756"/>
        <w:gridCol w:w="315"/>
        <w:gridCol w:w="3164"/>
        <w:gridCol w:w="378"/>
        <w:gridCol w:w="315"/>
        <w:gridCol w:w="394"/>
        <w:gridCol w:w="315"/>
        <w:gridCol w:w="775"/>
        <w:gridCol w:w="709"/>
        <w:gridCol w:w="705"/>
        <w:gridCol w:w="3009"/>
        <w:gridCol w:w="713"/>
        <w:gridCol w:w="14"/>
      </w:tblGrid>
      <w:tr w:rsidR="00EF6577" w:rsidRPr="00995382" w14:paraId="1109CC2D" w14:textId="77777777" w:rsidTr="001968F7">
        <w:trPr>
          <w:trHeight w:val="370"/>
        </w:trPr>
        <w:tc>
          <w:tcPr>
            <w:tcW w:w="334"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23EF870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71AD93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Clase</w:t>
            </w:r>
          </w:p>
        </w:tc>
        <w:tc>
          <w:tcPr>
            <w:tcW w:w="317"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C0C51D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Fuente</w:t>
            </w:r>
          </w:p>
        </w:tc>
        <w:tc>
          <w:tcPr>
            <w:tcW w:w="44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FABD7A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Etapa</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E7C1C5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Tipo</w:t>
            </w:r>
          </w:p>
        </w:tc>
        <w:tc>
          <w:tcPr>
            <w:tcW w:w="376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A593D0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Descripción</w:t>
            </w:r>
          </w:p>
        </w:tc>
        <w:tc>
          <w:tcPr>
            <w:tcW w:w="75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C87318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Consecuencia de la ocurrencia del evento</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90CF879"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¿A quién se le asigna?</w:t>
            </w:r>
          </w:p>
        </w:tc>
        <w:tc>
          <w:tcPr>
            <w:tcW w:w="316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A51DFC"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Tratamiento/Controles a ser implementados</w:t>
            </w:r>
          </w:p>
        </w:tc>
        <w:tc>
          <w:tcPr>
            <w:tcW w:w="1402" w:type="dxa"/>
            <w:gridSpan w:val="4"/>
            <w:tcBorders>
              <w:top w:val="single" w:sz="4" w:space="0" w:color="auto"/>
              <w:left w:val="nil"/>
              <w:bottom w:val="single" w:sz="4" w:space="0" w:color="auto"/>
              <w:right w:val="single" w:sz="4" w:space="0" w:color="auto"/>
            </w:tcBorders>
            <w:shd w:val="clear" w:color="000000" w:fill="BFBFBF"/>
            <w:vAlign w:val="center"/>
            <w:hideMark/>
          </w:tcPr>
          <w:p w14:paraId="167C3932"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Impacto después del tratamiento</w:t>
            </w:r>
          </w:p>
        </w:tc>
        <w:tc>
          <w:tcPr>
            <w:tcW w:w="775" w:type="dxa"/>
            <w:vMerge w:val="restart"/>
            <w:tcBorders>
              <w:top w:val="single" w:sz="4" w:space="0" w:color="auto"/>
              <w:left w:val="single" w:sz="4" w:space="0" w:color="auto"/>
              <w:right w:val="single" w:sz="4" w:space="0" w:color="auto"/>
            </w:tcBorders>
            <w:shd w:val="clear" w:color="000000" w:fill="BFBFBF"/>
            <w:textDirection w:val="btLr"/>
            <w:vAlign w:val="center"/>
            <w:hideMark/>
          </w:tcPr>
          <w:p w14:paraId="36AAF52D"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¿Afecta la ejecución del contrato?</w:t>
            </w:r>
          </w:p>
        </w:tc>
        <w:tc>
          <w:tcPr>
            <w:tcW w:w="709" w:type="dxa"/>
            <w:vMerge w:val="restart"/>
            <w:tcBorders>
              <w:top w:val="single" w:sz="4" w:space="0" w:color="auto"/>
              <w:left w:val="single" w:sz="4" w:space="0" w:color="auto"/>
              <w:right w:val="single" w:sz="4" w:space="0" w:color="auto"/>
            </w:tcBorders>
            <w:shd w:val="clear" w:color="000000" w:fill="BFBFBF"/>
            <w:textDirection w:val="btLr"/>
            <w:vAlign w:val="center"/>
            <w:hideMark/>
          </w:tcPr>
          <w:p w14:paraId="578C9A29"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Persona responsable por implementar el tratamiento</w:t>
            </w:r>
          </w:p>
        </w:tc>
        <w:tc>
          <w:tcPr>
            <w:tcW w:w="705" w:type="dxa"/>
            <w:vMerge w:val="restart"/>
            <w:tcBorders>
              <w:top w:val="single" w:sz="4" w:space="0" w:color="auto"/>
              <w:left w:val="single" w:sz="4" w:space="0" w:color="auto"/>
              <w:right w:val="single" w:sz="4" w:space="0" w:color="auto"/>
            </w:tcBorders>
            <w:shd w:val="clear" w:color="000000" w:fill="BFBFBF"/>
            <w:textDirection w:val="btLr"/>
            <w:vAlign w:val="center"/>
            <w:hideMark/>
          </w:tcPr>
          <w:p w14:paraId="4802F66E"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Fecha estimada en que se completa el tratamiento</w:t>
            </w:r>
          </w:p>
        </w:tc>
        <w:tc>
          <w:tcPr>
            <w:tcW w:w="3736" w:type="dxa"/>
            <w:gridSpan w:val="3"/>
            <w:tcBorders>
              <w:top w:val="single" w:sz="4" w:space="0" w:color="auto"/>
              <w:left w:val="nil"/>
              <w:bottom w:val="single" w:sz="4" w:space="0" w:color="auto"/>
              <w:right w:val="single" w:sz="4" w:space="0" w:color="auto"/>
            </w:tcBorders>
            <w:shd w:val="clear" w:color="000000" w:fill="BFBFBF"/>
            <w:vAlign w:val="center"/>
            <w:hideMark/>
          </w:tcPr>
          <w:p w14:paraId="34B4A424"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Monitoreo y revisión</w:t>
            </w:r>
          </w:p>
        </w:tc>
      </w:tr>
      <w:tr w:rsidR="00EF6577" w:rsidRPr="00995382" w14:paraId="0765F5A5" w14:textId="77777777" w:rsidTr="001968F7">
        <w:trPr>
          <w:gridAfter w:val="1"/>
          <w:wAfter w:w="14" w:type="dxa"/>
          <w:trHeight w:val="1243"/>
        </w:trPr>
        <w:tc>
          <w:tcPr>
            <w:tcW w:w="334" w:type="dxa"/>
            <w:vMerge/>
            <w:tcBorders>
              <w:top w:val="single" w:sz="4" w:space="0" w:color="auto"/>
              <w:left w:val="single" w:sz="4" w:space="0" w:color="auto"/>
              <w:bottom w:val="single" w:sz="4" w:space="0" w:color="auto"/>
              <w:right w:val="single" w:sz="4" w:space="0" w:color="auto"/>
            </w:tcBorders>
            <w:vAlign w:val="center"/>
            <w:hideMark/>
          </w:tcPr>
          <w:p w14:paraId="3FEA9EAF"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26D66C3A"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317" w:type="dxa"/>
            <w:vMerge/>
            <w:tcBorders>
              <w:top w:val="single" w:sz="4" w:space="0" w:color="auto"/>
              <w:left w:val="single" w:sz="4" w:space="0" w:color="auto"/>
              <w:bottom w:val="single" w:sz="4" w:space="0" w:color="auto"/>
              <w:right w:val="single" w:sz="4" w:space="0" w:color="auto"/>
            </w:tcBorders>
            <w:vAlign w:val="center"/>
            <w:hideMark/>
          </w:tcPr>
          <w:p w14:paraId="0B02BFF2"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446" w:type="dxa"/>
            <w:vMerge/>
            <w:tcBorders>
              <w:top w:val="single" w:sz="4" w:space="0" w:color="auto"/>
              <w:left w:val="single" w:sz="4" w:space="0" w:color="auto"/>
              <w:bottom w:val="single" w:sz="4" w:space="0" w:color="auto"/>
              <w:right w:val="single" w:sz="4" w:space="0" w:color="auto"/>
            </w:tcBorders>
            <w:vAlign w:val="center"/>
            <w:hideMark/>
          </w:tcPr>
          <w:p w14:paraId="038A5659"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6D1F46FB"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3766" w:type="dxa"/>
            <w:vMerge/>
            <w:tcBorders>
              <w:top w:val="single" w:sz="4" w:space="0" w:color="auto"/>
              <w:left w:val="single" w:sz="4" w:space="0" w:color="auto"/>
              <w:bottom w:val="single" w:sz="4" w:space="0" w:color="000000"/>
              <w:right w:val="single" w:sz="4" w:space="0" w:color="auto"/>
            </w:tcBorders>
            <w:vAlign w:val="center"/>
            <w:hideMark/>
          </w:tcPr>
          <w:p w14:paraId="63F3034B" w14:textId="77777777" w:rsidR="00EF6577" w:rsidRPr="00995382" w:rsidRDefault="00EF6577" w:rsidP="00995382">
            <w:pPr>
              <w:spacing w:line="240" w:lineRule="auto"/>
              <w:contextualSpacing w:val="0"/>
              <w:rPr>
                <w:rFonts w:ascii="Bookman Old Style" w:eastAsia="Times New Roman" w:hAnsi="Bookman Old Style" w:cs="Calibri"/>
                <w:color w:val="000000"/>
                <w:sz w:val="14"/>
                <w:szCs w:val="14"/>
                <w:lang w:eastAsia="es-CO"/>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14:paraId="7CD234AD" w14:textId="77777777" w:rsidR="00EF6577" w:rsidRPr="00995382" w:rsidRDefault="00EF6577" w:rsidP="00995382">
            <w:pPr>
              <w:spacing w:line="240" w:lineRule="auto"/>
              <w:contextualSpacing w:val="0"/>
              <w:jc w:val="left"/>
              <w:rPr>
                <w:rFonts w:ascii="Bookman Old Style" w:eastAsia="Times New Roman" w:hAnsi="Bookman Old Style" w:cs="Calibri"/>
                <w:color w:val="00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187C678C" w14:textId="77777777" w:rsidR="00EF6577" w:rsidRPr="00995382" w:rsidRDefault="00EF6577" w:rsidP="00995382">
            <w:pPr>
              <w:spacing w:line="240" w:lineRule="auto"/>
              <w:contextualSpacing w:val="0"/>
              <w:jc w:val="left"/>
              <w:rPr>
                <w:rFonts w:ascii="Bookman Old Style" w:eastAsia="Times New Roman" w:hAnsi="Bookman Old Style" w:cs="Calibri"/>
                <w:b/>
                <w:bCs/>
                <w:color w:val="404040"/>
                <w:sz w:val="14"/>
                <w:szCs w:val="14"/>
                <w:lang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79D24B9" w14:textId="77777777" w:rsidR="00EF6577" w:rsidRPr="00995382" w:rsidRDefault="00EF6577" w:rsidP="00995382">
            <w:pPr>
              <w:spacing w:line="240" w:lineRule="auto"/>
              <w:contextualSpacing w:val="0"/>
              <w:jc w:val="left"/>
              <w:rPr>
                <w:rFonts w:ascii="Bookman Old Style" w:eastAsia="Times New Roman" w:hAnsi="Bookman Old Style" w:cs="Calibri"/>
                <w:b/>
                <w:bCs/>
                <w:color w:val="404040"/>
                <w:sz w:val="14"/>
                <w:szCs w:val="14"/>
                <w:lang w:eastAsia="es-CO"/>
              </w:rPr>
            </w:pPr>
          </w:p>
        </w:tc>
        <w:tc>
          <w:tcPr>
            <w:tcW w:w="378" w:type="dxa"/>
            <w:tcBorders>
              <w:top w:val="nil"/>
              <w:left w:val="nil"/>
              <w:bottom w:val="single" w:sz="4" w:space="0" w:color="auto"/>
              <w:right w:val="single" w:sz="4" w:space="0" w:color="auto"/>
            </w:tcBorders>
            <w:shd w:val="clear" w:color="000000" w:fill="BFBFBF"/>
            <w:textDirection w:val="btLr"/>
            <w:vAlign w:val="center"/>
            <w:hideMark/>
          </w:tcPr>
          <w:p w14:paraId="6296B641"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Probabilidad</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4ADACEED"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Impacto</w:t>
            </w:r>
          </w:p>
        </w:tc>
        <w:tc>
          <w:tcPr>
            <w:tcW w:w="394" w:type="dxa"/>
            <w:tcBorders>
              <w:top w:val="nil"/>
              <w:left w:val="nil"/>
              <w:bottom w:val="single" w:sz="4" w:space="0" w:color="auto"/>
              <w:right w:val="single" w:sz="4" w:space="0" w:color="auto"/>
            </w:tcBorders>
            <w:shd w:val="clear" w:color="000000" w:fill="BFBFBF"/>
            <w:textDirection w:val="btLr"/>
            <w:vAlign w:val="center"/>
            <w:hideMark/>
          </w:tcPr>
          <w:p w14:paraId="474148D7"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Valoración del Riesgo</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2E944BC7"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Categoría</w:t>
            </w:r>
          </w:p>
        </w:tc>
        <w:tc>
          <w:tcPr>
            <w:tcW w:w="775" w:type="dxa"/>
            <w:vMerge/>
            <w:tcBorders>
              <w:left w:val="single" w:sz="4" w:space="0" w:color="auto"/>
              <w:bottom w:val="single" w:sz="4" w:space="0" w:color="auto"/>
              <w:right w:val="single" w:sz="4" w:space="0" w:color="auto"/>
            </w:tcBorders>
            <w:shd w:val="clear" w:color="000000" w:fill="BFBFBF"/>
            <w:vAlign w:val="center"/>
            <w:hideMark/>
          </w:tcPr>
          <w:p w14:paraId="0A2BEBCF" w14:textId="77777777" w:rsidR="00EF6577" w:rsidRPr="00995382" w:rsidRDefault="00EF6577" w:rsidP="00995382">
            <w:pPr>
              <w:spacing w:line="240" w:lineRule="auto"/>
              <w:contextualSpacing w:val="0"/>
              <w:jc w:val="left"/>
              <w:rPr>
                <w:rFonts w:ascii="Bookman Old Style" w:eastAsia="Times New Roman" w:hAnsi="Bookman Old Style" w:cs="Calibri"/>
                <w:b/>
                <w:bCs/>
                <w:color w:val="404040"/>
                <w:sz w:val="14"/>
                <w:szCs w:val="14"/>
                <w:lang w:eastAsia="es-CO"/>
              </w:rPr>
            </w:pPr>
          </w:p>
        </w:tc>
        <w:tc>
          <w:tcPr>
            <w:tcW w:w="709" w:type="dxa"/>
            <w:vMerge/>
            <w:tcBorders>
              <w:left w:val="single" w:sz="4" w:space="0" w:color="auto"/>
              <w:bottom w:val="single" w:sz="4" w:space="0" w:color="auto"/>
              <w:right w:val="single" w:sz="4" w:space="0" w:color="auto"/>
            </w:tcBorders>
            <w:shd w:val="clear" w:color="000000" w:fill="BFBFBF"/>
            <w:vAlign w:val="center"/>
            <w:hideMark/>
          </w:tcPr>
          <w:p w14:paraId="520227DC" w14:textId="77777777" w:rsidR="00EF6577" w:rsidRPr="00995382" w:rsidRDefault="00EF6577" w:rsidP="00995382">
            <w:pPr>
              <w:spacing w:line="240" w:lineRule="auto"/>
              <w:contextualSpacing w:val="0"/>
              <w:jc w:val="left"/>
              <w:rPr>
                <w:rFonts w:ascii="Bookman Old Style" w:eastAsia="Times New Roman" w:hAnsi="Bookman Old Style" w:cs="Calibri"/>
                <w:b/>
                <w:bCs/>
                <w:color w:val="404040"/>
                <w:sz w:val="14"/>
                <w:szCs w:val="14"/>
                <w:lang w:eastAsia="es-CO"/>
              </w:rPr>
            </w:pPr>
          </w:p>
        </w:tc>
        <w:tc>
          <w:tcPr>
            <w:tcW w:w="705" w:type="dxa"/>
            <w:vMerge/>
            <w:tcBorders>
              <w:left w:val="single" w:sz="4" w:space="0" w:color="auto"/>
              <w:bottom w:val="single" w:sz="4" w:space="0" w:color="auto"/>
              <w:right w:val="single" w:sz="4" w:space="0" w:color="auto"/>
            </w:tcBorders>
            <w:shd w:val="clear" w:color="000000" w:fill="BFBFBF"/>
            <w:vAlign w:val="center"/>
            <w:hideMark/>
          </w:tcPr>
          <w:p w14:paraId="37BFFD96" w14:textId="77777777" w:rsidR="00EF6577" w:rsidRPr="00995382" w:rsidRDefault="00EF6577" w:rsidP="00995382">
            <w:pPr>
              <w:spacing w:line="240" w:lineRule="auto"/>
              <w:contextualSpacing w:val="0"/>
              <w:jc w:val="left"/>
              <w:rPr>
                <w:rFonts w:ascii="Bookman Old Style" w:eastAsia="Times New Roman" w:hAnsi="Bookman Old Style" w:cs="Calibri"/>
                <w:b/>
                <w:bCs/>
                <w:color w:val="404040"/>
                <w:sz w:val="14"/>
                <w:szCs w:val="14"/>
                <w:lang w:eastAsia="es-CO"/>
              </w:rPr>
            </w:pPr>
          </w:p>
        </w:tc>
        <w:tc>
          <w:tcPr>
            <w:tcW w:w="3009" w:type="dxa"/>
            <w:tcBorders>
              <w:top w:val="nil"/>
              <w:left w:val="nil"/>
              <w:bottom w:val="single" w:sz="4" w:space="0" w:color="auto"/>
              <w:right w:val="single" w:sz="4" w:space="0" w:color="auto"/>
            </w:tcBorders>
            <w:shd w:val="clear" w:color="000000" w:fill="BFBFBF"/>
            <w:vAlign w:val="center"/>
            <w:hideMark/>
          </w:tcPr>
          <w:p w14:paraId="5B703516"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¿Cómo se realiza el monitoreo?</w:t>
            </w:r>
          </w:p>
        </w:tc>
        <w:tc>
          <w:tcPr>
            <w:tcW w:w="713" w:type="dxa"/>
            <w:tcBorders>
              <w:top w:val="nil"/>
              <w:left w:val="nil"/>
              <w:bottom w:val="single" w:sz="4" w:space="0" w:color="auto"/>
              <w:right w:val="single" w:sz="4" w:space="0" w:color="auto"/>
            </w:tcBorders>
            <w:shd w:val="clear" w:color="000000" w:fill="BFBFBF"/>
            <w:textDirection w:val="btLr"/>
            <w:vAlign w:val="center"/>
            <w:hideMark/>
          </w:tcPr>
          <w:p w14:paraId="7AB185C6"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404040"/>
                <w:sz w:val="14"/>
                <w:szCs w:val="14"/>
                <w:lang w:eastAsia="es-CO"/>
              </w:rPr>
            </w:pPr>
            <w:r w:rsidRPr="00995382">
              <w:rPr>
                <w:rFonts w:ascii="Bookman Old Style" w:eastAsia="Times New Roman" w:hAnsi="Bookman Old Style" w:cs="Calibri"/>
                <w:b/>
                <w:bCs/>
                <w:color w:val="404040"/>
                <w:sz w:val="14"/>
                <w:szCs w:val="14"/>
                <w:lang w:eastAsia="es-CO"/>
              </w:rPr>
              <w:t>Periodicidad ¿Cuándo?</w:t>
            </w:r>
          </w:p>
        </w:tc>
      </w:tr>
      <w:tr w:rsidR="00EF6577" w:rsidRPr="00995382" w14:paraId="5BF02CED" w14:textId="77777777" w:rsidTr="001968F7">
        <w:trPr>
          <w:gridAfter w:val="1"/>
          <w:wAfter w:w="14" w:type="dxa"/>
          <w:trHeight w:val="801"/>
        </w:trPr>
        <w:tc>
          <w:tcPr>
            <w:tcW w:w="334" w:type="dxa"/>
            <w:tcBorders>
              <w:top w:val="nil"/>
              <w:left w:val="single" w:sz="4" w:space="0" w:color="auto"/>
              <w:bottom w:val="single" w:sz="4" w:space="0" w:color="auto"/>
              <w:right w:val="single" w:sz="4" w:space="0" w:color="auto"/>
            </w:tcBorders>
            <w:vAlign w:val="center"/>
            <w:hideMark/>
          </w:tcPr>
          <w:p w14:paraId="6D8D600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6" w:type="dxa"/>
            <w:tcBorders>
              <w:top w:val="nil"/>
              <w:left w:val="nil"/>
              <w:bottom w:val="single" w:sz="4" w:space="0" w:color="auto"/>
              <w:right w:val="single" w:sz="4" w:space="0" w:color="auto"/>
            </w:tcBorders>
            <w:textDirection w:val="btLr"/>
            <w:vAlign w:val="center"/>
            <w:hideMark/>
          </w:tcPr>
          <w:p w14:paraId="63A9E95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086AD30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052E948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Selección - Ejecución</w:t>
            </w:r>
          </w:p>
        </w:tc>
        <w:tc>
          <w:tcPr>
            <w:tcW w:w="315" w:type="dxa"/>
            <w:tcBorders>
              <w:top w:val="nil"/>
              <w:left w:val="nil"/>
              <w:bottom w:val="single" w:sz="4" w:space="0" w:color="auto"/>
              <w:right w:val="single" w:sz="4" w:space="0" w:color="auto"/>
            </w:tcBorders>
            <w:textDirection w:val="btLr"/>
            <w:vAlign w:val="center"/>
            <w:hideMark/>
          </w:tcPr>
          <w:p w14:paraId="6703CDF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Económico - Riesgo Operacional</w:t>
            </w:r>
          </w:p>
        </w:tc>
        <w:tc>
          <w:tcPr>
            <w:tcW w:w="3766" w:type="dxa"/>
            <w:tcBorders>
              <w:top w:val="nil"/>
              <w:left w:val="nil"/>
              <w:bottom w:val="single" w:sz="4" w:space="0" w:color="auto"/>
              <w:right w:val="single" w:sz="4" w:space="0" w:color="auto"/>
            </w:tcBorders>
            <w:vAlign w:val="center"/>
            <w:hideMark/>
          </w:tcPr>
          <w:p w14:paraId="1802346F" w14:textId="5346F023"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Precios Por debajo del Presupuesto Oficial </w:t>
            </w:r>
            <w:r w:rsidRPr="00995382">
              <w:rPr>
                <w:rFonts w:ascii="Bookman Old Style" w:eastAsia="Times New Roman" w:hAnsi="Bookman Old Style" w:cs="Calibri"/>
                <w:color w:val="000000"/>
                <w:sz w:val="14"/>
                <w:szCs w:val="14"/>
                <w:lang w:eastAsia="es-CO"/>
              </w:rPr>
              <w:t xml:space="preserve">(por debajo del presupuesto oficial, </w:t>
            </w:r>
            <w:proofErr w:type="spellStart"/>
            <w:r w:rsidRPr="00995382">
              <w:rPr>
                <w:rFonts w:ascii="Bookman Old Style" w:eastAsia="Times New Roman" w:hAnsi="Bookman Old Style" w:cs="Calibri"/>
                <w:color w:val="000000"/>
                <w:sz w:val="14"/>
                <w:szCs w:val="14"/>
                <w:lang w:eastAsia="es-CO"/>
              </w:rPr>
              <w:t>ó</w:t>
            </w:r>
            <w:proofErr w:type="spellEnd"/>
            <w:r w:rsidRPr="00995382">
              <w:rPr>
                <w:rFonts w:ascii="Bookman Old Style" w:eastAsia="Times New Roman" w:hAnsi="Bookman Old Style" w:cs="Calibri"/>
                <w:color w:val="000000"/>
                <w:sz w:val="14"/>
                <w:szCs w:val="14"/>
                <w:lang w:eastAsia="es-CO"/>
              </w:rPr>
              <w:t xml:space="preserve"> por debajo de los ítems del presupuesto oficial o de los insumos del APU del presupuesto oficial, tales como equipos, materiales, mano de obra, transportes, AIU EN LA PROPUESTA DEL PROPONENTE Y/O CONTRATISTA.</w:t>
            </w:r>
          </w:p>
        </w:tc>
        <w:tc>
          <w:tcPr>
            <w:tcW w:w="756" w:type="dxa"/>
            <w:tcBorders>
              <w:top w:val="nil"/>
              <w:left w:val="nil"/>
              <w:bottom w:val="single" w:sz="4" w:space="0" w:color="auto"/>
              <w:right w:val="single" w:sz="4" w:space="0" w:color="auto"/>
            </w:tcBorders>
            <w:textDirection w:val="btLr"/>
            <w:vAlign w:val="center"/>
            <w:hideMark/>
          </w:tcPr>
          <w:p w14:paraId="27A251C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económico al Contratista</w:t>
            </w:r>
          </w:p>
        </w:tc>
        <w:tc>
          <w:tcPr>
            <w:tcW w:w="315" w:type="dxa"/>
            <w:tcBorders>
              <w:top w:val="nil"/>
              <w:left w:val="nil"/>
              <w:bottom w:val="single" w:sz="4" w:space="0" w:color="auto"/>
              <w:right w:val="single" w:sz="4" w:space="0" w:color="auto"/>
            </w:tcBorders>
            <w:textDirection w:val="btLr"/>
            <w:vAlign w:val="center"/>
            <w:hideMark/>
          </w:tcPr>
          <w:p w14:paraId="0727A5DB"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CONTRATISTA </w:t>
            </w:r>
          </w:p>
        </w:tc>
        <w:tc>
          <w:tcPr>
            <w:tcW w:w="3164" w:type="dxa"/>
            <w:tcBorders>
              <w:top w:val="nil"/>
              <w:left w:val="nil"/>
              <w:bottom w:val="single" w:sz="4" w:space="0" w:color="auto"/>
              <w:right w:val="single" w:sz="4" w:space="0" w:color="auto"/>
            </w:tcBorders>
            <w:vAlign w:val="center"/>
            <w:hideMark/>
          </w:tcPr>
          <w:p w14:paraId="17126EB2"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Implementación de Controles en la Fase precontractual y contractual que aseguren la eficiencia del contratista en la ejecución del contrato conforme a la oferta técnica y económica presentada.</w:t>
            </w:r>
          </w:p>
        </w:tc>
        <w:tc>
          <w:tcPr>
            <w:tcW w:w="378" w:type="dxa"/>
            <w:tcBorders>
              <w:top w:val="nil"/>
              <w:left w:val="nil"/>
              <w:bottom w:val="single" w:sz="4" w:space="0" w:color="auto"/>
              <w:right w:val="single" w:sz="4" w:space="0" w:color="auto"/>
            </w:tcBorders>
            <w:vAlign w:val="center"/>
            <w:hideMark/>
          </w:tcPr>
          <w:p w14:paraId="392D559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1B3A55A8" w14:textId="77777777" w:rsidR="00EF6577" w:rsidRPr="00995382" w:rsidRDefault="00EF6577" w:rsidP="00EF6577">
            <w:pPr>
              <w:spacing w:line="240" w:lineRule="auto"/>
              <w:ind w:left="-250" w:firstLine="250"/>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27F4DDE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hideMark/>
          </w:tcPr>
          <w:p w14:paraId="77F1D8E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141A3A8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 son muy bajos puede afectar la ejecución del contrato</w:t>
            </w:r>
          </w:p>
        </w:tc>
        <w:tc>
          <w:tcPr>
            <w:tcW w:w="709" w:type="dxa"/>
            <w:tcBorders>
              <w:top w:val="nil"/>
              <w:left w:val="nil"/>
              <w:bottom w:val="single" w:sz="4" w:space="0" w:color="auto"/>
              <w:right w:val="single" w:sz="4" w:space="0" w:color="auto"/>
            </w:tcBorders>
            <w:textDirection w:val="btLr"/>
            <w:vAlign w:val="center"/>
            <w:hideMark/>
          </w:tcPr>
          <w:p w14:paraId="4D434FF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 Contratista</w:t>
            </w:r>
          </w:p>
        </w:tc>
        <w:tc>
          <w:tcPr>
            <w:tcW w:w="705" w:type="dxa"/>
            <w:tcBorders>
              <w:top w:val="nil"/>
              <w:left w:val="nil"/>
              <w:bottom w:val="single" w:sz="4" w:space="0" w:color="auto"/>
              <w:right w:val="single" w:sz="4" w:space="0" w:color="auto"/>
            </w:tcBorders>
            <w:textDirection w:val="btLr"/>
            <w:vAlign w:val="center"/>
            <w:hideMark/>
          </w:tcPr>
          <w:p w14:paraId="2A6070A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50CF9FE6"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713" w:type="dxa"/>
            <w:tcBorders>
              <w:top w:val="nil"/>
              <w:left w:val="nil"/>
              <w:bottom w:val="single" w:sz="4" w:space="0" w:color="auto"/>
              <w:right w:val="single" w:sz="4" w:space="0" w:color="auto"/>
            </w:tcBorders>
            <w:textDirection w:val="btLr"/>
            <w:vAlign w:val="center"/>
            <w:hideMark/>
          </w:tcPr>
          <w:p w14:paraId="4836087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275F0D81" w14:textId="77777777" w:rsidTr="001968F7">
        <w:trPr>
          <w:gridAfter w:val="1"/>
          <w:wAfter w:w="14" w:type="dxa"/>
          <w:trHeight w:val="1652"/>
        </w:trPr>
        <w:tc>
          <w:tcPr>
            <w:tcW w:w="334" w:type="dxa"/>
            <w:tcBorders>
              <w:top w:val="nil"/>
              <w:left w:val="single" w:sz="4" w:space="0" w:color="auto"/>
              <w:bottom w:val="single" w:sz="4" w:space="0" w:color="auto"/>
              <w:right w:val="single" w:sz="4" w:space="0" w:color="auto"/>
            </w:tcBorders>
            <w:vAlign w:val="center"/>
            <w:hideMark/>
          </w:tcPr>
          <w:p w14:paraId="27F85C9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6" w:type="dxa"/>
            <w:tcBorders>
              <w:top w:val="nil"/>
              <w:left w:val="nil"/>
              <w:bottom w:val="single" w:sz="4" w:space="0" w:color="auto"/>
              <w:right w:val="single" w:sz="4" w:space="0" w:color="auto"/>
            </w:tcBorders>
            <w:textDirection w:val="btLr"/>
            <w:vAlign w:val="center"/>
            <w:hideMark/>
          </w:tcPr>
          <w:p w14:paraId="7E03B95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6FE9D47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7889746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4C42BDA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Económico</w:t>
            </w:r>
          </w:p>
        </w:tc>
        <w:tc>
          <w:tcPr>
            <w:tcW w:w="3766" w:type="dxa"/>
            <w:tcBorders>
              <w:top w:val="nil"/>
              <w:left w:val="nil"/>
              <w:bottom w:val="single" w:sz="4" w:space="0" w:color="auto"/>
              <w:right w:val="single" w:sz="4" w:space="0" w:color="auto"/>
            </w:tcBorders>
            <w:vAlign w:val="center"/>
            <w:hideMark/>
          </w:tcPr>
          <w:p w14:paraId="37717DDD"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Salida del mercado de insumos o materias primas fundamentales para la elaboración de las obras objeto del contrato.</w:t>
            </w:r>
          </w:p>
        </w:tc>
        <w:tc>
          <w:tcPr>
            <w:tcW w:w="756" w:type="dxa"/>
            <w:tcBorders>
              <w:top w:val="nil"/>
              <w:left w:val="nil"/>
              <w:bottom w:val="single" w:sz="4" w:space="0" w:color="auto"/>
              <w:right w:val="single" w:sz="4" w:space="0" w:color="auto"/>
            </w:tcBorders>
            <w:textDirection w:val="btLr"/>
            <w:vAlign w:val="center"/>
            <w:hideMark/>
          </w:tcPr>
          <w:p w14:paraId="17F65FD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negativo en el cumplimiento del objeto contractual</w:t>
            </w:r>
          </w:p>
        </w:tc>
        <w:tc>
          <w:tcPr>
            <w:tcW w:w="315" w:type="dxa"/>
            <w:tcBorders>
              <w:top w:val="nil"/>
              <w:left w:val="nil"/>
              <w:bottom w:val="single" w:sz="4" w:space="0" w:color="auto"/>
              <w:right w:val="single" w:sz="4" w:space="0" w:color="auto"/>
            </w:tcBorders>
            <w:textDirection w:val="btLr"/>
            <w:vAlign w:val="center"/>
            <w:hideMark/>
          </w:tcPr>
          <w:p w14:paraId="50BCEE38"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AMBOS</w:t>
            </w:r>
          </w:p>
        </w:tc>
        <w:tc>
          <w:tcPr>
            <w:tcW w:w="3164" w:type="dxa"/>
            <w:tcBorders>
              <w:top w:val="nil"/>
              <w:left w:val="nil"/>
              <w:bottom w:val="single" w:sz="4" w:space="0" w:color="auto"/>
              <w:right w:val="single" w:sz="4" w:space="0" w:color="auto"/>
            </w:tcBorders>
            <w:vAlign w:val="center"/>
            <w:hideMark/>
          </w:tcPr>
          <w:p w14:paraId="7B0BC1BE"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Recopilación de datos estadísticos e información a partir de las fuentes oficiales durante la etapa precontractual y contractual</w:t>
            </w:r>
          </w:p>
        </w:tc>
        <w:tc>
          <w:tcPr>
            <w:tcW w:w="378" w:type="dxa"/>
            <w:tcBorders>
              <w:top w:val="nil"/>
              <w:left w:val="nil"/>
              <w:bottom w:val="single" w:sz="4" w:space="0" w:color="auto"/>
              <w:right w:val="single" w:sz="4" w:space="0" w:color="auto"/>
            </w:tcBorders>
            <w:vAlign w:val="center"/>
            <w:hideMark/>
          </w:tcPr>
          <w:p w14:paraId="0D14895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67E5970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6DE10D1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hideMark/>
          </w:tcPr>
          <w:p w14:paraId="6DC001B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7A0FE6D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 el insumo es materia prima básica puede afectarla, mientras se acuerda solución alterna.</w:t>
            </w:r>
          </w:p>
        </w:tc>
        <w:tc>
          <w:tcPr>
            <w:tcW w:w="709" w:type="dxa"/>
            <w:tcBorders>
              <w:top w:val="nil"/>
              <w:left w:val="nil"/>
              <w:bottom w:val="single" w:sz="4" w:space="0" w:color="auto"/>
              <w:right w:val="single" w:sz="4" w:space="0" w:color="auto"/>
            </w:tcBorders>
            <w:textDirection w:val="btLr"/>
            <w:vAlign w:val="center"/>
            <w:hideMark/>
          </w:tcPr>
          <w:p w14:paraId="4F18641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 Contratista</w:t>
            </w:r>
          </w:p>
        </w:tc>
        <w:tc>
          <w:tcPr>
            <w:tcW w:w="705" w:type="dxa"/>
            <w:tcBorders>
              <w:top w:val="nil"/>
              <w:left w:val="nil"/>
              <w:bottom w:val="single" w:sz="4" w:space="0" w:color="auto"/>
              <w:right w:val="single" w:sz="4" w:space="0" w:color="auto"/>
            </w:tcBorders>
            <w:textDirection w:val="btLr"/>
            <w:vAlign w:val="center"/>
            <w:hideMark/>
          </w:tcPr>
          <w:p w14:paraId="75C5461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2C1E9183"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Atención al comportamiento del suministro de materias primas e insumos en el mercado. Retroalimentación en los procedimientos adelantados por los responsables del tratamiento.</w:t>
            </w:r>
          </w:p>
        </w:tc>
        <w:tc>
          <w:tcPr>
            <w:tcW w:w="713" w:type="dxa"/>
            <w:tcBorders>
              <w:top w:val="nil"/>
              <w:left w:val="nil"/>
              <w:bottom w:val="single" w:sz="4" w:space="0" w:color="auto"/>
              <w:right w:val="single" w:sz="4" w:space="0" w:color="auto"/>
            </w:tcBorders>
            <w:textDirection w:val="btLr"/>
            <w:vAlign w:val="center"/>
            <w:hideMark/>
          </w:tcPr>
          <w:p w14:paraId="2BC1081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7AA364F6" w14:textId="77777777" w:rsidTr="001968F7">
        <w:trPr>
          <w:gridAfter w:val="1"/>
          <w:wAfter w:w="14" w:type="dxa"/>
          <w:trHeight w:val="1133"/>
        </w:trPr>
        <w:tc>
          <w:tcPr>
            <w:tcW w:w="334" w:type="dxa"/>
            <w:tcBorders>
              <w:top w:val="nil"/>
              <w:left w:val="single" w:sz="4" w:space="0" w:color="auto"/>
              <w:bottom w:val="single" w:sz="4" w:space="0" w:color="auto"/>
              <w:right w:val="single" w:sz="4" w:space="0" w:color="auto"/>
            </w:tcBorders>
            <w:vAlign w:val="center"/>
            <w:hideMark/>
          </w:tcPr>
          <w:p w14:paraId="0495D07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lastRenderedPageBreak/>
              <w:t>3</w:t>
            </w:r>
          </w:p>
        </w:tc>
        <w:tc>
          <w:tcPr>
            <w:tcW w:w="316" w:type="dxa"/>
            <w:tcBorders>
              <w:top w:val="nil"/>
              <w:left w:val="nil"/>
              <w:bottom w:val="single" w:sz="4" w:space="0" w:color="auto"/>
              <w:right w:val="single" w:sz="4" w:space="0" w:color="auto"/>
            </w:tcBorders>
            <w:textDirection w:val="btLr"/>
            <w:vAlign w:val="center"/>
            <w:hideMark/>
          </w:tcPr>
          <w:p w14:paraId="026B9E2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759F231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7512434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8AB2F5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Económico</w:t>
            </w:r>
          </w:p>
        </w:tc>
        <w:tc>
          <w:tcPr>
            <w:tcW w:w="3766" w:type="dxa"/>
            <w:tcBorders>
              <w:top w:val="nil"/>
              <w:left w:val="nil"/>
              <w:bottom w:val="single" w:sz="4" w:space="0" w:color="auto"/>
              <w:right w:val="single" w:sz="4" w:space="0" w:color="auto"/>
            </w:tcBorders>
            <w:vAlign w:val="center"/>
            <w:hideMark/>
          </w:tcPr>
          <w:p w14:paraId="3A43F9E4"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Fluctuación de </w:t>
            </w:r>
            <w:proofErr w:type="gramStart"/>
            <w:r w:rsidRPr="00995382">
              <w:rPr>
                <w:rFonts w:ascii="Bookman Old Style" w:eastAsia="Times New Roman" w:hAnsi="Bookman Old Style" w:cs="Calibri"/>
                <w:b/>
                <w:bCs/>
                <w:color w:val="000000"/>
                <w:sz w:val="14"/>
                <w:szCs w:val="14"/>
                <w:lang w:eastAsia="es-CO"/>
              </w:rPr>
              <w:t>precios  y</w:t>
            </w:r>
            <w:proofErr w:type="gramEnd"/>
            <w:r w:rsidRPr="00995382">
              <w:rPr>
                <w:rFonts w:ascii="Bookman Old Style" w:eastAsia="Times New Roman" w:hAnsi="Bookman Old Style" w:cs="Calibri"/>
                <w:b/>
                <w:bCs/>
                <w:color w:val="000000"/>
                <w:sz w:val="14"/>
                <w:szCs w:val="14"/>
                <w:lang w:eastAsia="es-CO"/>
              </w:rPr>
              <w:t xml:space="preserve">/o ajustes ocasionados durante la ejecución del contrato </w:t>
            </w:r>
            <w:r w:rsidRPr="00995382">
              <w:rPr>
                <w:rFonts w:ascii="Bookman Old Style" w:eastAsia="Times New Roman" w:hAnsi="Bookman Old Style" w:cs="Calibri"/>
                <w:color w:val="000000"/>
                <w:sz w:val="14"/>
                <w:szCs w:val="14"/>
                <w:lang w:eastAsia="es-CO"/>
              </w:rPr>
              <w:t xml:space="preserve">en el costo de insumos, tarifas, jornales, materiales, asesorías, honorarios, </w:t>
            </w:r>
            <w:proofErr w:type="spellStart"/>
            <w:r w:rsidRPr="00995382">
              <w:rPr>
                <w:rFonts w:ascii="Bookman Old Style" w:eastAsia="Times New Roman" w:hAnsi="Bookman Old Style" w:cs="Calibri"/>
                <w:color w:val="000000"/>
                <w:sz w:val="14"/>
                <w:szCs w:val="14"/>
                <w:lang w:eastAsia="es-CO"/>
              </w:rPr>
              <w:t>etc</w:t>
            </w:r>
            <w:proofErr w:type="spellEnd"/>
            <w:r w:rsidRPr="00995382">
              <w:rPr>
                <w:rFonts w:ascii="Bookman Old Style" w:eastAsia="Times New Roman" w:hAnsi="Bookman Old Style" w:cs="Calibri"/>
                <w:color w:val="000000"/>
                <w:sz w:val="14"/>
                <w:szCs w:val="14"/>
                <w:lang w:eastAsia="es-CO"/>
              </w:rPr>
              <w:t xml:space="preserve">, regulados y no regulados por el Gobierno.   Riesgo que asume el PROPONENTE Y/O CONTRATISTA, cuando el ajuste sobrepase los establecidos contractualmente con el MUNICIPIO. Riesgo que asume EL MUNICIPIO hasta en los ajustes estipulados contractualmente. </w:t>
            </w:r>
          </w:p>
        </w:tc>
        <w:tc>
          <w:tcPr>
            <w:tcW w:w="756" w:type="dxa"/>
            <w:tcBorders>
              <w:top w:val="nil"/>
              <w:left w:val="nil"/>
              <w:bottom w:val="single" w:sz="4" w:space="0" w:color="auto"/>
              <w:right w:val="single" w:sz="4" w:space="0" w:color="auto"/>
            </w:tcBorders>
            <w:textDirection w:val="btLr"/>
            <w:vAlign w:val="center"/>
            <w:hideMark/>
          </w:tcPr>
          <w:p w14:paraId="5CD67F2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negativo en el desarrollo del objeto contractual</w:t>
            </w:r>
          </w:p>
        </w:tc>
        <w:tc>
          <w:tcPr>
            <w:tcW w:w="315" w:type="dxa"/>
            <w:tcBorders>
              <w:top w:val="nil"/>
              <w:left w:val="nil"/>
              <w:bottom w:val="single" w:sz="4" w:space="0" w:color="auto"/>
              <w:right w:val="single" w:sz="4" w:space="0" w:color="auto"/>
            </w:tcBorders>
            <w:textDirection w:val="btLr"/>
            <w:vAlign w:val="center"/>
            <w:hideMark/>
          </w:tcPr>
          <w:p w14:paraId="13A7407D"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1261A539"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Recopilación de datos estadísticos e información sobre comportamiento histórico de precios, durante la etapa precontractual. Atención al comportamiento de precios en la etapa contractual</w:t>
            </w:r>
          </w:p>
        </w:tc>
        <w:tc>
          <w:tcPr>
            <w:tcW w:w="378" w:type="dxa"/>
            <w:tcBorders>
              <w:top w:val="nil"/>
              <w:left w:val="nil"/>
              <w:bottom w:val="single" w:sz="4" w:space="0" w:color="auto"/>
              <w:right w:val="single" w:sz="4" w:space="0" w:color="auto"/>
            </w:tcBorders>
            <w:vAlign w:val="center"/>
            <w:hideMark/>
          </w:tcPr>
          <w:p w14:paraId="470C3CD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3B86183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225B93E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hideMark/>
          </w:tcPr>
          <w:p w14:paraId="2E44E46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23FBDA3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0FEFB87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 Contratista</w:t>
            </w:r>
          </w:p>
        </w:tc>
        <w:tc>
          <w:tcPr>
            <w:tcW w:w="705" w:type="dxa"/>
            <w:tcBorders>
              <w:top w:val="nil"/>
              <w:left w:val="nil"/>
              <w:bottom w:val="single" w:sz="4" w:space="0" w:color="auto"/>
              <w:right w:val="single" w:sz="4" w:space="0" w:color="auto"/>
            </w:tcBorders>
            <w:textDirection w:val="btLr"/>
            <w:vAlign w:val="center"/>
            <w:hideMark/>
          </w:tcPr>
          <w:p w14:paraId="7A856FF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6C247D44"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Atención al comportamiento de precios. Retroalimentación en los procedimientos adelantados por los responsables del tratamiento.</w:t>
            </w:r>
          </w:p>
        </w:tc>
        <w:tc>
          <w:tcPr>
            <w:tcW w:w="713" w:type="dxa"/>
            <w:tcBorders>
              <w:top w:val="nil"/>
              <w:left w:val="nil"/>
              <w:bottom w:val="single" w:sz="4" w:space="0" w:color="auto"/>
              <w:right w:val="single" w:sz="4" w:space="0" w:color="auto"/>
            </w:tcBorders>
            <w:textDirection w:val="btLr"/>
            <w:vAlign w:val="center"/>
            <w:hideMark/>
          </w:tcPr>
          <w:p w14:paraId="4EE6785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2E2897EF" w14:textId="77777777" w:rsidTr="001968F7">
        <w:trPr>
          <w:gridAfter w:val="1"/>
          <w:wAfter w:w="14" w:type="dxa"/>
          <w:trHeight w:val="1960"/>
        </w:trPr>
        <w:tc>
          <w:tcPr>
            <w:tcW w:w="334" w:type="dxa"/>
            <w:tcBorders>
              <w:top w:val="nil"/>
              <w:left w:val="single" w:sz="4" w:space="0" w:color="auto"/>
              <w:bottom w:val="single" w:sz="4" w:space="0" w:color="auto"/>
              <w:right w:val="single" w:sz="4" w:space="0" w:color="auto"/>
            </w:tcBorders>
            <w:vAlign w:val="center"/>
            <w:hideMark/>
          </w:tcPr>
          <w:p w14:paraId="69653CE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4</w:t>
            </w:r>
          </w:p>
        </w:tc>
        <w:tc>
          <w:tcPr>
            <w:tcW w:w="316" w:type="dxa"/>
            <w:tcBorders>
              <w:top w:val="nil"/>
              <w:left w:val="nil"/>
              <w:bottom w:val="single" w:sz="4" w:space="0" w:color="auto"/>
              <w:right w:val="single" w:sz="4" w:space="0" w:color="auto"/>
            </w:tcBorders>
            <w:textDirection w:val="btLr"/>
            <w:vAlign w:val="center"/>
            <w:hideMark/>
          </w:tcPr>
          <w:p w14:paraId="6BDD8C5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2D5D77B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75C765F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7DA0EDC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Económico</w:t>
            </w:r>
          </w:p>
        </w:tc>
        <w:tc>
          <w:tcPr>
            <w:tcW w:w="3766" w:type="dxa"/>
            <w:tcBorders>
              <w:top w:val="nil"/>
              <w:left w:val="nil"/>
              <w:bottom w:val="single" w:sz="4" w:space="0" w:color="auto"/>
              <w:right w:val="single" w:sz="4" w:space="0" w:color="auto"/>
            </w:tcBorders>
            <w:vAlign w:val="center"/>
            <w:hideMark/>
          </w:tcPr>
          <w:p w14:paraId="21CE0AB6"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Escasez de cualquier tipo de material </w:t>
            </w:r>
            <w:proofErr w:type="gramStart"/>
            <w:r w:rsidRPr="00995382">
              <w:rPr>
                <w:rFonts w:ascii="Bookman Old Style" w:eastAsia="Times New Roman" w:hAnsi="Bookman Old Style" w:cs="Calibri"/>
                <w:b/>
                <w:bCs/>
                <w:color w:val="000000"/>
                <w:sz w:val="14"/>
                <w:szCs w:val="14"/>
                <w:lang w:eastAsia="es-CO"/>
              </w:rPr>
              <w:t>o  insumo</w:t>
            </w:r>
            <w:proofErr w:type="gramEnd"/>
            <w:r w:rsidRPr="00995382">
              <w:rPr>
                <w:rFonts w:ascii="Bookman Old Style" w:eastAsia="Times New Roman" w:hAnsi="Bookman Old Style" w:cs="Calibri"/>
                <w:b/>
                <w:bCs/>
                <w:color w:val="000000"/>
                <w:sz w:val="14"/>
                <w:szCs w:val="14"/>
                <w:lang w:eastAsia="es-CO"/>
              </w:rPr>
              <w:t xml:space="preserve"> para la ejecución de la obra</w:t>
            </w:r>
            <w:r w:rsidRPr="00995382">
              <w:rPr>
                <w:rFonts w:ascii="Bookman Old Style" w:eastAsia="Times New Roman" w:hAnsi="Bookman Old Style" w:cs="Calibri"/>
                <w:color w:val="000000"/>
                <w:sz w:val="14"/>
                <w:szCs w:val="14"/>
                <w:lang w:eastAsia="es-CO"/>
              </w:rPr>
              <w:t>.</w:t>
            </w:r>
          </w:p>
        </w:tc>
        <w:tc>
          <w:tcPr>
            <w:tcW w:w="756" w:type="dxa"/>
            <w:tcBorders>
              <w:top w:val="nil"/>
              <w:left w:val="nil"/>
              <w:bottom w:val="single" w:sz="4" w:space="0" w:color="auto"/>
              <w:right w:val="single" w:sz="4" w:space="0" w:color="auto"/>
            </w:tcBorders>
            <w:textDirection w:val="btLr"/>
            <w:vAlign w:val="center"/>
            <w:hideMark/>
          </w:tcPr>
          <w:p w14:paraId="787DBCD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negativo en el desarrollo del objeto contractual, retrasos en la ejecución del proyecto.</w:t>
            </w:r>
          </w:p>
        </w:tc>
        <w:tc>
          <w:tcPr>
            <w:tcW w:w="315" w:type="dxa"/>
            <w:tcBorders>
              <w:top w:val="nil"/>
              <w:left w:val="nil"/>
              <w:bottom w:val="single" w:sz="4" w:space="0" w:color="auto"/>
              <w:right w:val="single" w:sz="4" w:space="0" w:color="auto"/>
            </w:tcBorders>
            <w:textDirection w:val="btLr"/>
            <w:vAlign w:val="center"/>
            <w:hideMark/>
          </w:tcPr>
          <w:p w14:paraId="19330B55"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56468130"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Recopilación de datos estadísticos e información de disponibilidad de materiales en la zona del proyecto, e insumos, durante la etapa precontractual y contractual</w:t>
            </w:r>
          </w:p>
        </w:tc>
        <w:tc>
          <w:tcPr>
            <w:tcW w:w="378" w:type="dxa"/>
            <w:tcBorders>
              <w:top w:val="nil"/>
              <w:left w:val="nil"/>
              <w:bottom w:val="single" w:sz="4" w:space="0" w:color="auto"/>
              <w:right w:val="single" w:sz="4" w:space="0" w:color="auto"/>
            </w:tcBorders>
            <w:vAlign w:val="center"/>
            <w:hideMark/>
          </w:tcPr>
          <w:p w14:paraId="69D6E8F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74B39C4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298010A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hideMark/>
          </w:tcPr>
          <w:p w14:paraId="310B0EF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1049D3B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7B4C50A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 Contratista</w:t>
            </w:r>
          </w:p>
        </w:tc>
        <w:tc>
          <w:tcPr>
            <w:tcW w:w="705" w:type="dxa"/>
            <w:tcBorders>
              <w:top w:val="nil"/>
              <w:left w:val="nil"/>
              <w:bottom w:val="single" w:sz="4" w:space="0" w:color="auto"/>
              <w:right w:val="single" w:sz="4" w:space="0" w:color="auto"/>
            </w:tcBorders>
            <w:textDirection w:val="btLr"/>
            <w:vAlign w:val="center"/>
            <w:hideMark/>
          </w:tcPr>
          <w:p w14:paraId="39BFC8F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0D8DE748"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Verificación de consecución de materiales e insumos de acuerdo con requerimientos del proyecto. Retroalimentación en los procedimientos adelantados por los responsables del tratamiento.</w:t>
            </w:r>
          </w:p>
        </w:tc>
        <w:tc>
          <w:tcPr>
            <w:tcW w:w="713" w:type="dxa"/>
            <w:tcBorders>
              <w:top w:val="nil"/>
              <w:left w:val="nil"/>
              <w:bottom w:val="single" w:sz="4" w:space="0" w:color="auto"/>
              <w:right w:val="single" w:sz="4" w:space="0" w:color="auto"/>
            </w:tcBorders>
            <w:textDirection w:val="btLr"/>
            <w:vAlign w:val="center"/>
            <w:hideMark/>
          </w:tcPr>
          <w:p w14:paraId="17EE5B1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0A757356" w14:textId="77777777" w:rsidTr="001968F7">
        <w:trPr>
          <w:gridAfter w:val="1"/>
          <w:wAfter w:w="14" w:type="dxa"/>
          <w:trHeight w:val="2360"/>
        </w:trPr>
        <w:tc>
          <w:tcPr>
            <w:tcW w:w="334" w:type="dxa"/>
            <w:tcBorders>
              <w:top w:val="nil"/>
              <w:left w:val="single" w:sz="4" w:space="0" w:color="auto"/>
              <w:bottom w:val="single" w:sz="4" w:space="0" w:color="auto"/>
              <w:right w:val="single" w:sz="4" w:space="0" w:color="auto"/>
            </w:tcBorders>
            <w:vAlign w:val="center"/>
            <w:hideMark/>
          </w:tcPr>
          <w:p w14:paraId="66596FD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6" w:type="dxa"/>
            <w:tcBorders>
              <w:top w:val="nil"/>
              <w:left w:val="nil"/>
              <w:bottom w:val="single" w:sz="4" w:space="0" w:color="auto"/>
              <w:right w:val="single" w:sz="4" w:space="0" w:color="auto"/>
            </w:tcBorders>
            <w:textDirection w:val="btLr"/>
            <w:vAlign w:val="center"/>
            <w:hideMark/>
          </w:tcPr>
          <w:p w14:paraId="1025221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7B98A32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Externo </w:t>
            </w:r>
          </w:p>
        </w:tc>
        <w:tc>
          <w:tcPr>
            <w:tcW w:w="446" w:type="dxa"/>
            <w:tcBorders>
              <w:top w:val="nil"/>
              <w:left w:val="nil"/>
              <w:bottom w:val="single" w:sz="4" w:space="0" w:color="auto"/>
              <w:right w:val="single" w:sz="4" w:space="0" w:color="auto"/>
            </w:tcBorders>
            <w:textDirection w:val="btLr"/>
            <w:vAlign w:val="center"/>
            <w:hideMark/>
          </w:tcPr>
          <w:p w14:paraId="29B87CE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259D043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Riesgo Sociales o </w:t>
            </w:r>
            <w:proofErr w:type="spellStart"/>
            <w:r w:rsidRPr="00995382">
              <w:rPr>
                <w:rFonts w:ascii="Bookman Old Style" w:eastAsia="Times New Roman" w:hAnsi="Bookman Old Style" w:cs="Calibri"/>
                <w:color w:val="000000"/>
                <w:sz w:val="14"/>
                <w:szCs w:val="14"/>
                <w:lang w:eastAsia="es-CO"/>
              </w:rPr>
              <w:t>Politicos</w:t>
            </w:r>
            <w:proofErr w:type="spellEnd"/>
          </w:p>
        </w:tc>
        <w:tc>
          <w:tcPr>
            <w:tcW w:w="3766" w:type="dxa"/>
            <w:tcBorders>
              <w:top w:val="nil"/>
              <w:left w:val="nil"/>
              <w:bottom w:val="single" w:sz="4" w:space="0" w:color="auto"/>
              <w:right w:val="single" w:sz="4" w:space="0" w:color="auto"/>
            </w:tcBorders>
            <w:vAlign w:val="center"/>
            <w:hideMark/>
          </w:tcPr>
          <w:p w14:paraId="13B65D7D"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Orden público:</w:t>
            </w:r>
            <w:r w:rsidRPr="00995382">
              <w:rPr>
                <w:rFonts w:ascii="Bookman Old Style" w:eastAsia="Times New Roman" w:hAnsi="Bookman Old Style" w:cs="Calibri"/>
                <w:color w:val="000000"/>
                <w:sz w:val="14"/>
                <w:szCs w:val="14"/>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(el municipio como órgano del Estado en armonía con los demás Entes).</w:t>
            </w:r>
          </w:p>
        </w:tc>
        <w:tc>
          <w:tcPr>
            <w:tcW w:w="756" w:type="dxa"/>
            <w:tcBorders>
              <w:top w:val="nil"/>
              <w:left w:val="nil"/>
              <w:bottom w:val="single" w:sz="4" w:space="0" w:color="auto"/>
              <w:right w:val="single" w:sz="4" w:space="0" w:color="auto"/>
            </w:tcBorders>
            <w:textDirection w:val="btLr"/>
            <w:vAlign w:val="center"/>
            <w:hideMark/>
          </w:tcPr>
          <w:p w14:paraId="562D32C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Pérdida de Bienes del contratista, daños en obras del proyecto causadas por disturbios violentos, Interferencia en el desarrollo del proyecto.</w:t>
            </w:r>
          </w:p>
        </w:tc>
        <w:tc>
          <w:tcPr>
            <w:tcW w:w="315" w:type="dxa"/>
            <w:tcBorders>
              <w:top w:val="nil"/>
              <w:left w:val="nil"/>
              <w:bottom w:val="single" w:sz="4" w:space="0" w:color="auto"/>
              <w:right w:val="single" w:sz="4" w:space="0" w:color="auto"/>
            </w:tcBorders>
            <w:textDirection w:val="btLr"/>
            <w:vAlign w:val="center"/>
            <w:hideMark/>
          </w:tcPr>
          <w:p w14:paraId="3E63A085"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AMBOS </w:t>
            </w:r>
          </w:p>
        </w:tc>
        <w:tc>
          <w:tcPr>
            <w:tcW w:w="3164" w:type="dxa"/>
            <w:tcBorders>
              <w:top w:val="nil"/>
              <w:left w:val="nil"/>
              <w:bottom w:val="single" w:sz="4" w:space="0" w:color="auto"/>
              <w:right w:val="single" w:sz="4" w:space="0" w:color="auto"/>
            </w:tcBorders>
            <w:vAlign w:val="center"/>
            <w:hideMark/>
          </w:tcPr>
          <w:p w14:paraId="0F11E2EA"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378" w:type="dxa"/>
            <w:tcBorders>
              <w:top w:val="nil"/>
              <w:left w:val="nil"/>
              <w:bottom w:val="single" w:sz="4" w:space="0" w:color="auto"/>
              <w:right w:val="single" w:sz="4" w:space="0" w:color="auto"/>
            </w:tcBorders>
            <w:vAlign w:val="center"/>
            <w:hideMark/>
          </w:tcPr>
          <w:p w14:paraId="3C3AE14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39E067E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7100162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hideMark/>
          </w:tcPr>
          <w:p w14:paraId="2B600B8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1EA6F6A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0651893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Gestores y/o 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0109B1F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ocurrencia del evento</w:t>
            </w:r>
          </w:p>
        </w:tc>
        <w:tc>
          <w:tcPr>
            <w:tcW w:w="3009" w:type="dxa"/>
            <w:tcBorders>
              <w:top w:val="nil"/>
              <w:left w:val="nil"/>
              <w:bottom w:val="single" w:sz="4" w:space="0" w:color="auto"/>
              <w:right w:val="single" w:sz="4" w:space="0" w:color="auto"/>
            </w:tcBorders>
            <w:vAlign w:val="center"/>
            <w:hideMark/>
          </w:tcPr>
          <w:p w14:paraId="6BFCFFEF"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A partir de la información oficial, información del Interventor, del </w:t>
            </w:r>
            <w:proofErr w:type="gramStart"/>
            <w:r w:rsidRPr="00995382">
              <w:rPr>
                <w:rFonts w:ascii="Bookman Old Style" w:eastAsia="Times New Roman" w:hAnsi="Bookman Old Style" w:cs="Calibri"/>
                <w:color w:val="000000"/>
                <w:sz w:val="14"/>
                <w:szCs w:val="14"/>
                <w:lang w:eastAsia="es-CO"/>
              </w:rPr>
              <w:t>Contratista,  se</w:t>
            </w:r>
            <w:proofErr w:type="gramEnd"/>
            <w:r w:rsidRPr="00995382">
              <w:rPr>
                <w:rFonts w:ascii="Bookman Old Style" w:eastAsia="Times New Roman" w:hAnsi="Bookman Old Style" w:cs="Calibri"/>
                <w:color w:val="000000"/>
                <w:sz w:val="14"/>
                <w:szCs w:val="14"/>
                <w:lang w:eastAsia="es-CO"/>
              </w:rPr>
              <w:t xml:space="preserve"> determinan acciones a seguir, para procurar la menor afectación al proyecto.</w:t>
            </w:r>
          </w:p>
        </w:tc>
        <w:tc>
          <w:tcPr>
            <w:tcW w:w="713" w:type="dxa"/>
            <w:tcBorders>
              <w:top w:val="nil"/>
              <w:left w:val="nil"/>
              <w:bottom w:val="single" w:sz="4" w:space="0" w:color="auto"/>
              <w:right w:val="single" w:sz="4" w:space="0" w:color="auto"/>
            </w:tcBorders>
            <w:textDirection w:val="btLr"/>
            <w:vAlign w:val="center"/>
            <w:hideMark/>
          </w:tcPr>
          <w:p w14:paraId="63F35E4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Cuando se presente el evento</w:t>
            </w:r>
          </w:p>
        </w:tc>
      </w:tr>
      <w:tr w:rsidR="00EF6577" w:rsidRPr="00995382" w14:paraId="4514E0EE" w14:textId="77777777" w:rsidTr="001968F7">
        <w:trPr>
          <w:gridAfter w:val="1"/>
          <w:wAfter w:w="14" w:type="dxa"/>
          <w:trHeight w:val="1227"/>
        </w:trPr>
        <w:tc>
          <w:tcPr>
            <w:tcW w:w="334" w:type="dxa"/>
            <w:tcBorders>
              <w:top w:val="nil"/>
              <w:left w:val="single" w:sz="4" w:space="0" w:color="auto"/>
              <w:bottom w:val="single" w:sz="4" w:space="0" w:color="auto"/>
              <w:right w:val="single" w:sz="4" w:space="0" w:color="auto"/>
            </w:tcBorders>
            <w:vAlign w:val="center"/>
            <w:hideMark/>
          </w:tcPr>
          <w:p w14:paraId="56D6690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6</w:t>
            </w:r>
          </w:p>
        </w:tc>
        <w:tc>
          <w:tcPr>
            <w:tcW w:w="316" w:type="dxa"/>
            <w:tcBorders>
              <w:top w:val="nil"/>
              <w:left w:val="nil"/>
              <w:bottom w:val="single" w:sz="4" w:space="0" w:color="auto"/>
              <w:right w:val="single" w:sz="4" w:space="0" w:color="auto"/>
            </w:tcBorders>
            <w:textDirection w:val="btLr"/>
            <w:vAlign w:val="center"/>
            <w:hideMark/>
          </w:tcPr>
          <w:p w14:paraId="7A8839F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57256FD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Interno</w:t>
            </w:r>
          </w:p>
        </w:tc>
        <w:tc>
          <w:tcPr>
            <w:tcW w:w="446" w:type="dxa"/>
            <w:tcBorders>
              <w:top w:val="nil"/>
              <w:left w:val="nil"/>
              <w:bottom w:val="single" w:sz="4" w:space="0" w:color="auto"/>
              <w:right w:val="single" w:sz="4" w:space="0" w:color="auto"/>
            </w:tcBorders>
            <w:textDirection w:val="btLr"/>
            <w:vAlign w:val="center"/>
            <w:hideMark/>
          </w:tcPr>
          <w:p w14:paraId="52401ED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00EAE2A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Operacional</w:t>
            </w:r>
          </w:p>
        </w:tc>
        <w:tc>
          <w:tcPr>
            <w:tcW w:w="3766" w:type="dxa"/>
            <w:tcBorders>
              <w:top w:val="nil"/>
              <w:left w:val="nil"/>
              <w:bottom w:val="single" w:sz="4" w:space="0" w:color="auto"/>
              <w:right w:val="single" w:sz="4" w:space="0" w:color="auto"/>
            </w:tcBorders>
            <w:vAlign w:val="center"/>
            <w:hideMark/>
          </w:tcPr>
          <w:p w14:paraId="4E054F38"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Accidentalidad: </w:t>
            </w:r>
            <w:r w:rsidRPr="00995382">
              <w:rPr>
                <w:rFonts w:ascii="Bookman Old Style" w:eastAsia="Times New Roman" w:hAnsi="Bookman Old Style" w:cs="Calibri"/>
                <w:color w:val="000000"/>
                <w:sz w:val="14"/>
                <w:szCs w:val="14"/>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756" w:type="dxa"/>
            <w:tcBorders>
              <w:top w:val="nil"/>
              <w:left w:val="nil"/>
              <w:bottom w:val="single" w:sz="4" w:space="0" w:color="auto"/>
              <w:right w:val="single" w:sz="4" w:space="0" w:color="auto"/>
            </w:tcBorders>
            <w:textDirection w:val="btLr"/>
            <w:vAlign w:val="center"/>
            <w:hideMark/>
          </w:tcPr>
          <w:p w14:paraId="3CBD068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Negativo en el proyecto por la probable ocurrencia de accidentes de usuarios y trabajadores de la obra, Inconformidad con la obra por parte de la comunidad.</w:t>
            </w:r>
          </w:p>
        </w:tc>
        <w:tc>
          <w:tcPr>
            <w:tcW w:w="315" w:type="dxa"/>
            <w:tcBorders>
              <w:top w:val="nil"/>
              <w:left w:val="nil"/>
              <w:bottom w:val="single" w:sz="4" w:space="0" w:color="auto"/>
              <w:right w:val="single" w:sz="4" w:space="0" w:color="auto"/>
            </w:tcBorders>
            <w:textDirection w:val="btLr"/>
            <w:vAlign w:val="center"/>
            <w:hideMark/>
          </w:tcPr>
          <w:p w14:paraId="4650F54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2ADFAE8B"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El Interventor debe </w:t>
            </w:r>
            <w:proofErr w:type="gramStart"/>
            <w:r w:rsidRPr="00995382">
              <w:rPr>
                <w:rFonts w:ascii="Bookman Old Style" w:eastAsia="Times New Roman" w:hAnsi="Bookman Old Style" w:cs="Calibri"/>
                <w:color w:val="000000"/>
                <w:sz w:val="14"/>
                <w:szCs w:val="14"/>
                <w:lang w:eastAsia="es-CO"/>
              </w:rPr>
              <w:t>exigir  el</w:t>
            </w:r>
            <w:proofErr w:type="gramEnd"/>
            <w:r w:rsidRPr="00995382">
              <w:rPr>
                <w:rFonts w:ascii="Bookman Old Style" w:eastAsia="Times New Roman" w:hAnsi="Bookman Old Style" w:cs="Calibri"/>
                <w:color w:val="000000"/>
                <w:sz w:val="14"/>
                <w:szCs w:val="14"/>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378" w:type="dxa"/>
            <w:tcBorders>
              <w:top w:val="nil"/>
              <w:left w:val="nil"/>
              <w:bottom w:val="single" w:sz="4" w:space="0" w:color="auto"/>
              <w:right w:val="single" w:sz="4" w:space="0" w:color="auto"/>
            </w:tcBorders>
            <w:vAlign w:val="center"/>
            <w:hideMark/>
          </w:tcPr>
          <w:p w14:paraId="6237D1F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127F489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3810FB3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hideMark/>
          </w:tcPr>
          <w:p w14:paraId="7E811F9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3AA6358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155F78B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0AA60E8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1F88C815"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Inspecciones diarias del Interventor. Comités Técnicos, Seguimiento a informes, requerimientos escritos-Retroalimentación en los procedimientos adelantados por los responsables del tratamiento.</w:t>
            </w:r>
          </w:p>
        </w:tc>
        <w:tc>
          <w:tcPr>
            <w:tcW w:w="713" w:type="dxa"/>
            <w:tcBorders>
              <w:top w:val="nil"/>
              <w:left w:val="nil"/>
              <w:bottom w:val="single" w:sz="4" w:space="0" w:color="auto"/>
              <w:right w:val="single" w:sz="4" w:space="0" w:color="auto"/>
            </w:tcBorders>
            <w:textDirection w:val="btLr"/>
            <w:vAlign w:val="center"/>
            <w:hideMark/>
          </w:tcPr>
          <w:p w14:paraId="5D70A27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Diario</w:t>
            </w:r>
          </w:p>
        </w:tc>
      </w:tr>
      <w:tr w:rsidR="00EF6577" w:rsidRPr="00995382" w14:paraId="64433E5C" w14:textId="77777777" w:rsidTr="001968F7">
        <w:trPr>
          <w:gridAfter w:val="1"/>
          <w:wAfter w:w="14" w:type="dxa"/>
          <w:trHeight w:val="1329"/>
        </w:trPr>
        <w:tc>
          <w:tcPr>
            <w:tcW w:w="334" w:type="dxa"/>
            <w:tcBorders>
              <w:top w:val="nil"/>
              <w:left w:val="single" w:sz="4" w:space="0" w:color="auto"/>
              <w:bottom w:val="single" w:sz="4" w:space="0" w:color="auto"/>
              <w:right w:val="single" w:sz="4" w:space="0" w:color="auto"/>
            </w:tcBorders>
            <w:vAlign w:val="center"/>
            <w:hideMark/>
          </w:tcPr>
          <w:p w14:paraId="4D05EB6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7</w:t>
            </w:r>
          </w:p>
        </w:tc>
        <w:tc>
          <w:tcPr>
            <w:tcW w:w="316" w:type="dxa"/>
            <w:tcBorders>
              <w:top w:val="nil"/>
              <w:left w:val="nil"/>
              <w:bottom w:val="single" w:sz="4" w:space="0" w:color="auto"/>
              <w:right w:val="single" w:sz="4" w:space="0" w:color="auto"/>
            </w:tcBorders>
            <w:textDirection w:val="btLr"/>
            <w:vAlign w:val="center"/>
            <w:hideMark/>
          </w:tcPr>
          <w:p w14:paraId="7725435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Especifico</w:t>
            </w:r>
          </w:p>
        </w:tc>
        <w:tc>
          <w:tcPr>
            <w:tcW w:w="317" w:type="dxa"/>
            <w:tcBorders>
              <w:top w:val="nil"/>
              <w:left w:val="nil"/>
              <w:bottom w:val="single" w:sz="4" w:space="0" w:color="auto"/>
              <w:right w:val="single" w:sz="4" w:space="0" w:color="auto"/>
            </w:tcBorders>
            <w:textDirection w:val="btLr"/>
            <w:vAlign w:val="center"/>
            <w:hideMark/>
          </w:tcPr>
          <w:p w14:paraId="6B95F1F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Interno</w:t>
            </w:r>
          </w:p>
        </w:tc>
        <w:tc>
          <w:tcPr>
            <w:tcW w:w="446" w:type="dxa"/>
            <w:tcBorders>
              <w:top w:val="nil"/>
              <w:left w:val="nil"/>
              <w:bottom w:val="single" w:sz="4" w:space="0" w:color="auto"/>
              <w:right w:val="single" w:sz="4" w:space="0" w:color="auto"/>
            </w:tcBorders>
            <w:textDirection w:val="btLr"/>
            <w:vAlign w:val="center"/>
            <w:hideMark/>
          </w:tcPr>
          <w:p w14:paraId="726F9C5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3ECE98B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Operacional</w:t>
            </w:r>
          </w:p>
        </w:tc>
        <w:tc>
          <w:tcPr>
            <w:tcW w:w="3766" w:type="dxa"/>
            <w:tcBorders>
              <w:top w:val="nil"/>
              <w:left w:val="nil"/>
              <w:bottom w:val="single" w:sz="4" w:space="0" w:color="auto"/>
              <w:right w:val="single" w:sz="4" w:space="0" w:color="auto"/>
            </w:tcBorders>
            <w:vAlign w:val="center"/>
            <w:hideMark/>
          </w:tcPr>
          <w:p w14:paraId="16C4905A"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Ejecución de mayores cantidades de obra no autorizadas, por materiales y/o procedimientos constructivos inadecuados, y/o</w:t>
            </w:r>
            <w:r w:rsidRPr="00995382">
              <w:rPr>
                <w:rFonts w:ascii="Bookman Old Style" w:eastAsia="Times New Roman" w:hAnsi="Bookman Old Style" w:cs="Calibri"/>
                <w:color w:val="000000"/>
                <w:sz w:val="14"/>
                <w:szCs w:val="14"/>
                <w:lang w:eastAsia="es-CO"/>
              </w:rPr>
              <w:t xml:space="preserve"> por deficiente programación de ejecución de las obras. </w:t>
            </w:r>
          </w:p>
        </w:tc>
        <w:tc>
          <w:tcPr>
            <w:tcW w:w="756" w:type="dxa"/>
            <w:tcBorders>
              <w:top w:val="nil"/>
              <w:left w:val="nil"/>
              <w:bottom w:val="single" w:sz="4" w:space="0" w:color="auto"/>
              <w:right w:val="single" w:sz="4" w:space="0" w:color="auto"/>
            </w:tcBorders>
            <w:textDirection w:val="btLr"/>
            <w:vAlign w:val="center"/>
            <w:hideMark/>
          </w:tcPr>
          <w:p w14:paraId="0DE27C3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Demora en la ejecución de la obra por correctivos necesarios.   </w:t>
            </w:r>
          </w:p>
        </w:tc>
        <w:tc>
          <w:tcPr>
            <w:tcW w:w="315" w:type="dxa"/>
            <w:tcBorders>
              <w:top w:val="nil"/>
              <w:left w:val="nil"/>
              <w:bottom w:val="single" w:sz="4" w:space="0" w:color="auto"/>
              <w:right w:val="single" w:sz="4" w:space="0" w:color="auto"/>
            </w:tcBorders>
            <w:textDirection w:val="btLr"/>
            <w:vAlign w:val="center"/>
            <w:hideMark/>
          </w:tcPr>
          <w:p w14:paraId="5AE913B2"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3AA5846F"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378" w:type="dxa"/>
            <w:tcBorders>
              <w:top w:val="nil"/>
              <w:left w:val="nil"/>
              <w:bottom w:val="single" w:sz="4" w:space="0" w:color="auto"/>
              <w:right w:val="single" w:sz="4" w:space="0" w:color="auto"/>
            </w:tcBorders>
            <w:vAlign w:val="center"/>
            <w:hideMark/>
          </w:tcPr>
          <w:p w14:paraId="7AD657F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0BF956B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7780053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hideMark/>
          </w:tcPr>
          <w:p w14:paraId="0555EAC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4C1D74D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2118490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3BB7559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035C0C0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Control permanente por parte del Interventor de la ejecución de las obras requeridas del proyecto y del cumplimiento de especificaciones técnicas.  </w:t>
            </w:r>
          </w:p>
        </w:tc>
        <w:tc>
          <w:tcPr>
            <w:tcW w:w="713" w:type="dxa"/>
            <w:tcBorders>
              <w:top w:val="nil"/>
              <w:left w:val="nil"/>
              <w:bottom w:val="single" w:sz="4" w:space="0" w:color="auto"/>
              <w:right w:val="single" w:sz="4" w:space="0" w:color="auto"/>
            </w:tcBorders>
            <w:textDirection w:val="btLr"/>
            <w:vAlign w:val="center"/>
            <w:hideMark/>
          </w:tcPr>
          <w:p w14:paraId="7D453D0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diario </w:t>
            </w:r>
          </w:p>
        </w:tc>
      </w:tr>
      <w:tr w:rsidR="00EF6577" w:rsidRPr="00995382" w14:paraId="2861D99D" w14:textId="77777777" w:rsidTr="001968F7">
        <w:trPr>
          <w:gridAfter w:val="1"/>
          <w:wAfter w:w="14" w:type="dxa"/>
          <w:trHeight w:val="77"/>
        </w:trPr>
        <w:tc>
          <w:tcPr>
            <w:tcW w:w="334" w:type="dxa"/>
            <w:tcBorders>
              <w:top w:val="nil"/>
              <w:left w:val="single" w:sz="4" w:space="0" w:color="auto"/>
              <w:bottom w:val="single" w:sz="4" w:space="0" w:color="auto"/>
              <w:right w:val="single" w:sz="4" w:space="0" w:color="auto"/>
            </w:tcBorders>
            <w:vAlign w:val="center"/>
            <w:hideMark/>
          </w:tcPr>
          <w:p w14:paraId="02BC435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lastRenderedPageBreak/>
              <w:t>8</w:t>
            </w:r>
          </w:p>
        </w:tc>
        <w:tc>
          <w:tcPr>
            <w:tcW w:w="316" w:type="dxa"/>
            <w:tcBorders>
              <w:top w:val="nil"/>
              <w:left w:val="nil"/>
              <w:bottom w:val="single" w:sz="4" w:space="0" w:color="auto"/>
              <w:right w:val="single" w:sz="4" w:space="0" w:color="auto"/>
            </w:tcBorders>
            <w:textDirection w:val="btLr"/>
            <w:vAlign w:val="center"/>
            <w:hideMark/>
          </w:tcPr>
          <w:p w14:paraId="0B70140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Especifico</w:t>
            </w:r>
          </w:p>
        </w:tc>
        <w:tc>
          <w:tcPr>
            <w:tcW w:w="317" w:type="dxa"/>
            <w:tcBorders>
              <w:top w:val="nil"/>
              <w:left w:val="nil"/>
              <w:bottom w:val="single" w:sz="4" w:space="0" w:color="auto"/>
              <w:right w:val="single" w:sz="4" w:space="0" w:color="auto"/>
            </w:tcBorders>
            <w:textDirection w:val="btLr"/>
            <w:vAlign w:val="center"/>
            <w:hideMark/>
          </w:tcPr>
          <w:p w14:paraId="65BC5B6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Interno</w:t>
            </w:r>
          </w:p>
        </w:tc>
        <w:tc>
          <w:tcPr>
            <w:tcW w:w="446" w:type="dxa"/>
            <w:tcBorders>
              <w:top w:val="nil"/>
              <w:left w:val="nil"/>
              <w:bottom w:val="single" w:sz="4" w:space="0" w:color="auto"/>
              <w:right w:val="single" w:sz="4" w:space="0" w:color="auto"/>
            </w:tcBorders>
            <w:textDirection w:val="btLr"/>
            <w:vAlign w:val="center"/>
            <w:hideMark/>
          </w:tcPr>
          <w:p w14:paraId="060C7F7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2882D41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Operacional</w:t>
            </w:r>
          </w:p>
        </w:tc>
        <w:tc>
          <w:tcPr>
            <w:tcW w:w="3766" w:type="dxa"/>
            <w:tcBorders>
              <w:top w:val="nil"/>
              <w:left w:val="nil"/>
              <w:bottom w:val="single" w:sz="4" w:space="0" w:color="auto"/>
              <w:right w:val="single" w:sz="4" w:space="0" w:color="auto"/>
            </w:tcBorders>
            <w:vAlign w:val="center"/>
            <w:hideMark/>
          </w:tcPr>
          <w:p w14:paraId="3E0F6AB8"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Variación de cantidades de obra debidamente justificadas:</w:t>
            </w:r>
            <w:r w:rsidRPr="00995382">
              <w:rPr>
                <w:rFonts w:ascii="Bookman Old Style" w:eastAsia="Times New Roman" w:hAnsi="Bookman Old Style" w:cs="Calibri"/>
                <w:color w:val="000000"/>
                <w:sz w:val="14"/>
                <w:szCs w:val="14"/>
                <w:lang w:eastAsia="es-CO"/>
              </w:rPr>
              <w:t xml:space="preserve"> Son los efectos derivados de los cambios en las condiciones técnicas que incrementen o disminuyan las cantidades </w:t>
            </w:r>
            <w:proofErr w:type="gramStart"/>
            <w:r w:rsidRPr="00995382">
              <w:rPr>
                <w:rFonts w:ascii="Bookman Old Style" w:eastAsia="Times New Roman" w:hAnsi="Bookman Old Style" w:cs="Calibri"/>
                <w:color w:val="000000"/>
                <w:sz w:val="14"/>
                <w:szCs w:val="14"/>
                <w:lang w:eastAsia="es-CO"/>
              </w:rPr>
              <w:t>previstas  para</w:t>
            </w:r>
            <w:proofErr w:type="gramEnd"/>
            <w:r w:rsidRPr="00995382">
              <w:rPr>
                <w:rFonts w:ascii="Bookman Old Style" w:eastAsia="Times New Roman" w:hAnsi="Bookman Old Style" w:cs="Calibri"/>
                <w:color w:val="000000"/>
                <w:sz w:val="14"/>
                <w:szCs w:val="14"/>
                <w:lang w:eastAsia="es-CO"/>
              </w:rPr>
              <w:t xml:space="preserve"> la ejecución de las obras. El </w:t>
            </w:r>
            <w:proofErr w:type="gramStart"/>
            <w:r w:rsidRPr="00995382">
              <w:rPr>
                <w:rFonts w:ascii="Bookman Old Style" w:eastAsia="Times New Roman" w:hAnsi="Bookman Old Style" w:cs="Calibri"/>
                <w:color w:val="000000"/>
                <w:sz w:val="14"/>
                <w:szCs w:val="14"/>
                <w:lang w:eastAsia="es-CO"/>
              </w:rPr>
              <w:t>Municipio  asume</w:t>
            </w:r>
            <w:proofErr w:type="gramEnd"/>
            <w:r w:rsidRPr="00995382">
              <w:rPr>
                <w:rFonts w:ascii="Bookman Old Style" w:eastAsia="Times New Roman" w:hAnsi="Bookman Old Style" w:cs="Calibri"/>
                <w:color w:val="000000"/>
                <w:sz w:val="14"/>
                <w:szCs w:val="14"/>
                <w:lang w:eastAsia="es-CO"/>
              </w:rPr>
              <w:t xml:space="preserve"> las variaciones de las cantidades de obra técnicamente requeridas para la ejecución del proyecto y el Contratista asume el riesgo de ejecutar las cantidades de obra en las variaciones que sean necesarias.</w:t>
            </w:r>
          </w:p>
        </w:tc>
        <w:tc>
          <w:tcPr>
            <w:tcW w:w="756" w:type="dxa"/>
            <w:tcBorders>
              <w:top w:val="nil"/>
              <w:left w:val="nil"/>
              <w:bottom w:val="single" w:sz="4" w:space="0" w:color="auto"/>
              <w:right w:val="single" w:sz="4" w:space="0" w:color="auto"/>
            </w:tcBorders>
            <w:textDirection w:val="btLr"/>
            <w:vAlign w:val="center"/>
            <w:hideMark/>
          </w:tcPr>
          <w:p w14:paraId="707DF20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 variación de las cantidades de obra previstas inicialmente, siendo necesario ajustes al balance de cantidades de obra, para ceñirse al presupuesto contractual.</w:t>
            </w:r>
          </w:p>
        </w:tc>
        <w:tc>
          <w:tcPr>
            <w:tcW w:w="315" w:type="dxa"/>
            <w:tcBorders>
              <w:top w:val="nil"/>
              <w:left w:val="nil"/>
              <w:bottom w:val="single" w:sz="4" w:space="0" w:color="auto"/>
              <w:right w:val="single" w:sz="4" w:space="0" w:color="auto"/>
            </w:tcBorders>
            <w:textDirection w:val="btLr"/>
            <w:vAlign w:val="center"/>
            <w:hideMark/>
          </w:tcPr>
          <w:p w14:paraId="64728415"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AMBOS</w:t>
            </w:r>
          </w:p>
        </w:tc>
        <w:tc>
          <w:tcPr>
            <w:tcW w:w="3164" w:type="dxa"/>
            <w:tcBorders>
              <w:top w:val="nil"/>
              <w:left w:val="nil"/>
              <w:bottom w:val="single" w:sz="4" w:space="0" w:color="auto"/>
              <w:right w:val="single" w:sz="4" w:space="0" w:color="auto"/>
            </w:tcBorders>
            <w:vAlign w:val="center"/>
            <w:hideMark/>
          </w:tcPr>
          <w:p w14:paraId="18420587"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Planeación, revisión, ajuste y seguimiento en la fase precontractual y contractual de forma adecuada de los diseños y cantidades de obra.</w:t>
            </w:r>
          </w:p>
        </w:tc>
        <w:tc>
          <w:tcPr>
            <w:tcW w:w="378" w:type="dxa"/>
            <w:tcBorders>
              <w:top w:val="nil"/>
              <w:left w:val="nil"/>
              <w:bottom w:val="single" w:sz="4" w:space="0" w:color="auto"/>
              <w:right w:val="single" w:sz="4" w:space="0" w:color="auto"/>
            </w:tcBorders>
            <w:vAlign w:val="center"/>
            <w:hideMark/>
          </w:tcPr>
          <w:p w14:paraId="37DAD51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15" w:type="dxa"/>
            <w:tcBorders>
              <w:top w:val="nil"/>
              <w:left w:val="nil"/>
              <w:bottom w:val="single" w:sz="4" w:space="0" w:color="auto"/>
              <w:right w:val="single" w:sz="4" w:space="0" w:color="auto"/>
            </w:tcBorders>
            <w:vAlign w:val="center"/>
            <w:hideMark/>
          </w:tcPr>
          <w:p w14:paraId="612DFDB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3C6C3DD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hideMark/>
          </w:tcPr>
          <w:p w14:paraId="1F8C1B9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Medio</w:t>
            </w:r>
          </w:p>
        </w:tc>
        <w:tc>
          <w:tcPr>
            <w:tcW w:w="775" w:type="dxa"/>
            <w:tcBorders>
              <w:top w:val="nil"/>
              <w:left w:val="nil"/>
              <w:bottom w:val="single" w:sz="4" w:space="0" w:color="auto"/>
              <w:right w:val="single" w:sz="4" w:space="0" w:color="auto"/>
            </w:tcBorders>
            <w:textDirection w:val="btLr"/>
            <w:vAlign w:val="center"/>
            <w:hideMark/>
          </w:tcPr>
          <w:p w14:paraId="5D0B778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1BF6343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4F3CF8B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711E782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Análisis y revisión de los estudios realizados y revisión de las cantidades contractuales, a medida que se va ejecutando el proyecto, para realizar ajustes de ser necesario.</w:t>
            </w:r>
          </w:p>
        </w:tc>
        <w:tc>
          <w:tcPr>
            <w:tcW w:w="713" w:type="dxa"/>
            <w:tcBorders>
              <w:top w:val="nil"/>
              <w:left w:val="nil"/>
              <w:bottom w:val="single" w:sz="4" w:space="0" w:color="auto"/>
              <w:right w:val="single" w:sz="4" w:space="0" w:color="auto"/>
            </w:tcBorders>
            <w:textDirection w:val="btLr"/>
            <w:vAlign w:val="center"/>
            <w:hideMark/>
          </w:tcPr>
          <w:p w14:paraId="38F4F4D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32FE01DE" w14:textId="77777777" w:rsidTr="001968F7">
        <w:trPr>
          <w:gridAfter w:val="1"/>
          <w:wAfter w:w="14" w:type="dxa"/>
          <w:trHeight w:val="2361"/>
        </w:trPr>
        <w:tc>
          <w:tcPr>
            <w:tcW w:w="334" w:type="dxa"/>
            <w:tcBorders>
              <w:top w:val="nil"/>
              <w:left w:val="single" w:sz="4" w:space="0" w:color="auto"/>
              <w:bottom w:val="single" w:sz="4" w:space="0" w:color="auto"/>
              <w:right w:val="single" w:sz="4" w:space="0" w:color="auto"/>
            </w:tcBorders>
            <w:vAlign w:val="center"/>
            <w:hideMark/>
          </w:tcPr>
          <w:p w14:paraId="4CE6190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9</w:t>
            </w:r>
          </w:p>
        </w:tc>
        <w:tc>
          <w:tcPr>
            <w:tcW w:w="316" w:type="dxa"/>
            <w:tcBorders>
              <w:top w:val="nil"/>
              <w:left w:val="nil"/>
              <w:bottom w:val="single" w:sz="4" w:space="0" w:color="auto"/>
              <w:right w:val="single" w:sz="4" w:space="0" w:color="auto"/>
            </w:tcBorders>
            <w:textDirection w:val="btLr"/>
            <w:vAlign w:val="center"/>
            <w:hideMark/>
          </w:tcPr>
          <w:p w14:paraId="325AF5D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Especifico</w:t>
            </w:r>
          </w:p>
        </w:tc>
        <w:tc>
          <w:tcPr>
            <w:tcW w:w="317" w:type="dxa"/>
            <w:tcBorders>
              <w:top w:val="nil"/>
              <w:left w:val="nil"/>
              <w:bottom w:val="single" w:sz="4" w:space="0" w:color="auto"/>
              <w:right w:val="single" w:sz="4" w:space="0" w:color="auto"/>
            </w:tcBorders>
            <w:textDirection w:val="btLr"/>
            <w:vAlign w:val="center"/>
            <w:hideMark/>
          </w:tcPr>
          <w:p w14:paraId="6695F9D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Interno</w:t>
            </w:r>
          </w:p>
        </w:tc>
        <w:tc>
          <w:tcPr>
            <w:tcW w:w="446" w:type="dxa"/>
            <w:tcBorders>
              <w:top w:val="nil"/>
              <w:left w:val="nil"/>
              <w:bottom w:val="single" w:sz="4" w:space="0" w:color="auto"/>
              <w:right w:val="single" w:sz="4" w:space="0" w:color="auto"/>
            </w:tcBorders>
            <w:textDirection w:val="btLr"/>
            <w:vAlign w:val="center"/>
            <w:hideMark/>
          </w:tcPr>
          <w:p w14:paraId="229EAAE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3C0F858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Operacional</w:t>
            </w:r>
          </w:p>
        </w:tc>
        <w:tc>
          <w:tcPr>
            <w:tcW w:w="3766" w:type="dxa"/>
            <w:tcBorders>
              <w:top w:val="nil"/>
              <w:left w:val="nil"/>
              <w:bottom w:val="single" w:sz="4" w:space="0" w:color="auto"/>
              <w:right w:val="single" w:sz="4" w:space="0" w:color="auto"/>
            </w:tcBorders>
            <w:vAlign w:val="center"/>
            <w:hideMark/>
          </w:tcPr>
          <w:p w14:paraId="3A81B667"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Modificación y/o cambios de ubicación en las fuentes de materiales presentadas y/o propuestas y/o proyectadas por el PROPONENTE Y/O CONTRATISTA</w:t>
            </w:r>
            <w:r w:rsidRPr="00995382">
              <w:rPr>
                <w:rFonts w:ascii="Bookman Old Style" w:eastAsia="Times New Roman" w:hAnsi="Bookman Old Style" w:cs="Calibri"/>
                <w:color w:val="000000"/>
                <w:sz w:val="14"/>
                <w:szCs w:val="14"/>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756" w:type="dxa"/>
            <w:tcBorders>
              <w:top w:val="nil"/>
              <w:left w:val="nil"/>
              <w:bottom w:val="single" w:sz="4" w:space="0" w:color="auto"/>
              <w:right w:val="single" w:sz="4" w:space="0" w:color="auto"/>
            </w:tcBorders>
            <w:textDirection w:val="btLr"/>
            <w:vAlign w:val="center"/>
            <w:hideMark/>
          </w:tcPr>
          <w:p w14:paraId="1D3F4FA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económico al Contratista</w:t>
            </w:r>
          </w:p>
        </w:tc>
        <w:tc>
          <w:tcPr>
            <w:tcW w:w="315" w:type="dxa"/>
            <w:tcBorders>
              <w:top w:val="nil"/>
              <w:left w:val="nil"/>
              <w:bottom w:val="single" w:sz="4" w:space="0" w:color="auto"/>
              <w:right w:val="single" w:sz="4" w:space="0" w:color="auto"/>
            </w:tcBorders>
            <w:textDirection w:val="btLr"/>
            <w:vAlign w:val="center"/>
            <w:hideMark/>
          </w:tcPr>
          <w:p w14:paraId="5BEAB19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55AB4D09"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Planeación, revisión, ajuste y seguimiento en la fase precontractual   a las fuentes de materiales para el proyecto. En la fase </w:t>
            </w:r>
            <w:proofErr w:type="spellStart"/>
            <w:r w:rsidRPr="00995382">
              <w:rPr>
                <w:rFonts w:ascii="Bookman Old Style" w:eastAsia="Times New Roman" w:hAnsi="Bookman Old Style" w:cs="Calibri"/>
                <w:color w:val="000000"/>
                <w:sz w:val="14"/>
                <w:szCs w:val="14"/>
                <w:lang w:eastAsia="es-CO"/>
              </w:rPr>
              <w:t>contratual</w:t>
            </w:r>
            <w:proofErr w:type="spellEnd"/>
            <w:r w:rsidRPr="00995382">
              <w:rPr>
                <w:rFonts w:ascii="Bookman Old Style" w:eastAsia="Times New Roman" w:hAnsi="Bookman Old Style" w:cs="Calibri"/>
                <w:color w:val="000000"/>
                <w:sz w:val="14"/>
                <w:szCs w:val="14"/>
                <w:lang w:eastAsia="es-CO"/>
              </w:rPr>
              <w:t xml:space="preserve"> verificación del cumplimiento de especificaciones técnicas de los materiales.</w:t>
            </w:r>
          </w:p>
        </w:tc>
        <w:tc>
          <w:tcPr>
            <w:tcW w:w="378" w:type="dxa"/>
            <w:tcBorders>
              <w:top w:val="nil"/>
              <w:left w:val="nil"/>
              <w:bottom w:val="single" w:sz="4" w:space="0" w:color="auto"/>
              <w:right w:val="single" w:sz="4" w:space="0" w:color="auto"/>
            </w:tcBorders>
            <w:vAlign w:val="center"/>
            <w:hideMark/>
          </w:tcPr>
          <w:p w14:paraId="27B73D0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3BADA29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0F44562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hideMark/>
          </w:tcPr>
          <w:p w14:paraId="4BA9C5F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4B1CB6F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27A36BC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436AB9E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706A185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proofErr w:type="spellStart"/>
            <w:r w:rsidRPr="00995382">
              <w:rPr>
                <w:rFonts w:ascii="Bookman Old Style" w:eastAsia="Times New Roman" w:hAnsi="Bookman Old Style" w:cs="Calibri"/>
                <w:color w:val="000000"/>
                <w:sz w:val="14"/>
                <w:szCs w:val="14"/>
                <w:lang w:eastAsia="es-CO"/>
              </w:rPr>
              <w:t>Comites</w:t>
            </w:r>
            <w:proofErr w:type="spellEnd"/>
            <w:r w:rsidRPr="00995382">
              <w:rPr>
                <w:rFonts w:ascii="Bookman Old Style" w:eastAsia="Times New Roman" w:hAnsi="Bookman Old Style" w:cs="Calibri"/>
                <w:color w:val="000000"/>
                <w:sz w:val="14"/>
                <w:szCs w:val="14"/>
                <w:lang w:eastAsia="es-CO"/>
              </w:rPr>
              <w:t xml:space="preserve">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713" w:type="dxa"/>
            <w:tcBorders>
              <w:top w:val="nil"/>
              <w:left w:val="nil"/>
              <w:bottom w:val="single" w:sz="4" w:space="0" w:color="auto"/>
              <w:right w:val="single" w:sz="4" w:space="0" w:color="auto"/>
            </w:tcBorders>
            <w:textDirection w:val="btLr"/>
            <w:vAlign w:val="center"/>
            <w:hideMark/>
          </w:tcPr>
          <w:p w14:paraId="3134005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28E9DB23" w14:textId="77777777" w:rsidTr="001968F7">
        <w:trPr>
          <w:gridAfter w:val="1"/>
          <w:wAfter w:w="14" w:type="dxa"/>
          <w:trHeight w:val="1931"/>
        </w:trPr>
        <w:tc>
          <w:tcPr>
            <w:tcW w:w="334" w:type="dxa"/>
            <w:tcBorders>
              <w:top w:val="nil"/>
              <w:left w:val="single" w:sz="4" w:space="0" w:color="auto"/>
              <w:bottom w:val="single" w:sz="4" w:space="0" w:color="auto"/>
              <w:right w:val="single" w:sz="4" w:space="0" w:color="auto"/>
            </w:tcBorders>
            <w:vAlign w:val="center"/>
            <w:hideMark/>
          </w:tcPr>
          <w:p w14:paraId="559A699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10</w:t>
            </w:r>
          </w:p>
        </w:tc>
        <w:tc>
          <w:tcPr>
            <w:tcW w:w="316" w:type="dxa"/>
            <w:tcBorders>
              <w:top w:val="nil"/>
              <w:left w:val="nil"/>
              <w:bottom w:val="single" w:sz="4" w:space="0" w:color="auto"/>
              <w:right w:val="single" w:sz="4" w:space="0" w:color="auto"/>
            </w:tcBorders>
            <w:textDirection w:val="btLr"/>
            <w:vAlign w:val="center"/>
            <w:hideMark/>
          </w:tcPr>
          <w:p w14:paraId="1FD13AF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Específico</w:t>
            </w:r>
          </w:p>
        </w:tc>
        <w:tc>
          <w:tcPr>
            <w:tcW w:w="317" w:type="dxa"/>
            <w:tcBorders>
              <w:top w:val="nil"/>
              <w:left w:val="nil"/>
              <w:bottom w:val="single" w:sz="4" w:space="0" w:color="auto"/>
              <w:right w:val="single" w:sz="4" w:space="0" w:color="auto"/>
            </w:tcBorders>
            <w:textDirection w:val="btLr"/>
            <w:vAlign w:val="center"/>
            <w:hideMark/>
          </w:tcPr>
          <w:p w14:paraId="38D0EF2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Interno</w:t>
            </w:r>
          </w:p>
        </w:tc>
        <w:tc>
          <w:tcPr>
            <w:tcW w:w="446" w:type="dxa"/>
            <w:tcBorders>
              <w:top w:val="nil"/>
              <w:left w:val="nil"/>
              <w:bottom w:val="single" w:sz="4" w:space="0" w:color="auto"/>
              <w:right w:val="single" w:sz="4" w:space="0" w:color="auto"/>
            </w:tcBorders>
            <w:textDirection w:val="btLr"/>
            <w:vAlign w:val="center"/>
            <w:hideMark/>
          </w:tcPr>
          <w:p w14:paraId="42736C9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6119598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Operacional</w:t>
            </w:r>
          </w:p>
        </w:tc>
        <w:tc>
          <w:tcPr>
            <w:tcW w:w="3766" w:type="dxa"/>
            <w:tcBorders>
              <w:top w:val="nil"/>
              <w:left w:val="nil"/>
              <w:bottom w:val="single" w:sz="4" w:space="0" w:color="auto"/>
              <w:right w:val="single" w:sz="4" w:space="0" w:color="auto"/>
            </w:tcBorders>
            <w:vAlign w:val="center"/>
            <w:hideMark/>
          </w:tcPr>
          <w:p w14:paraId="248D9D17"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Interferencia con las de redes de servicios públicos existentes:</w:t>
            </w:r>
            <w:r w:rsidRPr="00995382">
              <w:rPr>
                <w:rFonts w:ascii="Bookman Old Style" w:eastAsia="Times New Roman" w:hAnsi="Bookman Old Style" w:cs="Calibri"/>
                <w:color w:val="000000"/>
                <w:sz w:val="14"/>
                <w:szCs w:val="14"/>
                <w:lang w:eastAsia="es-CO"/>
              </w:rPr>
              <w:t xml:space="preserve"> Ocurre por la presencia de redes existentes, que puedan interferir con el proyecto, afectando el normal desarrollo de las obras. El Contratista deberá realizar todas las gestiones que correspondan. El Municipio asumirá los costos que </w:t>
            </w:r>
            <w:proofErr w:type="gramStart"/>
            <w:r w:rsidRPr="00995382">
              <w:rPr>
                <w:rFonts w:ascii="Bookman Old Style" w:eastAsia="Times New Roman" w:hAnsi="Bookman Old Style" w:cs="Calibri"/>
                <w:color w:val="000000"/>
                <w:sz w:val="14"/>
                <w:szCs w:val="14"/>
                <w:lang w:eastAsia="es-CO"/>
              </w:rPr>
              <w:t>correspondan  de</w:t>
            </w:r>
            <w:proofErr w:type="gramEnd"/>
            <w:r w:rsidRPr="00995382">
              <w:rPr>
                <w:rFonts w:ascii="Bookman Old Style" w:eastAsia="Times New Roman" w:hAnsi="Bookman Old Style" w:cs="Calibri"/>
                <w:color w:val="000000"/>
                <w:sz w:val="14"/>
                <w:szCs w:val="14"/>
                <w:lang w:eastAsia="es-CO"/>
              </w:rPr>
              <w:t xml:space="preserve"> acuerdo con lo establecido en el Capítulo III  de la Ley 1682 de 2013</w:t>
            </w:r>
          </w:p>
        </w:tc>
        <w:tc>
          <w:tcPr>
            <w:tcW w:w="756" w:type="dxa"/>
            <w:tcBorders>
              <w:top w:val="nil"/>
              <w:left w:val="nil"/>
              <w:bottom w:val="single" w:sz="4" w:space="0" w:color="auto"/>
              <w:right w:val="single" w:sz="4" w:space="0" w:color="auto"/>
            </w:tcBorders>
            <w:textDirection w:val="btLr"/>
            <w:vAlign w:val="center"/>
            <w:hideMark/>
          </w:tcPr>
          <w:p w14:paraId="67D0428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Impacto negativo en el desarrollo del objeto contractual, por la interferencia de las redes existentes con la ejecución del proyecto </w:t>
            </w:r>
          </w:p>
        </w:tc>
        <w:tc>
          <w:tcPr>
            <w:tcW w:w="315" w:type="dxa"/>
            <w:tcBorders>
              <w:top w:val="nil"/>
              <w:left w:val="nil"/>
              <w:bottom w:val="single" w:sz="4" w:space="0" w:color="auto"/>
              <w:right w:val="single" w:sz="4" w:space="0" w:color="auto"/>
            </w:tcBorders>
            <w:textDirection w:val="btLr"/>
            <w:vAlign w:val="center"/>
            <w:hideMark/>
          </w:tcPr>
          <w:p w14:paraId="2653588A"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AMBOS</w:t>
            </w:r>
          </w:p>
        </w:tc>
        <w:tc>
          <w:tcPr>
            <w:tcW w:w="3164" w:type="dxa"/>
            <w:tcBorders>
              <w:top w:val="nil"/>
              <w:left w:val="nil"/>
              <w:bottom w:val="single" w:sz="4" w:space="0" w:color="auto"/>
              <w:right w:val="single" w:sz="4" w:space="0" w:color="auto"/>
            </w:tcBorders>
            <w:vAlign w:val="center"/>
            <w:hideMark/>
          </w:tcPr>
          <w:p w14:paraId="66785D6E"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Desde la Fase Precontractual y en la etapa </w:t>
            </w:r>
            <w:proofErr w:type="gramStart"/>
            <w:r w:rsidRPr="00995382">
              <w:rPr>
                <w:rFonts w:ascii="Bookman Old Style" w:eastAsia="Times New Roman" w:hAnsi="Bookman Old Style" w:cs="Calibri"/>
                <w:color w:val="000000"/>
                <w:sz w:val="14"/>
                <w:szCs w:val="14"/>
                <w:lang w:eastAsia="es-CO"/>
              </w:rPr>
              <w:t>contractual  solicitar</w:t>
            </w:r>
            <w:proofErr w:type="gramEnd"/>
            <w:r w:rsidRPr="00995382">
              <w:rPr>
                <w:rFonts w:ascii="Bookman Old Style" w:eastAsia="Times New Roman" w:hAnsi="Bookman Old Style" w:cs="Calibri"/>
                <w:color w:val="000000"/>
                <w:sz w:val="14"/>
                <w:szCs w:val="14"/>
                <w:lang w:eastAsia="es-CO"/>
              </w:rPr>
              <w:t xml:space="preserve">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378" w:type="dxa"/>
            <w:tcBorders>
              <w:top w:val="nil"/>
              <w:left w:val="nil"/>
              <w:bottom w:val="single" w:sz="4" w:space="0" w:color="auto"/>
              <w:right w:val="single" w:sz="4" w:space="0" w:color="auto"/>
            </w:tcBorders>
            <w:vAlign w:val="center"/>
            <w:hideMark/>
          </w:tcPr>
          <w:p w14:paraId="32A520C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03E62CC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3050D5F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hideMark/>
          </w:tcPr>
          <w:p w14:paraId="282E22E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0CFCCEA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5990D05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23961E4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cuando se solucione la interferencia de las redes de servicio público existentes</w:t>
            </w:r>
          </w:p>
        </w:tc>
        <w:tc>
          <w:tcPr>
            <w:tcW w:w="3009" w:type="dxa"/>
            <w:tcBorders>
              <w:top w:val="nil"/>
              <w:left w:val="nil"/>
              <w:bottom w:val="single" w:sz="4" w:space="0" w:color="auto"/>
              <w:right w:val="single" w:sz="4" w:space="0" w:color="auto"/>
            </w:tcBorders>
            <w:vAlign w:val="center"/>
            <w:hideMark/>
          </w:tcPr>
          <w:p w14:paraId="5114873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Seguimiento permanente a la Gestión para solucionar la interferencia de redes de servicios públicos existentes.  Informes de resultados, requerimientos escritos.</w:t>
            </w:r>
          </w:p>
        </w:tc>
        <w:tc>
          <w:tcPr>
            <w:tcW w:w="713" w:type="dxa"/>
            <w:tcBorders>
              <w:top w:val="nil"/>
              <w:left w:val="nil"/>
              <w:bottom w:val="single" w:sz="4" w:space="0" w:color="auto"/>
              <w:right w:val="single" w:sz="4" w:space="0" w:color="auto"/>
            </w:tcBorders>
            <w:textDirection w:val="btLr"/>
            <w:vAlign w:val="center"/>
            <w:hideMark/>
          </w:tcPr>
          <w:p w14:paraId="1B94721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Cuando se presenta la interferencia, seguimiento semanal </w:t>
            </w:r>
          </w:p>
        </w:tc>
      </w:tr>
      <w:tr w:rsidR="00EF6577" w:rsidRPr="00995382" w14:paraId="25439C55" w14:textId="77777777" w:rsidTr="001968F7">
        <w:trPr>
          <w:gridAfter w:val="1"/>
          <w:wAfter w:w="14" w:type="dxa"/>
          <w:trHeight w:val="1085"/>
        </w:trPr>
        <w:tc>
          <w:tcPr>
            <w:tcW w:w="334" w:type="dxa"/>
            <w:tcBorders>
              <w:top w:val="nil"/>
              <w:left w:val="single" w:sz="4" w:space="0" w:color="auto"/>
              <w:bottom w:val="single" w:sz="4" w:space="0" w:color="auto"/>
              <w:right w:val="single" w:sz="4" w:space="0" w:color="auto"/>
            </w:tcBorders>
            <w:vAlign w:val="center"/>
            <w:hideMark/>
          </w:tcPr>
          <w:p w14:paraId="2E888E1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11</w:t>
            </w:r>
          </w:p>
        </w:tc>
        <w:tc>
          <w:tcPr>
            <w:tcW w:w="316" w:type="dxa"/>
            <w:tcBorders>
              <w:top w:val="nil"/>
              <w:left w:val="nil"/>
              <w:bottom w:val="single" w:sz="4" w:space="0" w:color="auto"/>
              <w:right w:val="single" w:sz="4" w:space="0" w:color="auto"/>
            </w:tcBorders>
            <w:textDirection w:val="btLr"/>
            <w:vAlign w:val="center"/>
            <w:hideMark/>
          </w:tcPr>
          <w:p w14:paraId="47BF703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16414E8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626EEC6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471322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Financiero</w:t>
            </w:r>
          </w:p>
        </w:tc>
        <w:tc>
          <w:tcPr>
            <w:tcW w:w="3766" w:type="dxa"/>
            <w:tcBorders>
              <w:top w:val="nil"/>
              <w:left w:val="nil"/>
              <w:bottom w:val="single" w:sz="4" w:space="0" w:color="auto"/>
              <w:right w:val="single" w:sz="4" w:space="0" w:color="auto"/>
            </w:tcBorders>
            <w:vAlign w:val="center"/>
            <w:hideMark/>
          </w:tcPr>
          <w:p w14:paraId="159E7F47"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Riesgo Financiero: </w:t>
            </w:r>
            <w:r w:rsidRPr="00995382">
              <w:rPr>
                <w:rFonts w:ascii="Bookman Old Style" w:eastAsia="Times New Roman" w:hAnsi="Bookman Old Style" w:cs="Calibri"/>
                <w:color w:val="000000"/>
                <w:sz w:val="14"/>
                <w:szCs w:val="14"/>
                <w:lang w:eastAsia="es-CO"/>
              </w:rPr>
              <w:t xml:space="preserve">Se deriva de los efectos provenientes de las variaciones de las tasas de interés, plazos, tasas de cambio, ajustes por inflación, </w:t>
            </w:r>
            <w:proofErr w:type="gramStart"/>
            <w:r w:rsidRPr="00995382">
              <w:rPr>
                <w:rFonts w:ascii="Bookman Old Style" w:eastAsia="Times New Roman" w:hAnsi="Bookman Old Style" w:cs="Calibri"/>
                <w:color w:val="000000"/>
                <w:sz w:val="14"/>
                <w:szCs w:val="14"/>
                <w:lang w:eastAsia="es-CO"/>
              </w:rPr>
              <w:t>devaluación,  variaciones</w:t>
            </w:r>
            <w:proofErr w:type="gramEnd"/>
            <w:r w:rsidRPr="00995382">
              <w:rPr>
                <w:rFonts w:ascii="Bookman Old Style" w:eastAsia="Times New Roman" w:hAnsi="Bookman Old Style" w:cs="Calibri"/>
                <w:color w:val="000000"/>
                <w:sz w:val="14"/>
                <w:szCs w:val="14"/>
                <w:lang w:eastAsia="es-CO"/>
              </w:rPr>
              <w:t xml:space="preserve"> cambiarias y financieras,  y otras variables del mercado por causas micro o </w:t>
            </w:r>
            <w:proofErr w:type="spellStart"/>
            <w:r w:rsidRPr="00995382">
              <w:rPr>
                <w:rFonts w:ascii="Bookman Old Style" w:eastAsia="Times New Roman" w:hAnsi="Bookman Old Style" w:cs="Calibri"/>
                <w:color w:val="000000"/>
                <w:sz w:val="14"/>
                <w:szCs w:val="14"/>
                <w:lang w:eastAsia="es-CO"/>
              </w:rPr>
              <w:t>macroeconomicas</w:t>
            </w:r>
            <w:proofErr w:type="spellEnd"/>
            <w:r w:rsidRPr="00995382">
              <w:rPr>
                <w:rFonts w:ascii="Bookman Old Style" w:eastAsia="Times New Roman" w:hAnsi="Bookman Old Style" w:cs="Calibri"/>
                <w:color w:val="000000"/>
                <w:sz w:val="14"/>
                <w:szCs w:val="14"/>
                <w:lang w:eastAsia="es-CO"/>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756" w:type="dxa"/>
            <w:tcBorders>
              <w:top w:val="nil"/>
              <w:left w:val="nil"/>
              <w:bottom w:val="single" w:sz="4" w:space="0" w:color="auto"/>
              <w:right w:val="single" w:sz="4" w:space="0" w:color="auto"/>
            </w:tcBorders>
            <w:textDirection w:val="btLr"/>
            <w:vAlign w:val="center"/>
            <w:hideMark/>
          </w:tcPr>
          <w:p w14:paraId="7C85909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Impacto económico al Contratista</w:t>
            </w:r>
          </w:p>
        </w:tc>
        <w:tc>
          <w:tcPr>
            <w:tcW w:w="315" w:type="dxa"/>
            <w:tcBorders>
              <w:top w:val="nil"/>
              <w:left w:val="nil"/>
              <w:bottom w:val="single" w:sz="4" w:space="0" w:color="auto"/>
              <w:right w:val="single" w:sz="4" w:space="0" w:color="auto"/>
            </w:tcBorders>
            <w:textDirection w:val="btLr"/>
            <w:vAlign w:val="center"/>
            <w:hideMark/>
          </w:tcPr>
          <w:p w14:paraId="11A8B502"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 CONTRATISTA </w:t>
            </w:r>
          </w:p>
        </w:tc>
        <w:tc>
          <w:tcPr>
            <w:tcW w:w="3164" w:type="dxa"/>
            <w:tcBorders>
              <w:top w:val="nil"/>
              <w:left w:val="nil"/>
              <w:bottom w:val="single" w:sz="4" w:space="0" w:color="auto"/>
              <w:right w:val="single" w:sz="4" w:space="0" w:color="auto"/>
            </w:tcBorders>
            <w:vAlign w:val="center"/>
            <w:hideMark/>
          </w:tcPr>
          <w:p w14:paraId="1034B704"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378" w:type="dxa"/>
            <w:tcBorders>
              <w:top w:val="nil"/>
              <w:left w:val="nil"/>
              <w:bottom w:val="single" w:sz="4" w:space="0" w:color="auto"/>
              <w:right w:val="single" w:sz="4" w:space="0" w:color="auto"/>
            </w:tcBorders>
            <w:vAlign w:val="center"/>
            <w:hideMark/>
          </w:tcPr>
          <w:p w14:paraId="515DCB2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1647619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4B77060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hideMark/>
          </w:tcPr>
          <w:p w14:paraId="302F8BF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2B1976D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0AF2115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Contratista</w:t>
            </w:r>
          </w:p>
        </w:tc>
        <w:tc>
          <w:tcPr>
            <w:tcW w:w="705" w:type="dxa"/>
            <w:tcBorders>
              <w:top w:val="nil"/>
              <w:left w:val="nil"/>
              <w:bottom w:val="single" w:sz="4" w:space="0" w:color="auto"/>
              <w:right w:val="single" w:sz="4" w:space="0" w:color="auto"/>
            </w:tcBorders>
            <w:textDirection w:val="btLr"/>
            <w:vAlign w:val="center"/>
            <w:hideMark/>
          </w:tcPr>
          <w:p w14:paraId="038F352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27F611A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Cotejo de las variables financieras que haya utilizado para el análisis de su oferta con el comportamiento del mercado financiero en la ejecución del contrato, con </w:t>
            </w:r>
            <w:proofErr w:type="gramStart"/>
            <w:r w:rsidRPr="00995382">
              <w:rPr>
                <w:rFonts w:ascii="Bookman Old Style" w:eastAsia="Times New Roman" w:hAnsi="Bookman Old Style" w:cs="Calibri"/>
                <w:color w:val="000000"/>
                <w:sz w:val="14"/>
                <w:szCs w:val="14"/>
                <w:lang w:eastAsia="es-CO"/>
              </w:rPr>
              <w:t>el  fin</w:t>
            </w:r>
            <w:proofErr w:type="gramEnd"/>
            <w:r w:rsidRPr="00995382">
              <w:rPr>
                <w:rFonts w:ascii="Bookman Old Style" w:eastAsia="Times New Roman" w:hAnsi="Bookman Old Style" w:cs="Calibri"/>
                <w:color w:val="000000"/>
                <w:sz w:val="14"/>
                <w:szCs w:val="14"/>
                <w:lang w:eastAsia="es-CO"/>
              </w:rPr>
              <w:t xml:space="preserve"> de mitigar  los cambios bruscos en sus finanzas que puedan afectar el contrato.</w:t>
            </w:r>
          </w:p>
        </w:tc>
        <w:tc>
          <w:tcPr>
            <w:tcW w:w="713" w:type="dxa"/>
            <w:tcBorders>
              <w:top w:val="nil"/>
              <w:left w:val="nil"/>
              <w:bottom w:val="single" w:sz="4" w:space="0" w:color="auto"/>
              <w:right w:val="single" w:sz="4" w:space="0" w:color="auto"/>
            </w:tcBorders>
            <w:textDirection w:val="btLr"/>
            <w:vAlign w:val="center"/>
            <w:hideMark/>
          </w:tcPr>
          <w:p w14:paraId="260EEA6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00B5BE27" w14:textId="77777777" w:rsidTr="001968F7">
        <w:trPr>
          <w:gridAfter w:val="1"/>
          <w:wAfter w:w="14" w:type="dxa"/>
          <w:trHeight w:val="1935"/>
        </w:trPr>
        <w:tc>
          <w:tcPr>
            <w:tcW w:w="334" w:type="dxa"/>
            <w:tcBorders>
              <w:top w:val="nil"/>
              <w:left w:val="single" w:sz="4" w:space="0" w:color="auto"/>
              <w:bottom w:val="single" w:sz="4" w:space="0" w:color="auto"/>
              <w:right w:val="single" w:sz="4" w:space="0" w:color="auto"/>
            </w:tcBorders>
            <w:vAlign w:val="center"/>
            <w:hideMark/>
          </w:tcPr>
          <w:p w14:paraId="2DD128B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lastRenderedPageBreak/>
              <w:t>12</w:t>
            </w:r>
          </w:p>
        </w:tc>
        <w:tc>
          <w:tcPr>
            <w:tcW w:w="316" w:type="dxa"/>
            <w:tcBorders>
              <w:top w:val="nil"/>
              <w:left w:val="nil"/>
              <w:bottom w:val="single" w:sz="4" w:space="0" w:color="auto"/>
              <w:right w:val="single" w:sz="4" w:space="0" w:color="auto"/>
            </w:tcBorders>
            <w:textDirection w:val="btLr"/>
            <w:vAlign w:val="center"/>
            <w:hideMark/>
          </w:tcPr>
          <w:p w14:paraId="4C13EB6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333A3F4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5C9A92D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30FFE1E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Regulatorio</w:t>
            </w:r>
          </w:p>
        </w:tc>
        <w:tc>
          <w:tcPr>
            <w:tcW w:w="3766" w:type="dxa"/>
            <w:tcBorders>
              <w:top w:val="nil"/>
              <w:left w:val="nil"/>
              <w:bottom w:val="single" w:sz="4" w:space="0" w:color="auto"/>
              <w:right w:val="single" w:sz="4" w:space="0" w:color="auto"/>
            </w:tcBorders>
            <w:vAlign w:val="center"/>
            <w:hideMark/>
          </w:tcPr>
          <w:p w14:paraId="638928D0"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Expedición y/o modificación de normas: </w:t>
            </w:r>
            <w:r w:rsidRPr="00995382">
              <w:rPr>
                <w:rFonts w:ascii="Bookman Old Style" w:eastAsia="Times New Roman" w:hAnsi="Bookman Old Style" w:cs="Calibri"/>
                <w:color w:val="000000"/>
                <w:sz w:val="14"/>
                <w:szCs w:val="14"/>
                <w:lang w:eastAsia="es-CO"/>
              </w:rPr>
              <w:t xml:space="preserve">Ocurre por cambios normativos o por la expedición de normas </w:t>
            </w:r>
            <w:proofErr w:type="gramStart"/>
            <w:r w:rsidRPr="00995382">
              <w:rPr>
                <w:rFonts w:ascii="Bookman Old Style" w:eastAsia="Times New Roman" w:hAnsi="Bookman Old Style" w:cs="Calibri"/>
                <w:color w:val="000000"/>
                <w:sz w:val="14"/>
                <w:szCs w:val="14"/>
                <w:lang w:eastAsia="es-CO"/>
              </w:rPr>
              <w:t>posteriores  al</w:t>
            </w:r>
            <w:proofErr w:type="gramEnd"/>
            <w:r w:rsidRPr="00995382">
              <w:rPr>
                <w:rFonts w:ascii="Bookman Old Style" w:eastAsia="Times New Roman" w:hAnsi="Bookman Old Style" w:cs="Calibri"/>
                <w:color w:val="000000"/>
                <w:sz w:val="14"/>
                <w:szCs w:val="14"/>
                <w:lang w:eastAsia="es-CO"/>
              </w:rPr>
              <w:t xml:space="preserve"> cierre del proceso de licitación pública,  que afecten las condiciones económicas y/o  técnicas inicialmente pactadas.</w:t>
            </w:r>
          </w:p>
        </w:tc>
        <w:tc>
          <w:tcPr>
            <w:tcW w:w="756" w:type="dxa"/>
            <w:tcBorders>
              <w:top w:val="nil"/>
              <w:left w:val="nil"/>
              <w:bottom w:val="single" w:sz="4" w:space="0" w:color="auto"/>
              <w:right w:val="single" w:sz="4" w:space="0" w:color="auto"/>
            </w:tcBorders>
            <w:textDirection w:val="btLr"/>
            <w:vAlign w:val="center"/>
            <w:hideMark/>
          </w:tcPr>
          <w:p w14:paraId="1FEF969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Afectación </w:t>
            </w:r>
            <w:proofErr w:type="gramStart"/>
            <w:r w:rsidRPr="00995382">
              <w:rPr>
                <w:rFonts w:ascii="Bookman Old Style" w:eastAsia="Times New Roman" w:hAnsi="Bookman Old Style" w:cs="Calibri"/>
                <w:color w:val="000000"/>
                <w:sz w:val="14"/>
                <w:szCs w:val="14"/>
                <w:lang w:eastAsia="es-CO"/>
              </w:rPr>
              <w:t>del  desarrollo</w:t>
            </w:r>
            <w:proofErr w:type="gramEnd"/>
            <w:r w:rsidRPr="00995382">
              <w:rPr>
                <w:rFonts w:ascii="Bookman Old Style" w:eastAsia="Times New Roman" w:hAnsi="Bookman Old Style" w:cs="Calibri"/>
                <w:color w:val="000000"/>
                <w:sz w:val="14"/>
                <w:szCs w:val="14"/>
                <w:lang w:eastAsia="es-CO"/>
              </w:rPr>
              <w:t xml:space="preserve">  del contrato previsto con la normatividad existente al cierre del proceso de selección </w:t>
            </w:r>
          </w:p>
        </w:tc>
        <w:tc>
          <w:tcPr>
            <w:tcW w:w="315" w:type="dxa"/>
            <w:tcBorders>
              <w:top w:val="nil"/>
              <w:left w:val="nil"/>
              <w:bottom w:val="single" w:sz="4" w:space="0" w:color="auto"/>
              <w:right w:val="single" w:sz="4" w:space="0" w:color="auto"/>
            </w:tcBorders>
            <w:textDirection w:val="btLr"/>
            <w:vAlign w:val="center"/>
            <w:hideMark/>
          </w:tcPr>
          <w:p w14:paraId="661DA6DA"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MUNICIPIO</w:t>
            </w:r>
          </w:p>
        </w:tc>
        <w:tc>
          <w:tcPr>
            <w:tcW w:w="3164" w:type="dxa"/>
            <w:tcBorders>
              <w:top w:val="nil"/>
              <w:left w:val="nil"/>
              <w:bottom w:val="single" w:sz="4" w:space="0" w:color="auto"/>
              <w:right w:val="single" w:sz="4" w:space="0" w:color="auto"/>
            </w:tcBorders>
            <w:vAlign w:val="center"/>
            <w:hideMark/>
          </w:tcPr>
          <w:p w14:paraId="1A96DA4E"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Proceso precontractual con las normas aplicables vigentes.   Revisión </w:t>
            </w:r>
            <w:proofErr w:type="gramStart"/>
            <w:r w:rsidRPr="00995382">
              <w:rPr>
                <w:rFonts w:ascii="Bookman Old Style" w:eastAsia="Times New Roman" w:hAnsi="Bookman Old Style" w:cs="Calibri"/>
                <w:color w:val="000000"/>
                <w:sz w:val="14"/>
                <w:szCs w:val="14"/>
                <w:lang w:eastAsia="es-CO"/>
              </w:rPr>
              <w:t>de  los</w:t>
            </w:r>
            <w:proofErr w:type="gramEnd"/>
            <w:r w:rsidRPr="00995382">
              <w:rPr>
                <w:rFonts w:ascii="Bookman Old Style" w:eastAsia="Times New Roman" w:hAnsi="Bookman Old Style" w:cs="Calibri"/>
                <w:color w:val="000000"/>
                <w:sz w:val="14"/>
                <w:szCs w:val="14"/>
                <w:lang w:eastAsia="es-CO"/>
              </w:rPr>
              <w:t xml:space="preserve"> cambios sustanciales de normas que se produzcan posterior al cierre del proceso de licitación pública, que afecten el normal desarrollo del contrato,  con el fin de estudiar los ajustes pertinentes a que hubiere lugar.</w:t>
            </w:r>
          </w:p>
        </w:tc>
        <w:tc>
          <w:tcPr>
            <w:tcW w:w="378" w:type="dxa"/>
            <w:tcBorders>
              <w:top w:val="nil"/>
              <w:left w:val="nil"/>
              <w:bottom w:val="single" w:sz="4" w:space="0" w:color="auto"/>
              <w:right w:val="single" w:sz="4" w:space="0" w:color="auto"/>
            </w:tcBorders>
            <w:vAlign w:val="center"/>
            <w:hideMark/>
          </w:tcPr>
          <w:p w14:paraId="2841A56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7973035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94" w:type="dxa"/>
            <w:tcBorders>
              <w:top w:val="nil"/>
              <w:left w:val="nil"/>
              <w:bottom w:val="single" w:sz="4" w:space="0" w:color="auto"/>
              <w:right w:val="single" w:sz="4" w:space="0" w:color="auto"/>
            </w:tcBorders>
            <w:vAlign w:val="center"/>
            <w:hideMark/>
          </w:tcPr>
          <w:p w14:paraId="4C53C67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hideMark/>
          </w:tcPr>
          <w:p w14:paraId="44F0D2E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Bajo</w:t>
            </w:r>
          </w:p>
        </w:tc>
        <w:tc>
          <w:tcPr>
            <w:tcW w:w="775" w:type="dxa"/>
            <w:tcBorders>
              <w:top w:val="nil"/>
              <w:left w:val="nil"/>
              <w:bottom w:val="single" w:sz="4" w:space="0" w:color="auto"/>
              <w:right w:val="single" w:sz="4" w:space="0" w:color="auto"/>
            </w:tcBorders>
            <w:textDirection w:val="btLr"/>
            <w:vAlign w:val="center"/>
            <w:hideMark/>
          </w:tcPr>
          <w:p w14:paraId="65D82A2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NO</w:t>
            </w:r>
          </w:p>
        </w:tc>
        <w:tc>
          <w:tcPr>
            <w:tcW w:w="709" w:type="dxa"/>
            <w:tcBorders>
              <w:top w:val="nil"/>
              <w:left w:val="nil"/>
              <w:bottom w:val="single" w:sz="4" w:space="0" w:color="auto"/>
              <w:right w:val="single" w:sz="4" w:space="0" w:color="auto"/>
            </w:tcBorders>
            <w:textDirection w:val="btLr"/>
            <w:vAlign w:val="center"/>
            <w:hideMark/>
          </w:tcPr>
          <w:p w14:paraId="30D52D0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Supervisores, Interventor-Contratista</w:t>
            </w:r>
          </w:p>
        </w:tc>
        <w:tc>
          <w:tcPr>
            <w:tcW w:w="705" w:type="dxa"/>
            <w:tcBorders>
              <w:top w:val="nil"/>
              <w:left w:val="nil"/>
              <w:bottom w:val="single" w:sz="4" w:space="0" w:color="auto"/>
              <w:right w:val="single" w:sz="4" w:space="0" w:color="auto"/>
            </w:tcBorders>
            <w:textDirection w:val="btLr"/>
            <w:vAlign w:val="center"/>
            <w:hideMark/>
          </w:tcPr>
          <w:p w14:paraId="7D2C19E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1FE9FED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Seguimiento a la implementación de la nueva normatividad que aplique al </w:t>
            </w:r>
            <w:proofErr w:type="gramStart"/>
            <w:r w:rsidRPr="00995382">
              <w:rPr>
                <w:rFonts w:ascii="Bookman Old Style" w:eastAsia="Times New Roman" w:hAnsi="Bookman Old Style" w:cs="Calibri"/>
                <w:color w:val="000000"/>
                <w:sz w:val="14"/>
                <w:szCs w:val="14"/>
                <w:lang w:eastAsia="es-CO"/>
              </w:rPr>
              <w:t>proyecto,  y</w:t>
            </w:r>
            <w:proofErr w:type="gramEnd"/>
            <w:r w:rsidRPr="00995382">
              <w:rPr>
                <w:rFonts w:ascii="Bookman Old Style" w:eastAsia="Times New Roman" w:hAnsi="Bookman Old Style" w:cs="Calibri"/>
                <w:color w:val="000000"/>
                <w:sz w:val="14"/>
                <w:szCs w:val="14"/>
                <w:lang w:eastAsia="es-CO"/>
              </w:rPr>
              <w:t xml:space="preserve"> a las medidas tomadas para mitigar su efecto en el contrato.  Informes, requerimientos escritos. </w:t>
            </w:r>
          </w:p>
        </w:tc>
        <w:tc>
          <w:tcPr>
            <w:tcW w:w="713" w:type="dxa"/>
            <w:tcBorders>
              <w:top w:val="nil"/>
              <w:left w:val="nil"/>
              <w:bottom w:val="single" w:sz="4" w:space="0" w:color="auto"/>
              <w:right w:val="single" w:sz="4" w:space="0" w:color="auto"/>
            </w:tcBorders>
            <w:textDirection w:val="btLr"/>
            <w:vAlign w:val="center"/>
            <w:hideMark/>
          </w:tcPr>
          <w:p w14:paraId="6EE2752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Mensual</w:t>
            </w:r>
          </w:p>
        </w:tc>
      </w:tr>
      <w:tr w:rsidR="00EF6577" w:rsidRPr="00995382" w14:paraId="5BF9E48C" w14:textId="77777777" w:rsidTr="001968F7">
        <w:trPr>
          <w:gridAfter w:val="1"/>
          <w:wAfter w:w="14" w:type="dxa"/>
          <w:trHeight w:val="2888"/>
        </w:trPr>
        <w:tc>
          <w:tcPr>
            <w:tcW w:w="334" w:type="dxa"/>
            <w:tcBorders>
              <w:top w:val="nil"/>
              <w:left w:val="single" w:sz="4" w:space="0" w:color="auto"/>
              <w:bottom w:val="single" w:sz="4" w:space="0" w:color="auto"/>
              <w:right w:val="single" w:sz="4" w:space="0" w:color="auto"/>
            </w:tcBorders>
            <w:vAlign w:val="center"/>
            <w:hideMark/>
          </w:tcPr>
          <w:p w14:paraId="574C953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13</w:t>
            </w:r>
          </w:p>
        </w:tc>
        <w:tc>
          <w:tcPr>
            <w:tcW w:w="316" w:type="dxa"/>
            <w:tcBorders>
              <w:top w:val="nil"/>
              <w:left w:val="nil"/>
              <w:bottom w:val="single" w:sz="4" w:space="0" w:color="auto"/>
              <w:right w:val="single" w:sz="4" w:space="0" w:color="auto"/>
            </w:tcBorders>
            <w:textDirection w:val="btLr"/>
            <w:vAlign w:val="center"/>
            <w:hideMark/>
          </w:tcPr>
          <w:p w14:paraId="3006326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78C89EA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437AD1C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9CE447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de la naturaleza</w:t>
            </w:r>
          </w:p>
        </w:tc>
        <w:tc>
          <w:tcPr>
            <w:tcW w:w="3766" w:type="dxa"/>
            <w:tcBorders>
              <w:top w:val="nil"/>
              <w:left w:val="nil"/>
              <w:bottom w:val="single" w:sz="4" w:space="0" w:color="auto"/>
              <w:right w:val="single" w:sz="4" w:space="0" w:color="auto"/>
            </w:tcBorders>
            <w:vAlign w:val="center"/>
            <w:hideMark/>
          </w:tcPr>
          <w:p w14:paraId="59255129"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Fuerza mayor asegurable</w:t>
            </w:r>
            <w:r w:rsidRPr="00995382">
              <w:rPr>
                <w:rFonts w:ascii="Bookman Old Style" w:eastAsia="Times New Roman" w:hAnsi="Bookman Old Style" w:cs="Calibri"/>
                <w:color w:val="000000"/>
                <w:sz w:val="14"/>
                <w:szCs w:val="14"/>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del </w:t>
            </w:r>
            <w:proofErr w:type="spellStart"/>
            <w:r w:rsidRPr="00995382">
              <w:rPr>
                <w:rFonts w:ascii="Bookman Old Style" w:eastAsia="Times New Roman" w:hAnsi="Bookman Old Style" w:cs="Calibri"/>
                <w:color w:val="000000"/>
                <w:sz w:val="14"/>
                <w:szCs w:val="14"/>
                <w:lang w:eastAsia="es-CO"/>
              </w:rPr>
              <w:t>municipío</w:t>
            </w:r>
            <w:proofErr w:type="spellEnd"/>
            <w:r w:rsidRPr="00995382">
              <w:rPr>
                <w:rFonts w:ascii="Bookman Old Style" w:eastAsia="Times New Roman" w:hAnsi="Bookman Old Style" w:cs="Calibri"/>
                <w:color w:val="000000"/>
                <w:sz w:val="14"/>
                <w:szCs w:val="14"/>
                <w:lang w:eastAsia="es-CO"/>
              </w:rPr>
              <w:t xml:space="preserve"> </w:t>
            </w:r>
          </w:p>
        </w:tc>
        <w:tc>
          <w:tcPr>
            <w:tcW w:w="756" w:type="dxa"/>
            <w:tcBorders>
              <w:top w:val="nil"/>
              <w:left w:val="nil"/>
              <w:bottom w:val="single" w:sz="4" w:space="0" w:color="auto"/>
              <w:right w:val="single" w:sz="4" w:space="0" w:color="auto"/>
            </w:tcBorders>
            <w:textDirection w:val="btLr"/>
            <w:vAlign w:val="center"/>
            <w:hideMark/>
          </w:tcPr>
          <w:p w14:paraId="07A77A2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Demora en la ejecución del proyecto. Pérdida de bienes del Contratista</w:t>
            </w:r>
          </w:p>
        </w:tc>
        <w:tc>
          <w:tcPr>
            <w:tcW w:w="315" w:type="dxa"/>
            <w:tcBorders>
              <w:top w:val="nil"/>
              <w:left w:val="nil"/>
              <w:bottom w:val="single" w:sz="4" w:space="0" w:color="auto"/>
              <w:right w:val="single" w:sz="4" w:space="0" w:color="auto"/>
            </w:tcBorders>
            <w:textDirection w:val="btLr"/>
            <w:vAlign w:val="center"/>
            <w:hideMark/>
          </w:tcPr>
          <w:p w14:paraId="28F2F017"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CONTRATISTA </w:t>
            </w:r>
          </w:p>
        </w:tc>
        <w:tc>
          <w:tcPr>
            <w:tcW w:w="3164" w:type="dxa"/>
            <w:tcBorders>
              <w:top w:val="nil"/>
              <w:left w:val="nil"/>
              <w:bottom w:val="single" w:sz="4" w:space="0" w:color="auto"/>
              <w:right w:val="single" w:sz="4" w:space="0" w:color="auto"/>
            </w:tcBorders>
            <w:vAlign w:val="center"/>
            <w:hideMark/>
          </w:tcPr>
          <w:p w14:paraId="0AF16B44"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Recopilación de datos estadísticos e información a </w:t>
            </w:r>
            <w:proofErr w:type="gramStart"/>
            <w:r w:rsidRPr="00995382">
              <w:rPr>
                <w:rFonts w:ascii="Bookman Old Style" w:eastAsia="Times New Roman" w:hAnsi="Bookman Old Style" w:cs="Calibri"/>
                <w:color w:val="000000"/>
                <w:sz w:val="14"/>
                <w:szCs w:val="14"/>
                <w:lang w:eastAsia="es-CO"/>
              </w:rPr>
              <w:t>partir  de</w:t>
            </w:r>
            <w:proofErr w:type="gramEnd"/>
            <w:r w:rsidRPr="00995382">
              <w:rPr>
                <w:rFonts w:ascii="Bookman Old Style" w:eastAsia="Times New Roman" w:hAnsi="Bookman Old Style" w:cs="Calibri"/>
                <w:color w:val="000000"/>
                <w:sz w:val="14"/>
                <w:szCs w:val="14"/>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378" w:type="dxa"/>
            <w:tcBorders>
              <w:top w:val="nil"/>
              <w:left w:val="nil"/>
              <w:bottom w:val="single" w:sz="4" w:space="0" w:color="auto"/>
              <w:right w:val="single" w:sz="4" w:space="0" w:color="auto"/>
            </w:tcBorders>
            <w:vAlign w:val="center"/>
            <w:hideMark/>
          </w:tcPr>
          <w:p w14:paraId="6AACB91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7F447ED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94" w:type="dxa"/>
            <w:tcBorders>
              <w:top w:val="nil"/>
              <w:left w:val="nil"/>
              <w:bottom w:val="single" w:sz="4" w:space="0" w:color="auto"/>
              <w:right w:val="single" w:sz="4" w:space="0" w:color="auto"/>
            </w:tcBorders>
            <w:vAlign w:val="center"/>
            <w:hideMark/>
          </w:tcPr>
          <w:p w14:paraId="01C2EAC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hideMark/>
          </w:tcPr>
          <w:p w14:paraId="2DB4B04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Bajo</w:t>
            </w:r>
          </w:p>
        </w:tc>
        <w:tc>
          <w:tcPr>
            <w:tcW w:w="775" w:type="dxa"/>
            <w:tcBorders>
              <w:top w:val="nil"/>
              <w:left w:val="nil"/>
              <w:bottom w:val="single" w:sz="4" w:space="0" w:color="auto"/>
              <w:right w:val="single" w:sz="4" w:space="0" w:color="auto"/>
            </w:tcBorders>
            <w:textDirection w:val="btLr"/>
            <w:vAlign w:val="center"/>
            <w:hideMark/>
          </w:tcPr>
          <w:p w14:paraId="07DB562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0486110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Contratista</w:t>
            </w:r>
          </w:p>
        </w:tc>
        <w:tc>
          <w:tcPr>
            <w:tcW w:w="705" w:type="dxa"/>
            <w:tcBorders>
              <w:top w:val="nil"/>
              <w:left w:val="nil"/>
              <w:bottom w:val="single" w:sz="4" w:space="0" w:color="auto"/>
              <w:right w:val="single" w:sz="4" w:space="0" w:color="auto"/>
            </w:tcBorders>
            <w:textDirection w:val="btLr"/>
            <w:vAlign w:val="center"/>
            <w:hideMark/>
          </w:tcPr>
          <w:p w14:paraId="26473B9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Una vez instalado el contratista en el proyecto e implementado el plan de seguridad industrial con las debidas revisiones. </w:t>
            </w:r>
          </w:p>
        </w:tc>
        <w:tc>
          <w:tcPr>
            <w:tcW w:w="3009" w:type="dxa"/>
            <w:tcBorders>
              <w:top w:val="nil"/>
              <w:left w:val="nil"/>
              <w:bottom w:val="single" w:sz="4" w:space="0" w:color="auto"/>
              <w:right w:val="single" w:sz="4" w:space="0" w:color="auto"/>
            </w:tcBorders>
            <w:vAlign w:val="center"/>
            <w:hideMark/>
          </w:tcPr>
          <w:p w14:paraId="15C5DCBC"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Revisiones de expertos del contratista en los tratamientos y </w:t>
            </w:r>
            <w:proofErr w:type="gramStart"/>
            <w:r w:rsidRPr="00995382">
              <w:rPr>
                <w:rFonts w:ascii="Bookman Old Style" w:eastAsia="Times New Roman" w:hAnsi="Bookman Old Style" w:cs="Calibri"/>
                <w:color w:val="000000"/>
                <w:sz w:val="14"/>
                <w:szCs w:val="14"/>
                <w:lang w:eastAsia="es-CO"/>
              </w:rPr>
              <w:t>controles  a</w:t>
            </w:r>
            <w:proofErr w:type="gramEnd"/>
            <w:r w:rsidRPr="00995382">
              <w:rPr>
                <w:rFonts w:ascii="Bookman Old Style" w:eastAsia="Times New Roman" w:hAnsi="Bookman Old Style" w:cs="Calibri"/>
                <w:color w:val="000000"/>
                <w:sz w:val="14"/>
                <w:szCs w:val="14"/>
                <w:lang w:eastAsia="es-CO"/>
              </w:rPr>
              <w:t xml:space="preserve"> ser implementados</w:t>
            </w:r>
          </w:p>
        </w:tc>
        <w:tc>
          <w:tcPr>
            <w:tcW w:w="713" w:type="dxa"/>
            <w:tcBorders>
              <w:top w:val="nil"/>
              <w:left w:val="nil"/>
              <w:bottom w:val="single" w:sz="4" w:space="0" w:color="auto"/>
              <w:right w:val="single" w:sz="4" w:space="0" w:color="auto"/>
            </w:tcBorders>
            <w:textDirection w:val="btLr"/>
            <w:vAlign w:val="center"/>
            <w:hideMark/>
          </w:tcPr>
          <w:p w14:paraId="62B1D9B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Determinadas por los expertos del contratista en esta materia</w:t>
            </w:r>
          </w:p>
        </w:tc>
      </w:tr>
      <w:tr w:rsidR="00EF6577" w:rsidRPr="00995382" w14:paraId="16E49F58" w14:textId="77777777" w:rsidTr="001968F7">
        <w:trPr>
          <w:gridAfter w:val="1"/>
          <w:wAfter w:w="14" w:type="dxa"/>
          <w:trHeight w:val="518"/>
        </w:trPr>
        <w:tc>
          <w:tcPr>
            <w:tcW w:w="334" w:type="dxa"/>
            <w:tcBorders>
              <w:top w:val="nil"/>
              <w:left w:val="single" w:sz="4" w:space="0" w:color="auto"/>
              <w:bottom w:val="single" w:sz="4" w:space="0" w:color="auto"/>
              <w:right w:val="single" w:sz="4" w:space="0" w:color="auto"/>
            </w:tcBorders>
            <w:vAlign w:val="center"/>
            <w:hideMark/>
          </w:tcPr>
          <w:p w14:paraId="1CC1A90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14</w:t>
            </w:r>
          </w:p>
        </w:tc>
        <w:tc>
          <w:tcPr>
            <w:tcW w:w="316" w:type="dxa"/>
            <w:tcBorders>
              <w:top w:val="nil"/>
              <w:left w:val="nil"/>
              <w:bottom w:val="single" w:sz="4" w:space="0" w:color="auto"/>
              <w:right w:val="single" w:sz="4" w:space="0" w:color="auto"/>
            </w:tcBorders>
            <w:textDirection w:val="btLr"/>
            <w:vAlign w:val="center"/>
            <w:hideMark/>
          </w:tcPr>
          <w:p w14:paraId="4C7D2C2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7914CFF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2E7B9FE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7B26B4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político-social, Riesgo de la naturaleza</w:t>
            </w:r>
          </w:p>
        </w:tc>
        <w:tc>
          <w:tcPr>
            <w:tcW w:w="3766" w:type="dxa"/>
            <w:tcBorders>
              <w:top w:val="nil"/>
              <w:left w:val="nil"/>
              <w:bottom w:val="single" w:sz="4" w:space="0" w:color="auto"/>
              <w:right w:val="single" w:sz="4" w:space="0" w:color="auto"/>
            </w:tcBorders>
            <w:vAlign w:val="center"/>
            <w:hideMark/>
          </w:tcPr>
          <w:p w14:paraId="72CBA258"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Fuerza mayor no asegurable.</w:t>
            </w:r>
            <w:r w:rsidRPr="00995382">
              <w:rPr>
                <w:rFonts w:ascii="Bookman Old Style" w:eastAsia="Times New Roman" w:hAnsi="Bookman Old Style" w:cs="Calibri"/>
                <w:color w:val="000000"/>
                <w:sz w:val="14"/>
                <w:szCs w:val="14"/>
                <w:lang w:eastAsia="es-CO"/>
              </w:rPr>
              <w:t xml:space="preserve">  Incertidumbre de ocurrencia de eventos de fuerza mayor no asegurables, tales como guerras, hallazgos </w:t>
            </w:r>
            <w:proofErr w:type="gramStart"/>
            <w:r w:rsidRPr="00995382">
              <w:rPr>
                <w:rFonts w:ascii="Bookman Old Style" w:eastAsia="Times New Roman" w:hAnsi="Bookman Old Style" w:cs="Calibri"/>
                <w:color w:val="000000"/>
                <w:sz w:val="14"/>
                <w:szCs w:val="14"/>
                <w:lang w:eastAsia="es-CO"/>
              </w:rPr>
              <w:t>arqueológicos,  yacimientos</w:t>
            </w:r>
            <w:proofErr w:type="gramEnd"/>
            <w:r w:rsidRPr="00995382">
              <w:rPr>
                <w:rFonts w:ascii="Bookman Old Style" w:eastAsia="Times New Roman" w:hAnsi="Bookman Old Style" w:cs="Calibri"/>
                <w:color w:val="000000"/>
                <w:sz w:val="14"/>
                <w:szCs w:val="14"/>
                <w:lang w:eastAsia="es-CO"/>
              </w:rPr>
              <w:t xml:space="preserve"> mineros, (EL MUNICIPIO como órgano del Estado en armonía con los demás Entes).  Se define la Fuerza Mayor o Caso Fortuito, en los términos de la legislación existente.</w:t>
            </w:r>
          </w:p>
        </w:tc>
        <w:tc>
          <w:tcPr>
            <w:tcW w:w="756" w:type="dxa"/>
            <w:tcBorders>
              <w:top w:val="nil"/>
              <w:left w:val="nil"/>
              <w:bottom w:val="single" w:sz="4" w:space="0" w:color="auto"/>
              <w:right w:val="single" w:sz="4" w:space="0" w:color="auto"/>
            </w:tcBorders>
            <w:textDirection w:val="btLr"/>
            <w:vAlign w:val="center"/>
            <w:hideMark/>
          </w:tcPr>
          <w:p w14:paraId="091FF25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proofErr w:type="gramStart"/>
            <w:r w:rsidRPr="00995382">
              <w:rPr>
                <w:rFonts w:ascii="Bookman Old Style" w:eastAsia="Times New Roman" w:hAnsi="Bookman Old Style" w:cs="Calibri"/>
                <w:color w:val="000000"/>
                <w:sz w:val="14"/>
                <w:szCs w:val="14"/>
                <w:lang w:eastAsia="es-CO"/>
              </w:rPr>
              <w:t>Interferencia  en</w:t>
            </w:r>
            <w:proofErr w:type="gramEnd"/>
            <w:r w:rsidRPr="00995382">
              <w:rPr>
                <w:rFonts w:ascii="Bookman Old Style" w:eastAsia="Times New Roman" w:hAnsi="Bookman Old Style" w:cs="Calibri"/>
                <w:color w:val="000000"/>
                <w:sz w:val="14"/>
                <w:szCs w:val="14"/>
                <w:lang w:eastAsia="es-CO"/>
              </w:rPr>
              <w:t xml:space="preserve"> la ejecución del proyecto, pérdidas de bienes de la nación </w:t>
            </w:r>
            <w:proofErr w:type="spellStart"/>
            <w:r w:rsidRPr="00995382">
              <w:rPr>
                <w:rFonts w:ascii="Bookman Old Style" w:eastAsia="Times New Roman" w:hAnsi="Bookman Old Style" w:cs="Calibri"/>
                <w:color w:val="000000"/>
                <w:sz w:val="14"/>
                <w:szCs w:val="14"/>
                <w:lang w:eastAsia="es-CO"/>
              </w:rPr>
              <w:t>ó</w:t>
            </w:r>
            <w:proofErr w:type="spellEnd"/>
            <w:r w:rsidRPr="00995382">
              <w:rPr>
                <w:rFonts w:ascii="Bookman Old Style" w:eastAsia="Times New Roman" w:hAnsi="Bookman Old Style" w:cs="Calibri"/>
                <w:color w:val="000000"/>
                <w:sz w:val="14"/>
                <w:szCs w:val="14"/>
                <w:lang w:eastAsia="es-CO"/>
              </w:rPr>
              <w:t xml:space="preserve"> del contratista,  cambios en las obras por necesidad de ajustar diseños</w:t>
            </w:r>
          </w:p>
        </w:tc>
        <w:tc>
          <w:tcPr>
            <w:tcW w:w="315" w:type="dxa"/>
            <w:tcBorders>
              <w:top w:val="nil"/>
              <w:left w:val="nil"/>
              <w:bottom w:val="single" w:sz="4" w:space="0" w:color="auto"/>
              <w:right w:val="single" w:sz="4" w:space="0" w:color="auto"/>
            </w:tcBorders>
            <w:textDirection w:val="btLr"/>
            <w:vAlign w:val="center"/>
            <w:hideMark/>
          </w:tcPr>
          <w:p w14:paraId="04FF6ADD"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MUNICIPIO </w:t>
            </w:r>
          </w:p>
        </w:tc>
        <w:tc>
          <w:tcPr>
            <w:tcW w:w="3164" w:type="dxa"/>
            <w:tcBorders>
              <w:top w:val="nil"/>
              <w:left w:val="nil"/>
              <w:bottom w:val="single" w:sz="4" w:space="0" w:color="auto"/>
              <w:right w:val="single" w:sz="4" w:space="0" w:color="auto"/>
            </w:tcBorders>
            <w:vAlign w:val="center"/>
            <w:hideMark/>
          </w:tcPr>
          <w:p w14:paraId="55B35855"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Recopilación de datos estadísticos e información a </w:t>
            </w:r>
            <w:proofErr w:type="gramStart"/>
            <w:r w:rsidRPr="00995382">
              <w:rPr>
                <w:rFonts w:ascii="Bookman Old Style" w:eastAsia="Times New Roman" w:hAnsi="Bookman Old Style" w:cs="Calibri"/>
                <w:color w:val="000000"/>
                <w:sz w:val="14"/>
                <w:szCs w:val="14"/>
                <w:lang w:eastAsia="es-CO"/>
              </w:rPr>
              <w:t>partir  de</w:t>
            </w:r>
            <w:proofErr w:type="gramEnd"/>
            <w:r w:rsidRPr="00995382">
              <w:rPr>
                <w:rFonts w:ascii="Bookman Old Style" w:eastAsia="Times New Roman" w:hAnsi="Bookman Old Style" w:cs="Calibri"/>
                <w:color w:val="000000"/>
                <w:sz w:val="14"/>
                <w:szCs w:val="14"/>
                <w:lang w:eastAsia="es-CO"/>
              </w:rPr>
              <w:t xml:space="preserv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el </w:t>
            </w:r>
            <w:proofErr w:type="gramStart"/>
            <w:r w:rsidRPr="00995382">
              <w:rPr>
                <w:rFonts w:ascii="Bookman Old Style" w:eastAsia="Times New Roman" w:hAnsi="Bookman Old Style" w:cs="Calibri"/>
                <w:color w:val="000000"/>
                <w:sz w:val="14"/>
                <w:szCs w:val="14"/>
                <w:lang w:eastAsia="es-CO"/>
              </w:rPr>
              <w:t>municipio  el</w:t>
            </w:r>
            <w:proofErr w:type="gramEnd"/>
            <w:r w:rsidRPr="00995382">
              <w:rPr>
                <w:rFonts w:ascii="Bookman Old Style" w:eastAsia="Times New Roman" w:hAnsi="Bookman Old Style" w:cs="Calibri"/>
                <w:color w:val="000000"/>
                <w:sz w:val="14"/>
                <w:szCs w:val="14"/>
                <w:lang w:eastAsia="es-CO"/>
              </w:rPr>
              <w:t xml:space="preserve"> tratamiento contractual al proyecto</w:t>
            </w:r>
          </w:p>
        </w:tc>
        <w:tc>
          <w:tcPr>
            <w:tcW w:w="378" w:type="dxa"/>
            <w:tcBorders>
              <w:top w:val="nil"/>
              <w:left w:val="nil"/>
              <w:bottom w:val="single" w:sz="4" w:space="0" w:color="auto"/>
              <w:right w:val="single" w:sz="4" w:space="0" w:color="auto"/>
            </w:tcBorders>
            <w:vAlign w:val="center"/>
            <w:hideMark/>
          </w:tcPr>
          <w:p w14:paraId="5C50899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w:t>
            </w:r>
          </w:p>
        </w:tc>
        <w:tc>
          <w:tcPr>
            <w:tcW w:w="315" w:type="dxa"/>
            <w:tcBorders>
              <w:top w:val="nil"/>
              <w:left w:val="nil"/>
              <w:bottom w:val="single" w:sz="4" w:space="0" w:color="auto"/>
              <w:right w:val="single" w:sz="4" w:space="0" w:color="auto"/>
            </w:tcBorders>
            <w:vAlign w:val="center"/>
            <w:hideMark/>
          </w:tcPr>
          <w:p w14:paraId="18BC835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94" w:type="dxa"/>
            <w:tcBorders>
              <w:top w:val="nil"/>
              <w:left w:val="nil"/>
              <w:bottom w:val="single" w:sz="4" w:space="0" w:color="auto"/>
              <w:right w:val="single" w:sz="4" w:space="0" w:color="auto"/>
            </w:tcBorders>
            <w:vAlign w:val="center"/>
            <w:hideMark/>
          </w:tcPr>
          <w:p w14:paraId="130652C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hideMark/>
          </w:tcPr>
          <w:p w14:paraId="74A2776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Bajo</w:t>
            </w:r>
          </w:p>
        </w:tc>
        <w:tc>
          <w:tcPr>
            <w:tcW w:w="775" w:type="dxa"/>
            <w:tcBorders>
              <w:top w:val="nil"/>
              <w:left w:val="nil"/>
              <w:bottom w:val="single" w:sz="4" w:space="0" w:color="auto"/>
              <w:right w:val="single" w:sz="4" w:space="0" w:color="auto"/>
            </w:tcBorders>
            <w:textDirection w:val="btLr"/>
            <w:vAlign w:val="center"/>
            <w:hideMark/>
          </w:tcPr>
          <w:p w14:paraId="17CBA5D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7AA56FC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Contratista</w:t>
            </w:r>
          </w:p>
        </w:tc>
        <w:tc>
          <w:tcPr>
            <w:tcW w:w="705" w:type="dxa"/>
            <w:tcBorders>
              <w:top w:val="nil"/>
              <w:left w:val="nil"/>
              <w:bottom w:val="single" w:sz="4" w:space="0" w:color="auto"/>
              <w:right w:val="single" w:sz="4" w:space="0" w:color="auto"/>
            </w:tcBorders>
            <w:textDirection w:val="btLr"/>
            <w:vAlign w:val="center"/>
            <w:hideMark/>
          </w:tcPr>
          <w:p w14:paraId="37BE4D9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 la ejecución del contrato</w:t>
            </w:r>
          </w:p>
        </w:tc>
        <w:tc>
          <w:tcPr>
            <w:tcW w:w="3009" w:type="dxa"/>
            <w:tcBorders>
              <w:top w:val="nil"/>
              <w:left w:val="nil"/>
              <w:bottom w:val="single" w:sz="4" w:space="0" w:color="auto"/>
              <w:right w:val="single" w:sz="4" w:space="0" w:color="auto"/>
            </w:tcBorders>
            <w:vAlign w:val="center"/>
            <w:hideMark/>
          </w:tcPr>
          <w:p w14:paraId="1AB325C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Revisión de la información obtenida, para tomar las medidas a que haya lugar </w:t>
            </w:r>
          </w:p>
        </w:tc>
        <w:tc>
          <w:tcPr>
            <w:tcW w:w="713" w:type="dxa"/>
            <w:tcBorders>
              <w:top w:val="nil"/>
              <w:left w:val="nil"/>
              <w:bottom w:val="single" w:sz="4" w:space="0" w:color="auto"/>
              <w:right w:val="single" w:sz="4" w:space="0" w:color="auto"/>
            </w:tcBorders>
            <w:textDirection w:val="btLr"/>
            <w:vAlign w:val="center"/>
            <w:hideMark/>
          </w:tcPr>
          <w:p w14:paraId="65BCCBD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En la etapa precontractual y en la contractual cuando se presente el evento.</w:t>
            </w:r>
          </w:p>
        </w:tc>
      </w:tr>
      <w:tr w:rsidR="00EF6577" w:rsidRPr="00995382" w14:paraId="31E94667" w14:textId="77777777" w:rsidTr="001968F7">
        <w:trPr>
          <w:gridAfter w:val="1"/>
          <w:wAfter w:w="14" w:type="dxa"/>
          <w:trHeight w:val="1935"/>
        </w:trPr>
        <w:tc>
          <w:tcPr>
            <w:tcW w:w="334" w:type="dxa"/>
            <w:tcBorders>
              <w:top w:val="nil"/>
              <w:left w:val="single" w:sz="4" w:space="0" w:color="auto"/>
              <w:bottom w:val="single" w:sz="4" w:space="0" w:color="auto"/>
              <w:right w:val="single" w:sz="4" w:space="0" w:color="auto"/>
            </w:tcBorders>
            <w:vAlign w:val="center"/>
            <w:hideMark/>
          </w:tcPr>
          <w:p w14:paraId="5BC1BB3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lastRenderedPageBreak/>
              <w:t>15</w:t>
            </w:r>
          </w:p>
        </w:tc>
        <w:tc>
          <w:tcPr>
            <w:tcW w:w="316" w:type="dxa"/>
            <w:tcBorders>
              <w:top w:val="nil"/>
              <w:left w:val="nil"/>
              <w:bottom w:val="single" w:sz="4" w:space="0" w:color="auto"/>
              <w:right w:val="single" w:sz="4" w:space="0" w:color="auto"/>
            </w:tcBorders>
            <w:textDirection w:val="btLr"/>
            <w:vAlign w:val="center"/>
            <w:hideMark/>
          </w:tcPr>
          <w:p w14:paraId="3237714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1400FA1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Externo </w:t>
            </w:r>
          </w:p>
        </w:tc>
        <w:tc>
          <w:tcPr>
            <w:tcW w:w="446" w:type="dxa"/>
            <w:tcBorders>
              <w:top w:val="nil"/>
              <w:left w:val="nil"/>
              <w:bottom w:val="single" w:sz="4" w:space="0" w:color="auto"/>
              <w:right w:val="single" w:sz="4" w:space="0" w:color="auto"/>
            </w:tcBorders>
            <w:textDirection w:val="btLr"/>
            <w:vAlign w:val="center"/>
            <w:hideMark/>
          </w:tcPr>
          <w:p w14:paraId="048753F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6AE18F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Riesgos de la Salud</w:t>
            </w:r>
          </w:p>
        </w:tc>
        <w:tc>
          <w:tcPr>
            <w:tcW w:w="3766" w:type="dxa"/>
            <w:tcBorders>
              <w:top w:val="nil"/>
              <w:left w:val="nil"/>
              <w:bottom w:val="single" w:sz="4" w:space="0" w:color="auto"/>
              <w:right w:val="single" w:sz="4" w:space="0" w:color="auto"/>
            </w:tcBorders>
            <w:vAlign w:val="center"/>
            <w:hideMark/>
          </w:tcPr>
          <w:p w14:paraId="700129A0"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Presencia de Riesgos Biológicos. </w:t>
            </w:r>
            <w:r w:rsidRPr="00995382">
              <w:rPr>
                <w:rFonts w:ascii="Bookman Old Style" w:eastAsia="Times New Roman" w:hAnsi="Bookman Old Style" w:cs="Calibri"/>
                <w:color w:val="000000"/>
                <w:sz w:val="14"/>
                <w:szCs w:val="14"/>
                <w:lang w:eastAsia="es-CO"/>
              </w:rPr>
              <w:t xml:space="preserve">Se refiere a la posibilidad </w:t>
            </w:r>
            <w:proofErr w:type="gramStart"/>
            <w:r w:rsidRPr="00995382">
              <w:rPr>
                <w:rFonts w:ascii="Bookman Old Style" w:eastAsia="Times New Roman" w:hAnsi="Bookman Old Style" w:cs="Calibri"/>
                <w:color w:val="000000"/>
                <w:sz w:val="14"/>
                <w:szCs w:val="14"/>
                <w:lang w:eastAsia="es-CO"/>
              </w:rPr>
              <w:t>que</w:t>
            </w:r>
            <w:proofErr w:type="gramEnd"/>
            <w:r w:rsidRPr="00995382">
              <w:rPr>
                <w:rFonts w:ascii="Bookman Old Style" w:eastAsia="Times New Roman" w:hAnsi="Bookman Old Style" w:cs="Calibri"/>
                <w:color w:val="000000"/>
                <w:sz w:val="14"/>
                <w:szCs w:val="14"/>
                <w:lang w:eastAsia="es-CO"/>
              </w:rPr>
              <w:t xml:space="preserve"> durante la ejecución del contrato, los colaboradores del contratista, presenten síntomas de enfermedades altamente contagiosas y que afecten y deterioren la Salud del Personal. </w:t>
            </w:r>
          </w:p>
        </w:tc>
        <w:tc>
          <w:tcPr>
            <w:tcW w:w="756" w:type="dxa"/>
            <w:tcBorders>
              <w:top w:val="nil"/>
              <w:left w:val="nil"/>
              <w:bottom w:val="single" w:sz="4" w:space="0" w:color="auto"/>
              <w:right w:val="single" w:sz="4" w:space="0" w:color="auto"/>
            </w:tcBorders>
            <w:textDirection w:val="btLr"/>
            <w:vAlign w:val="center"/>
            <w:hideMark/>
          </w:tcPr>
          <w:p w14:paraId="77A6D42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Deterioro notorio y grave de la salud y posible contagio</w:t>
            </w:r>
          </w:p>
        </w:tc>
        <w:tc>
          <w:tcPr>
            <w:tcW w:w="315" w:type="dxa"/>
            <w:tcBorders>
              <w:top w:val="nil"/>
              <w:left w:val="nil"/>
              <w:bottom w:val="single" w:sz="4" w:space="0" w:color="auto"/>
              <w:right w:val="single" w:sz="4" w:space="0" w:color="auto"/>
            </w:tcBorders>
            <w:textDirection w:val="btLr"/>
            <w:vAlign w:val="center"/>
            <w:hideMark/>
          </w:tcPr>
          <w:p w14:paraId="3AFB73B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Contratista</w:t>
            </w:r>
          </w:p>
        </w:tc>
        <w:tc>
          <w:tcPr>
            <w:tcW w:w="3164" w:type="dxa"/>
            <w:tcBorders>
              <w:top w:val="nil"/>
              <w:left w:val="nil"/>
              <w:bottom w:val="single" w:sz="4" w:space="0" w:color="auto"/>
              <w:right w:val="single" w:sz="4" w:space="0" w:color="auto"/>
            </w:tcBorders>
            <w:vAlign w:val="center"/>
            <w:hideMark/>
          </w:tcPr>
          <w:p w14:paraId="5B937D7D"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378" w:type="dxa"/>
            <w:tcBorders>
              <w:top w:val="nil"/>
              <w:left w:val="nil"/>
              <w:bottom w:val="single" w:sz="4" w:space="0" w:color="auto"/>
              <w:right w:val="single" w:sz="4" w:space="0" w:color="auto"/>
            </w:tcBorders>
            <w:vAlign w:val="center"/>
            <w:hideMark/>
          </w:tcPr>
          <w:p w14:paraId="4441FE5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32C68EC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94" w:type="dxa"/>
            <w:tcBorders>
              <w:top w:val="nil"/>
              <w:left w:val="nil"/>
              <w:bottom w:val="single" w:sz="4" w:space="0" w:color="auto"/>
              <w:right w:val="single" w:sz="4" w:space="0" w:color="auto"/>
            </w:tcBorders>
            <w:vAlign w:val="center"/>
            <w:hideMark/>
          </w:tcPr>
          <w:p w14:paraId="0660D70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hideMark/>
          </w:tcPr>
          <w:p w14:paraId="4C25830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Medio</w:t>
            </w:r>
          </w:p>
        </w:tc>
        <w:tc>
          <w:tcPr>
            <w:tcW w:w="775" w:type="dxa"/>
            <w:tcBorders>
              <w:top w:val="nil"/>
              <w:left w:val="nil"/>
              <w:bottom w:val="single" w:sz="4" w:space="0" w:color="auto"/>
              <w:right w:val="single" w:sz="4" w:space="0" w:color="auto"/>
            </w:tcBorders>
            <w:textDirection w:val="btLr"/>
            <w:vAlign w:val="center"/>
            <w:hideMark/>
          </w:tcPr>
          <w:p w14:paraId="5621785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5D11992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contratistas de Obras, de Estudios y Diseños interventor, Supervisor </w:t>
            </w:r>
          </w:p>
        </w:tc>
        <w:tc>
          <w:tcPr>
            <w:tcW w:w="705" w:type="dxa"/>
            <w:tcBorders>
              <w:top w:val="nil"/>
              <w:left w:val="nil"/>
              <w:bottom w:val="single" w:sz="4" w:space="0" w:color="auto"/>
              <w:right w:val="single" w:sz="4" w:space="0" w:color="auto"/>
            </w:tcBorders>
            <w:textDirection w:val="btLr"/>
            <w:vAlign w:val="center"/>
            <w:hideMark/>
          </w:tcPr>
          <w:p w14:paraId="072D9CA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del contrato</w:t>
            </w:r>
          </w:p>
        </w:tc>
        <w:tc>
          <w:tcPr>
            <w:tcW w:w="3009" w:type="dxa"/>
            <w:tcBorders>
              <w:top w:val="nil"/>
              <w:left w:val="nil"/>
              <w:bottom w:val="single" w:sz="4" w:space="0" w:color="auto"/>
              <w:right w:val="single" w:sz="4" w:space="0" w:color="auto"/>
            </w:tcBorders>
            <w:vAlign w:val="center"/>
            <w:hideMark/>
          </w:tcPr>
          <w:p w14:paraId="7BDF759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713" w:type="dxa"/>
            <w:tcBorders>
              <w:top w:val="nil"/>
              <w:left w:val="nil"/>
              <w:bottom w:val="single" w:sz="4" w:space="0" w:color="auto"/>
              <w:right w:val="single" w:sz="4" w:space="0" w:color="auto"/>
            </w:tcBorders>
            <w:textDirection w:val="btLr"/>
            <w:vAlign w:val="center"/>
            <w:hideMark/>
          </w:tcPr>
          <w:p w14:paraId="46AE907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Cada vez que haya novedades de cambio de personal</w:t>
            </w:r>
          </w:p>
        </w:tc>
      </w:tr>
      <w:tr w:rsidR="00EF6577" w:rsidRPr="00995382" w14:paraId="03340EDC" w14:textId="77777777" w:rsidTr="001968F7">
        <w:trPr>
          <w:gridAfter w:val="1"/>
          <w:wAfter w:w="14" w:type="dxa"/>
          <w:trHeight w:val="1509"/>
        </w:trPr>
        <w:tc>
          <w:tcPr>
            <w:tcW w:w="334" w:type="dxa"/>
            <w:tcBorders>
              <w:top w:val="nil"/>
              <w:left w:val="single" w:sz="4" w:space="0" w:color="auto"/>
              <w:bottom w:val="single" w:sz="4" w:space="0" w:color="auto"/>
              <w:right w:val="single" w:sz="4" w:space="0" w:color="auto"/>
            </w:tcBorders>
            <w:vAlign w:val="center"/>
            <w:hideMark/>
          </w:tcPr>
          <w:p w14:paraId="5D3EAC1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16</w:t>
            </w:r>
          </w:p>
        </w:tc>
        <w:tc>
          <w:tcPr>
            <w:tcW w:w="316" w:type="dxa"/>
            <w:tcBorders>
              <w:top w:val="nil"/>
              <w:left w:val="nil"/>
              <w:bottom w:val="single" w:sz="4" w:space="0" w:color="auto"/>
              <w:right w:val="single" w:sz="4" w:space="0" w:color="auto"/>
            </w:tcBorders>
            <w:textDirection w:val="btLr"/>
            <w:vAlign w:val="center"/>
            <w:hideMark/>
          </w:tcPr>
          <w:p w14:paraId="485CE3E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2EA087F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5F8DB1A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59E61F9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Riesgos de la Salud</w:t>
            </w:r>
          </w:p>
        </w:tc>
        <w:tc>
          <w:tcPr>
            <w:tcW w:w="3766" w:type="dxa"/>
            <w:tcBorders>
              <w:top w:val="nil"/>
              <w:left w:val="nil"/>
              <w:bottom w:val="single" w:sz="4" w:space="0" w:color="auto"/>
              <w:right w:val="single" w:sz="4" w:space="0" w:color="auto"/>
            </w:tcBorders>
            <w:vAlign w:val="center"/>
            <w:hideMark/>
          </w:tcPr>
          <w:p w14:paraId="6C57240B"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Disponibilidad de los Elementos de Protección Personal. </w:t>
            </w:r>
            <w:r w:rsidRPr="00995382">
              <w:rPr>
                <w:rFonts w:ascii="Bookman Old Style" w:eastAsia="Times New Roman" w:hAnsi="Bookman Old Style" w:cs="Calibri"/>
                <w:color w:val="000000"/>
                <w:sz w:val="14"/>
                <w:szCs w:val="14"/>
                <w:lang w:eastAsia="es-CO"/>
              </w:rPr>
              <w:t>Se refiere a la posibilidad de que el Contratista no disponga o suministre a sus colaboradores de las Obras, Interventoría y demás los Elementos de Protección Personal EPP y los de Riesgo Bilógico.</w:t>
            </w:r>
          </w:p>
        </w:tc>
        <w:tc>
          <w:tcPr>
            <w:tcW w:w="756" w:type="dxa"/>
            <w:tcBorders>
              <w:top w:val="nil"/>
              <w:left w:val="nil"/>
              <w:bottom w:val="single" w:sz="4" w:space="0" w:color="auto"/>
              <w:right w:val="single" w:sz="4" w:space="0" w:color="auto"/>
            </w:tcBorders>
            <w:textDirection w:val="btLr"/>
            <w:vAlign w:val="center"/>
            <w:hideMark/>
          </w:tcPr>
          <w:p w14:paraId="660EB6A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Accidentes de trabajo y posible exposición a Riegos Biológicos</w:t>
            </w:r>
          </w:p>
        </w:tc>
        <w:tc>
          <w:tcPr>
            <w:tcW w:w="315" w:type="dxa"/>
            <w:tcBorders>
              <w:top w:val="nil"/>
              <w:left w:val="nil"/>
              <w:bottom w:val="single" w:sz="4" w:space="0" w:color="auto"/>
              <w:right w:val="single" w:sz="4" w:space="0" w:color="auto"/>
            </w:tcBorders>
            <w:textDirection w:val="btLr"/>
            <w:vAlign w:val="center"/>
            <w:hideMark/>
          </w:tcPr>
          <w:p w14:paraId="609F989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Contratista</w:t>
            </w:r>
          </w:p>
        </w:tc>
        <w:tc>
          <w:tcPr>
            <w:tcW w:w="3164" w:type="dxa"/>
            <w:tcBorders>
              <w:top w:val="nil"/>
              <w:left w:val="nil"/>
              <w:bottom w:val="single" w:sz="4" w:space="0" w:color="auto"/>
              <w:right w:val="single" w:sz="4" w:space="0" w:color="auto"/>
            </w:tcBorders>
            <w:vAlign w:val="center"/>
            <w:hideMark/>
          </w:tcPr>
          <w:p w14:paraId="65AED843"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El contratista deberá suministrar todos los EPP a sus colaboradores en las obras, o solicitar a la ARL que los suministre </w:t>
            </w:r>
          </w:p>
        </w:tc>
        <w:tc>
          <w:tcPr>
            <w:tcW w:w="378" w:type="dxa"/>
            <w:tcBorders>
              <w:top w:val="nil"/>
              <w:left w:val="nil"/>
              <w:bottom w:val="single" w:sz="4" w:space="0" w:color="auto"/>
              <w:right w:val="single" w:sz="4" w:space="0" w:color="auto"/>
            </w:tcBorders>
            <w:vAlign w:val="center"/>
            <w:hideMark/>
          </w:tcPr>
          <w:p w14:paraId="7FAB6DA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6E99E43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94" w:type="dxa"/>
            <w:tcBorders>
              <w:top w:val="nil"/>
              <w:left w:val="nil"/>
              <w:bottom w:val="single" w:sz="4" w:space="0" w:color="auto"/>
              <w:right w:val="single" w:sz="4" w:space="0" w:color="auto"/>
            </w:tcBorders>
            <w:vAlign w:val="center"/>
            <w:hideMark/>
          </w:tcPr>
          <w:p w14:paraId="20D64398"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hideMark/>
          </w:tcPr>
          <w:p w14:paraId="56EBD7B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Medio</w:t>
            </w:r>
          </w:p>
        </w:tc>
        <w:tc>
          <w:tcPr>
            <w:tcW w:w="775" w:type="dxa"/>
            <w:tcBorders>
              <w:top w:val="nil"/>
              <w:left w:val="nil"/>
              <w:bottom w:val="single" w:sz="4" w:space="0" w:color="auto"/>
              <w:right w:val="single" w:sz="4" w:space="0" w:color="auto"/>
            </w:tcBorders>
            <w:textDirection w:val="btLr"/>
            <w:vAlign w:val="center"/>
            <w:hideMark/>
          </w:tcPr>
          <w:p w14:paraId="30BE60F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129BB2E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contratistas de Obras, de Estudios y Diseños interventor, Supervisor </w:t>
            </w:r>
          </w:p>
        </w:tc>
        <w:tc>
          <w:tcPr>
            <w:tcW w:w="705" w:type="dxa"/>
            <w:tcBorders>
              <w:top w:val="nil"/>
              <w:left w:val="nil"/>
              <w:bottom w:val="single" w:sz="4" w:space="0" w:color="auto"/>
              <w:right w:val="single" w:sz="4" w:space="0" w:color="auto"/>
            </w:tcBorders>
            <w:textDirection w:val="btLr"/>
            <w:vAlign w:val="center"/>
            <w:hideMark/>
          </w:tcPr>
          <w:p w14:paraId="7A2A744B"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 la terminación del contrato</w:t>
            </w:r>
          </w:p>
        </w:tc>
        <w:tc>
          <w:tcPr>
            <w:tcW w:w="3009" w:type="dxa"/>
            <w:tcBorders>
              <w:top w:val="nil"/>
              <w:left w:val="nil"/>
              <w:bottom w:val="single" w:sz="4" w:space="0" w:color="auto"/>
              <w:right w:val="single" w:sz="4" w:space="0" w:color="auto"/>
            </w:tcBorders>
            <w:vAlign w:val="center"/>
            <w:hideMark/>
          </w:tcPr>
          <w:p w14:paraId="49BC6C8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Vigilancia permanente de los cambios de salud de los colaboradores</w:t>
            </w:r>
          </w:p>
        </w:tc>
        <w:tc>
          <w:tcPr>
            <w:tcW w:w="713" w:type="dxa"/>
            <w:tcBorders>
              <w:top w:val="nil"/>
              <w:left w:val="nil"/>
              <w:bottom w:val="single" w:sz="4" w:space="0" w:color="auto"/>
              <w:right w:val="single" w:sz="4" w:space="0" w:color="auto"/>
            </w:tcBorders>
            <w:textDirection w:val="btLr"/>
            <w:vAlign w:val="center"/>
            <w:hideMark/>
          </w:tcPr>
          <w:p w14:paraId="5C9CB76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Diario</w:t>
            </w:r>
          </w:p>
        </w:tc>
      </w:tr>
      <w:tr w:rsidR="00EF6577" w:rsidRPr="00995382" w14:paraId="4009CD69" w14:textId="77777777" w:rsidTr="001968F7">
        <w:trPr>
          <w:gridAfter w:val="1"/>
          <w:wAfter w:w="14" w:type="dxa"/>
          <w:trHeight w:val="1422"/>
        </w:trPr>
        <w:tc>
          <w:tcPr>
            <w:tcW w:w="334" w:type="dxa"/>
            <w:tcBorders>
              <w:top w:val="nil"/>
              <w:left w:val="single" w:sz="4" w:space="0" w:color="auto"/>
              <w:bottom w:val="single" w:sz="4" w:space="0" w:color="auto"/>
              <w:right w:val="single" w:sz="4" w:space="0" w:color="auto"/>
            </w:tcBorders>
            <w:vAlign w:val="center"/>
            <w:hideMark/>
          </w:tcPr>
          <w:p w14:paraId="7F2AC2BE" w14:textId="77777777" w:rsidR="00EF6577" w:rsidRPr="00995382" w:rsidRDefault="00EF6577" w:rsidP="00995382">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17</w:t>
            </w:r>
          </w:p>
        </w:tc>
        <w:tc>
          <w:tcPr>
            <w:tcW w:w="316" w:type="dxa"/>
            <w:tcBorders>
              <w:top w:val="nil"/>
              <w:left w:val="nil"/>
              <w:bottom w:val="single" w:sz="4" w:space="0" w:color="auto"/>
              <w:right w:val="single" w:sz="4" w:space="0" w:color="auto"/>
            </w:tcBorders>
            <w:textDirection w:val="btLr"/>
            <w:vAlign w:val="center"/>
            <w:hideMark/>
          </w:tcPr>
          <w:p w14:paraId="267DF56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493C3D1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Externo </w:t>
            </w:r>
          </w:p>
        </w:tc>
        <w:tc>
          <w:tcPr>
            <w:tcW w:w="446" w:type="dxa"/>
            <w:tcBorders>
              <w:top w:val="nil"/>
              <w:left w:val="nil"/>
              <w:bottom w:val="single" w:sz="4" w:space="0" w:color="auto"/>
              <w:right w:val="single" w:sz="4" w:space="0" w:color="auto"/>
            </w:tcBorders>
            <w:textDirection w:val="btLr"/>
            <w:vAlign w:val="center"/>
            <w:hideMark/>
          </w:tcPr>
          <w:p w14:paraId="26FFAE69"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39D2C7F0"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Riesgos de la Salud</w:t>
            </w:r>
          </w:p>
        </w:tc>
        <w:tc>
          <w:tcPr>
            <w:tcW w:w="3766" w:type="dxa"/>
            <w:tcBorders>
              <w:top w:val="nil"/>
              <w:left w:val="nil"/>
              <w:bottom w:val="single" w:sz="4" w:space="0" w:color="auto"/>
              <w:right w:val="single" w:sz="4" w:space="0" w:color="auto"/>
            </w:tcBorders>
            <w:vAlign w:val="center"/>
            <w:hideMark/>
          </w:tcPr>
          <w:p w14:paraId="664D1B33"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Presencia de Riesgos Biológicos. </w:t>
            </w:r>
            <w:r w:rsidRPr="00995382">
              <w:rPr>
                <w:rFonts w:ascii="Bookman Old Style" w:eastAsia="Times New Roman" w:hAnsi="Bookman Old Style" w:cs="Calibri"/>
                <w:color w:val="000000"/>
                <w:sz w:val="14"/>
                <w:szCs w:val="14"/>
                <w:lang w:eastAsia="es-CO"/>
              </w:rPr>
              <w:t xml:space="preserve">Se refiere a la posibilidad </w:t>
            </w:r>
            <w:proofErr w:type="gramStart"/>
            <w:r w:rsidRPr="00995382">
              <w:rPr>
                <w:rFonts w:ascii="Bookman Old Style" w:eastAsia="Times New Roman" w:hAnsi="Bookman Old Style" w:cs="Calibri"/>
                <w:color w:val="000000"/>
                <w:sz w:val="14"/>
                <w:szCs w:val="14"/>
                <w:lang w:eastAsia="es-CO"/>
              </w:rPr>
              <w:t>que</w:t>
            </w:r>
            <w:proofErr w:type="gramEnd"/>
            <w:r w:rsidRPr="00995382">
              <w:rPr>
                <w:rFonts w:ascii="Bookman Old Style" w:eastAsia="Times New Roman" w:hAnsi="Bookman Old Style" w:cs="Calibri"/>
                <w:color w:val="000000"/>
                <w:sz w:val="14"/>
                <w:szCs w:val="14"/>
                <w:lang w:eastAsia="es-CO"/>
              </w:rPr>
              <w:t xml:space="preserve"> durante la ejecución del contrato, los colaboradores del contratista, presenten síntomas de enfermedades altamente contagiosas y que afecten y deterioren la Salud del Personal. </w:t>
            </w:r>
          </w:p>
        </w:tc>
        <w:tc>
          <w:tcPr>
            <w:tcW w:w="756" w:type="dxa"/>
            <w:tcBorders>
              <w:top w:val="nil"/>
              <w:left w:val="nil"/>
              <w:bottom w:val="single" w:sz="4" w:space="0" w:color="auto"/>
              <w:right w:val="single" w:sz="4" w:space="0" w:color="auto"/>
            </w:tcBorders>
            <w:textDirection w:val="btLr"/>
            <w:vAlign w:val="center"/>
            <w:hideMark/>
          </w:tcPr>
          <w:p w14:paraId="37196BA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Deterioro notorio y grave de la salud y posible contagio</w:t>
            </w:r>
          </w:p>
        </w:tc>
        <w:tc>
          <w:tcPr>
            <w:tcW w:w="315" w:type="dxa"/>
            <w:tcBorders>
              <w:top w:val="nil"/>
              <w:left w:val="nil"/>
              <w:bottom w:val="single" w:sz="4" w:space="0" w:color="auto"/>
              <w:right w:val="single" w:sz="4" w:space="0" w:color="auto"/>
            </w:tcBorders>
            <w:textDirection w:val="btLr"/>
            <w:vAlign w:val="center"/>
            <w:hideMark/>
          </w:tcPr>
          <w:p w14:paraId="29DF333B"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Contratista</w:t>
            </w:r>
          </w:p>
        </w:tc>
        <w:tc>
          <w:tcPr>
            <w:tcW w:w="3164" w:type="dxa"/>
            <w:tcBorders>
              <w:top w:val="nil"/>
              <w:left w:val="nil"/>
              <w:bottom w:val="single" w:sz="4" w:space="0" w:color="auto"/>
              <w:right w:val="single" w:sz="4" w:space="0" w:color="auto"/>
            </w:tcBorders>
            <w:vAlign w:val="center"/>
            <w:hideMark/>
          </w:tcPr>
          <w:p w14:paraId="72BD34D3"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378" w:type="dxa"/>
            <w:tcBorders>
              <w:top w:val="nil"/>
              <w:left w:val="nil"/>
              <w:bottom w:val="single" w:sz="4" w:space="0" w:color="auto"/>
              <w:right w:val="single" w:sz="4" w:space="0" w:color="auto"/>
            </w:tcBorders>
            <w:vAlign w:val="center"/>
            <w:hideMark/>
          </w:tcPr>
          <w:p w14:paraId="5FA06D0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288462DE"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94" w:type="dxa"/>
            <w:tcBorders>
              <w:top w:val="nil"/>
              <w:left w:val="nil"/>
              <w:bottom w:val="single" w:sz="4" w:space="0" w:color="auto"/>
              <w:right w:val="single" w:sz="4" w:space="0" w:color="auto"/>
            </w:tcBorders>
            <w:vAlign w:val="center"/>
            <w:hideMark/>
          </w:tcPr>
          <w:p w14:paraId="79D19BA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hideMark/>
          </w:tcPr>
          <w:p w14:paraId="794CB6D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Medio</w:t>
            </w:r>
          </w:p>
        </w:tc>
        <w:tc>
          <w:tcPr>
            <w:tcW w:w="775" w:type="dxa"/>
            <w:tcBorders>
              <w:top w:val="nil"/>
              <w:left w:val="nil"/>
              <w:bottom w:val="single" w:sz="4" w:space="0" w:color="auto"/>
              <w:right w:val="single" w:sz="4" w:space="0" w:color="auto"/>
            </w:tcBorders>
            <w:textDirection w:val="btLr"/>
            <w:vAlign w:val="center"/>
            <w:hideMark/>
          </w:tcPr>
          <w:p w14:paraId="0F107031"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04ACBFE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contratistas de Obras, de Estudios y Diseños interventor, Supervisor </w:t>
            </w:r>
          </w:p>
        </w:tc>
        <w:tc>
          <w:tcPr>
            <w:tcW w:w="705" w:type="dxa"/>
            <w:tcBorders>
              <w:top w:val="nil"/>
              <w:left w:val="nil"/>
              <w:bottom w:val="single" w:sz="4" w:space="0" w:color="auto"/>
              <w:right w:val="single" w:sz="4" w:space="0" w:color="auto"/>
            </w:tcBorders>
            <w:textDirection w:val="btLr"/>
            <w:vAlign w:val="center"/>
            <w:hideMark/>
          </w:tcPr>
          <w:p w14:paraId="724B9C7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Al inicio de la ejecución del contrato</w:t>
            </w:r>
          </w:p>
        </w:tc>
        <w:tc>
          <w:tcPr>
            <w:tcW w:w="3009" w:type="dxa"/>
            <w:tcBorders>
              <w:top w:val="nil"/>
              <w:left w:val="nil"/>
              <w:bottom w:val="single" w:sz="4" w:space="0" w:color="auto"/>
              <w:right w:val="single" w:sz="4" w:space="0" w:color="auto"/>
            </w:tcBorders>
            <w:vAlign w:val="center"/>
            <w:hideMark/>
          </w:tcPr>
          <w:p w14:paraId="59BDA7D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713" w:type="dxa"/>
            <w:tcBorders>
              <w:top w:val="nil"/>
              <w:left w:val="nil"/>
              <w:bottom w:val="single" w:sz="4" w:space="0" w:color="auto"/>
              <w:right w:val="single" w:sz="4" w:space="0" w:color="auto"/>
            </w:tcBorders>
            <w:textDirection w:val="btLr"/>
            <w:vAlign w:val="center"/>
            <w:hideMark/>
          </w:tcPr>
          <w:p w14:paraId="5BDCC8A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Cada vez que haya novedades de cambio de personal</w:t>
            </w:r>
          </w:p>
        </w:tc>
      </w:tr>
      <w:tr w:rsidR="00EF6577" w:rsidRPr="00995382" w14:paraId="63B828D6" w14:textId="77777777" w:rsidTr="001968F7">
        <w:trPr>
          <w:gridAfter w:val="1"/>
          <w:wAfter w:w="14" w:type="dxa"/>
          <w:trHeight w:val="1832"/>
        </w:trPr>
        <w:tc>
          <w:tcPr>
            <w:tcW w:w="334" w:type="dxa"/>
            <w:tcBorders>
              <w:top w:val="nil"/>
              <w:left w:val="single" w:sz="4" w:space="0" w:color="auto"/>
              <w:bottom w:val="single" w:sz="4" w:space="0" w:color="auto"/>
              <w:right w:val="single" w:sz="4" w:space="0" w:color="auto"/>
            </w:tcBorders>
            <w:vAlign w:val="center"/>
            <w:hideMark/>
          </w:tcPr>
          <w:p w14:paraId="531A17D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18</w:t>
            </w:r>
          </w:p>
        </w:tc>
        <w:tc>
          <w:tcPr>
            <w:tcW w:w="316" w:type="dxa"/>
            <w:tcBorders>
              <w:top w:val="nil"/>
              <w:left w:val="nil"/>
              <w:bottom w:val="single" w:sz="4" w:space="0" w:color="auto"/>
              <w:right w:val="single" w:sz="4" w:space="0" w:color="auto"/>
            </w:tcBorders>
            <w:textDirection w:val="btLr"/>
            <w:vAlign w:val="center"/>
            <w:hideMark/>
          </w:tcPr>
          <w:p w14:paraId="2B10DBF6"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General</w:t>
            </w:r>
          </w:p>
        </w:tc>
        <w:tc>
          <w:tcPr>
            <w:tcW w:w="317" w:type="dxa"/>
            <w:tcBorders>
              <w:top w:val="nil"/>
              <w:left w:val="nil"/>
              <w:bottom w:val="single" w:sz="4" w:space="0" w:color="auto"/>
              <w:right w:val="single" w:sz="4" w:space="0" w:color="auto"/>
            </w:tcBorders>
            <w:textDirection w:val="btLr"/>
            <w:vAlign w:val="center"/>
            <w:hideMark/>
          </w:tcPr>
          <w:p w14:paraId="40D32BD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Externo</w:t>
            </w:r>
          </w:p>
        </w:tc>
        <w:tc>
          <w:tcPr>
            <w:tcW w:w="446" w:type="dxa"/>
            <w:tcBorders>
              <w:top w:val="nil"/>
              <w:left w:val="nil"/>
              <w:bottom w:val="single" w:sz="4" w:space="0" w:color="auto"/>
              <w:right w:val="single" w:sz="4" w:space="0" w:color="auto"/>
            </w:tcBorders>
            <w:textDirection w:val="btLr"/>
            <w:vAlign w:val="center"/>
            <w:hideMark/>
          </w:tcPr>
          <w:p w14:paraId="00455E7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hideMark/>
          </w:tcPr>
          <w:p w14:paraId="004533FA"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Riesgos de la Salud</w:t>
            </w:r>
          </w:p>
        </w:tc>
        <w:tc>
          <w:tcPr>
            <w:tcW w:w="3766" w:type="dxa"/>
            <w:tcBorders>
              <w:top w:val="nil"/>
              <w:left w:val="nil"/>
              <w:bottom w:val="single" w:sz="4" w:space="0" w:color="auto"/>
              <w:right w:val="single" w:sz="4" w:space="0" w:color="auto"/>
            </w:tcBorders>
            <w:vAlign w:val="center"/>
            <w:hideMark/>
          </w:tcPr>
          <w:p w14:paraId="79E7BB43" w14:textId="77777777" w:rsidR="00EF6577" w:rsidRPr="00995382" w:rsidRDefault="00EF6577" w:rsidP="00995382">
            <w:pPr>
              <w:spacing w:line="240" w:lineRule="auto"/>
              <w:contextualSpacing w:val="0"/>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 xml:space="preserve">Disponibilidad de los Elementos de Protección Personal. </w:t>
            </w:r>
            <w:r w:rsidRPr="00995382">
              <w:rPr>
                <w:rFonts w:ascii="Bookman Old Style" w:eastAsia="Times New Roman" w:hAnsi="Bookman Old Style" w:cs="Calibri"/>
                <w:color w:val="000000"/>
                <w:sz w:val="14"/>
                <w:szCs w:val="14"/>
                <w:lang w:eastAsia="es-CO"/>
              </w:rPr>
              <w:t>Se refiere a la posibilidad de que el Contratista no disponga o suministre a sus colaboradores de las Obras, Interventoría y demás los Elementos de Protección Personal EPP y los de Riesgo Bilógico.</w:t>
            </w:r>
          </w:p>
        </w:tc>
        <w:tc>
          <w:tcPr>
            <w:tcW w:w="756" w:type="dxa"/>
            <w:tcBorders>
              <w:top w:val="nil"/>
              <w:left w:val="nil"/>
              <w:bottom w:val="single" w:sz="4" w:space="0" w:color="auto"/>
              <w:right w:val="single" w:sz="4" w:space="0" w:color="auto"/>
            </w:tcBorders>
            <w:textDirection w:val="btLr"/>
            <w:vAlign w:val="center"/>
            <w:hideMark/>
          </w:tcPr>
          <w:p w14:paraId="4A07DF7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Accidentes de trabajo y posible exposición a Riegos Biológicos</w:t>
            </w:r>
          </w:p>
        </w:tc>
        <w:tc>
          <w:tcPr>
            <w:tcW w:w="315" w:type="dxa"/>
            <w:tcBorders>
              <w:top w:val="nil"/>
              <w:left w:val="nil"/>
              <w:bottom w:val="single" w:sz="4" w:space="0" w:color="auto"/>
              <w:right w:val="single" w:sz="4" w:space="0" w:color="auto"/>
            </w:tcBorders>
            <w:textDirection w:val="btLr"/>
            <w:vAlign w:val="center"/>
            <w:hideMark/>
          </w:tcPr>
          <w:p w14:paraId="084BCBCC" w14:textId="77777777" w:rsidR="00EF6577" w:rsidRPr="00995382" w:rsidRDefault="00EF6577" w:rsidP="00995382">
            <w:pPr>
              <w:spacing w:line="240" w:lineRule="auto"/>
              <w:contextualSpacing w:val="0"/>
              <w:jc w:val="center"/>
              <w:rPr>
                <w:rFonts w:ascii="Bookman Old Style" w:eastAsia="Times New Roman" w:hAnsi="Bookman Old Style" w:cs="Calibri"/>
                <w:b/>
                <w:bCs/>
                <w:color w:val="000000"/>
                <w:sz w:val="14"/>
                <w:szCs w:val="14"/>
                <w:lang w:eastAsia="es-CO"/>
              </w:rPr>
            </w:pPr>
            <w:r w:rsidRPr="00995382">
              <w:rPr>
                <w:rFonts w:ascii="Bookman Old Style" w:eastAsia="Times New Roman" w:hAnsi="Bookman Old Style" w:cs="Calibri"/>
                <w:b/>
                <w:bCs/>
                <w:color w:val="000000"/>
                <w:sz w:val="14"/>
                <w:szCs w:val="14"/>
                <w:lang w:eastAsia="es-CO"/>
              </w:rPr>
              <w:t>Contratista</w:t>
            </w:r>
          </w:p>
        </w:tc>
        <w:tc>
          <w:tcPr>
            <w:tcW w:w="3164" w:type="dxa"/>
            <w:tcBorders>
              <w:top w:val="nil"/>
              <w:left w:val="nil"/>
              <w:bottom w:val="single" w:sz="4" w:space="0" w:color="auto"/>
              <w:right w:val="single" w:sz="4" w:space="0" w:color="auto"/>
            </w:tcBorders>
            <w:vAlign w:val="center"/>
            <w:hideMark/>
          </w:tcPr>
          <w:p w14:paraId="5ED616CB" w14:textId="77777777" w:rsidR="00EF6577" w:rsidRPr="00995382" w:rsidRDefault="00EF6577" w:rsidP="00EF6577">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El contratista deberá suministrar todos los EPP a sus colaboradores en las obras, o solicitar a la ARL que los suministre</w:t>
            </w:r>
          </w:p>
        </w:tc>
        <w:tc>
          <w:tcPr>
            <w:tcW w:w="378" w:type="dxa"/>
            <w:tcBorders>
              <w:top w:val="nil"/>
              <w:left w:val="nil"/>
              <w:bottom w:val="single" w:sz="4" w:space="0" w:color="auto"/>
              <w:right w:val="single" w:sz="4" w:space="0" w:color="auto"/>
            </w:tcBorders>
            <w:vAlign w:val="center"/>
            <w:hideMark/>
          </w:tcPr>
          <w:p w14:paraId="56354C3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2</w:t>
            </w:r>
          </w:p>
        </w:tc>
        <w:tc>
          <w:tcPr>
            <w:tcW w:w="315" w:type="dxa"/>
            <w:tcBorders>
              <w:top w:val="nil"/>
              <w:left w:val="nil"/>
              <w:bottom w:val="single" w:sz="4" w:space="0" w:color="auto"/>
              <w:right w:val="single" w:sz="4" w:space="0" w:color="auto"/>
            </w:tcBorders>
            <w:vAlign w:val="center"/>
            <w:hideMark/>
          </w:tcPr>
          <w:p w14:paraId="55BAA443"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3</w:t>
            </w:r>
          </w:p>
        </w:tc>
        <w:tc>
          <w:tcPr>
            <w:tcW w:w="394" w:type="dxa"/>
            <w:tcBorders>
              <w:top w:val="nil"/>
              <w:left w:val="nil"/>
              <w:bottom w:val="single" w:sz="4" w:space="0" w:color="auto"/>
              <w:right w:val="single" w:sz="4" w:space="0" w:color="auto"/>
            </w:tcBorders>
            <w:vAlign w:val="center"/>
            <w:hideMark/>
          </w:tcPr>
          <w:p w14:paraId="743C91F4" w14:textId="77777777" w:rsidR="00EF6577" w:rsidRPr="00995382" w:rsidRDefault="00EF6577" w:rsidP="00995382">
            <w:pPr>
              <w:spacing w:line="240" w:lineRule="auto"/>
              <w:contextualSpacing w:val="0"/>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hideMark/>
          </w:tcPr>
          <w:p w14:paraId="52B821E5"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Riesgo Medio</w:t>
            </w:r>
          </w:p>
        </w:tc>
        <w:tc>
          <w:tcPr>
            <w:tcW w:w="775" w:type="dxa"/>
            <w:tcBorders>
              <w:top w:val="nil"/>
              <w:left w:val="nil"/>
              <w:bottom w:val="single" w:sz="4" w:space="0" w:color="auto"/>
              <w:right w:val="single" w:sz="4" w:space="0" w:color="auto"/>
            </w:tcBorders>
            <w:textDirection w:val="btLr"/>
            <w:vAlign w:val="center"/>
            <w:hideMark/>
          </w:tcPr>
          <w:p w14:paraId="7CF92987"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SI</w:t>
            </w:r>
          </w:p>
        </w:tc>
        <w:tc>
          <w:tcPr>
            <w:tcW w:w="709" w:type="dxa"/>
            <w:tcBorders>
              <w:top w:val="nil"/>
              <w:left w:val="nil"/>
              <w:bottom w:val="single" w:sz="4" w:space="0" w:color="auto"/>
              <w:right w:val="single" w:sz="4" w:space="0" w:color="auto"/>
            </w:tcBorders>
            <w:textDirection w:val="btLr"/>
            <w:vAlign w:val="center"/>
            <w:hideMark/>
          </w:tcPr>
          <w:p w14:paraId="7DBB09FD"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 xml:space="preserve">contratistas de Obras, de Estudios y Diseños interventor, Supervisor </w:t>
            </w:r>
          </w:p>
        </w:tc>
        <w:tc>
          <w:tcPr>
            <w:tcW w:w="705" w:type="dxa"/>
            <w:tcBorders>
              <w:top w:val="nil"/>
              <w:left w:val="nil"/>
              <w:bottom w:val="single" w:sz="4" w:space="0" w:color="auto"/>
              <w:right w:val="single" w:sz="4" w:space="0" w:color="auto"/>
            </w:tcBorders>
            <w:textDirection w:val="btLr"/>
            <w:vAlign w:val="center"/>
            <w:hideMark/>
          </w:tcPr>
          <w:p w14:paraId="0B7B291F"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Al inicio de la ejecución del contrato y de manera permanente.</w:t>
            </w:r>
          </w:p>
        </w:tc>
        <w:tc>
          <w:tcPr>
            <w:tcW w:w="3009" w:type="dxa"/>
            <w:tcBorders>
              <w:top w:val="nil"/>
              <w:left w:val="nil"/>
              <w:bottom w:val="single" w:sz="4" w:space="0" w:color="auto"/>
              <w:right w:val="single" w:sz="4" w:space="0" w:color="auto"/>
            </w:tcBorders>
            <w:vAlign w:val="center"/>
            <w:hideMark/>
          </w:tcPr>
          <w:p w14:paraId="0EE547A2"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Vigilancia permanente de los cambios de salud de los colaboradores</w:t>
            </w:r>
          </w:p>
        </w:tc>
        <w:tc>
          <w:tcPr>
            <w:tcW w:w="713" w:type="dxa"/>
            <w:tcBorders>
              <w:top w:val="nil"/>
              <w:left w:val="nil"/>
              <w:bottom w:val="single" w:sz="4" w:space="0" w:color="auto"/>
              <w:right w:val="single" w:sz="4" w:space="0" w:color="auto"/>
            </w:tcBorders>
            <w:textDirection w:val="btLr"/>
            <w:vAlign w:val="center"/>
            <w:hideMark/>
          </w:tcPr>
          <w:p w14:paraId="0CF9BC44" w14:textId="77777777" w:rsidR="00EF6577" w:rsidRPr="00995382" w:rsidRDefault="00EF6577" w:rsidP="00995382">
            <w:pPr>
              <w:spacing w:line="240" w:lineRule="auto"/>
              <w:contextualSpacing w:val="0"/>
              <w:jc w:val="center"/>
              <w:rPr>
                <w:rFonts w:ascii="Bookman Old Style" w:eastAsia="Times New Roman" w:hAnsi="Bookman Old Style" w:cs="Calibri"/>
                <w:color w:val="000000"/>
                <w:sz w:val="14"/>
                <w:szCs w:val="14"/>
                <w:lang w:eastAsia="es-CO"/>
              </w:rPr>
            </w:pPr>
            <w:r w:rsidRPr="00995382">
              <w:rPr>
                <w:rFonts w:ascii="Bookman Old Style" w:eastAsia="Times New Roman" w:hAnsi="Bookman Old Style" w:cs="Calibri"/>
                <w:color w:val="000000"/>
                <w:sz w:val="14"/>
                <w:szCs w:val="14"/>
                <w:lang w:eastAsia="es-CO"/>
              </w:rPr>
              <w:t>Diario</w:t>
            </w:r>
          </w:p>
        </w:tc>
      </w:tr>
    </w:tbl>
    <w:p w14:paraId="6FD48611" w14:textId="77777777" w:rsidR="00995382" w:rsidRDefault="00995382" w:rsidP="00BC5FB4">
      <w:pPr>
        <w:rPr>
          <w:rFonts w:ascii="Bookman Old Style" w:hAnsi="Bookman Old Style" w:cs="Arial"/>
          <w:sz w:val="18"/>
          <w:szCs w:val="18"/>
          <w:lang w:val="es-ES_tradnl" w:eastAsia="es-CO"/>
        </w:rPr>
      </w:pPr>
    </w:p>
    <w:p w14:paraId="3EAEDCA5" w14:textId="77777777" w:rsidR="00EF6577" w:rsidRDefault="00EF6577" w:rsidP="00BC5FB4">
      <w:pPr>
        <w:rPr>
          <w:rFonts w:ascii="Bookman Old Style" w:hAnsi="Bookman Old Style" w:cs="Arial"/>
          <w:sz w:val="18"/>
          <w:szCs w:val="18"/>
          <w:lang w:val="es-ES_tradnl" w:eastAsia="es-CO"/>
        </w:rPr>
      </w:pPr>
    </w:p>
    <w:p w14:paraId="000C2550" w14:textId="77777777" w:rsidR="00EF6577" w:rsidRDefault="00EF6577" w:rsidP="00BC5FB4">
      <w:pPr>
        <w:rPr>
          <w:rFonts w:ascii="Bookman Old Style" w:hAnsi="Bookman Old Style" w:cs="Arial"/>
          <w:sz w:val="18"/>
          <w:szCs w:val="18"/>
          <w:lang w:val="es-ES_tradnl" w:eastAsia="es-CO"/>
        </w:rPr>
      </w:pPr>
    </w:p>
    <w:p w14:paraId="3AF66714" w14:textId="77777777" w:rsidR="00EF6577" w:rsidRDefault="00EF6577" w:rsidP="00BC5FB4">
      <w:pPr>
        <w:rPr>
          <w:rFonts w:ascii="Bookman Old Style" w:hAnsi="Bookman Old Style" w:cs="Arial"/>
          <w:sz w:val="18"/>
          <w:szCs w:val="18"/>
          <w:lang w:val="es-ES_tradnl" w:eastAsia="es-CO"/>
        </w:rPr>
      </w:pPr>
    </w:p>
    <w:p w14:paraId="5A453D90" w14:textId="77777777" w:rsidR="00EF6577" w:rsidRPr="005E732B" w:rsidRDefault="00EF6577" w:rsidP="00BC5FB4">
      <w:pPr>
        <w:rPr>
          <w:rFonts w:ascii="Bookman Old Style" w:hAnsi="Bookman Old Style" w:cs="Arial"/>
          <w:sz w:val="18"/>
          <w:szCs w:val="18"/>
          <w:lang w:val="es-ES_tradnl" w:eastAsia="es-CO"/>
        </w:rPr>
      </w:pPr>
    </w:p>
    <w:sectPr w:rsidR="00EF6577" w:rsidRPr="005E732B" w:rsidSect="001968F7">
      <w:headerReference w:type="default" r:id="rId11"/>
      <w:footerReference w:type="default" r:id="rId12"/>
      <w:pgSz w:w="18711" w:h="12242"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452B1" w14:textId="77777777" w:rsidR="0077548F" w:rsidRDefault="0077548F" w:rsidP="00091875">
      <w:pPr>
        <w:spacing w:line="240" w:lineRule="auto"/>
      </w:pPr>
      <w:r>
        <w:separator/>
      </w:r>
    </w:p>
  </w:endnote>
  <w:endnote w:type="continuationSeparator" w:id="0">
    <w:p w14:paraId="23121B78" w14:textId="77777777" w:rsidR="0077548F" w:rsidRDefault="0077548F" w:rsidP="00091875">
      <w:pPr>
        <w:spacing w:line="240" w:lineRule="auto"/>
      </w:pPr>
      <w:r>
        <w:continuationSeparator/>
      </w:r>
    </w:p>
  </w:endnote>
  <w:endnote w:type="continuationNotice" w:id="1">
    <w:p w14:paraId="10BC9A0C" w14:textId="77777777" w:rsidR="0077548F" w:rsidRDefault="007754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429"/>
      <w:gridCol w:w="3577"/>
      <w:gridCol w:w="1845"/>
      <w:gridCol w:w="527"/>
    </w:tblGrid>
    <w:tr w:rsidR="00FD3DFC" w:rsidRPr="003D005D" w14:paraId="6A095833" w14:textId="77777777" w:rsidTr="00E858D4">
      <w:trPr>
        <w:trHeight w:val="220"/>
      </w:trPr>
      <w:tc>
        <w:tcPr>
          <w:tcW w:w="969" w:type="pct"/>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6799" w14:textId="77777777" w:rsidR="0077548F" w:rsidRDefault="0077548F" w:rsidP="00091875">
      <w:pPr>
        <w:spacing w:line="240" w:lineRule="auto"/>
      </w:pPr>
      <w:r>
        <w:separator/>
      </w:r>
    </w:p>
  </w:footnote>
  <w:footnote w:type="continuationSeparator" w:id="0">
    <w:p w14:paraId="79D740B0" w14:textId="77777777" w:rsidR="0077548F" w:rsidRDefault="0077548F" w:rsidP="00091875">
      <w:pPr>
        <w:spacing w:line="240" w:lineRule="auto"/>
      </w:pPr>
      <w:r>
        <w:continuationSeparator/>
      </w:r>
    </w:p>
  </w:footnote>
  <w:footnote w:type="continuationNotice" w:id="1">
    <w:p w14:paraId="220737AD" w14:textId="77777777" w:rsidR="0077548F" w:rsidRDefault="0077548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51"/>
      <w:gridCol w:w="7195"/>
      <w:gridCol w:w="1506"/>
      <w:gridCol w:w="3219"/>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C565853"/>
    <w:multiLevelType w:val="multilevel"/>
    <w:tmpl w:val="7D442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5B5202"/>
    <w:multiLevelType w:val="multilevel"/>
    <w:tmpl w:val="7D442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98D71E3"/>
    <w:multiLevelType w:val="multilevel"/>
    <w:tmpl w:val="A7FE2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19772E8"/>
    <w:multiLevelType w:val="multilevel"/>
    <w:tmpl w:val="E2EE700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2276613">
    <w:abstractNumId w:val="6"/>
  </w:num>
  <w:num w:numId="2" w16cid:durableId="2087025206">
    <w:abstractNumId w:val="6"/>
  </w:num>
  <w:num w:numId="3" w16cid:durableId="56561804">
    <w:abstractNumId w:val="6"/>
  </w:num>
  <w:num w:numId="4" w16cid:durableId="1672373683">
    <w:abstractNumId w:val="6"/>
  </w:num>
  <w:num w:numId="5" w16cid:durableId="2118058795">
    <w:abstractNumId w:val="6"/>
  </w:num>
  <w:num w:numId="6" w16cid:durableId="97987404">
    <w:abstractNumId w:val="6"/>
  </w:num>
  <w:num w:numId="7" w16cid:durableId="172645279">
    <w:abstractNumId w:val="6"/>
  </w:num>
  <w:num w:numId="8" w16cid:durableId="902104903">
    <w:abstractNumId w:val="6"/>
  </w:num>
  <w:num w:numId="9" w16cid:durableId="317462030">
    <w:abstractNumId w:val="6"/>
  </w:num>
  <w:num w:numId="10" w16cid:durableId="1113749812">
    <w:abstractNumId w:val="3"/>
  </w:num>
  <w:num w:numId="11" w16cid:durableId="2017145878">
    <w:abstractNumId w:val="1"/>
  </w:num>
  <w:num w:numId="12" w16cid:durableId="983780993">
    <w:abstractNumId w:val="24"/>
  </w:num>
  <w:num w:numId="13" w16cid:durableId="1412462771">
    <w:abstractNumId w:val="33"/>
  </w:num>
  <w:num w:numId="14" w16cid:durableId="373383609">
    <w:abstractNumId w:val="16"/>
  </w:num>
  <w:num w:numId="15" w16cid:durableId="1248154311">
    <w:abstractNumId w:val="19"/>
  </w:num>
  <w:num w:numId="16" w16cid:durableId="412439679">
    <w:abstractNumId w:val="0"/>
  </w:num>
  <w:num w:numId="17" w16cid:durableId="124666016">
    <w:abstractNumId w:val="2"/>
  </w:num>
  <w:num w:numId="18" w16cid:durableId="1387341251">
    <w:abstractNumId w:val="10"/>
  </w:num>
  <w:num w:numId="19" w16cid:durableId="1619338846">
    <w:abstractNumId w:val="4"/>
  </w:num>
  <w:num w:numId="20" w16cid:durableId="1606960922">
    <w:abstractNumId w:val="21"/>
  </w:num>
  <w:num w:numId="21" w16cid:durableId="1947230604">
    <w:abstractNumId w:val="7"/>
  </w:num>
  <w:num w:numId="22" w16cid:durableId="1328174797">
    <w:abstractNumId w:val="31"/>
  </w:num>
  <w:num w:numId="23" w16cid:durableId="354843935">
    <w:abstractNumId w:val="12"/>
  </w:num>
  <w:num w:numId="24" w16cid:durableId="135685385">
    <w:abstractNumId w:val="13"/>
  </w:num>
  <w:num w:numId="25" w16cid:durableId="1030185916">
    <w:abstractNumId w:val="5"/>
  </w:num>
  <w:num w:numId="26" w16cid:durableId="529492746">
    <w:abstractNumId w:val="20"/>
  </w:num>
  <w:num w:numId="27" w16cid:durableId="256719865">
    <w:abstractNumId w:val="18"/>
  </w:num>
  <w:num w:numId="28" w16cid:durableId="47655479">
    <w:abstractNumId w:val="11"/>
  </w:num>
  <w:num w:numId="29" w16cid:durableId="172112753">
    <w:abstractNumId w:val="29"/>
  </w:num>
  <w:num w:numId="30" w16cid:durableId="920991340">
    <w:abstractNumId w:val="30"/>
  </w:num>
  <w:num w:numId="31" w16cid:durableId="1914926978">
    <w:abstractNumId w:val="27"/>
  </w:num>
  <w:num w:numId="32" w16cid:durableId="2049639676">
    <w:abstractNumId w:val="14"/>
  </w:num>
  <w:num w:numId="33" w16cid:durableId="153303447">
    <w:abstractNumId w:val="26"/>
  </w:num>
  <w:num w:numId="34" w16cid:durableId="1785540971">
    <w:abstractNumId w:val="9"/>
  </w:num>
  <w:num w:numId="35" w16cid:durableId="2041127325">
    <w:abstractNumId w:val="25"/>
  </w:num>
  <w:num w:numId="36" w16cid:durableId="1554080363">
    <w:abstractNumId w:val="32"/>
  </w:num>
  <w:num w:numId="37" w16cid:durableId="1586917160">
    <w:abstractNumId w:val="23"/>
  </w:num>
  <w:num w:numId="38" w16cid:durableId="66192078">
    <w:abstractNumId w:val="22"/>
  </w:num>
  <w:num w:numId="39" w16cid:durableId="1826315881">
    <w:abstractNumId w:val="28"/>
  </w:num>
  <w:num w:numId="40" w16cid:durableId="264266874">
    <w:abstractNumId w:val="8"/>
  </w:num>
  <w:num w:numId="41" w16cid:durableId="851918585">
    <w:abstractNumId w:val="17"/>
  </w:num>
  <w:num w:numId="42" w16cid:durableId="13557689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968F7"/>
    <w:rsid w:val="001D1F23"/>
    <w:rsid w:val="001E7630"/>
    <w:rsid w:val="0027130C"/>
    <w:rsid w:val="00277255"/>
    <w:rsid w:val="00295357"/>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E5030"/>
    <w:rsid w:val="005E732B"/>
    <w:rsid w:val="00686C25"/>
    <w:rsid w:val="006A3288"/>
    <w:rsid w:val="006B0E9F"/>
    <w:rsid w:val="006B4FEE"/>
    <w:rsid w:val="006C3AC4"/>
    <w:rsid w:val="006E6D9B"/>
    <w:rsid w:val="007115DA"/>
    <w:rsid w:val="00721886"/>
    <w:rsid w:val="00736184"/>
    <w:rsid w:val="00762556"/>
    <w:rsid w:val="0076567A"/>
    <w:rsid w:val="0077548F"/>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847F7"/>
    <w:rsid w:val="00995382"/>
    <w:rsid w:val="009E77AD"/>
    <w:rsid w:val="009F3A90"/>
    <w:rsid w:val="00A1437D"/>
    <w:rsid w:val="00A411F2"/>
    <w:rsid w:val="00A802EF"/>
    <w:rsid w:val="00A9107A"/>
    <w:rsid w:val="00AB5F8B"/>
    <w:rsid w:val="00AC72CC"/>
    <w:rsid w:val="00AE2ECB"/>
    <w:rsid w:val="00B26E25"/>
    <w:rsid w:val="00B60C9E"/>
    <w:rsid w:val="00B76DAD"/>
    <w:rsid w:val="00B773A4"/>
    <w:rsid w:val="00B81B1F"/>
    <w:rsid w:val="00B83621"/>
    <w:rsid w:val="00B92158"/>
    <w:rsid w:val="00B94790"/>
    <w:rsid w:val="00BA3870"/>
    <w:rsid w:val="00BA7F43"/>
    <w:rsid w:val="00BC48AE"/>
    <w:rsid w:val="00BC5FB4"/>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261A7"/>
    <w:rsid w:val="00E52F4D"/>
    <w:rsid w:val="00E56873"/>
    <w:rsid w:val="00EC018B"/>
    <w:rsid w:val="00EC3965"/>
    <w:rsid w:val="00EF6577"/>
    <w:rsid w:val="00F157F5"/>
    <w:rsid w:val="00F6022F"/>
    <w:rsid w:val="00F63350"/>
    <w:rsid w:val="00F77C04"/>
    <w:rsid w:val="00FD3BD6"/>
    <w:rsid w:val="00FD3DFC"/>
    <w:rsid w:val="00FD6F6E"/>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3924</Words>
  <Characters>21584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Usuario</cp:lastModifiedBy>
  <cp:revision>4</cp:revision>
  <cp:lastPrinted>2026-04-22T20:48:00Z</cp:lastPrinted>
  <dcterms:created xsi:type="dcterms:W3CDTF">2026-04-13T00:12:00Z</dcterms:created>
  <dcterms:modified xsi:type="dcterms:W3CDTF">2026-04-22T20:49:00Z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