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AFB1B" w14:textId="77777777" w:rsidR="009E4441" w:rsidRPr="00FB51DC" w:rsidRDefault="009E4441" w:rsidP="009E4441">
      <w:pPr>
        <w:pStyle w:val="Encabezado"/>
        <w:jc w:val="center"/>
        <w:rPr>
          <w:rFonts w:ascii="Arial" w:hAnsi="Arial" w:cs="Arial"/>
          <w:b/>
          <w:sz w:val="22"/>
        </w:rPr>
      </w:pPr>
      <w:r w:rsidRPr="00FB51DC">
        <w:rPr>
          <w:rFonts w:ascii="Arial" w:hAnsi="Arial" w:cs="Arial"/>
          <w:b/>
          <w:sz w:val="22"/>
        </w:rPr>
        <w:t>ANEXO 4 – MINUTA DEL CONTRATO</w:t>
      </w:r>
    </w:p>
    <w:p w14:paraId="1A1FF64E" w14:textId="77777777" w:rsidR="009E4441" w:rsidRDefault="009E4441" w:rsidP="009E4441">
      <w:pPr>
        <w:jc w:val="center"/>
        <w:rPr>
          <w:rFonts w:ascii="Arial" w:hAnsi="Arial" w:cs="Arial"/>
          <w:b/>
          <w:sz w:val="22"/>
        </w:rPr>
      </w:pPr>
      <w:r w:rsidRPr="00FB51DC">
        <w:rPr>
          <w:rFonts w:ascii="Arial" w:hAnsi="Arial" w:cs="Arial"/>
          <w:b/>
          <w:sz w:val="22"/>
        </w:rPr>
        <w:t>LICITACIÓN DE OBRA PÚBLICA DE INFRAESTRUCTURA SOCIAL</w:t>
      </w:r>
    </w:p>
    <w:p w14:paraId="38B7CB7E" w14:textId="77777777" w:rsidR="009E4441" w:rsidRDefault="009E4441" w:rsidP="00410D01">
      <w:pPr>
        <w:ind w:left="709" w:hanging="709"/>
        <w:jc w:val="center"/>
        <w:rPr>
          <w:rFonts w:ascii="Verdana" w:hAnsi="Verdana" w:cstheme="minorHAnsi"/>
          <w:b/>
          <w:sz w:val="24"/>
          <w:szCs w:val="24"/>
          <w:lang w:val="es-CO"/>
        </w:rPr>
      </w:pPr>
    </w:p>
    <w:p w14:paraId="246E8901" w14:textId="5738CA5A"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F8F07F0" w14:textId="77777777"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3331F9" w:rsidRDefault="00D37F9B" w:rsidP="00D37F9B">
      <w:pPr>
        <w:rPr>
          <w:rFonts w:ascii="Verdana" w:hAnsi="Verdana"/>
          <w:sz w:val="22"/>
          <w:szCs w:val="24"/>
          <w:highlight w:val="lightGray"/>
          <w:lang w:val="es-CO"/>
        </w:rPr>
      </w:pPr>
    </w:p>
    <w:p w14:paraId="177779FB" w14:textId="3A887E60"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lastRenderedPageBreak/>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Pr="003331F9">
        <w:rPr>
          <w:rFonts w:ascii="Verdana" w:hAnsi="Verdana" w:cstheme="minorHAnsi"/>
          <w:sz w:val="22"/>
          <w:highlight w:val="lightGray"/>
        </w:rPr>
        <w:t>[descripción general del objeto contractual]</w:t>
      </w:r>
      <w:r w:rsidRPr="003331F9">
        <w:rPr>
          <w:rFonts w:ascii="Verdana" w:hAnsi="Verdana" w:cstheme="minorHAnsi"/>
          <w:sz w:val="22"/>
        </w:rPr>
        <w:t xml:space="preserve">. </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w:t>
      </w:r>
      <w:r w:rsidRPr="003331F9">
        <w:rPr>
          <w:rFonts w:ascii="Verdana" w:hAnsi="Verdana" w:cstheme="minorHAnsi"/>
          <w:sz w:val="22"/>
        </w:rPr>
        <w:lastRenderedPageBreak/>
        <w:t xml:space="preserve">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0B007EF5" w14:textId="77777777" w:rsidR="00D37F9B" w:rsidRPr="003331F9" w:rsidRDefault="00D37F9B" w:rsidP="00D37F9B">
      <w:pPr>
        <w:rPr>
          <w:rFonts w:ascii="Verdana" w:hAnsi="Verdana" w:cs="Arial"/>
          <w:sz w:val="22"/>
          <w:highlight w:val="lightGray"/>
        </w:rPr>
      </w:pPr>
      <w:r w:rsidRPr="003331F9">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Pr="003331F9">
        <w:rPr>
          <w:rFonts w:ascii="Verdana" w:hAnsi="Verdana" w:cstheme="minorHAnsi"/>
          <w:sz w:val="22"/>
          <w:highlight w:val="lightGray"/>
        </w:rPr>
        <w:t>[incluir plazo]</w:t>
      </w:r>
      <w:r w:rsidRPr="003331F9">
        <w:rPr>
          <w:rFonts w:ascii="Verdana" w:hAnsi="Verdana" w:cstheme="minorHAnsi"/>
          <w:sz w:val="22"/>
        </w:rPr>
        <w:t xml:space="preserve">, contados a partir de </w:t>
      </w:r>
      <w:r w:rsidRPr="003331F9">
        <w:rPr>
          <w:rFonts w:ascii="Verdana" w:hAnsi="Verdana" w:cstheme="minorHAnsi"/>
          <w:sz w:val="22"/>
          <w:highlight w:val="lightGray"/>
        </w:rPr>
        <w:t>[punto de inicio]</w:t>
      </w:r>
      <w:r w:rsidRPr="003331F9">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Pr="003331F9">
        <w:rPr>
          <w:rFonts w:ascii="Verdana" w:hAnsi="Verdana" w:cstheme="minorHAnsi"/>
          <w:sz w:val="22"/>
          <w:highlight w:val="lightGray"/>
        </w:rPr>
        <w:t>[valor estimado del Contrato en letras y valor del contrato en números]</w:t>
      </w:r>
      <w:r w:rsidRPr="003331F9">
        <w:rPr>
          <w:rFonts w:ascii="Verdana" w:hAnsi="Verdana" w:cstheme="minorHAnsi"/>
          <w:sz w:val="22"/>
        </w:rPr>
        <w:t xml:space="preserve">, equivalentes a </w:t>
      </w:r>
      <w:r w:rsidRPr="003331F9">
        <w:rPr>
          <w:rFonts w:ascii="Verdana" w:hAnsi="Verdana" w:cstheme="minorHAnsi"/>
          <w:sz w:val="22"/>
          <w:highlight w:val="lightGray"/>
        </w:rPr>
        <w:t>[número de salarios mínimos]</w:t>
      </w:r>
      <w:r w:rsidRPr="003331F9">
        <w:rPr>
          <w:rFonts w:ascii="Verdana" w:hAnsi="Verdana" w:cstheme="minorHAnsi"/>
          <w:sz w:val="22"/>
        </w:rPr>
        <w:t xml:space="preserve"> SMLMV para el año de suscripción del contrato </w:t>
      </w:r>
      <w:r w:rsidRPr="003331F9">
        <w:rPr>
          <w:rFonts w:ascii="Verdana" w:hAnsi="Verdana" w:cstheme="minorHAnsi"/>
          <w:sz w:val="22"/>
          <w:highlight w:val="lightGray"/>
        </w:rPr>
        <w:t>[incluir año]</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57EC59C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disposiciones particulares del valor del Contrato incluyendo tributos y contribuciones especiales aplicables al contrato]</w:t>
      </w:r>
      <w:r w:rsidRPr="003331F9">
        <w:rPr>
          <w:rFonts w:ascii="Verdana" w:hAnsi="Verdana" w:cstheme="minorHAnsi"/>
          <w:sz w:val="22"/>
        </w:rPr>
        <w:t xml:space="preserve"> </w:t>
      </w:r>
    </w:p>
    <w:p w14:paraId="213D0CC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0E11DE12"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[En caso de que no los otorgue incluirá el siguiente texto: Para el presente contrato la Entidad no entregará al Contratista anticipo o pago anticipado]</w:t>
      </w:r>
    </w:p>
    <w:p w14:paraId="2FEE1C82" w14:textId="77777777" w:rsidR="00D37F9B" w:rsidRPr="003331F9" w:rsidRDefault="00D37F9B" w:rsidP="00D37F9B">
      <w:pPr>
        <w:rPr>
          <w:rFonts w:ascii="Verdana" w:hAnsi="Verdana"/>
          <w:sz w:val="22"/>
          <w:szCs w:val="24"/>
          <w:highlight w:val="lightGray"/>
        </w:rPr>
      </w:pPr>
    </w:p>
    <w:p w14:paraId="5CC87646" w14:textId="1B545D7C"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14:paraId="116E4D79" w14:textId="77777777" w:rsidR="00D37F9B" w:rsidRPr="003331F9" w:rsidRDefault="00D37F9B" w:rsidP="00D37F9B">
      <w:pPr>
        <w:rPr>
          <w:rFonts w:ascii="Verdana" w:hAnsi="Verdana"/>
          <w:sz w:val="22"/>
          <w:szCs w:val="24"/>
          <w:highlight w:val="lightGray"/>
        </w:rPr>
      </w:pPr>
    </w:p>
    <w:p w14:paraId="4F9EDFF7" w14:textId="0E9320D0" w:rsidR="00D37F9B" w:rsidRPr="003331F9" w:rsidRDefault="00D37F9B" w:rsidP="00D37F9B">
      <w:pPr>
        <w:rPr>
          <w:rFonts w:ascii="Verdana" w:hAnsi="Verdana"/>
          <w:sz w:val="22"/>
          <w:szCs w:val="24"/>
        </w:rPr>
      </w:pPr>
      <w:r w:rsidRPr="003331F9">
        <w:rPr>
          <w:rFonts w:ascii="Verdana" w:hAnsi="Verdana"/>
          <w:sz w:val="22"/>
          <w:szCs w:val="24"/>
          <w:highlight w:val="lightGray"/>
        </w:rPr>
        <w:lastRenderedPageBreak/>
        <w:t>[La Entidad puede utilizar las siguientes condiciones, algunas de estas o establecer las que considere convenientes para el manejo del anticipo o pago anticipado]</w:t>
      </w:r>
      <w:r w:rsidRPr="003331F9">
        <w:rPr>
          <w:rFonts w:ascii="Verdana" w:hAnsi="Verdana"/>
          <w:sz w:val="22"/>
          <w:szCs w:val="24"/>
        </w:rPr>
        <w:t xml:space="preserve"> </w:t>
      </w:r>
    </w:p>
    <w:p w14:paraId="1D02EBBC" w14:textId="77777777" w:rsidR="00D37F9B" w:rsidRPr="003331F9" w:rsidRDefault="00D37F9B" w:rsidP="00D37F9B">
      <w:pPr>
        <w:rPr>
          <w:rFonts w:ascii="Verdana" w:hAnsi="Verdana" w:cstheme="minorHAnsi"/>
          <w:sz w:val="22"/>
        </w:rPr>
      </w:pPr>
    </w:p>
    <w:p w14:paraId="141A5F72" w14:textId="0C605611" w:rsidR="00D37F9B" w:rsidRPr="003331F9" w:rsidRDefault="00D37F9B" w:rsidP="00D37F9B">
      <w:pPr>
        <w:rPr>
          <w:rFonts w:ascii="Verdana" w:hAnsi="Verdana"/>
          <w:sz w:val="22"/>
          <w:szCs w:val="24"/>
        </w:rPr>
      </w:pPr>
      <w:r w:rsidRPr="003331F9">
        <w:rPr>
          <w:rFonts w:ascii="Verdana" w:hAnsi="Verdana"/>
          <w:sz w:val="22"/>
          <w:szCs w:val="24"/>
        </w:rPr>
        <w:t>La Entidad entregará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bajo las siguientes condiciones:</w:t>
      </w:r>
    </w:p>
    <w:p w14:paraId="52CC4B37" w14:textId="77777777" w:rsidR="00D37F9B" w:rsidRPr="003331F9" w:rsidRDefault="00D37F9B" w:rsidP="00D37F9B">
      <w:pPr>
        <w:rPr>
          <w:rFonts w:ascii="Verdana" w:hAnsi="Verdana" w:cstheme="minorHAnsi"/>
          <w:sz w:val="22"/>
        </w:rPr>
      </w:pPr>
    </w:p>
    <w:p w14:paraId="026E5CAB" w14:textId="5EFF2C95" w:rsidR="00D37F9B" w:rsidRPr="003331F9" w:rsidRDefault="00D37F9B" w:rsidP="00D37F9B">
      <w:pPr>
        <w:rPr>
          <w:rFonts w:ascii="Verdana" w:hAnsi="Verdana"/>
          <w:sz w:val="22"/>
          <w:szCs w:val="24"/>
        </w:rPr>
      </w:pPr>
      <w:r w:rsidRPr="003331F9">
        <w:rPr>
          <w:rFonts w:ascii="Verdana" w:hAnsi="Verdana"/>
          <w:sz w:val="22"/>
          <w:szCs w:val="24"/>
        </w:rPr>
        <w:t>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se tramitará previa solicitud del Contratista y aceptación de las condiciones de la Entidad para su entrega. En todo caso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7E5E265E" w:rsidR="00D37F9B" w:rsidRPr="003331F9" w:rsidRDefault="00D37F9B" w:rsidP="00D37F9B">
      <w:pPr>
        <w:rPr>
          <w:rFonts w:ascii="Verdana" w:hAnsi="Verdana"/>
          <w:sz w:val="22"/>
          <w:szCs w:val="24"/>
        </w:rPr>
      </w:pPr>
      <w:r w:rsidRPr="003331F9">
        <w:rPr>
          <w:rFonts w:ascii="Verdana" w:hAnsi="Verdana"/>
          <w:sz w:val="22"/>
          <w:szCs w:val="24"/>
        </w:rPr>
        <w:t>La iniciación de las obras o el cumplimiento de cualquiera de las obligaciones contractuales no están supeditadas en ningún caso a la entrega del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w:t>
      </w:r>
    </w:p>
    <w:p w14:paraId="7E7F8484" w14:textId="77777777" w:rsidR="00D37F9B" w:rsidRPr="003331F9" w:rsidRDefault="00D37F9B" w:rsidP="00D37F9B">
      <w:pPr>
        <w:rPr>
          <w:rFonts w:ascii="Verdana" w:hAnsi="Verdana"/>
          <w:sz w:val="22"/>
          <w:szCs w:val="24"/>
        </w:rPr>
      </w:pPr>
    </w:p>
    <w:p w14:paraId="7D0BC538" w14:textId="77777777"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[La Entidad puede utilizar las siguientes condiciones, algunas de estas o establecer las que considere convenientes para el manejo del anticipo]</w:t>
      </w:r>
    </w:p>
    <w:p w14:paraId="4799EC8E" w14:textId="77777777" w:rsidR="00D37F9B" w:rsidRPr="003331F9" w:rsidRDefault="00D37F9B" w:rsidP="00D37F9B">
      <w:pPr>
        <w:rPr>
          <w:rFonts w:ascii="Verdana" w:hAnsi="Verdana" w:cstheme="minorHAnsi"/>
          <w:sz w:val="22"/>
        </w:rPr>
      </w:pPr>
    </w:p>
    <w:p w14:paraId="7714DD1F" w14:textId="77777777" w:rsidR="00D37F9B" w:rsidRPr="003331F9" w:rsidRDefault="00D37F9B" w:rsidP="00D37F9B">
      <w:pPr>
        <w:rPr>
          <w:rFonts w:ascii="Verdana" w:hAnsi="Verdana"/>
          <w:sz w:val="22"/>
          <w:szCs w:val="24"/>
        </w:rPr>
      </w:pPr>
      <w:r w:rsidRPr="003331F9">
        <w:rPr>
          <w:rFonts w:ascii="Verdana" w:hAnsi="Verdana"/>
          <w:sz w:val="22"/>
          <w:szCs w:val="24"/>
        </w:rPr>
        <w:t xml:space="preserve">La Entidad, a través de la interventoría, revisará y aprobará los programas de inversión del </w:t>
      </w:r>
      <w:r w:rsidRPr="003331F9">
        <w:rPr>
          <w:rFonts w:ascii="Verdana" w:eastAsia="Arial" w:hAnsi="Verdana" w:cs="Arial"/>
          <w:sz w:val="22"/>
        </w:rPr>
        <w:t>anticipo</w:t>
      </w:r>
      <w:r w:rsidRPr="003331F9">
        <w:rPr>
          <w:rFonts w:ascii="Verdana" w:hAnsi="Verdana"/>
          <w:sz w:val="22"/>
          <w:szCs w:val="24"/>
        </w:rPr>
        <w:t xml:space="preserve">. Para el manejo de los recursos que reciba a título de anticipo, el Contratista constituirá un patrimonio autónomo irrevocable a nombre del objeto del contrato, cuyo beneficiario sea </w:t>
      </w:r>
      <w:r w:rsidRPr="003331F9">
        <w:rPr>
          <w:rFonts w:ascii="Verdana" w:hAnsi="Verdana"/>
          <w:sz w:val="22"/>
          <w:szCs w:val="24"/>
          <w:highlight w:val="lightGray"/>
        </w:rPr>
        <w:t>[Escribir el nombre de la Entidad]</w:t>
      </w:r>
      <w:r w:rsidRPr="003331F9">
        <w:rPr>
          <w:rFonts w:ascii="Verdana" w:hAnsi="Verdana"/>
          <w:sz w:val="22"/>
          <w:szCs w:val="24"/>
        </w:rPr>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sidRPr="003331F9">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sidRPr="003331F9">
        <w:rPr>
          <w:rFonts w:ascii="Verdana" w:hAnsi="Verdana" w:cstheme="minorHAnsi"/>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123EB2A8" w14:textId="77777777" w:rsidR="00D37F9B" w:rsidRPr="003331F9" w:rsidRDefault="00D37F9B" w:rsidP="00D37F9B">
      <w:pPr>
        <w:rPr>
          <w:rFonts w:ascii="Verdana" w:hAnsi="Verdana"/>
          <w:sz w:val="22"/>
          <w:szCs w:val="24"/>
        </w:rPr>
      </w:pPr>
      <w:r w:rsidRPr="003331F9">
        <w:rPr>
          <w:rFonts w:ascii="Verdana" w:hAnsi="Verdana"/>
          <w:sz w:val="22"/>
          <w:szCs w:val="24"/>
        </w:rPr>
        <w:t xml:space="preserve">El anticipo será amortizado mediante deducciones de </w:t>
      </w:r>
      <w:r w:rsidRPr="003331F9">
        <w:rPr>
          <w:rFonts w:ascii="Verdana" w:hAnsi="Verdana"/>
          <w:sz w:val="22"/>
          <w:szCs w:val="24"/>
          <w:highlight w:val="lightGray"/>
        </w:rPr>
        <w:t>[las actas mensuales de obra]</w:t>
      </w:r>
      <w:r w:rsidRPr="003331F9">
        <w:rPr>
          <w:rFonts w:ascii="Verdana" w:hAnsi="Verdana"/>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3BAC42F9" w14:textId="77777777" w:rsidR="00D37F9B" w:rsidRPr="003331F9" w:rsidRDefault="00D37F9B" w:rsidP="00D37F9B">
      <w:pPr>
        <w:rPr>
          <w:rFonts w:ascii="Verdana" w:hAnsi="Verdana"/>
          <w:sz w:val="22"/>
          <w:szCs w:val="24"/>
        </w:rPr>
      </w:pPr>
      <w:r w:rsidRPr="003331F9">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3331F9">
        <w:rPr>
          <w:rFonts w:ascii="Verdana" w:hAnsi="Verdana"/>
          <w:sz w:val="22"/>
          <w:szCs w:val="24"/>
        </w:rPr>
        <w:t xml:space="preserve"> </w:t>
      </w:r>
    </w:p>
    <w:p w14:paraId="5A922C89" w14:textId="77777777" w:rsidR="00D37F9B" w:rsidRPr="003331F9" w:rsidRDefault="00D37F9B" w:rsidP="00D37F9B">
      <w:pPr>
        <w:rPr>
          <w:rFonts w:ascii="Verdana" w:hAnsi="Verdana"/>
          <w:sz w:val="22"/>
          <w:szCs w:val="24"/>
        </w:rPr>
      </w:pPr>
    </w:p>
    <w:p w14:paraId="34C37B0E" w14:textId="6B004F51" w:rsidR="00D37F9B" w:rsidRPr="003331F9" w:rsidRDefault="00D37F9B" w:rsidP="00D37F9B">
      <w:pPr>
        <w:rPr>
          <w:rFonts w:ascii="Verdana" w:hAnsi="Verdana"/>
          <w:sz w:val="22"/>
          <w:szCs w:val="24"/>
        </w:rPr>
      </w:pPr>
      <w:r w:rsidRPr="003331F9">
        <w:rPr>
          <w:rFonts w:ascii="Verdana" w:hAnsi="Verdana"/>
          <w:sz w:val="22"/>
          <w:szCs w:val="24"/>
          <w:highlight w:val="lightGray"/>
        </w:rPr>
        <w:t xml:space="preserve">[En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r w:rsidR="00EE72B3" w:rsidRPr="003331F9">
        <w:rPr>
          <w:rFonts w:ascii="Verdana" w:hAnsi="Verdana"/>
          <w:sz w:val="22"/>
          <w:szCs w:val="24"/>
          <w:highlight w:val="lightGray"/>
        </w:rPr>
        <w:t>la Resolución</w:t>
      </w:r>
      <w:r w:rsidR="004E7195" w:rsidRPr="003331F9">
        <w:rPr>
          <w:rFonts w:ascii="Verdana" w:hAnsi="Verdana"/>
          <w:sz w:val="22"/>
          <w:szCs w:val="24"/>
          <w:highlight w:val="lightGray"/>
        </w:rPr>
        <w:t xml:space="preserve"> 0165 del 1 de noviembre de 2023 </w:t>
      </w:r>
      <w:r w:rsidRPr="003331F9">
        <w:rPr>
          <w:rFonts w:ascii="Verdana" w:hAnsi="Verdana"/>
          <w:sz w:val="22"/>
          <w:szCs w:val="24"/>
          <w:highlight w:val="lightGray"/>
        </w:rPr>
        <w:t>y demás normas que los modifiquen, complementen o sustituyan]</w:t>
      </w:r>
    </w:p>
    <w:p w14:paraId="4A54A885" w14:textId="77777777" w:rsidR="00D37F9B" w:rsidRPr="003331F9" w:rsidRDefault="00D37F9B" w:rsidP="00D37F9B">
      <w:pPr>
        <w:rPr>
          <w:rFonts w:ascii="Verdana" w:hAnsi="Verdana" w:cstheme="minorHAnsi"/>
          <w:sz w:val="22"/>
        </w:rPr>
      </w:pPr>
    </w:p>
    <w:p w14:paraId="2CD1C764"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06DB0F5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3331F9" w:rsidRDefault="00D37F9B" w:rsidP="00D37F9B">
      <w:pPr>
        <w:rPr>
          <w:rFonts w:ascii="Verdana" w:hAnsi="Verdana" w:cstheme="minorHAnsi"/>
          <w:sz w:val="22"/>
        </w:rPr>
      </w:pPr>
    </w:p>
    <w:p w14:paraId="0FFCE4A9" w14:textId="77777777" w:rsidR="00D37F9B" w:rsidRPr="003331F9" w:rsidRDefault="00D37F9B" w:rsidP="00D37F9B">
      <w:pPr>
        <w:rPr>
          <w:rFonts w:ascii="Verdana" w:hAnsi="Verdana"/>
          <w:b/>
          <w:bCs/>
          <w:sz w:val="22"/>
          <w:szCs w:val="24"/>
        </w:rPr>
      </w:pPr>
      <w:r w:rsidRPr="003331F9">
        <w:rPr>
          <w:rFonts w:ascii="Verdana" w:hAnsi="Verdana"/>
          <w:b/>
          <w:bCs/>
          <w:sz w:val="22"/>
          <w:szCs w:val="24"/>
        </w:rPr>
        <w:t>Opción 2:</w:t>
      </w:r>
    </w:p>
    <w:p w14:paraId="73DCE92E"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entregará un anticipo y posteriormente hará pagos parciales con su respectiva amortización, todo lo cual se regirá por las siguientes reglas:</w:t>
      </w:r>
    </w:p>
    <w:p w14:paraId="7CEA75FB" w14:textId="77777777" w:rsidR="00D37F9B" w:rsidRPr="003331F9" w:rsidRDefault="00D37F9B" w:rsidP="00D37F9B">
      <w:pPr>
        <w:rPr>
          <w:rFonts w:ascii="Verdana" w:hAnsi="Verdana" w:cstheme="minorHAnsi"/>
          <w:sz w:val="22"/>
        </w:rPr>
      </w:pPr>
    </w:p>
    <w:p w14:paraId="49BD0A2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3331F9" w:rsidRDefault="00D37F9B" w:rsidP="00D37F9B">
      <w:pPr>
        <w:rPr>
          <w:rFonts w:ascii="Verdana" w:hAnsi="Verdana" w:cstheme="minorHAnsi"/>
          <w:sz w:val="22"/>
        </w:rPr>
      </w:pPr>
    </w:p>
    <w:p w14:paraId="275CB0FF" w14:textId="77777777" w:rsidR="00D37F9B" w:rsidRPr="003331F9" w:rsidRDefault="00D37F9B" w:rsidP="00D37F9B">
      <w:pPr>
        <w:rPr>
          <w:rFonts w:ascii="Verdana" w:hAnsi="Verdana" w:cstheme="minorHAnsi"/>
          <w:sz w:val="22"/>
        </w:rPr>
      </w:pPr>
      <w:r w:rsidRPr="003331F9">
        <w:rPr>
          <w:rFonts w:ascii="Verdana" w:hAnsi="Verdana"/>
          <w:b/>
          <w:bCs/>
          <w:sz w:val="22"/>
          <w:szCs w:val="24"/>
        </w:rPr>
        <w:lastRenderedPageBreak/>
        <w:t xml:space="preserve">Parágrafo 1. </w:t>
      </w:r>
      <w:r w:rsidRPr="003331F9">
        <w:rPr>
          <w:rFonts w:ascii="Verdana" w:hAnsi="Verdana" w:cstheme="minorHAnsi"/>
          <w:sz w:val="22"/>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3331F9" w:rsidRDefault="00D37F9B" w:rsidP="00D37F9B">
      <w:pPr>
        <w:rPr>
          <w:rFonts w:ascii="Verdana" w:hAnsi="Verdana" w:cstheme="minorHAnsi"/>
          <w:sz w:val="22"/>
        </w:rPr>
      </w:pPr>
    </w:p>
    <w:p w14:paraId="367D1D19"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78D2114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w:t>
      </w:r>
      <w:r w:rsidRPr="003331F9">
        <w:rPr>
          <w:rFonts w:ascii="Verdana" w:hAnsi="Verdana" w:cstheme="minorHAnsi"/>
          <w:b/>
          <w:bCs/>
          <w:sz w:val="22"/>
        </w:rPr>
        <w:t xml:space="preserve">contraprestación </w:t>
      </w:r>
      <w:r w:rsidRPr="003331F9">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sidRPr="003331F9">
        <w:rPr>
          <w:rFonts w:ascii="Verdana" w:hAnsi="Verdana" w:cstheme="minorHAnsi"/>
          <w:b/>
          <w:bCs/>
          <w:sz w:val="22"/>
        </w:rPr>
        <w:t>Parágrafo 1.</w:t>
      </w:r>
      <w:r w:rsidRPr="003331F9">
        <w:rPr>
          <w:rFonts w:ascii="Verdana" w:hAnsi="Verdana" w:cstheme="minorHAnsi"/>
          <w:sz w:val="22"/>
          <w:szCs w:val="24"/>
        </w:rPr>
        <w:t xml:space="preserve"> </w:t>
      </w:r>
      <w:r w:rsidRPr="003331F9">
        <w:rPr>
          <w:rFonts w:ascii="Verdana" w:hAnsi="Verdana" w:cstheme="minorHAnsi"/>
          <w:sz w:val="22"/>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3331F9">
        <w:rPr>
          <w:rFonts w:ascii="Verdana" w:hAnsi="Verdana" w:cstheme="minorHAnsi"/>
          <w:sz w:val="22"/>
          <w:szCs w:val="24"/>
        </w:rPr>
        <w:t>.</w:t>
      </w:r>
    </w:p>
    <w:p w14:paraId="460CD4D6" w14:textId="77777777" w:rsidR="00D37F9B" w:rsidRPr="003331F9" w:rsidRDefault="00D37F9B" w:rsidP="00D37F9B">
      <w:pPr>
        <w:rPr>
          <w:rFonts w:ascii="Verdana" w:hAnsi="Verdana" w:cstheme="minorHAnsi"/>
          <w:b/>
          <w:bCs/>
          <w:sz w:val="22"/>
        </w:rPr>
      </w:pPr>
    </w:p>
    <w:p w14:paraId="754DF2BA"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debe escoger alguna de las formas de pago anteriores, o podrá configurar la que considere conveniente]</w:t>
      </w:r>
      <w:r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3331F9">
        <w:rPr>
          <w:rFonts w:ascii="Verdana" w:eastAsia="Calibri" w:hAnsi="Verdana" w:cs="Arial"/>
          <w:bCs/>
          <w:sz w:val="22"/>
          <w:highlight w:val="lightGray"/>
          <w:lang w:val="es-CO"/>
        </w:rPr>
        <w:t>[documento adicional aplicable 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lastRenderedPageBreak/>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lastRenderedPageBreak/>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lastRenderedPageBreak/>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lastRenderedPageBreak/>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lastRenderedPageBreak/>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lastRenderedPageBreak/>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w:t>
      </w:r>
      <w:r w:rsidRPr="003331F9">
        <w:rPr>
          <w:rFonts w:ascii="Verdana" w:eastAsia="Arial" w:hAnsi="Verdana" w:cs="Arial"/>
          <w:sz w:val="22"/>
          <w:szCs w:val="24"/>
          <w:lang w:val="es-CO"/>
        </w:rPr>
        <w:lastRenderedPageBreak/>
        <w:t xml:space="preserve">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lastRenderedPageBreak/>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de acuerdo al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w:t>
      </w:r>
      <w:r w:rsidRPr="003331F9">
        <w:rPr>
          <w:rFonts w:ascii="Verdana" w:hAnsi="Verdana" w:cstheme="minorHAnsi"/>
          <w:sz w:val="22"/>
          <w:lang w:val="es-CO"/>
        </w:rPr>
        <w:lastRenderedPageBreak/>
        <w:t>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lastRenderedPageBreak/>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 xml:space="preserve">ciento (20%) del </w:t>
      </w:r>
      <w:r w:rsidRPr="003331F9">
        <w:rPr>
          <w:rFonts w:ascii="Verdana" w:hAnsi="Verdana"/>
          <w:sz w:val="22"/>
          <w:szCs w:val="24"/>
          <w:highlight w:val="lightGray"/>
        </w:rPr>
        <w:lastRenderedPageBreak/>
        <w:t>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lastRenderedPageBreak/>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highlight w:val="lightGray"/>
                <w:lang w:val="es-ES" w:eastAsia="es-CO"/>
              </w:rPr>
              <w:t>[Nombre de La Entidad]</w:t>
            </w:r>
            <w:r w:rsidRPr="003331F9">
              <w:rPr>
                <w:rFonts w:ascii="Verdana" w:eastAsia="Times New Roman" w:hAnsi="Verdana" w:cs="Arial"/>
                <w:bCs/>
                <w:szCs w:val="20"/>
                <w:lang w:val="es-ES" w:eastAsia="es-CO"/>
              </w:rPr>
              <w:t xml:space="preserve"> identificada con NIT</w:t>
            </w:r>
            <w:r w:rsidRPr="003331F9">
              <w:rPr>
                <w:rFonts w:ascii="Verdana" w:eastAsia="Times New Roman" w:hAnsi="Verdana" w:cs="Arial"/>
                <w:szCs w:val="20"/>
                <w:lang w:val="es-ES" w:eastAsia="es-CO"/>
              </w:rPr>
              <w:t xml:space="preserve"> </w:t>
            </w:r>
            <w:r w:rsidRPr="003331F9">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Hasta la liquidación del contrato o hasta </w:t>
                  </w:r>
                  <w:r w:rsidRPr="003331F9">
                    <w:rPr>
                      <w:rFonts w:ascii="Verdana" w:eastAsia="Times New Roman" w:hAnsi="Verdana" w:cs="Arial"/>
                      <w:bCs/>
                      <w:szCs w:val="20"/>
                      <w:lang w:val="es-ES" w:eastAsia="es-CO"/>
                    </w:rPr>
                    <w:lastRenderedPageBreak/>
                    <w:t>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lastRenderedPageBreak/>
                    <w:t xml:space="preserve">[La Entidad debe definir el valor del amparo de </w:t>
                  </w:r>
                  <w:r w:rsidRPr="003331F9">
                    <w:rPr>
                      <w:rFonts w:ascii="Verdana" w:eastAsia="Times New Roman" w:hAnsi="Verdana" w:cs="Arial"/>
                      <w:bCs/>
                      <w:szCs w:val="20"/>
                      <w:highlight w:val="lightGray"/>
                      <w:lang w:val="es-ES" w:eastAsia="es-CO"/>
                    </w:rPr>
                    <w:lastRenderedPageBreak/>
                    <w:t>acuerdo con el artículo 2.2.1.2.3.1.11.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lastRenderedPageBreak/>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2.2.1.2.3.1.13.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sidRPr="003331F9">
                    <w:rPr>
                      <w:rFonts w:ascii="Verdana" w:eastAsia="Times New Roman" w:hAnsi="Verdana" w:cs="Arial"/>
                      <w:szCs w:val="20"/>
                      <w:highlight w:val="lightGray"/>
                      <w:lang w:val="es-ES" w:eastAsia="es-CO"/>
                    </w:rPr>
                    <w:t>[Incluir amparos adicionales en los términos descritos en el Decreto 1082 de 2015]</w:t>
                  </w:r>
                  <w:r w:rsidRPr="003331F9">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r w:rsidRPr="003331F9">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[La Entidad debe definir el valor del amparo de acuerdo con el artículo 2.2.1.2.3.1.17. del Decreto 1082 de 2015</w:t>
            </w:r>
            <w:r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Terceros afectados y [</w:t>
            </w: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r w:rsidR="666A7A15" w:rsidRPr="00C30CE7">
              <w:rPr>
                <w:rFonts w:ascii="Verdana" w:eastAsia="Times New Roman" w:hAnsi="Verdana" w:cs="Arial"/>
                <w:bCs/>
                <w:sz w:val="22"/>
                <w:highlight w:val="lightGray"/>
                <w:lang w:val="es-ES" w:eastAsia="es-CO"/>
              </w:rPr>
              <w:t>[</w:t>
            </w:r>
            <w:r w:rsidR="22682A1D" w:rsidRPr="00C30CE7">
              <w:rPr>
                <w:rFonts w:ascii="Verdana" w:eastAsia="Times New Roman" w:hAnsi="Verdana" w:cs="Arial"/>
                <w:bCs/>
                <w:sz w:val="22"/>
                <w:highlight w:val="lightGray"/>
                <w:lang w:val="es-ES" w:eastAsia="es-CO"/>
              </w:rPr>
              <w:t xml:space="preserve">Ejem: Amparo: Cobertura expresa de perjuicios por daño emergente y lucro cesante. Plazo: </w:t>
            </w:r>
            <w:proofErr w:type="spellStart"/>
            <w:r w:rsidR="22682A1D" w:rsidRPr="00C30CE7">
              <w:rPr>
                <w:rFonts w:ascii="Verdana" w:eastAsia="Times New Roman" w:hAnsi="Verdana" w:cs="Arial"/>
                <w:bCs/>
                <w:sz w:val="22"/>
                <w:highlight w:val="lightGray"/>
                <w:lang w:val="es-ES" w:eastAsia="es-CO"/>
              </w:rPr>
              <w:t>xxxx</w:t>
            </w:r>
            <w:proofErr w:type="spellEnd"/>
            <w:r w:rsidR="22682A1D" w:rsidRPr="00C30CE7">
              <w:rPr>
                <w:rFonts w:ascii="Verdana" w:eastAsia="Times New Roman" w:hAnsi="Verdana" w:cs="Arial"/>
                <w:bCs/>
                <w:sz w:val="22"/>
                <w:highlight w:val="lightGray"/>
                <w:lang w:val="es-ES" w:eastAsia="es-CO"/>
              </w:rPr>
              <w:t xml:space="preserve"> Valor</w:t>
            </w:r>
            <w:r w:rsidR="22086B5C" w:rsidRPr="00C30CE7">
              <w:rPr>
                <w:rFonts w:ascii="Verdana" w:eastAsia="Times New Roman" w:hAnsi="Verdana" w:cs="Arial"/>
                <w:bCs/>
                <w:sz w:val="22"/>
                <w:highlight w:val="lightGray"/>
                <w:lang w:val="es-ES" w:eastAsia="es-CO"/>
              </w:rPr>
              <w:t xml:space="preserve"> </w:t>
            </w:r>
            <w:r w:rsidR="00EE5890">
              <w:rPr>
                <w:rFonts w:ascii="Verdana" w:eastAsia="Times New Roman" w:hAnsi="Verdana" w:cs="Arial"/>
                <w:bCs/>
                <w:sz w:val="22"/>
                <w:highlight w:val="lightGray"/>
                <w:lang w:val="es-ES" w:eastAsia="es-CO"/>
              </w:rPr>
              <w:t>del amparo</w:t>
            </w:r>
            <w:r w:rsidR="22682A1D" w:rsidRPr="00C30CE7">
              <w:rPr>
                <w:rFonts w:ascii="Verdana" w:eastAsia="Times New Roman" w:hAnsi="Verdana" w:cs="Arial"/>
                <w:bCs/>
                <w:sz w:val="22"/>
                <w:highlight w:val="lightGray"/>
                <w:lang w:val="es-ES" w:eastAsia="es-CO"/>
              </w:rPr>
              <w:t xml:space="preserve">: </w:t>
            </w:r>
            <w:proofErr w:type="spellStart"/>
            <w:r w:rsidR="22682A1D" w:rsidRPr="00C30CE7">
              <w:rPr>
                <w:rFonts w:ascii="Verdana" w:eastAsia="Times New Roman" w:hAnsi="Verdana" w:cs="Arial"/>
                <w:bCs/>
                <w:sz w:val="22"/>
                <w:highlight w:val="lightGray"/>
                <w:lang w:val="es-ES" w:eastAsia="es-CO"/>
              </w:rPr>
              <w:t>Xxxxx</w:t>
            </w:r>
            <w:proofErr w:type="spellEnd"/>
            <w:r w:rsidR="1D08411D" w:rsidRPr="00C30CE7">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lastRenderedPageBreak/>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7E8CC" w14:textId="77777777" w:rsidR="00C06B77" w:rsidRDefault="00C06B77" w:rsidP="004F2C35">
      <w:r>
        <w:separator/>
      </w:r>
    </w:p>
  </w:endnote>
  <w:endnote w:type="continuationSeparator" w:id="0">
    <w:p w14:paraId="24B5440B" w14:textId="77777777" w:rsidR="00C06B77" w:rsidRDefault="00C06B77" w:rsidP="004F2C35">
      <w:r>
        <w:continuationSeparator/>
      </w:r>
    </w:p>
  </w:endnote>
  <w:endnote w:type="continuationNotice" w:id="1">
    <w:p w14:paraId="73E077CE" w14:textId="77777777" w:rsidR="00C06B77" w:rsidRDefault="00C06B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0F920" w14:textId="03D476F6" w:rsidR="4B6E9F07" w:rsidRPr="009E4441" w:rsidRDefault="009E4441" w:rsidP="009E4441">
    <w:pPr>
      <w:pStyle w:val="Piedepgina"/>
    </w:pPr>
    <w:r>
      <w:rPr>
        <w:noProof/>
      </w:rPr>
      <w:drawing>
        <wp:anchor distT="114300" distB="114300" distL="114300" distR="114300" simplePos="0" relativeHeight="251662336" behindDoc="0" locked="0" layoutInCell="1" hidden="0" allowOverlap="1" wp14:anchorId="08E465DB" wp14:editId="0550BD94">
          <wp:simplePos x="0" y="0"/>
          <wp:positionH relativeFrom="margin">
            <wp:align>center</wp:align>
          </wp:positionH>
          <wp:positionV relativeFrom="bottomMargin">
            <wp:posOffset>-228600</wp:posOffset>
          </wp:positionV>
          <wp:extent cx="5731200" cy="1016000"/>
          <wp:effectExtent l="0" t="0" r="0" b="0"/>
          <wp:wrapNone/>
          <wp:docPr id="13041305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1200" cy="1016000"/>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10282" w14:textId="77777777" w:rsidR="00C06B77" w:rsidRDefault="00C06B77" w:rsidP="004F2C35">
      <w:r>
        <w:separator/>
      </w:r>
    </w:p>
  </w:footnote>
  <w:footnote w:type="continuationSeparator" w:id="0">
    <w:p w14:paraId="06742706" w14:textId="77777777" w:rsidR="00C06B77" w:rsidRDefault="00C06B77" w:rsidP="004F2C35">
      <w:r>
        <w:continuationSeparator/>
      </w:r>
    </w:p>
  </w:footnote>
  <w:footnote w:type="continuationNotice" w:id="1">
    <w:p w14:paraId="60E3BA84" w14:textId="77777777" w:rsidR="00C06B77" w:rsidRDefault="00C06B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756C6" w14:textId="77777777" w:rsidR="009E4441" w:rsidRDefault="009E4441" w:rsidP="009E4441">
    <w:r>
      <w:rPr>
        <w:noProof/>
      </w:rPr>
      <w:drawing>
        <wp:anchor distT="114300" distB="114300" distL="114300" distR="114300" simplePos="0" relativeHeight="251659264" behindDoc="0" locked="0" layoutInCell="1" hidden="0" allowOverlap="1" wp14:anchorId="6F4201B1" wp14:editId="5247D2F1">
          <wp:simplePos x="0" y="0"/>
          <wp:positionH relativeFrom="page">
            <wp:posOffset>-1066800</wp:posOffset>
          </wp:positionH>
          <wp:positionV relativeFrom="page">
            <wp:posOffset>-38100</wp:posOffset>
          </wp:positionV>
          <wp:extent cx="8467090" cy="1047750"/>
          <wp:effectExtent l="0" t="0" r="0" b="0"/>
          <wp:wrapNone/>
          <wp:docPr id="194425549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
                  <a:srcRect b="30380"/>
                  <a:stretch/>
                </pic:blipFill>
                <pic:spPr bwMode="auto">
                  <a:xfrm>
                    <a:off x="0" y="0"/>
                    <a:ext cx="8467090" cy="10477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114300" distB="114300" distL="114300" distR="114300" simplePos="0" relativeHeight="251660288" behindDoc="0" locked="0" layoutInCell="1" hidden="0" allowOverlap="1" wp14:anchorId="28745A45" wp14:editId="12B7C011">
          <wp:simplePos x="0" y="0"/>
          <wp:positionH relativeFrom="page">
            <wp:posOffset>647700</wp:posOffset>
          </wp:positionH>
          <wp:positionV relativeFrom="page">
            <wp:posOffset>-635</wp:posOffset>
          </wp:positionV>
          <wp:extent cx="2990850" cy="1000125"/>
          <wp:effectExtent l="0" t="0" r="0" b="0"/>
          <wp:wrapNone/>
          <wp:docPr id="5072510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2"/>
                  <a:srcRect t="36" r="50969" b="13771"/>
                  <a:stretch/>
                </pic:blipFill>
                <pic:spPr bwMode="auto">
                  <a:xfrm>
                    <a:off x="0" y="0"/>
                    <a:ext cx="2990850" cy="100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68CB0A" w14:textId="77777777" w:rsidR="009E4441" w:rsidRDefault="009E4441" w:rsidP="009E4441">
    <w:pPr>
      <w:pStyle w:val="Encabezado"/>
    </w:pP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4441"/>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6B77"/>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0879"/>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10365</Words>
  <Characters>57009</Characters>
  <Application>Microsoft Office Word</Application>
  <DocSecurity>0</DocSecurity>
  <Lines>475</Lines>
  <Paragraphs>134</Paragraphs>
  <ScaleCrop>false</ScaleCrop>
  <Company/>
  <LinksUpToDate>false</LinksUpToDate>
  <CharactersWithSpaces>67240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Fabian E Diaz S</cp:lastModifiedBy>
  <cp:revision>142</cp:revision>
  <cp:lastPrinted>2021-08-06T20:04:00Z</cp:lastPrinted>
  <dcterms:created xsi:type="dcterms:W3CDTF">2022-08-03T23:01:00Z</dcterms:created>
  <dcterms:modified xsi:type="dcterms:W3CDTF">2026-04-20T17:08:00Z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