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pPr w:leftFromText="142" w:rightFromText="142" w:topFromText="0" w:bottomFromText="0" w:vertAnchor="text" w:horzAnchor="text" w:tblpX="0" w:tblpY="1"/>
        <w:tblW w:w="9394.0" w:type="dxa"/>
        <w:jc w:val="left"/>
        <w:tblBorders>
          <w:top w:color="666666" w:space="0" w:sz="4" w:val="single"/>
          <w:left w:color="666666" w:space="0" w:sz="4" w:val="single"/>
          <w:bottom w:color="666666" w:space="0" w:sz="4" w:val="single"/>
          <w:right w:color="666666" w:space="0" w:sz="4" w:val="single"/>
          <w:insideH w:color="666666" w:space="0" w:sz="4" w:val="single"/>
          <w:insideV w:color="666666" w:space="0" w:sz="4" w:val="single"/>
        </w:tblBorders>
        <w:tblLayout w:type="fixed"/>
        <w:tblLook w:val="04A0"/>
      </w:tblPr>
      <w:tblGrid>
        <w:gridCol w:w="2548"/>
        <w:gridCol w:w="584"/>
        <w:gridCol w:w="2533"/>
        <w:gridCol w:w="599"/>
        <w:gridCol w:w="2519"/>
        <w:gridCol w:w="611"/>
        <w:tblGridChange w:id="0">
          <w:tblGrid>
            <w:gridCol w:w="2548"/>
            <w:gridCol w:w="584"/>
            <w:gridCol w:w="2533"/>
            <w:gridCol w:w="599"/>
            <w:gridCol w:w="2519"/>
            <w:gridCol w:w="611"/>
          </w:tblGrid>
        </w:tblGridChange>
      </w:tblGrid>
      <w:tr>
        <w:trPr>
          <w:cantSplit w:val="0"/>
          <w:trHeight w:val="510" w:hRule="atLeast"/>
          <w:tblHeader w:val="0"/>
        </w:trPr>
        <w:tc>
          <w:tcPr>
            <w:gridSpan w:val="6"/>
            <w:vAlign w:val="center"/>
          </w:tcPr>
          <w:p w:rsidR="00000000" w:rsidDel="00000000" w:rsidP="00000000" w:rsidRDefault="00000000" w:rsidRPr="00000000" w14:paraId="0000000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PROCESO</w:t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gridSpan w:val="6"/>
            <w:shd w:fill="f2f2f2" w:val="clear"/>
            <w:vAlign w:val="center"/>
          </w:tcPr>
          <w:p w:rsidR="00000000" w:rsidDel="00000000" w:rsidP="00000000" w:rsidRDefault="00000000" w:rsidRPr="00000000" w14:paraId="0000000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GESTIÓN CONTRACTUAL</w:t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gridSpan w:val="6"/>
            <w:shd w:fill="000000" w:val="clear"/>
            <w:vAlign w:val="center"/>
          </w:tcPr>
          <w:p w:rsidR="00000000" w:rsidDel="00000000" w:rsidP="00000000" w:rsidRDefault="00000000" w:rsidRPr="00000000" w14:paraId="0000000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NOMBRE DEL FORMATO</w:t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gridSpan w:val="6"/>
            <w:shd w:fill="ffffff" w:val="clear"/>
            <w:vAlign w:val="center"/>
          </w:tcPr>
          <w:p w:rsidR="00000000" w:rsidDel="00000000" w:rsidP="00000000" w:rsidRDefault="00000000" w:rsidRPr="00000000" w14:paraId="00000014">
            <w:pPr>
              <w:jc w:val="center"/>
              <w:rPr>
                <w:b w:val="0"/>
                <w:bCs w:val="0"/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AVISO DE LIMITACIÓN A MIPYMES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gridSpan w:val="6"/>
            <w:shd w:fill="000000" w:val="clear"/>
            <w:vAlign w:val="center"/>
          </w:tcPr>
          <w:p w:rsidR="00000000" w:rsidDel="00000000" w:rsidP="00000000" w:rsidRDefault="00000000" w:rsidRPr="00000000" w14:paraId="0000001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CLASIFICACIÓN DE LA INFORMACIÓN</w:t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20">
            <w:pPr>
              <w:jc w:val="both"/>
              <w:rPr>
                <w:b w:val="0"/>
                <w:bCs w:val="0"/>
              </w:rPr>
            </w:pPr>
            <w:r w:rsidDel="00000000" w:rsidR="00000000" w:rsidRPr="00000000">
              <w:rPr>
                <w:b w:val="0"/>
                <w:bCs w:val="0"/>
                <w:rtl w:val="0"/>
              </w:rPr>
              <w:t xml:space="preserve">Pública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21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X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22">
            <w:pPr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  <w:t xml:space="preserve">Pública Clasificada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23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24">
            <w:pPr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  <w:t xml:space="preserve">Pública Reservada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2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6">
      <w:pPr>
        <w:rPr/>
      </w:pPr>
      <w:bookmarkStart w:colFirst="0" w:colLast="0" w:name="_aam7tz5ivyfm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FORMATO AVISO DE LIMITACIÓN A MIPYMES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4252"/>
          <w:tab w:val="right" w:leader="none" w:pos="8504"/>
        </w:tabs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4252"/>
          <w:tab w:val="right" w:leader="none" w:pos="8504"/>
        </w:tabs>
        <w:jc w:val="center"/>
        <w:rPr/>
      </w:pPr>
      <w:r w:rsidDel="00000000" w:rsidR="00000000" w:rsidRPr="00000000">
        <w:rPr>
          <w:b w:val="1"/>
          <w:bCs w:val="1"/>
          <w:color w:val="000000"/>
          <w:rtl w:val="0"/>
        </w:rPr>
        <w:t xml:space="preserve">PROCESO DE CONTRATACIÓN NRO. MC-RSR-CASA-043-2026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4252"/>
          <w:tab w:val="right" w:leader="none" w:pos="8504"/>
        </w:tabs>
        <w:jc w:val="right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4252"/>
          <w:tab w:val="right" w:leader="none" w:pos="8504"/>
        </w:tabs>
        <w:jc w:val="center"/>
        <w:rPr/>
      </w:pPr>
      <w:r w:rsidDel="00000000" w:rsidR="00000000" w:rsidRPr="00000000">
        <w:rPr>
          <w:b w:val="1"/>
          <w:bCs w:val="1"/>
          <w:rtl w:val="0"/>
        </w:rPr>
        <w:t xml:space="preserve">OBJETO: </w:t>
      </w:r>
      <w:r w:rsidDel="00000000" w:rsidR="00000000" w:rsidRPr="00000000">
        <w:rPr>
          <w:rtl w:val="0"/>
        </w:rPr>
        <w:t xml:space="preserve">Mantenimiento preventivo y/o correctivo de los sistemas de aire acondicionado, extractores, estanterías, gabinetes, almacenamiento sustancias químicas del Centro Atención Sector Agropecuario Regional Risaralda vigencia 2026.</w:t>
      </w:r>
    </w:p>
    <w:p w:rsidR="00000000" w:rsidDel="00000000" w:rsidP="00000000" w:rsidRDefault="00000000" w:rsidRPr="00000000" w14:paraId="0000002C">
      <w:pPr>
        <w:tabs>
          <w:tab w:val="center" w:leader="none" w:pos="4252"/>
          <w:tab w:val="right" w:leader="none" w:pos="8504"/>
        </w:tabs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jc w:val="both"/>
        <w:rPr/>
      </w:pPr>
      <w:bookmarkStart w:colFirst="0" w:colLast="0" w:name="_pyva4jqsd14" w:id="1"/>
      <w:bookmarkEnd w:id="1"/>
      <w:r w:rsidDel="00000000" w:rsidR="00000000" w:rsidRPr="00000000">
        <w:rPr>
          <w:rtl w:val="0"/>
        </w:rPr>
        <w:t xml:space="preserve">El Servicio Nacional de Aprendizaje – SENA, de conformidad con el cronograma del proceso de la referencia y en atención a procedimiento establecido en los artículos 2.2.1.2.4.2.2 a 2.2.1.2.4.2.4 del Decreto 1082 de 2015, modificado por el artículo 5 del Decreto 1860 de 2021, convocó en el presente proceso a las MiPymes para que presentaran solicitud de limitación en los términos previstos en el mencionado Decreto.</w:t>
      </w:r>
    </w:p>
    <w:p w:rsidR="00000000" w:rsidDel="00000000" w:rsidP="00000000" w:rsidRDefault="00000000" w:rsidRPr="00000000" w14:paraId="0000002E">
      <w:pPr>
        <w:jc w:val="both"/>
        <w:rPr/>
      </w:pPr>
      <w:bookmarkStart w:colFirst="0" w:colLast="0" w:name="_bdaer74fnahf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jc w:val="both"/>
        <w:rPr/>
      </w:pPr>
      <w:r w:rsidDel="00000000" w:rsidR="00000000" w:rsidRPr="00000000">
        <w:rPr>
          <w:rtl w:val="0"/>
        </w:rPr>
        <w:t xml:space="preserve">Así las cosas, dentro del término legal señalado se recibieron diez (10) solicitudes de convocatoria para limitar el proceso a MiPymes: 6 Nacional / 1 Departamental / 3 Municipal. La documentación fue remitida por las siguientes empresas:</w:t>
      </w:r>
    </w:p>
    <w:p w:rsidR="00000000" w:rsidDel="00000000" w:rsidP="00000000" w:rsidRDefault="00000000" w:rsidRPr="00000000" w14:paraId="00000030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6" w:right="0" w:hanging="426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BRAYAN ALBERTO CAMACHO OYOLA/IMPOCÁMARAS BOGOTÁ, NIT 1.030.598.851-8, solicitud limitación Mipymes Nacionales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6" w:right="0" w:hanging="426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INXE INGENIERIA Y PROYECTOS SAS, NIT 901.074.246-0, solicitud Mipymes Departamentales.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6" w:right="0" w:hanging="426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SOLUCIONES INDUSTRIALES SAS, NIT 900.747.541-4, solicitud mipymes Nacionales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6" w:right="0" w:hanging="426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ÁLVARO HERNAN HURTADO BENAVIDES, NIT 12.962.117-2, solicitud Mipymes Municipales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6" w:right="0" w:hanging="426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ALMACÉN DISTRIAIRES DEL QUINDÍO SAS, NIT 901.167.970-5, solicitud mipymes Nacionales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6" w:right="0" w:hanging="426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INGENIAR INOX SAS, NIT 900.053.090-5, solicitud Mipymes Municipales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6" w:right="0" w:hanging="426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GEMA DISTRIBUCIONES Y SERVICIOS SAS, NIT 900.109.517-0, solicitud Mipymes Municipales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6" w:right="0" w:hanging="426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ANDRES FELIPE MANJARRES MOLINA, NIT 1.148.700.572-3, solicitud mipymes Nacional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6" w:right="0" w:hanging="426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MARIA LUISA LOZANO PEREZ, NIT 1.002.996.379-8, solicitud mipymes Nacional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6" w:right="0" w:hanging="426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C&amp;M SERVICIOS E INGENIERIA S.A.S, NIT 901.603.848-5, solicitud mipymes Nacional</w:t>
      </w:r>
    </w:p>
    <w:p w:rsidR="00000000" w:rsidDel="00000000" w:rsidP="00000000" w:rsidRDefault="00000000" w:rsidRPr="00000000" w14:paraId="0000003B">
      <w:pPr>
        <w:jc w:val="both"/>
        <w:rPr/>
      </w:pPr>
      <w:bookmarkStart w:colFirst="0" w:colLast="0" w:name="_2peuaudroght" w:id="3"/>
      <w:bookmarkEnd w:id="3"/>
      <w:r w:rsidDel="00000000" w:rsidR="00000000" w:rsidRPr="00000000">
        <w:rPr>
          <w:rtl w:val="0"/>
        </w:rPr>
        <w:t xml:space="preserve">La entidad, una vez revisada la documentación aportada, evidenció que las mismas cumplen con los requisitos establecidos en normatividad vigente, por lo que el presente proceso se limitará a MiPymes Departamentales en Risaralda, por lo cual no podrá participar cualquier otro interesado de diferente naturaleza.</w:t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PARA CONSTANCIA SE FIRMA, UNA VEZ LEÍDO Y ACEPTADO POR QUIENES EN ELLA INTERVINIERON, A TRAVÉS DE LA PLATAFORMA SECOP II. LA FECHA DEL DOCUMENTO SERÁ LA QUE CONSTE EN LA REFERIDA PLATAFORMA, UNA VEZ SE SURTA EL RECONOCIMIENTO POR LAS PARTES.</w:t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line="240" w:lineRule="auto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JHON ALEXANDER MARIN MENDOZA</w:t>
      </w:r>
    </w:p>
    <w:p w:rsidR="00000000" w:rsidDel="00000000" w:rsidP="00000000" w:rsidRDefault="00000000" w:rsidRPr="00000000" w14:paraId="00000043">
      <w:pPr>
        <w:spacing w:line="240" w:lineRule="auto"/>
        <w:jc w:val="center"/>
        <w:rPr/>
      </w:pPr>
      <w:r w:rsidDel="00000000" w:rsidR="00000000" w:rsidRPr="00000000">
        <w:rPr>
          <w:rtl w:val="0"/>
        </w:rPr>
        <w:t xml:space="preserve">Subdirector (e) de Centro </w:t>
      </w:r>
    </w:p>
    <w:p w:rsidR="00000000" w:rsidDel="00000000" w:rsidP="00000000" w:rsidRDefault="00000000" w:rsidRPr="00000000" w14:paraId="00000044">
      <w:pPr>
        <w:spacing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>
          <w:sz w:val="20"/>
          <w:szCs w:val="20"/>
        </w:rPr>
      </w:pPr>
      <w:bookmarkStart w:colFirst="0" w:colLast="0" w:name="_etria9mz41w" w:id="4"/>
      <w:bookmarkEnd w:id="4"/>
      <w:r w:rsidDel="00000000" w:rsidR="00000000" w:rsidRPr="00000000">
        <w:rPr>
          <w:sz w:val="20"/>
          <w:szCs w:val="20"/>
          <w:rtl w:val="0"/>
        </w:rPr>
        <w:t xml:space="preserve">Revisó: Daniel Gutierrez León – Abogado Gestión Contractual</w:t>
      </w:r>
    </w:p>
    <w:p w:rsidR="00000000" w:rsidDel="00000000" w:rsidP="00000000" w:rsidRDefault="00000000" w:rsidRPr="00000000" w14:paraId="00000047">
      <w:pPr>
        <w:rPr>
          <w:rFonts w:ascii="Calibri" w:cs="Calibri" w:eastAsia="Calibri" w:hAnsi="Calibri"/>
          <w:color w:val="c00000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Elaboró: Valentina Duque Muñoz, Técnico 03, Gestión Contractual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pStyle w:val="Heading1"/>
        <w:keepLines w:val="1"/>
        <w:spacing w:line="276" w:lineRule="auto"/>
        <w:jc w:val="both"/>
        <w:rPr>
          <w:rFonts w:ascii="Calibri" w:cs="Calibri" w:eastAsia="Calibri" w:hAnsi="Calibri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Control de Cambios</w:t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</w:r>
    </w:p>
    <w:tbl>
      <w:tblPr>
        <w:tblStyle w:val="Table2"/>
        <w:tblW w:w="920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129"/>
        <w:gridCol w:w="2268"/>
        <w:gridCol w:w="5812"/>
        <w:tblGridChange w:id="0">
          <w:tblGrid>
            <w:gridCol w:w="1129"/>
            <w:gridCol w:w="2268"/>
            <w:gridCol w:w="5812"/>
          </w:tblGrid>
        </w:tblGridChange>
      </w:tblGrid>
      <w:tr>
        <w:trPr>
          <w:cantSplit w:val="0"/>
          <w:trHeight w:val="545" w:hRule="atLeast"/>
          <w:tblHeader w:val="1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E">
            <w:pPr>
              <w:jc w:val="center"/>
              <w:rPr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VERSIÓN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F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FECHA DE ENTRADA EN VIGENCIA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0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NATURALEZA DEL CAMBIO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31/08/2025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3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El documento ha sido actualizado para incluir la clasificación de la información, la cual debe realizarse conforme a las directrices establecidas en el documento GOR-G-015 Guía Etiquetado de Información, disponible en la herramienta de gestión del SIGA.</w:t>
            </w:r>
          </w:p>
          <w:p w:rsidR="00000000" w:rsidDel="00000000" w:rsidP="00000000" w:rsidRDefault="00000000" w:rsidRPr="00000000" w14:paraId="00000054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Se realizan ajustes menores en el documento.</w:t>
            </w:r>
          </w:p>
        </w:tc>
      </w:tr>
    </w:tbl>
    <w:p w:rsidR="00000000" w:rsidDel="00000000" w:rsidP="00000000" w:rsidRDefault="00000000" w:rsidRPr="00000000" w14:paraId="0000005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b w:val="1"/>
          <w:bCs w:val="1"/>
          <w:sz w:val="18"/>
          <w:szCs w:val="18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5840" w:w="12240" w:orient="portrait"/>
      <w:pgMar w:bottom="1701" w:top="1701" w:left="1418" w:right="1418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rPr>
        <w:color w:val="000000"/>
      </w:rPr>
    </w:pPr>
    <w:r w:rsidDel="00000000" w:rsidR="00000000" w:rsidRPr="00000000">
      <w:rPr>
        <w:color w:val="000000"/>
        <w:rtl w:val="0"/>
      </w:rPr>
      <w:t xml:space="preserve">[Escriba texto][Escriba texto][Escriba texto]</w: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right"/>
      <w:rPr>
        <w:color w:val="000000"/>
        <w:sz w:val="20"/>
        <w:szCs w:val="20"/>
      </w:rPr>
    </w:pPr>
    <w:r w:rsidDel="00000000" w:rsidR="00000000" w:rsidRPr="00000000">
      <w:rPr>
        <w:color w:val="000000"/>
        <w:sz w:val="20"/>
        <w:szCs w:val="2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color w:val="000000"/>
        <w:sz w:val="20"/>
        <w:szCs w:val="20"/>
      </w:rPr>
    </w:pPr>
    <w:r w:rsidDel="00000000" w:rsidR="00000000" w:rsidRPr="00000000">
      <w:rPr>
        <w:color w:val="000000"/>
        <w:sz w:val="20"/>
        <w:szCs w:val="20"/>
        <w:rtl w:val="0"/>
      </w:rPr>
      <w:t xml:space="preserve">GCCON-F-075 V.03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rPr>
        <w:color w:val="000000"/>
      </w:rPr>
    </w:pPr>
    <w:r w:rsidDel="00000000" w:rsidR="00000000" w:rsidRPr="00000000">
      <w:rPr>
        <w:color w:val="000000"/>
        <w:rtl w:val="0"/>
      </w:rPr>
      <w:t xml:space="preserve">[Escriba texto][Escriba texto][Escriba texto]</w:t>
    </w:r>
  </w:p>
  <w:p w:rsidR="00000000" w:rsidDel="00000000" w:rsidP="00000000" w:rsidRDefault="00000000" w:rsidRPr="00000000" w14:paraId="0000005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rPr>
        <w:color w:val="000000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2658707</wp:posOffset>
          </wp:positionH>
          <wp:positionV relativeFrom="paragraph">
            <wp:posOffset>37465</wp:posOffset>
          </wp:positionV>
          <wp:extent cx="528955" cy="517525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28955" cy="51752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5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)"/>
      <w:lvlJc w:val="left"/>
      <w:pPr>
        <w:ind w:left="1080" w:hanging="360"/>
      </w:pPr>
      <w:rPr/>
    </w:lvl>
    <w:lvl w:ilvl="1">
      <w:start w:val="1"/>
      <w:numFmt w:val="lowerLetter"/>
      <w:lvlText w:val="%2."/>
      <w:lvlJc w:val="left"/>
      <w:pPr>
        <w:ind w:left="1800" w:hanging="360"/>
      </w:pPr>
      <w:rPr/>
    </w:lvl>
    <w:lvl w:ilvl="2">
      <w:start w:val="1"/>
      <w:numFmt w:val="lowerRoman"/>
      <w:lvlText w:val="%3."/>
      <w:lvlJc w:val="right"/>
      <w:pPr>
        <w:ind w:left="2520" w:hanging="180"/>
      </w:pPr>
      <w:rPr/>
    </w:lvl>
    <w:lvl w:ilvl="3">
      <w:start w:val="1"/>
      <w:numFmt w:val="decimal"/>
      <w:lvlText w:val="%4."/>
      <w:lvlJc w:val="left"/>
      <w:pPr>
        <w:ind w:left="3240" w:hanging="360"/>
      </w:pPr>
      <w:rPr/>
    </w:lvl>
    <w:lvl w:ilvl="4">
      <w:start w:val="1"/>
      <w:numFmt w:val="lowerLetter"/>
      <w:lvlText w:val="%5."/>
      <w:lvlJc w:val="left"/>
      <w:pPr>
        <w:ind w:left="3960" w:hanging="360"/>
      </w:pPr>
      <w:rPr/>
    </w:lvl>
    <w:lvl w:ilvl="5">
      <w:start w:val="1"/>
      <w:numFmt w:val="lowerRoman"/>
      <w:lvlText w:val="%6."/>
      <w:lvlJc w:val="right"/>
      <w:pPr>
        <w:ind w:left="4680" w:hanging="180"/>
      </w:pPr>
      <w:rPr/>
    </w:lvl>
    <w:lvl w:ilvl="6">
      <w:start w:val="1"/>
      <w:numFmt w:val="decimal"/>
      <w:lvlText w:val="%7."/>
      <w:lvlJc w:val="left"/>
      <w:pPr>
        <w:ind w:left="5400" w:hanging="360"/>
      </w:pPr>
      <w:rPr/>
    </w:lvl>
    <w:lvl w:ilvl="7">
      <w:start w:val="1"/>
      <w:numFmt w:val="lowerLetter"/>
      <w:lvlText w:val="%8."/>
      <w:lvlJc w:val="left"/>
      <w:pPr>
        <w:ind w:left="6120" w:hanging="360"/>
      </w:pPr>
      <w:rPr/>
    </w:lvl>
    <w:lvl w:ilvl="8">
      <w:start w:val="1"/>
      <w:numFmt w:val="lowerRoman"/>
      <w:lvlText w:val="%9."/>
      <w:lvlJc w:val="right"/>
      <w:pPr>
        <w:ind w:left="684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spacing w:line="360" w:lineRule="auto"/>
      <w:jc w:val="center"/>
    </w:pPr>
    <w:rPr>
      <w:rFonts w:ascii="Arial" w:cs="Arial" w:eastAsia="Arial" w:hAnsi="Arial"/>
    </w:rPr>
  </w:style>
  <w:style w:type="paragraph" w:styleId="Heading2">
    <w:name w:val="heading 2"/>
    <w:basedOn w:val="Normal"/>
    <w:next w:val="Normal"/>
    <w:pPr>
      <w:spacing w:line="240" w:lineRule="auto"/>
      <w:jc w:val="center"/>
    </w:pPr>
    <w:rPr>
      <w:b w:val="1"/>
      <w:bCs w:val="1"/>
      <w:color w:val="ff6c00"/>
      <w:sz w:val="24"/>
      <w:szCs w:val="24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</w:pPr>
    <w:rPr>
      <w:b w:val="1"/>
      <w:bCs w:val="1"/>
      <w:i w:val="1"/>
      <w:iCs w:val="1"/>
      <w:color w:val="ff6c00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  <w:tblStylePr w:type="band1Horz">
      <w:tcPr>
        <w:shd w:fill="cccccc" w:val="clear"/>
      </w:tcPr>
    </w:tblStylePr>
    <w:tblStylePr w:type="band1Vert">
      <w:tcPr>
        <w:shd w:fill="cccccc" w:val="clear"/>
      </w:tcPr>
    </w:tblStylePr>
    <w:tblStylePr w:type="firstCol">
      <w:rPr>
        <w:b w:val="1"/>
        <w:bCs w:val="1"/>
      </w:rPr>
    </w:tblStylePr>
    <w:tblStylePr w:type="firstRow">
      <w:rPr>
        <w:b w:val="1"/>
        <w:bCs w:val="1"/>
        <w:color w:val="ffffff"/>
      </w:rPr>
      <w:tcPr>
        <w:tc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0" w:val="nil"/>
          <w:insideV w:color="000000" w:space="0" w:sz="0" w:val="nil"/>
        </w:tcBorders>
        <w:shd w:fill="000000" w:val="clear"/>
      </w:tcPr>
    </w:tblStylePr>
    <w:tblStylePr w:type="lastCol">
      <w:rPr>
        <w:b w:val="1"/>
        <w:bCs w:val="1"/>
      </w:rPr>
    </w:tblStylePr>
    <w:tblStylePr w:type="lastRow">
      <w:rPr>
        <w:b w:val="1"/>
        <w:bCs w:val="1"/>
      </w:rPr>
      <w:tcPr>
        <w:tcBorders>
          <w:top w:color="000000" w:space="0" w:sz="4" w:val="single"/>
        </w:tcBorders>
      </w:tcPr>
    </w:tblStylePr>
  </w:style>
  <w:style w:type="table" w:styleId="Table2">
    <w:basedOn w:val="TableNormal"/>
    <w:rPr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header" Target="header2.xml"/><Relationship Id="rId7" Type="http://schemas.openxmlformats.org/officeDocument/2006/relationships/header" Target="header1.xml"/><Relationship Id="rId8" Type="http://schemas.openxmlformats.org/officeDocument/2006/relationships/footer" Target="footer2.xml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