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tabs>
          <w:tab w:val="left" w:leader="none" w:pos="7780"/>
        </w:tabs>
        <w:spacing w:after="0" w:line="200" w:lineRule="auto"/>
        <w:ind w:right="-2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highlight w:val="lightGray"/>
          <w:rtl w:val="0"/>
        </w:rPr>
        <w:t xml:space="preserve">IDU-CMA-SGI-001-2026</w:t>
      </w: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419"/>
          <w:tab w:val="right" w:leader="none" w:pos="8838"/>
        </w:tabs>
        <w:spacing w:after="0" w:before="0" w:line="240" w:lineRule="auto"/>
        <w:ind w:left="0" w:right="0" w:firstLine="0"/>
        <w:jc w:val="right"/>
        <w:rPr>
          <w:rFonts w:ascii="Arial Narrow" w:cs="Arial Narrow" w:eastAsia="Arial Narrow" w:hAnsi="Arial Narrow"/>
          <w:b w:val="1"/>
          <w:bCs w:val="1"/>
          <w:i w:val="0"/>
          <w:iCs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firstLine="708"/>
        <w:jc w:val="center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ANEXO 4 — PACTO DE TRANSPARENCIA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Este documento hace parte integral de los Documentos del Proceso y con la firma de la carta de presentación de la propuesta el Proponente se compromete a: 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spacing w:line="240" w:lineRule="auto"/>
        <w:ind w:left="502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Cumplir estrictamente la Ley aplicable.</w:t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spacing w:line="240" w:lineRule="auto"/>
        <w:ind w:left="502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Interpretar de buena fe las normas aplicables a los procesos de contratación de manera que siempre produzcan los efectos buscados por las mismas.</w:t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spacing w:line="240" w:lineRule="auto"/>
        <w:ind w:left="502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No incurrir en faltas a la verdad o adulteración en los documentos o requisitos exigidos en el proceso de contratación.</w:t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spacing w:line="240" w:lineRule="auto"/>
        <w:ind w:left="502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Igualmente se acepta que, durante la evaluación de las propuestas del proceso de contratación, primen los aspectos de fondo por encima de la forma, buscando siempre favorecer la libre competencia.</w:t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spacing w:line="240" w:lineRule="auto"/>
        <w:ind w:left="502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Hacer un estudio completo del proyecto y de los documentos del proceso de contratación,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me permita ejecutar todas las obligaciones contenidas en el Contrato, así como asumir los riesgos a mi cargo asociados a la ejecución de este. </w:t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spacing w:line="240" w:lineRule="auto"/>
        <w:ind w:left="502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Respetar el régimen de libre competencia económica, lo que implica no hacer acuerdos o arreglos previos, concomitantes o posteriores al Proceso de contratación con los encargados de planear el Proceso para tratar de conocer, influenciar o manipular información del proyecto, en favor propio o de un tercero, con el fin de direccionar el Proceso de Contratación y/o obtener ventajas al presentar la respectiva propuesta. </w:t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spacing w:line="240" w:lineRule="auto"/>
        <w:ind w:left="502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Respetar el régimen de libre competencia, lo que implica no realizar acuerdos o arreglos que tengan por objeto la colusión en el proceso de contratación o que tengan como efecto la distribución de adjudicaciones de contratos, distribución de concursos o fijación de términos de las propuestas. En general, no hacer acuerdos con el fin influenciar o manipular los resultados de la adjudicación. </w:t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spacing w:line="240" w:lineRule="auto"/>
        <w:ind w:left="502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Enviar por escrito a la entidad todas las preguntas o inquietudes que surjan durante el proceso de contratación y no hacerlo de manera oral por ningún medio, salvo que se realicen dentro de las audiencias públicas. </w:t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spacing w:line="240" w:lineRule="auto"/>
        <w:ind w:left="502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Actuar con lealtad hacia los demás proponentes, así como frente a la entidad y abstenernos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spacing w:line="240" w:lineRule="auto"/>
        <w:ind w:left="502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Abstenernos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Entidad para corroborar tales afirmaciones.</w:t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spacing w:line="240" w:lineRule="auto"/>
        <w:ind w:left="502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No utilizar en la etapa de verificación y evaluación de las propuestas, argumentos carentes de sustento probatorio para efectos de buscar la descalificación de competidores o la dilación del Proceso de selección.</w:t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spacing w:line="240" w:lineRule="auto"/>
        <w:ind w:left="502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En las audiencias guardar compostura, no levantar la voz y hacer uso de la palabra únicamente cuando sea concedida y por el tiempo que sea concedida; y acatar las decisiones de la entidad. En caso de desacuerdo interponer los recursos o acciones que se consideren pertinentes en los términos de la Ley Aplicable.</w:t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spacing w:line="240" w:lineRule="auto"/>
        <w:ind w:left="502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En las audiencias, abstenernos de proferir juicios de valor contra personas naturales o jurídicas, ni referirnos a asuntos personales de otros proponentes. Por lo tanto, en las audiencias solamente debatiremos asuntos relacionados con el proceso de contratación</w: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spacing w:line="240" w:lineRule="auto"/>
        <w:ind w:left="502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Solicitar o remitir a la Entidad, o a sus funcionarios y contratistas, cualquier información utilizando solamente los procesos y canales previstos en el Proceso de Contratación. </w:t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spacing w:line="240" w:lineRule="auto"/>
        <w:ind w:left="502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No ofrecer trabajo, contratos o algún tipo de beneficio económico o de cualquier otra naturaleza a ningún funcionario público, contratista o estructurador, vinculado a la entidad ni a sus familiares en primer grado de consanguinidad, segundo de afinidad o primero civil, a partir de la adjudicación o con ocasión de la misma, y hasta dos (2) años siguientes a la suscripción del Contrato, sin perjuicio del régimen de conflictos de intereses y de inhabilidades e incompatibilidades previsto en la Constitución y en la Ley.</w:t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spacing w:line="240" w:lineRule="auto"/>
        <w:ind w:left="502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spacing w:line="240" w:lineRule="auto"/>
        <w:ind w:left="502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spacing w:line="240" w:lineRule="auto"/>
        <w:ind w:left="502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No contratar, ni ofrecer dádivas, regalos o gratificaciones a personas con alta capacidad de influencia política o mediática, con el objeto de obtener citas o influir o presionar las decisiones que la Entidad tome respecto de Procesos de contratación estatal, bien sea en su adjudicación, supervisión o terminación. </w:t>
      </w:r>
    </w:p>
    <w:p w:rsidR="00000000" w:rsidDel="00000000" w:rsidP="00000000" w:rsidRDefault="00000000" w:rsidRPr="00000000" w14:paraId="00000018">
      <w:pPr>
        <w:numPr>
          <w:ilvl w:val="0"/>
          <w:numId w:val="1"/>
        </w:numPr>
        <w:spacing w:line="240" w:lineRule="auto"/>
        <w:ind w:left="502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La Entidad siempre se manifestará sobre las inquietudes relacionadas con el Proceso de selección por los canales definidos en los documentos del Proceso. </w:t>
      </w:r>
    </w:p>
    <w:p w:rsidR="00000000" w:rsidDel="00000000" w:rsidP="00000000" w:rsidRDefault="00000000" w:rsidRPr="00000000" w14:paraId="00000019">
      <w:pPr>
        <w:numPr>
          <w:ilvl w:val="0"/>
          <w:numId w:val="1"/>
        </w:numPr>
        <w:spacing w:line="240" w:lineRule="auto"/>
        <w:ind w:left="502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No contratar ni ofrecer dádivas, regalos, gratificaciones, contratos o cualquier tipo de beneficio económico o de cualquier naturaleza, a servidores de la Entidad o sus asesores, o del equipo estructurador, con el fin de tener asesoramiento o acceso a información privilegiada, relacionada con el Proceso de selección. </w:t>
      </w:r>
    </w:p>
    <w:p w:rsidR="00000000" w:rsidDel="00000000" w:rsidP="00000000" w:rsidRDefault="00000000" w:rsidRPr="00000000" w14:paraId="0000001A">
      <w:pPr>
        <w:numPr>
          <w:ilvl w:val="0"/>
          <w:numId w:val="1"/>
        </w:numPr>
        <w:spacing w:line="240" w:lineRule="auto"/>
        <w:ind w:left="502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Dar conocimiento a la entidad,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Contrato, y del conocimiento que tenga sobre posibles pagos o beneficios ofrecidos u otorgados. </w:t>
      </w:r>
    </w:p>
    <w:p w:rsidR="00000000" w:rsidDel="00000000" w:rsidP="00000000" w:rsidRDefault="00000000" w:rsidRPr="00000000" w14:paraId="0000001B">
      <w:pPr>
        <w:numPr>
          <w:ilvl w:val="0"/>
          <w:numId w:val="1"/>
        </w:numPr>
        <w:spacing w:line="240" w:lineRule="auto"/>
        <w:ind w:left="502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</w:p>
    <w:p w:rsidR="00000000" w:rsidDel="00000000" w:rsidP="00000000" w:rsidRDefault="00000000" w:rsidRPr="00000000" w14:paraId="0000001C">
      <w:pPr>
        <w:spacing w:line="240" w:lineRule="auto"/>
        <w:ind w:left="502" w:firstLine="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5840" w:w="12240" w:orient="portrait"/>
      <w:pgMar w:bottom="1418" w:top="1418" w:left="1701" w:right="1701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Arial Narrow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F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sz w:val="16"/>
        <w:szCs w:val="16"/>
      </w:rPr>
    </w:pPr>
    <w:r w:rsidDel="00000000" w:rsidR="00000000" w:rsidRPr="00000000">
      <w:rPr>
        <w:rtl w:val="0"/>
      </w:rPr>
    </w:r>
  </w:p>
  <w:tbl>
    <w:tblPr>
      <w:tblStyle w:val="Table2"/>
      <w:tblW w:w="6331.0" w:type="dxa"/>
      <w:jc w:val="left"/>
      <w:tblBorders>
        <w:top w:color="000000" w:space="0" w:sz="4" w:val="dotted"/>
        <w:left w:color="000000" w:space="0" w:sz="4" w:val="dotted"/>
        <w:bottom w:color="000000" w:space="0" w:sz="4" w:val="dotted"/>
        <w:right w:color="000000" w:space="0" w:sz="4" w:val="dotted"/>
        <w:insideH w:color="000000" w:space="0" w:sz="4" w:val="dotted"/>
        <w:insideV w:color="000000" w:space="0" w:sz="4" w:val="dotted"/>
      </w:tblBorders>
      <w:tblLayout w:type="fixed"/>
      <w:tblLook w:val="0000"/>
    </w:tblPr>
    <w:tblGrid>
      <w:gridCol w:w="2370"/>
      <w:gridCol w:w="767"/>
      <w:gridCol w:w="1922"/>
      <w:gridCol w:w="991"/>
      <w:gridCol w:w="281"/>
      <w:tblGridChange w:id="0">
        <w:tblGrid>
          <w:gridCol w:w="2370"/>
          <w:gridCol w:w="767"/>
          <w:gridCol w:w="1922"/>
          <w:gridCol w:w="991"/>
          <w:gridCol w:w="281"/>
        </w:tblGrid>
      </w:tblGridChange>
    </w:tblGrid>
    <w:tr>
      <w:trPr>
        <w:cantSplit w:val="0"/>
        <w:trHeight w:val="340" w:hRule="atLeast"/>
        <w:tblHeader w:val="0"/>
      </w:trPr>
      <w:tc>
        <w:tcPr>
          <w:vAlign w:val="center"/>
        </w:tcPr>
        <w:p w:rsidR="00000000" w:rsidDel="00000000" w:rsidP="00000000" w:rsidRDefault="00000000" w:rsidRPr="00000000" w14:paraId="00000030">
          <w:pPr>
            <w:spacing w:after="4" w:line="249" w:lineRule="auto"/>
            <w:ind w:left="10" w:hanging="10"/>
            <w:jc w:val="center"/>
            <w:rPr>
              <w:rFonts w:ascii="Arial" w:cs="Arial" w:eastAsia="Arial" w:hAnsi="Arial"/>
              <w:b w:val="1"/>
              <w:bCs w:val="1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sz w:val="16"/>
              <w:szCs w:val="16"/>
              <w:rtl w:val="0"/>
            </w:rPr>
            <w:t xml:space="preserve">IDU-CMA-</w:t>
          </w:r>
          <w:r w:rsidDel="00000000" w:rsidR="00000000" w:rsidRPr="00000000">
            <w:rPr>
              <w:rFonts w:ascii="Arial" w:cs="Arial" w:eastAsia="Arial" w:hAnsi="Arial"/>
              <w:b w:val="1"/>
              <w:bCs w:val="1"/>
              <w:sz w:val="16"/>
              <w:szCs w:val="16"/>
              <w:highlight w:val="lightGray"/>
              <w:rtl w:val="0"/>
            </w:rPr>
            <w:t xml:space="preserve">SGI-001-2026</w:t>
          </w:r>
          <w:r w:rsidDel="00000000" w:rsidR="00000000" w:rsidRPr="00000000">
            <w:rPr>
              <w:rtl w:val="0"/>
            </w:rPr>
          </w:r>
        </w:p>
      </w:tc>
      <w:tc>
        <w:tcPr>
          <w:shd w:fill="auto" w:val="clear"/>
          <w:vAlign w:val="center"/>
        </w:tcPr>
        <w:p w:rsidR="00000000" w:rsidDel="00000000" w:rsidP="00000000" w:rsidRDefault="00000000" w:rsidRPr="00000000" w14:paraId="00000031">
          <w:pPr>
            <w:spacing w:after="4" w:line="249" w:lineRule="auto"/>
            <w:ind w:left="10" w:hanging="10"/>
            <w:jc w:val="center"/>
            <w:rPr>
              <w:rFonts w:ascii="Arial" w:cs="Arial" w:eastAsia="Arial" w:hAnsi="Arial"/>
              <w:b w:val="1"/>
              <w:bCs w:val="1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sz w:val="16"/>
              <w:szCs w:val="16"/>
              <w:rtl w:val="0"/>
            </w:rPr>
            <w:t xml:space="preserve">Código</w:t>
          </w:r>
        </w:p>
      </w:tc>
      <w:tc>
        <w:tcPr>
          <w:shd w:fill="auto" w:val="clear"/>
          <w:vAlign w:val="center"/>
        </w:tcPr>
        <w:p w:rsidR="00000000" w:rsidDel="00000000" w:rsidP="00000000" w:rsidRDefault="00000000" w:rsidRPr="00000000" w14:paraId="00000032">
          <w:pPr>
            <w:spacing w:after="4" w:line="249" w:lineRule="auto"/>
            <w:ind w:left="10" w:hanging="10"/>
            <w:jc w:val="center"/>
            <w:rPr>
              <w:rFonts w:ascii="Arial" w:cs="Arial" w:eastAsia="Arial" w:hAnsi="Arial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sz w:val="16"/>
              <w:szCs w:val="16"/>
              <w:rtl w:val="0"/>
            </w:rPr>
            <w:t xml:space="preserve">CCE-EICP-IDI-25</w:t>
          </w:r>
        </w:p>
      </w:tc>
      <w:tc>
        <w:tcPr>
          <w:shd w:fill="auto" w:val="clear"/>
          <w:vAlign w:val="center"/>
        </w:tcPr>
        <w:p w:rsidR="00000000" w:rsidDel="00000000" w:rsidP="00000000" w:rsidRDefault="00000000" w:rsidRPr="00000000" w14:paraId="00000033">
          <w:pPr>
            <w:spacing w:after="4" w:line="249" w:lineRule="auto"/>
            <w:ind w:left="10" w:hanging="10"/>
            <w:jc w:val="center"/>
            <w:rPr>
              <w:rFonts w:ascii="Arial" w:cs="Arial" w:eastAsia="Arial" w:hAnsi="Arial"/>
              <w:b w:val="1"/>
              <w:bCs w:val="1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sz w:val="16"/>
              <w:szCs w:val="16"/>
              <w:rtl w:val="0"/>
            </w:rPr>
            <w:t xml:space="preserve">Versión</w:t>
          </w:r>
        </w:p>
      </w:tc>
      <w:tc>
        <w:tcPr>
          <w:shd w:fill="auto" w:val="clear"/>
          <w:vAlign w:val="center"/>
        </w:tcPr>
        <w:p w:rsidR="00000000" w:rsidDel="00000000" w:rsidP="00000000" w:rsidRDefault="00000000" w:rsidRPr="00000000" w14:paraId="00000034">
          <w:pPr>
            <w:spacing w:after="4" w:line="249" w:lineRule="auto"/>
            <w:ind w:left="10" w:hanging="10"/>
            <w:jc w:val="center"/>
            <w:rPr>
              <w:rFonts w:ascii="Arial" w:cs="Arial" w:eastAsia="Arial" w:hAnsi="Arial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sz w:val="16"/>
              <w:szCs w:val="16"/>
              <w:rtl w:val="0"/>
            </w:rPr>
            <w:t xml:space="preserve">3</w:t>
          </w:r>
        </w:p>
      </w:tc>
    </w:tr>
  </w:tbl>
  <w:p w:rsidR="00000000" w:rsidDel="00000000" w:rsidP="00000000" w:rsidRDefault="00000000" w:rsidRPr="00000000" w14:paraId="0000003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D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rial" w:cs="Arial" w:eastAsia="Arial" w:hAnsi="Arial"/>
        <w:sz w:val="20"/>
        <w:szCs w:val="20"/>
      </w:rPr>
    </w:pPr>
    <w:r w:rsidDel="00000000" w:rsidR="00000000" w:rsidRPr="00000000">
      <w:rPr>
        <w:rtl w:val="0"/>
      </w:rPr>
    </w:r>
  </w:p>
  <w:tbl>
    <w:tblPr>
      <w:tblStyle w:val="Table1"/>
      <w:tblW w:w="8828.0" w:type="dxa"/>
      <w:jc w:val="center"/>
      <w:tblBorders>
        <w:top w:color="000000" w:space="0" w:sz="4" w:val="dotted"/>
        <w:left w:color="000000" w:space="0" w:sz="4" w:val="dotted"/>
        <w:bottom w:color="000000" w:space="0" w:sz="4" w:val="dotted"/>
        <w:right w:color="000000" w:space="0" w:sz="4" w:val="dotted"/>
        <w:insideH w:color="000000" w:space="0" w:sz="4" w:val="dotted"/>
        <w:insideV w:color="000000" w:space="0" w:sz="4" w:val="dotted"/>
      </w:tblBorders>
      <w:tblLayout w:type="fixed"/>
      <w:tblLook w:val="0000"/>
    </w:tblPr>
    <w:tblGrid>
      <w:gridCol w:w="2072"/>
      <w:gridCol w:w="1465"/>
      <w:gridCol w:w="3212"/>
      <w:gridCol w:w="742"/>
      <w:gridCol w:w="1337"/>
      <w:tblGridChange w:id="0">
        <w:tblGrid>
          <w:gridCol w:w="2072"/>
          <w:gridCol w:w="1465"/>
          <w:gridCol w:w="3212"/>
          <w:gridCol w:w="742"/>
          <w:gridCol w:w="1337"/>
        </w:tblGrid>
      </w:tblGridChange>
    </w:tblGrid>
    <w:tr>
      <w:trPr>
        <w:cantSplit w:val="0"/>
        <w:trHeight w:val="124" w:hRule="atLeast"/>
        <w:tblHeader w:val="0"/>
      </w:trPr>
      <w:tc>
        <w:tcPr>
          <w:vMerge w:val="restart"/>
          <w:vAlign w:val="center"/>
        </w:tcPr>
        <w:p w:rsidR="00000000" w:rsidDel="00000000" w:rsidP="00000000" w:rsidRDefault="00000000" w:rsidRPr="00000000" w14:paraId="0000001E">
          <w:pPr>
            <w:jc w:val="center"/>
            <w:rPr>
              <w:rFonts w:ascii="Arial" w:cs="Arial" w:eastAsia="Arial" w:hAnsi="Arial"/>
              <w:b w:val="1"/>
              <w:bCs w:val="1"/>
              <w:color w:val="000000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sz w:val="20"/>
              <w:szCs w:val="20"/>
            </w:rPr>
            <w:drawing>
              <wp:inline distB="0" distT="0" distL="0" distR="0">
                <wp:extent cx="1080000" cy="553758"/>
                <wp:effectExtent b="0" l="0" r="0" t="0"/>
                <wp:docPr id="5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0000" cy="553758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gridSpan w:val="4"/>
          <w:shd w:fill="auto" w:val="clear"/>
          <w:vAlign w:val="center"/>
        </w:tcPr>
        <w:p w:rsidR="00000000" w:rsidDel="00000000" w:rsidP="00000000" w:rsidRDefault="00000000" w:rsidRPr="00000000" w14:paraId="0000001F">
          <w:pPr>
            <w:jc w:val="center"/>
            <w:rPr>
              <w:rFonts w:ascii="Arial" w:cs="Arial" w:eastAsia="Arial" w:hAnsi="Arial"/>
              <w:b w:val="1"/>
              <w:bCs w:val="1"/>
              <w:color w:val="000000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color w:val="000000"/>
              <w:sz w:val="16"/>
              <w:szCs w:val="16"/>
              <w:rtl w:val="0"/>
            </w:rPr>
            <w:t xml:space="preserve">ANEXO 4— PACTO DE TRANSPARENCIA</w:t>
          </w:r>
        </w:p>
        <w:p w:rsidR="00000000" w:rsidDel="00000000" w:rsidP="00000000" w:rsidRDefault="00000000" w:rsidRPr="00000000" w14:paraId="00000020">
          <w:pPr>
            <w:jc w:val="center"/>
            <w:rPr>
              <w:color w:val="000000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color w:val="000000"/>
              <w:sz w:val="16"/>
              <w:szCs w:val="16"/>
              <w:rtl w:val="0"/>
            </w:rPr>
            <w:t xml:space="preserve">INTERVENTORÍA DE OBRA PÚBLICA DE INFRAESTRUCTURA DE TRANSPORTE- VERSIÓN 3</w:t>
          </w:r>
          <w:r w:rsidDel="00000000" w:rsidR="00000000" w:rsidRPr="00000000">
            <w:rPr>
              <w:rtl w:val="0"/>
            </w:rPr>
          </w:r>
        </w:p>
      </w:tc>
    </w:tr>
    <w:tr>
      <w:trPr>
        <w:cantSplit w:val="0"/>
        <w:trHeight w:val="198" w:hRule="atLeast"/>
        <w:tblHeader w:val="0"/>
      </w:trPr>
      <w:tc>
        <w:tcPr>
          <w:vMerge w:val="continue"/>
          <w:vAlign w:val="center"/>
        </w:tcPr>
        <w:p w:rsidR="00000000" w:rsidDel="00000000" w:rsidP="00000000" w:rsidRDefault="00000000" w:rsidRPr="00000000" w14:paraId="00000024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color w:val="000000"/>
              <w:sz w:val="16"/>
              <w:szCs w:val="16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shd w:fill="auto" w:val="clear"/>
          <w:vAlign w:val="center"/>
        </w:tcPr>
        <w:p w:rsidR="00000000" w:rsidDel="00000000" w:rsidP="00000000" w:rsidRDefault="00000000" w:rsidRPr="00000000" w14:paraId="00000025">
          <w:pPr>
            <w:rPr>
              <w:rFonts w:ascii="Arial" w:cs="Arial" w:eastAsia="Arial" w:hAnsi="Arial"/>
              <w:b w:val="1"/>
              <w:bCs w:val="1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sz w:val="16"/>
              <w:szCs w:val="16"/>
              <w:rtl w:val="0"/>
            </w:rPr>
            <w:t xml:space="preserve">Código</w:t>
          </w:r>
        </w:p>
      </w:tc>
      <w:tc>
        <w:tcPr>
          <w:shd w:fill="auto" w:val="clear"/>
          <w:vAlign w:val="center"/>
        </w:tcPr>
        <w:p w:rsidR="00000000" w:rsidDel="00000000" w:rsidP="00000000" w:rsidRDefault="00000000" w:rsidRPr="00000000" w14:paraId="00000026">
          <w:pPr>
            <w:rPr>
              <w:rFonts w:ascii="Arial" w:cs="Arial" w:eastAsia="Arial" w:hAnsi="Arial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sz w:val="16"/>
              <w:szCs w:val="16"/>
              <w:rtl w:val="0"/>
            </w:rPr>
            <w:t xml:space="preserve">CCE-EICP-IDI-25</w:t>
          </w:r>
        </w:p>
      </w:tc>
      <w:tc>
        <w:tcPr>
          <w:shd w:fill="auto" w:val="clear"/>
          <w:vAlign w:val="center"/>
        </w:tcPr>
        <w:p w:rsidR="00000000" w:rsidDel="00000000" w:rsidP="00000000" w:rsidRDefault="00000000" w:rsidRPr="00000000" w14:paraId="00000027">
          <w:pPr>
            <w:jc w:val="center"/>
            <w:rPr>
              <w:rFonts w:ascii="Arial" w:cs="Arial" w:eastAsia="Arial" w:hAnsi="Arial"/>
              <w:b w:val="1"/>
              <w:bCs w:val="1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sz w:val="16"/>
              <w:szCs w:val="16"/>
              <w:rtl w:val="0"/>
            </w:rPr>
            <w:t xml:space="preserve">Página</w:t>
          </w:r>
        </w:p>
      </w:tc>
      <w:tc>
        <w:tcPr>
          <w:shd w:fill="auto" w:val="clear"/>
          <w:vAlign w:val="center"/>
        </w:tcPr>
        <w:p w:rsidR="00000000" w:rsidDel="00000000" w:rsidP="00000000" w:rsidRDefault="00000000" w:rsidRPr="00000000" w14:paraId="00000028">
          <w:pPr>
            <w:rPr>
              <w:rFonts w:ascii="Arial" w:cs="Arial" w:eastAsia="Arial" w:hAnsi="Arial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sz w:val="16"/>
              <w:szCs w:val="16"/>
            </w:rPr>
            <w:fldChar w:fldCharType="begin"/>
            <w:instrText xml:space="preserve">PAGE</w:instrText>
            <w:fldChar w:fldCharType="separate"/>
            <w:fldChar w:fldCharType="end"/>
          </w:r>
          <w:r w:rsidDel="00000000" w:rsidR="00000000" w:rsidRPr="00000000">
            <w:rPr>
              <w:rFonts w:ascii="Arial" w:cs="Arial" w:eastAsia="Arial" w:hAnsi="Arial"/>
              <w:sz w:val="16"/>
              <w:szCs w:val="16"/>
              <w:rtl w:val="0"/>
            </w:rPr>
            <w:t xml:space="preserve"> de </w:t>
          </w:r>
          <w:r w:rsidDel="00000000" w:rsidR="00000000" w:rsidRPr="00000000">
            <w:rPr>
              <w:rFonts w:ascii="Arial" w:cs="Arial" w:eastAsia="Arial" w:hAnsi="Arial"/>
              <w:sz w:val="16"/>
              <w:szCs w:val="16"/>
            </w:rPr>
            <w:fldChar w:fldCharType="begin"/>
            <w:instrText xml:space="preserve">NUMPAGES</w:instrText>
            <w:fldChar w:fldCharType="separate"/>
            <w:fldChar w:fldCharType="end"/>
          </w:r>
          <w:r w:rsidDel="00000000" w:rsidR="00000000" w:rsidRPr="00000000">
            <w:rPr>
              <w:rtl w:val="0"/>
            </w:rPr>
          </w:r>
        </w:p>
      </w:tc>
    </w:tr>
    <w:tr>
      <w:trPr>
        <w:cantSplit w:val="0"/>
        <w:trHeight w:val="62" w:hRule="atLeast"/>
        <w:tblHeader w:val="0"/>
      </w:trPr>
      <w:tc>
        <w:tcPr>
          <w:vMerge w:val="continue"/>
          <w:vAlign w:val="center"/>
        </w:tcPr>
        <w:p w:rsidR="00000000" w:rsidDel="00000000" w:rsidP="00000000" w:rsidRDefault="00000000" w:rsidRPr="00000000" w14:paraId="00000029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Arial" w:cs="Arial" w:eastAsia="Arial" w:hAnsi="Arial"/>
              <w:sz w:val="16"/>
              <w:szCs w:val="16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shd w:fill="auto" w:val="clear"/>
          <w:vAlign w:val="center"/>
        </w:tcPr>
        <w:p w:rsidR="00000000" w:rsidDel="00000000" w:rsidP="00000000" w:rsidRDefault="00000000" w:rsidRPr="00000000" w14:paraId="0000002A">
          <w:pPr>
            <w:rPr>
              <w:rFonts w:ascii="Arial" w:cs="Arial" w:eastAsia="Arial" w:hAnsi="Arial"/>
              <w:b w:val="1"/>
              <w:bCs w:val="1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sz w:val="16"/>
              <w:szCs w:val="16"/>
              <w:rtl w:val="0"/>
            </w:rPr>
            <w:t xml:space="preserve">Versión No.</w:t>
          </w:r>
        </w:p>
      </w:tc>
      <w:tc>
        <w:tcPr>
          <w:gridSpan w:val="3"/>
          <w:shd w:fill="auto" w:val="clear"/>
          <w:vAlign w:val="center"/>
        </w:tcPr>
        <w:p w:rsidR="00000000" w:rsidDel="00000000" w:rsidP="00000000" w:rsidRDefault="00000000" w:rsidRPr="00000000" w14:paraId="0000002B">
          <w:pPr>
            <w:rPr>
              <w:rFonts w:ascii="Arial" w:cs="Arial" w:eastAsia="Arial" w:hAnsi="Arial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sz w:val="16"/>
              <w:szCs w:val="16"/>
              <w:rtl w:val="0"/>
            </w:rPr>
            <w:t xml:space="preserve">3</w:t>
          </w:r>
        </w:p>
      </w:tc>
    </w:tr>
  </w:tbl>
  <w:p w:rsidR="00000000" w:rsidDel="00000000" w:rsidP="00000000" w:rsidRDefault="00000000" w:rsidRPr="00000000" w14:paraId="0000002E">
    <w:pPr>
      <w:rPr>
        <w:sz w:val="16"/>
        <w:szCs w:val="16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lowerRoman"/>
      <w:lvlText w:val="%1."/>
      <w:lvlJc w:val="right"/>
      <w:pPr>
        <w:ind w:left="502" w:hanging="360"/>
      </w:pPr>
      <w:rPr/>
    </w:lvl>
    <w:lvl w:ilvl="1">
      <w:start w:val="1"/>
      <w:numFmt w:val="lowerLetter"/>
      <w:lvlText w:val="%2."/>
      <w:lvlJc w:val="left"/>
      <w:pPr>
        <w:ind w:left="1156" w:hanging="360"/>
      </w:pPr>
      <w:rPr/>
    </w:lvl>
    <w:lvl w:ilvl="2">
      <w:start w:val="1"/>
      <w:numFmt w:val="lowerRoman"/>
      <w:lvlText w:val="%3."/>
      <w:lvlJc w:val="right"/>
      <w:pPr>
        <w:ind w:left="1876" w:hanging="180"/>
      </w:pPr>
      <w:rPr/>
    </w:lvl>
    <w:lvl w:ilvl="3">
      <w:start w:val="1"/>
      <w:numFmt w:val="decimal"/>
      <w:lvlText w:val="%4."/>
      <w:lvlJc w:val="left"/>
      <w:pPr>
        <w:ind w:left="2596" w:hanging="360"/>
      </w:pPr>
      <w:rPr/>
    </w:lvl>
    <w:lvl w:ilvl="4">
      <w:start w:val="1"/>
      <w:numFmt w:val="lowerLetter"/>
      <w:lvlText w:val="%5."/>
      <w:lvlJc w:val="left"/>
      <w:pPr>
        <w:ind w:left="3316" w:hanging="360"/>
      </w:pPr>
      <w:rPr/>
    </w:lvl>
    <w:lvl w:ilvl="5">
      <w:start w:val="1"/>
      <w:numFmt w:val="lowerRoman"/>
      <w:lvlText w:val="%6."/>
      <w:lvlJc w:val="right"/>
      <w:pPr>
        <w:ind w:left="4036" w:hanging="180"/>
      </w:pPr>
      <w:rPr/>
    </w:lvl>
    <w:lvl w:ilvl="6">
      <w:start w:val="1"/>
      <w:numFmt w:val="decimal"/>
      <w:lvlText w:val="%7."/>
      <w:lvlJc w:val="left"/>
      <w:pPr>
        <w:ind w:left="4756" w:hanging="360"/>
      </w:pPr>
      <w:rPr/>
    </w:lvl>
    <w:lvl w:ilvl="7">
      <w:start w:val="1"/>
      <w:numFmt w:val="lowerLetter"/>
      <w:lvlText w:val="%8."/>
      <w:lvlJc w:val="left"/>
      <w:pPr>
        <w:ind w:left="5476" w:hanging="360"/>
      </w:pPr>
      <w:rPr/>
    </w:lvl>
    <w:lvl w:ilvl="8">
      <w:start w:val="1"/>
      <w:numFmt w:val="lowerRoman"/>
      <w:lvlText w:val="%9."/>
      <w:lvlJc w:val="right"/>
      <w:pPr>
        <w:ind w:left="6196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CO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character" w:styleId="Refdecomentario">
    <w:name w:val="annotation reference"/>
    <w:basedOn w:val="Fuentedeprrafopredeter"/>
    <w:uiPriority w:val="99"/>
    <w:semiHidden w:val="1"/>
    <w:unhideWhenUsed w:val="1"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 w:val="1"/>
    <w:rsid w:val="00D60C2A"/>
    <w:pPr>
      <w:spacing w:line="240" w:lineRule="auto"/>
    </w:pPr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 w:val="1"/>
    <w:unhideWhenUsed w:val="1"/>
    <w:rsid w:val="00D60C2A"/>
    <w:rPr>
      <w:b w:val="1"/>
      <w:bCs w:val="1"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 w:val="1"/>
    <w:rsid w:val="00D60C2A"/>
    <w:rPr>
      <w:b w:val="1"/>
      <w:bCs w:val="1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 w:val="1"/>
    <w:unhideWhenUsed w:val="1"/>
    <w:rsid w:val="00D60C2A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 w:val="1"/>
    <w:rsid w:val="00D60C2A"/>
    <w:rPr>
      <w:rFonts w:ascii="Segoe UI" w:cs="Segoe UI" w:hAnsi="Segoe UI"/>
      <w:sz w:val="18"/>
      <w:szCs w:val="18"/>
    </w:rPr>
  </w:style>
  <w:style w:type="paragraph" w:styleId="InviasNormal" w:customStyle="1">
    <w:name w:val="Invias Normal"/>
    <w:basedOn w:val="Normal"/>
    <w:link w:val="InviasNormalCar"/>
    <w:qFormat w:val="1"/>
    <w:rsid w:val="002B36E3"/>
    <w:pPr>
      <w:tabs>
        <w:tab w:val="left" w:pos="-142"/>
      </w:tabs>
      <w:autoSpaceDE w:val="0"/>
      <w:autoSpaceDN w:val="0"/>
      <w:adjustRightInd w:val="0"/>
      <w:spacing w:after="240" w:before="120" w:line="240" w:lineRule="auto"/>
      <w:jc w:val="both"/>
    </w:pPr>
    <w:rPr>
      <w:rFonts w:ascii="Arial" w:cs="Arial" w:eastAsia="Times New Roman" w:hAnsi="Arial"/>
      <w:szCs w:val="24"/>
      <w:lang w:eastAsia="es-ES"/>
    </w:rPr>
  </w:style>
  <w:style w:type="character" w:styleId="InviasNormalCar" w:customStyle="1">
    <w:name w:val="Invias Normal Car"/>
    <w:link w:val="InviasNormal"/>
    <w:rsid w:val="002B36E3"/>
    <w:rPr>
      <w:rFonts w:ascii="Arial" w:cs="Arial" w:eastAsia="Times New Roman" w:hAnsi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 w:val="1"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cs="Times New Roman" w:eastAsia="Times New Roman" w:hAnsi="Arial"/>
      <w:szCs w:val="24"/>
      <w:lang w:eastAsia="es-ES"/>
    </w:rPr>
  </w:style>
  <w:style w:type="character" w:styleId="EncabezadoCar" w:customStyle="1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cs="Times New Roman" w:eastAsia="Times New Roman" w:hAnsi="Arial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 w:val="1"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6522CE"/>
  </w:style>
  <w:style w:type="table" w:styleId="Cuadrculadetablaclara1" w:customStyle="1">
    <w:name w:val="Cuadrícula de tabla clara1"/>
    <w:basedOn w:val="Tablanormal"/>
    <w:next w:val="Tablaconcuadrculaclara"/>
    <w:uiPriority w:val="99"/>
    <w:rsid w:val="002552BA"/>
    <w:pPr>
      <w:spacing w:after="0" w:line="240" w:lineRule="auto"/>
    </w:pPr>
    <w:rPr>
      <w:rFonts w:ascii="Calibri" w:cs="Times New Roman" w:eastAsia="Calibri" w:hAnsi="Calibri"/>
    </w:rPr>
    <w:tblPr>
      <w:tblBorders>
        <w:top w:color="bfbfbf" w:space="0" w:sz="4" w:val="single"/>
        <w:left w:color="bfbfbf" w:space="0" w:sz="4" w:val="single"/>
        <w:bottom w:color="bfbfbf" w:space="0" w:sz="4" w:val="single"/>
        <w:right w:color="bfbfbf" w:space="0" w:sz="4" w:val="single"/>
        <w:insideH w:color="bfbfbf" w:space="0" w:sz="4" w:val="single"/>
        <w:insideV w:color="bfbfbf" w:space="0" w:sz="4" w:val="single"/>
      </w:tblBorders>
    </w:tblPr>
  </w:style>
  <w:style w:type="table" w:styleId="Tablaconcuadrculaclara">
    <w:name w:val="Grid Table Light"/>
    <w:basedOn w:val="Tablanormal"/>
    <w:uiPriority w:val="40"/>
    <w:rsid w:val="002552BA"/>
    <w:pPr>
      <w:spacing w:after="0" w:line="240" w:lineRule="auto"/>
    </w:pPr>
    <w:tblPr>
      <w:tblBorders>
        <w:top w:color="bfbfbf" w:space="0" w:sz="4" w:themeColor="background1" w:themeShade="0000BF" w:val="single"/>
        <w:left w:color="bfbfbf" w:space="0" w:sz="4" w:themeColor="background1" w:themeShade="0000BF" w:val="single"/>
        <w:bottom w:color="bfbfbf" w:space="0" w:sz="4" w:themeColor="background1" w:themeShade="0000BF" w:val="single"/>
        <w:right w:color="bfbfbf" w:space="0" w:sz="4" w:themeColor="background1" w:themeShade="0000BF" w:val="single"/>
        <w:insideH w:color="bfbfbf" w:space="0" w:sz="4" w:themeColor="background1" w:themeShade="0000BF" w:val="single"/>
        <w:insideV w:color="bfbfbf" w:space="0" w:sz="4" w:themeColor="background1" w:themeShade="0000BF" w:val="single"/>
      </w:tblBorders>
    </w:tblPr>
  </w:style>
  <w:style w:type="paragraph" w:styleId="Revisin">
    <w:name w:val="Revision"/>
    <w:hidden w:val="1"/>
    <w:uiPriority w:val="99"/>
    <w:semiHidden w:val="1"/>
    <w:rsid w:val="005D5C11"/>
    <w:pPr>
      <w:spacing w:after="0" w:line="240" w:lineRule="auto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rPr>
      <w:rFonts w:ascii="Calibri" w:cs="Calibri" w:eastAsia="Calibri" w:hAnsi="Calibri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rPr>
      <w:rFonts w:ascii="Calibri" w:cs="Calibri" w:eastAsia="Calibri" w:hAnsi="Calibri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rialNarrow-regular.ttf"/><Relationship Id="rId2" Type="http://schemas.openxmlformats.org/officeDocument/2006/relationships/font" Target="fonts/ArialNarrow-bold.ttf"/><Relationship Id="rId3" Type="http://schemas.openxmlformats.org/officeDocument/2006/relationships/font" Target="fonts/ArialNarrow-italic.ttf"/><Relationship Id="rId4" Type="http://schemas.openxmlformats.org/officeDocument/2006/relationships/font" Target="fonts/ArialNarrow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mVVqbcylzdwEIjRumooa1Ha/nMA==">CgMxLjA4AHIhMWUzMDJJbWZCQmFETGM1c2RGQmtOb3VnZi1ia0ZMS0E3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2022-07-22T21:41:00Z</dcterms:created>
  <dc:creator>Ana María Bonilla Prieto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