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tabs>
          <w:tab w:val="left" w:leader="none" w:pos="709"/>
        </w:tabs>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MATRIZ 2 – INDICADORES FINANCIEROS Y ORGANIZACIONALES</w:t>
      </w:r>
    </w:p>
    <w:p w:rsidR="00000000" w:rsidDel="00000000" w:rsidP="00000000" w:rsidRDefault="00000000" w:rsidRPr="00000000" w14:paraId="00000002">
      <w:pPr>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CONSULTORÍA DE ESTUDIOS DE INGENIERÍA DE INFRAESTRUCTURA DE TRANSPORTE </w:t>
      </w:r>
    </w:p>
    <w:p w:rsidR="00000000" w:rsidDel="00000000" w:rsidP="00000000" w:rsidRDefault="00000000" w:rsidRPr="00000000" w14:paraId="00000003">
      <w:pPr>
        <w:rPr>
          <w:rFonts w:ascii="Arial" w:cs="Arial" w:eastAsia="Arial" w:hAnsi="Arial"/>
          <w:b w:val="1"/>
          <w:bCs w:val="1"/>
          <w:color w:val="3a3939"/>
          <w:sz w:val="20"/>
          <w:szCs w:val="20"/>
        </w:rPr>
      </w:pPr>
      <w:r w:rsidDel="00000000" w:rsidR="00000000" w:rsidRPr="00000000">
        <w:rPr>
          <w:rtl w:val="0"/>
        </w:rPr>
      </w:r>
    </w:p>
    <w:p w:rsidR="00000000" w:rsidDel="00000000" w:rsidP="00000000" w:rsidRDefault="00000000" w:rsidRPr="00000000" w14:paraId="00000004">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 Entidad de conformidad con los principios de transparencia, publicidad, responsabilidad y selección objetiva que rige en la contratación estatal, como una buena práctica institucional y de transparencia adopto las reglas transversales contenidas en los pliego tipo emitidos por al ANCP-CCE, esto es con la finalidad de establecer requisitos mínimos habilitantes de capacidad financiera y organizacional que sean proporcionales a las diferentes condiciones (presupuesto, plazo, etc)  de los procesos de selección de concurso de méritos para contratar los servicios de consultoría de  estudios de ingeniería de infraestructura de transporte que adelanten las Entidades, se establecieron indicadores de acuerdo con el presupuesto oficial del proceso de contratación:</w:t>
      </w:r>
    </w:p>
    <w:p w:rsidR="00000000" w:rsidDel="00000000" w:rsidP="00000000" w:rsidRDefault="00000000" w:rsidRPr="00000000" w14:paraId="00000005">
      <w:pPr>
        <w:jc w:val="both"/>
        <w:rPr>
          <w:rFonts w:ascii="Arial" w:cs="Arial" w:eastAsia="Arial" w:hAnsi="Arial"/>
          <w:sz w:val="20"/>
          <w:szCs w:val="20"/>
        </w:rPr>
      </w:pPr>
      <w:r w:rsidDel="00000000" w:rsidR="00000000" w:rsidRPr="00000000">
        <w:rPr>
          <w:rtl w:val="0"/>
        </w:rPr>
      </w:r>
    </w:p>
    <w:tbl>
      <w:tblPr>
        <w:tblStyle w:val="Table1"/>
        <w:tblW w:w="5240.0" w:type="dxa"/>
        <w:jc w:val="center"/>
        <w:tblLayout w:type="fixed"/>
        <w:tblLook w:val="0400"/>
      </w:tblPr>
      <w:tblGrid>
        <w:gridCol w:w="1129"/>
        <w:gridCol w:w="1330"/>
        <w:gridCol w:w="1364"/>
        <w:gridCol w:w="1417"/>
        <w:tblGridChange w:id="0">
          <w:tblGrid>
            <w:gridCol w:w="1129"/>
            <w:gridCol w:w="1330"/>
            <w:gridCol w:w="1364"/>
            <w:gridCol w:w="1417"/>
          </w:tblGrid>
        </w:tblGridChange>
      </w:tblGrid>
      <w:tr>
        <w:trPr>
          <w:cantSplit w:val="0"/>
          <w:trHeight w:val="20" w:hRule="atLeast"/>
          <w:tblHeader w:val="0"/>
        </w:trPr>
        <w:tc>
          <w:tcPr>
            <w:gridSpan w:val="2"/>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06">
            <w:pPr>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Rango 1</w:t>
            </w:r>
          </w:p>
        </w:tc>
        <w:tc>
          <w:tcPr>
            <w:gridSpan w:val="2"/>
            <w:tcBorders>
              <w:top w:color="000000" w:space="0" w:sz="4" w:val="single"/>
              <w:left w:color="000000" w:space="0" w:sz="0" w:val="nil"/>
              <w:bottom w:color="000000" w:space="0" w:sz="4" w:val="single"/>
              <w:right w:color="000000" w:space="0" w:sz="4" w:val="single"/>
            </w:tcBorders>
            <w:shd w:fill="f2f2f2" w:val="clear"/>
            <w:vAlign w:val="center"/>
          </w:tcPr>
          <w:p w:rsidR="00000000" w:rsidDel="00000000" w:rsidP="00000000" w:rsidRDefault="00000000" w:rsidRPr="00000000" w14:paraId="00000008">
            <w:pPr>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Rango 2</w:t>
            </w:r>
          </w:p>
        </w:tc>
      </w:tr>
      <w:tr>
        <w:trPr>
          <w:cantSplit w:val="0"/>
          <w:trHeight w:val="20" w:hRule="atLeast"/>
          <w:tblHeader w:val="0"/>
        </w:trPr>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00A">
            <w:pPr>
              <w:jc w:val="center"/>
              <w:rPr>
                <w:rFonts w:ascii="Arial" w:cs="Arial" w:eastAsia="Arial" w:hAnsi="Arial"/>
                <w:b w:val="1"/>
                <w:bCs w:val="1"/>
                <w:color w:val="000000"/>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00B">
            <w:pPr>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00C">
            <w:pPr>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00D">
            <w:pPr>
              <w:rPr>
                <w:rFonts w:ascii="Times New Roman" w:cs="Times New Roman" w:eastAsia="Times New Roman" w:hAnsi="Times New Roman"/>
                <w:sz w:val="20"/>
                <w:szCs w:val="20"/>
              </w:rPr>
            </w:pP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0E">
            <w:pPr>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&gt;0</w:t>
            </w:r>
          </w:p>
        </w:tc>
        <w:tc>
          <w:tcPr>
            <w:tcBorders>
              <w:top w:color="000000" w:space="0" w:sz="4" w:val="single"/>
              <w:left w:color="000000" w:space="0" w:sz="0" w:val="nil"/>
              <w:bottom w:color="000000" w:space="0" w:sz="4" w:val="single"/>
              <w:right w:color="000000" w:space="0" w:sz="4" w:val="single"/>
            </w:tcBorders>
            <w:vAlign w:val="center"/>
          </w:tcPr>
          <w:p w:rsidR="00000000" w:rsidDel="00000000" w:rsidP="00000000" w:rsidRDefault="00000000" w:rsidRPr="00000000" w14:paraId="0000000F">
            <w:pPr>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&lt;4.000</w:t>
            </w:r>
          </w:p>
        </w:tc>
        <w:tc>
          <w:tcPr>
            <w:tcBorders>
              <w:top w:color="000000" w:space="0" w:sz="4" w:val="single"/>
              <w:left w:color="000000" w:space="0" w:sz="0" w:val="nil"/>
              <w:bottom w:color="000000" w:space="0" w:sz="4" w:val="single"/>
              <w:right w:color="000000" w:space="0" w:sz="4" w:val="single"/>
            </w:tcBorders>
            <w:vAlign w:val="center"/>
          </w:tcPr>
          <w:p w:rsidR="00000000" w:rsidDel="00000000" w:rsidP="00000000" w:rsidRDefault="00000000" w:rsidRPr="00000000" w14:paraId="00000010">
            <w:pPr>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&gt;= 4.000</w:t>
            </w:r>
          </w:p>
        </w:tc>
        <w:tc>
          <w:tcPr>
            <w:tcBorders>
              <w:top w:color="000000" w:space="0" w:sz="4" w:val="single"/>
              <w:left w:color="000000" w:space="0" w:sz="0" w:val="nil"/>
              <w:bottom w:color="000000" w:space="0" w:sz="4" w:val="single"/>
              <w:right w:color="000000" w:space="0" w:sz="4" w:val="single"/>
            </w:tcBorders>
            <w:vAlign w:val="center"/>
          </w:tcPr>
          <w:p w:rsidR="00000000" w:rsidDel="00000000" w:rsidP="00000000" w:rsidRDefault="00000000" w:rsidRPr="00000000" w14:paraId="00000011">
            <w:pPr>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w:t>
            </w:r>
          </w:p>
        </w:tc>
      </w:tr>
    </w:tbl>
    <w:p w:rsidR="00000000" w:rsidDel="00000000" w:rsidP="00000000" w:rsidRDefault="00000000" w:rsidRPr="00000000" w14:paraId="00000012">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(Cifras expresadas en SMMLV)</w:t>
      </w:r>
    </w:p>
    <w:p w:rsidR="00000000" w:rsidDel="00000000" w:rsidP="00000000" w:rsidRDefault="00000000" w:rsidRPr="00000000" w14:paraId="00000013">
      <w:pPr>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4">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De acuerdo con lo anterior, para cada uno de los rangos se establecieron indicadores de capacidad financiera y organizacional los cuales deberán ser solicitados por las Entidades en procesos de selección de concurso de méritos para contratar los servicios de consultoría de estudios de ingeniería de infraestructura de transporte de acuerdo al rango en el cual se encuentre el presupuesto oficial.</w:t>
      </w:r>
    </w:p>
    <w:p w:rsidR="00000000" w:rsidDel="00000000" w:rsidP="00000000" w:rsidRDefault="00000000" w:rsidRPr="00000000" w14:paraId="00000015">
      <w:pPr>
        <w:rPr>
          <w:rFonts w:ascii="Arial" w:cs="Arial" w:eastAsia="Arial" w:hAnsi="Arial"/>
          <w:b w:val="1"/>
          <w:bCs w:val="1"/>
          <w:color w:val="3a3939"/>
          <w:sz w:val="20"/>
          <w:szCs w:val="20"/>
        </w:rPr>
      </w:pPr>
      <w:r w:rsidDel="00000000" w:rsidR="00000000" w:rsidRPr="00000000">
        <w:rPr>
          <w:rtl w:val="0"/>
        </w:rPr>
      </w:r>
    </w:p>
    <w:p w:rsidR="00000000" w:rsidDel="00000000" w:rsidP="00000000" w:rsidRDefault="00000000" w:rsidRPr="00000000" w14:paraId="00000016">
      <w:pPr>
        <w:rPr>
          <w:rFonts w:ascii="Arial" w:cs="Arial" w:eastAsia="Arial" w:hAnsi="Arial"/>
          <w:b w:val="1"/>
          <w:bCs w:val="1"/>
          <w:color w:val="3a3939"/>
          <w:sz w:val="20"/>
          <w:szCs w:val="20"/>
        </w:rPr>
      </w:pPr>
      <w:r w:rsidDel="00000000" w:rsidR="00000000" w:rsidRPr="00000000">
        <w:rPr>
          <w:rtl w:val="0"/>
        </w:rPr>
      </w:r>
    </w:p>
    <w:p w:rsidR="00000000" w:rsidDel="00000000" w:rsidP="00000000" w:rsidRDefault="00000000" w:rsidRPr="00000000" w14:paraId="00000017">
      <w:pPr>
        <w:numPr>
          <w:ilvl w:val="0"/>
          <w:numId w:val="1"/>
        </w:numPr>
        <w:ind w:left="284" w:hanging="284"/>
        <w:jc w:val="both"/>
        <w:rPr>
          <w:rFonts w:ascii="Arial" w:cs="Arial" w:eastAsia="Arial" w:hAnsi="Arial"/>
          <w:i w:val="1"/>
          <w:iCs w:val="1"/>
          <w:sz w:val="20"/>
          <w:szCs w:val="20"/>
        </w:rPr>
      </w:pPr>
      <w:r w:rsidDel="00000000" w:rsidR="00000000" w:rsidRPr="00000000">
        <w:rPr>
          <w:rFonts w:ascii="Arial" w:cs="Arial" w:eastAsia="Arial" w:hAnsi="Arial"/>
          <w:i w:val="1"/>
          <w:iCs w:val="1"/>
          <w:sz w:val="20"/>
          <w:szCs w:val="20"/>
          <w:rtl w:val="0"/>
        </w:rPr>
        <w:t xml:space="preserve">Índices de capacidad financiera y organizacionales para Mipyme.</w:t>
      </w:r>
    </w:p>
    <w:p w:rsidR="00000000" w:rsidDel="00000000" w:rsidP="00000000" w:rsidRDefault="00000000" w:rsidRPr="00000000" w14:paraId="00000018">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9">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Proponente persona natural o jurídica que demuestre la condición de Mipyme de conformidad con lo previsto en el artículo 2.2.1.2.4.2.4 del Decreto 1082 de 2015, en concordancia con el parágrafo del artículo 2.2.1.13.2.4 del Decreto 1074 de 2015 o las normas que los modifiquen, sustituyan o complementen, probará los siguientes indicadores:</w:t>
      </w:r>
    </w:p>
    <w:p w:rsidR="00000000" w:rsidDel="00000000" w:rsidP="00000000" w:rsidRDefault="00000000" w:rsidRPr="00000000" w14:paraId="0000001A">
      <w:pPr>
        <w:ind w:left="720" w:firstLine="0"/>
        <w:rPr>
          <w:rFonts w:ascii="Arial" w:cs="Arial" w:eastAsia="Arial" w:hAnsi="Arial"/>
          <w:sz w:val="22"/>
          <w:szCs w:val="22"/>
        </w:rPr>
      </w:pPr>
      <w:r w:rsidDel="00000000" w:rsidR="00000000" w:rsidRPr="00000000">
        <w:rPr>
          <w:rtl w:val="0"/>
        </w:rPr>
      </w:r>
    </w:p>
    <w:tbl>
      <w:tblPr>
        <w:tblStyle w:val="Table2"/>
        <w:tblW w:w="7225.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689"/>
        <w:gridCol w:w="2268"/>
        <w:gridCol w:w="2268"/>
        <w:tblGridChange w:id="0">
          <w:tblGrid>
            <w:gridCol w:w="2689"/>
            <w:gridCol w:w="2268"/>
            <w:gridCol w:w="2268"/>
          </w:tblGrid>
        </w:tblGridChange>
      </w:tblGrid>
      <w:tr>
        <w:trPr>
          <w:cantSplit w:val="1"/>
          <w:trHeight w:val="20" w:hRule="atLeast"/>
          <w:tblHeader w:val="1"/>
        </w:trPr>
        <w:tc>
          <w:tcPr>
            <w:shd w:fill="3a3939" w:val="clear"/>
            <w:vAlign w:val="center"/>
          </w:tcPr>
          <w:p w:rsidR="00000000" w:rsidDel="00000000" w:rsidP="00000000" w:rsidRDefault="00000000" w:rsidRPr="00000000" w14:paraId="0000001B">
            <w:pPr>
              <w:ind w:left="174" w:hanging="174"/>
              <w:jc w:val="center"/>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Indicador</w:t>
            </w:r>
          </w:p>
        </w:tc>
        <w:tc>
          <w:tcPr>
            <w:shd w:fill="3a3939" w:val="clear"/>
            <w:vAlign w:val="center"/>
          </w:tcPr>
          <w:p w:rsidR="00000000" w:rsidDel="00000000" w:rsidP="00000000" w:rsidRDefault="00000000" w:rsidRPr="00000000" w14:paraId="0000001C">
            <w:pPr>
              <w:ind w:left="174" w:hanging="174"/>
              <w:jc w:val="center"/>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Valor concertado</w:t>
            </w:r>
          </w:p>
          <w:p w:rsidR="00000000" w:rsidDel="00000000" w:rsidP="00000000" w:rsidRDefault="00000000" w:rsidRPr="00000000" w14:paraId="0000001D">
            <w:pPr>
              <w:ind w:left="174" w:hanging="174"/>
              <w:jc w:val="center"/>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Rango 1</w:t>
            </w:r>
          </w:p>
        </w:tc>
        <w:tc>
          <w:tcPr>
            <w:shd w:fill="3a3939" w:val="clear"/>
          </w:tcPr>
          <w:p w:rsidR="00000000" w:rsidDel="00000000" w:rsidP="00000000" w:rsidRDefault="00000000" w:rsidRPr="00000000" w14:paraId="0000001E">
            <w:pPr>
              <w:ind w:left="174" w:hanging="174"/>
              <w:jc w:val="center"/>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Valor concertado</w:t>
            </w:r>
          </w:p>
          <w:p w:rsidR="00000000" w:rsidDel="00000000" w:rsidP="00000000" w:rsidRDefault="00000000" w:rsidRPr="00000000" w14:paraId="0000001F">
            <w:pPr>
              <w:ind w:left="174" w:hanging="174"/>
              <w:jc w:val="center"/>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Rango 2</w:t>
            </w:r>
          </w:p>
        </w:tc>
      </w:tr>
      <w:tr>
        <w:trPr>
          <w:cantSplit w:val="1"/>
          <w:trHeight w:val="20" w:hRule="atLeast"/>
          <w:tblHeader w:val="0"/>
        </w:trPr>
        <w:tc>
          <w:tcPr>
            <w:vAlign w:val="center"/>
          </w:tcPr>
          <w:p w:rsidR="00000000" w:rsidDel="00000000" w:rsidP="00000000" w:rsidRDefault="00000000" w:rsidRPr="00000000" w14:paraId="00000020">
            <w:pPr>
              <w:ind w:left="174" w:hanging="174"/>
              <w:jc w:val="center"/>
              <w:rPr>
                <w:sz w:val="18"/>
                <w:szCs w:val="18"/>
              </w:rPr>
            </w:pPr>
            <w:r w:rsidDel="00000000" w:rsidR="00000000" w:rsidRPr="00000000">
              <w:rPr>
                <w:rtl w:val="0"/>
              </w:rPr>
            </w:r>
          </w:p>
          <w:p w:rsidR="00000000" w:rsidDel="00000000" w:rsidP="00000000" w:rsidRDefault="00000000" w:rsidRPr="00000000" w14:paraId="00000021">
            <w:pPr>
              <w:ind w:left="174" w:hanging="174"/>
              <w:jc w:val="center"/>
              <w:rPr>
                <w:sz w:val="18"/>
                <w:szCs w:val="18"/>
              </w:rPr>
            </w:pPr>
            <w:r w:rsidDel="00000000" w:rsidR="00000000" w:rsidRPr="00000000">
              <w:rPr>
                <w:sz w:val="18"/>
                <w:szCs w:val="18"/>
                <w:rtl w:val="0"/>
              </w:rPr>
              <w:t xml:space="preserve">Índice de liquidez</w:t>
            </w:r>
          </w:p>
          <w:p w:rsidR="00000000" w:rsidDel="00000000" w:rsidP="00000000" w:rsidRDefault="00000000" w:rsidRPr="00000000" w14:paraId="00000022">
            <w:pPr>
              <w:ind w:left="174" w:hanging="174"/>
              <w:jc w:val="center"/>
              <w:rPr>
                <w:rFonts w:ascii="Arial" w:cs="Arial" w:eastAsia="Arial" w:hAnsi="Arial"/>
                <w:b w:val="1"/>
                <w:bCs w:val="1"/>
                <w:sz w:val="18"/>
                <w:szCs w:val="18"/>
              </w:rPr>
            </w:pPr>
            <w:r w:rsidDel="00000000" w:rsidR="00000000" w:rsidRPr="00000000">
              <w:rPr>
                <w:rtl w:val="0"/>
              </w:rPr>
            </w:r>
          </w:p>
        </w:tc>
        <w:tc>
          <w:tcPr>
            <w:vAlign w:val="center"/>
          </w:tcPr>
          <w:p w:rsidR="00000000" w:rsidDel="00000000" w:rsidP="00000000" w:rsidRDefault="00000000" w:rsidRPr="00000000" w14:paraId="00000023">
            <w:pPr>
              <w:ind w:left="174" w:hanging="174"/>
              <w:jc w:val="center"/>
              <w:rPr>
                <w:rFonts w:ascii="Arial" w:cs="Arial" w:eastAsia="Arial" w:hAnsi="Arial"/>
                <w:b w:val="1"/>
                <w:bCs w:val="1"/>
                <w:sz w:val="18"/>
                <w:szCs w:val="18"/>
              </w:rPr>
            </w:pPr>
            <m:oMath>
              <m:r>
                <m:t>≥</m:t>
              </m:r>
            </m:oMath>
            <w:r w:rsidDel="00000000" w:rsidR="00000000" w:rsidRPr="00000000">
              <w:rPr>
                <w:rFonts w:ascii="Arial" w:cs="Arial" w:eastAsia="Arial" w:hAnsi="Arial"/>
                <w:sz w:val="18"/>
                <w:szCs w:val="18"/>
                <w:rtl w:val="0"/>
              </w:rPr>
              <w:t xml:space="preserve">1,1</w:t>
            </w:r>
            <w:r w:rsidDel="00000000" w:rsidR="00000000" w:rsidRPr="00000000">
              <w:rPr>
                <w:rtl w:val="0"/>
              </w:rPr>
            </w:r>
          </w:p>
        </w:tc>
        <w:tc>
          <w:tcPr>
            <w:vAlign w:val="center"/>
          </w:tcPr>
          <w:p w:rsidR="00000000" w:rsidDel="00000000" w:rsidP="00000000" w:rsidRDefault="00000000" w:rsidRPr="00000000" w14:paraId="00000024">
            <w:pPr>
              <w:ind w:left="174" w:hanging="174"/>
              <w:jc w:val="center"/>
              <w:rPr>
                <w:rFonts w:ascii="Arial" w:cs="Arial" w:eastAsia="Arial" w:hAnsi="Arial"/>
                <w:b w:val="1"/>
                <w:bCs w:val="1"/>
                <w:sz w:val="18"/>
                <w:szCs w:val="18"/>
              </w:rPr>
            </w:pPr>
            <m:oMath>
              <m:r>
                <m:t>≥</m:t>
              </m:r>
            </m:oMath>
            <w:r w:rsidDel="00000000" w:rsidR="00000000" w:rsidRPr="00000000">
              <w:rPr>
                <w:rFonts w:ascii="Arial" w:cs="Arial" w:eastAsia="Arial" w:hAnsi="Arial"/>
                <w:sz w:val="18"/>
                <w:szCs w:val="18"/>
                <w:rtl w:val="0"/>
              </w:rPr>
              <w:t xml:space="preserve">1,2</w:t>
            </w:r>
            <w:r w:rsidDel="00000000" w:rsidR="00000000" w:rsidRPr="00000000">
              <w:rPr>
                <w:rtl w:val="0"/>
              </w:rPr>
            </w:r>
          </w:p>
        </w:tc>
      </w:tr>
      <w:tr>
        <w:trPr>
          <w:cantSplit w:val="1"/>
          <w:trHeight w:val="20" w:hRule="atLeast"/>
          <w:tblHeader w:val="0"/>
        </w:trPr>
        <w:tc>
          <w:tcPr>
            <w:vAlign w:val="center"/>
          </w:tcPr>
          <w:p w:rsidR="00000000" w:rsidDel="00000000" w:rsidP="00000000" w:rsidRDefault="00000000" w:rsidRPr="00000000" w14:paraId="00000025">
            <w:pPr>
              <w:jc w:val="center"/>
              <w:rPr>
                <w:sz w:val="18"/>
                <w:szCs w:val="18"/>
              </w:rPr>
            </w:pPr>
            <w:r w:rsidDel="00000000" w:rsidR="00000000" w:rsidRPr="00000000">
              <w:rPr>
                <w:sz w:val="18"/>
                <w:szCs w:val="18"/>
                <w:rtl w:val="0"/>
              </w:rPr>
              <w:t xml:space="preserve">Índice de endeudamiento</w:t>
            </w:r>
          </w:p>
        </w:tc>
        <w:tc>
          <w:tcPr>
            <w:vAlign w:val="center"/>
          </w:tcPr>
          <w:p w:rsidR="00000000" w:rsidDel="00000000" w:rsidP="00000000" w:rsidRDefault="00000000" w:rsidRPr="00000000" w14:paraId="00000026">
            <w:pPr>
              <w:jc w:val="center"/>
              <w:rPr>
                <w:sz w:val="18"/>
                <w:szCs w:val="18"/>
              </w:rPr>
            </w:pPr>
            <w:r w:rsidDel="00000000" w:rsidR="00000000" w:rsidRPr="00000000">
              <w:rPr>
                <w:rtl w:val="0"/>
              </w:rPr>
            </w:r>
          </w:p>
          <w:p w:rsidR="00000000" w:rsidDel="00000000" w:rsidP="00000000" w:rsidRDefault="00000000" w:rsidRPr="00000000" w14:paraId="00000027">
            <w:pPr>
              <w:jc w:val="center"/>
              <w:rPr>
                <w:sz w:val="18"/>
                <w:szCs w:val="18"/>
              </w:rPr>
            </w:pPr>
            <m:oMath>
              <m:r>
                <w:rPr>
                  <w:rFonts w:ascii="Cambria Math" w:cs="Cambria Math" w:eastAsia="Cambria Math" w:hAnsi="Cambria Math"/>
                  <w:sz w:val="18"/>
                  <w:szCs w:val="18"/>
                </w:rPr>
                <m:t xml:space="preserve">≤ </m:t>
              </m:r>
            </m:oMath>
            <w:r w:rsidDel="00000000" w:rsidR="00000000" w:rsidRPr="00000000">
              <w:rPr>
                <w:sz w:val="18"/>
                <w:szCs w:val="18"/>
                <w:rtl w:val="0"/>
              </w:rPr>
              <w:t xml:space="preserve">0,65</w:t>
            </w:r>
          </w:p>
          <w:p w:rsidR="00000000" w:rsidDel="00000000" w:rsidP="00000000" w:rsidRDefault="00000000" w:rsidRPr="00000000" w14:paraId="00000028">
            <w:pPr>
              <w:jc w:val="center"/>
              <w:rPr>
                <w:sz w:val="18"/>
                <w:szCs w:val="18"/>
              </w:rPr>
            </w:pPr>
            <w:r w:rsidDel="00000000" w:rsidR="00000000" w:rsidRPr="00000000">
              <w:rPr>
                <w:rtl w:val="0"/>
              </w:rPr>
            </w:r>
          </w:p>
        </w:tc>
        <w:tc>
          <w:tcPr>
            <w:vAlign w:val="center"/>
          </w:tcPr>
          <w:p w:rsidR="00000000" w:rsidDel="00000000" w:rsidP="00000000" w:rsidRDefault="00000000" w:rsidRPr="00000000" w14:paraId="00000029">
            <w:pPr>
              <w:jc w:val="center"/>
              <w:rPr>
                <w:sz w:val="18"/>
                <w:szCs w:val="18"/>
              </w:rPr>
            </w:pPr>
            <w:r w:rsidDel="00000000" w:rsidR="00000000" w:rsidRPr="00000000">
              <w:rPr>
                <w:rtl w:val="0"/>
              </w:rPr>
            </w:r>
          </w:p>
          <w:p w:rsidR="00000000" w:rsidDel="00000000" w:rsidP="00000000" w:rsidRDefault="00000000" w:rsidRPr="00000000" w14:paraId="0000002A">
            <w:pPr>
              <w:jc w:val="center"/>
              <w:rPr>
                <w:sz w:val="18"/>
                <w:szCs w:val="18"/>
              </w:rPr>
            </w:pPr>
            <m:oMath>
              <m:r>
                <m:t>≤</m:t>
              </m:r>
            </m:oMath>
            <w:r w:rsidDel="00000000" w:rsidR="00000000" w:rsidRPr="00000000">
              <w:rPr>
                <w:sz w:val="18"/>
                <w:szCs w:val="18"/>
                <w:rtl w:val="0"/>
              </w:rPr>
              <w:t xml:space="preserve"> 0,70</w:t>
            </w:r>
          </w:p>
          <w:p w:rsidR="00000000" w:rsidDel="00000000" w:rsidP="00000000" w:rsidRDefault="00000000" w:rsidRPr="00000000" w14:paraId="0000002B">
            <w:pPr>
              <w:jc w:val="center"/>
              <w:rPr>
                <w:sz w:val="18"/>
                <w:szCs w:val="18"/>
              </w:rPr>
            </w:pPr>
            <w:r w:rsidDel="00000000" w:rsidR="00000000" w:rsidRPr="00000000">
              <w:rPr>
                <w:rtl w:val="0"/>
              </w:rPr>
            </w:r>
          </w:p>
        </w:tc>
      </w:tr>
      <w:tr>
        <w:trPr>
          <w:cantSplit w:val="1"/>
          <w:trHeight w:val="20" w:hRule="atLeast"/>
          <w:tblHeader w:val="0"/>
        </w:trPr>
        <w:tc>
          <w:tcPr>
            <w:vAlign w:val="center"/>
          </w:tcPr>
          <w:p w:rsidR="00000000" w:rsidDel="00000000" w:rsidP="00000000" w:rsidRDefault="00000000" w:rsidRPr="00000000" w14:paraId="0000002C">
            <w:pPr>
              <w:jc w:val="center"/>
              <w:rPr>
                <w:sz w:val="18"/>
                <w:szCs w:val="18"/>
              </w:rPr>
            </w:pPr>
            <w:r w:rsidDel="00000000" w:rsidR="00000000" w:rsidRPr="00000000">
              <w:rPr>
                <w:sz w:val="18"/>
                <w:szCs w:val="18"/>
                <w:rtl w:val="0"/>
              </w:rPr>
              <w:t xml:space="preserve">Razón de cobertura de intereses</w:t>
            </w:r>
          </w:p>
        </w:tc>
        <w:tc>
          <w:tcPr>
            <w:vAlign w:val="center"/>
          </w:tcPr>
          <w:p w:rsidR="00000000" w:rsidDel="00000000" w:rsidP="00000000" w:rsidRDefault="00000000" w:rsidRPr="00000000" w14:paraId="0000002D">
            <w:pPr>
              <w:jc w:val="center"/>
              <w:rPr>
                <w:sz w:val="18"/>
                <w:szCs w:val="18"/>
              </w:rPr>
            </w:pPr>
            <w:r w:rsidDel="00000000" w:rsidR="00000000" w:rsidRPr="00000000">
              <w:rPr>
                <w:rtl w:val="0"/>
              </w:rPr>
            </w:r>
          </w:p>
          <w:p w:rsidR="00000000" w:rsidDel="00000000" w:rsidP="00000000" w:rsidRDefault="00000000" w:rsidRPr="00000000" w14:paraId="0000002E">
            <w:pPr>
              <w:jc w:val="center"/>
              <w:rPr>
                <w:sz w:val="18"/>
                <w:szCs w:val="18"/>
              </w:rPr>
            </w:pPr>
            <m:oMath>
              <m:r>
                <m:t>≥</m:t>
              </m:r>
            </m:oMath>
            <w:r w:rsidDel="00000000" w:rsidR="00000000" w:rsidRPr="00000000">
              <w:rPr>
                <w:sz w:val="18"/>
                <w:szCs w:val="18"/>
                <w:rtl w:val="0"/>
              </w:rPr>
              <w:t xml:space="preserve">1,5</w:t>
            </w:r>
          </w:p>
          <w:p w:rsidR="00000000" w:rsidDel="00000000" w:rsidP="00000000" w:rsidRDefault="00000000" w:rsidRPr="00000000" w14:paraId="0000002F">
            <w:pPr>
              <w:jc w:val="center"/>
              <w:rPr>
                <w:sz w:val="18"/>
                <w:szCs w:val="18"/>
              </w:rPr>
            </w:pPr>
            <w:r w:rsidDel="00000000" w:rsidR="00000000" w:rsidRPr="00000000">
              <w:rPr>
                <w:rtl w:val="0"/>
              </w:rPr>
            </w:r>
          </w:p>
        </w:tc>
        <w:tc>
          <w:tcPr>
            <w:vAlign w:val="center"/>
          </w:tcPr>
          <w:p w:rsidR="00000000" w:rsidDel="00000000" w:rsidP="00000000" w:rsidRDefault="00000000" w:rsidRPr="00000000" w14:paraId="00000030">
            <w:pPr>
              <w:jc w:val="center"/>
              <w:rPr>
                <w:sz w:val="18"/>
                <w:szCs w:val="18"/>
              </w:rPr>
            </w:pPr>
            <w:r w:rsidDel="00000000" w:rsidR="00000000" w:rsidRPr="00000000">
              <w:rPr>
                <w:rtl w:val="0"/>
              </w:rPr>
            </w:r>
          </w:p>
          <w:p w:rsidR="00000000" w:rsidDel="00000000" w:rsidP="00000000" w:rsidRDefault="00000000" w:rsidRPr="00000000" w14:paraId="00000031">
            <w:pPr>
              <w:jc w:val="center"/>
              <w:rPr>
                <w:sz w:val="18"/>
                <w:szCs w:val="18"/>
              </w:rPr>
            </w:pPr>
            <m:oMath>
              <m:r>
                <m:t>≥</m:t>
              </m:r>
            </m:oMath>
            <w:r w:rsidDel="00000000" w:rsidR="00000000" w:rsidRPr="00000000">
              <w:rPr>
                <w:sz w:val="18"/>
                <w:szCs w:val="18"/>
                <w:rtl w:val="0"/>
              </w:rPr>
              <w:t xml:space="preserve"> 1</w:t>
            </w:r>
          </w:p>
          <w:p w:rsidR="00000000" w:rsidDel="00000000" w:rsidP="00000000" w:rsidRDefault="00000000" w:rsidRPr="00000000" w14:paraId="00000032">
            <w:pPr>
              <w:jc w:val="center"/>
              <w:rPr>
                <w:sz w:val="18"/>
                <w:szCs w:val="18"/>
              </w:rPr>
            </w:pPr>
            <w:r w:rsidDel="00000000" w:rsidR="00000000" w:rsidRPr="00000000">
              <w:rPr>
                <w:rtl w:val="0"/>
              </w:rPr>
            </w:r>
          </w:p>
        </w:tc>
      </w:tr>
      <w:tr>
        <w:trPr>
          <w:cantSplit w:val="1"/>
          <w:trHeight w:val="20" w:hRule="atLeast"/>
          <w:tblHeader w:val="0"/>
        </w:trPr>
        <w:tc>
          <w:tcPr>
            <w:vAlign w:val="center"/>
          </w:tcPr>
          <w:p w:rsidR="00000000" w:rsidDel="00000000" w:rsidP="00000000" w:rsidRDefault="00000000" w:rsidRPr="00000000" w14:paraId="00000033">
            <w:pPr>
              <w:jc w:val="center"/>
              <w:rPr>
                <w:sz w:val="18"/>
                <w:szCs w:val="18"/>
              </w:rPr>
            </w:pPr>
            <w:r w:rsidDel="00000000" w:rsidR="00000000" w:rsidRPr="00000000">
              <w:rPr>
                <w:sz w:val="18"/>
                <w:szCs w:val="18"/>
                <w:rtl w:val="0"/>
              </w:rPr>
              <w:t xml:space="preserve">Capital de trabajo</w:t>
            </w:r>
          </w:p>
        </w:tc>
        <w:tc>
          <w:tcPr>
            <w:vAlign w:val="center"/>
          </w:tcPr>
          <w:p w:rsidR="00000000" w:rsidDel="00000000" w:rsidP="00000000" w:rsidRDefault="00000000" w:rsidRPr="00000000" w14:paraId="00000034">
            <w:pPr>
              <w:jc w:val="center"/>
              <w:rPr>
                <w:sz w:val="18"/>
                <w:szCs w:val="18"/>
              </w:rPr>
            </w:pPr>
            <w:r w:rsidDel="00000000" w:rsidR="00000000" w:rsidRPr="00000000">
              <w:rPr>
                <w:rtl w:val="0"/>
              </w:rPr>
            </w:r>
          </w:p>
          <w:p w:rsidR="00000000" w:rsidDel="00000000" w:rsidP="00000000" w:rsidRDefault="00000000" w:rsidRPr="00000000" w14:paraId="00000035">
            <w:pPr>
              <w:jc w:val="center"/>
              <w:rPr>
                <w:sz w:val="18"/>
                <w:szCs w:val="18"/>
              </w:rPr>
            </w:pPr>
            <w:r w:rsidDel="00000000" w:rsidR="00000000" w:rsidRPr="00000000">
              <w:rPr>
                <w:sz w:val="18"/>
                <w:szCs w:val="18"/>
                <w:rtl w:val="0"/>
              </w:rPr>
              <w:t xml:space="preserve">Definido en los Pliegos</w:t>
            </w:r>
          </w:p>
          <w:p w:rsidR="00000000" w:rsidDel="00000000" w:rsidP="00000000" w:rsidRDefault="00000000" w:rsidRPr="00000000" w14:paraId="00000036">
            <w:pPr>
              <w:jc w:val="center"/>
              <w:rPr>
                <w:sz w:val="18"/>
                <w:szCs w:val="18"/>
              </w:rPr>
            </w:pPr>
            <w:r w:rsidDel="00000000" w:rsidR="00000000" w:rsidRPr="00000000">
              <w:rPr>
                <w:rtl w:val="0"/>
              </w:rPr>
            </w:r>
          </w:p>
        </w:tc>
        <w:tc>
          <w:tcPr>
            <w:vAlign w:val="center"/>
          </w:tcPr>
          <w:p w:rsidR="00000000" w:rsidDel="00000000" w:rsidP="00000000" w:rsidRDefault="00000000" w:rsidRPr="00000000" w14:paraId="00000037">
            <w:pPr>
              <w:jc w:val="center"/>
              <w:rPr>
                <w:sz w:val="18"/>
                <w:szCs w:val="18"/>
              </w:rPr>
            </w:pPr>
            <w:r w:rsidDel="00000000" w:rsidR="00000000" w:rsidRPr="00000000">
              <w:rPr>
                <w:rtl w:val="0"/>
              </w:rPr>
            </w:r>
          </w:p>
          <w:p w:rsidR="00000000" w:rsidDel="00000000" w:rsidP="00000000" w:rsidRDefault="00000000" w:rsidRPr="00000000" w14:paraId="00000038">
            <w:pPr>
              <w:jc w:val="center"/>
              <w:rPr>
                <w:sz w:val="18"/>
                <w:szCs w:val="18"/>
              </w:rPr>
            </w:pPr>
            <w:r w:rsidDel="00000000" w:rsidR="00000000" w:rsidRPr="00000000">
              <w:rPr>
                <w:sz w:val="18"/>
                <w:szCs w:val="18"/>
                <w:rtl w:val="0"/>
              </w:rPr>
              <w:t xml:space="preserve">Definido en los Pliegos</w:t>
            </w:r>
          </w:p>
          <w:p w:rsidR="00000000" w:rsidDel="00000000" w:rsidP="00000000" w:rsidRDefault="00000000" w:rsidRPr="00000000" w14:paraId="00000039">
            <w:pPr>
              <w:jc w:val="center"/>
              <w:rPr>
                <w:sz w:val="18"/>
                <w:szCs w:val="18"/>
              </w:rPr>
            </w:pPr>
            <w:r w:rsidDel="00000000" w:rsidR="00000000" w:rsidRPr="00000000">
              <w:rPr>
                <w:rtl w:val="0"/>
              </w:rPr>
            </w:r>
          </w:p>
        </w:tc>
      </w:tr>
      <w:tr>
        <w:trPr>
          <w:cantSplit w:val="1"/>
          <w:trHeight w:val="20" w:hRule="atLeast"/>
          <w:tblHeader w:val="0"/>
        </w:trPr>
        <w:tc>
          <w:tcPr>
            <w:vAlign w:val="center"/>
          </w:tcPr>
          <w:p w:rsidR="00000000" w:rsidDel="00000000" w:rsidP="00000000" w:rsidRDefault="00000000" w:rsidRPr="00000000" w14:paraId="0000003A">
            <w:pPr>
              <w:jc w:val="center"/>
              <w:rPr>
                <w:sz w:val="18"/>
                <w:szCs w:val="18"/>
              </w:rPr>
            </w:pPr>
            <w:r w:rsidDel="00000000" w:rsidR="00000000" w:rsidRPr="00000000">
              <w:rPr>
                <w:sz w:val="18"/>
                <w:szCs w:val="18"/>
                <w:rtl w:val="0"/>
              </w:rPr>
              <w:t xml:space="preserve">Rentabilidad del patrimonio</w:t>
            </w:r>
          </w:p>
        </w:tc>
        <w:tc>
          <w:tcPr>
            <w:vAlign w:val="center"/>
          </w:tcPr>
          <w:p w:rsidR="00000000" w:rsidDel="00000000" w:rsidP="00000000" w:rsidRDefault="00000000" w:rsidRPr="00000000" w14:paraId="0000003B">
            <w:pPr>
              <w:jc w:val="center"/>
              <w:rPr>
                <w:sz w:val="18"/>
                <w:szCs w:val="18"/>
              </w:rPr>
            </w:pPr>
            <m:oMath>
              <m:r>
                <m:t>≥</m:t>
              </m:r>
            </m:oMath>
            <w:r w:rsidDel="00000000" w:rsidR="00000000" w:rsidRPr="00000000">
              <w:rPr>
                <w:sz w:val="18"/>
                <w:szCs w:val="18"/>
                <w:rtl w:val="0"/>
              </w:rPr>
              <w:t xml:space="preserve"> 0,02</w:t>
            </w:r>
          </w:p>
        </w:tc>
        <w:tc>
          <w:tcPr>
            <w:vAlign w:val="center"/>
          </w:tcPr>
          <w:p w:rsidR="00000000" w:rsidDel="00000000" w:rsidP="00000000" w:rsidRDefault="00000000" w:rsidRPr="00000000" w14:paraId="0000003C">
            <w:pPr>
              <w:jc w:val="center"/>
              <w:rPr>
                <w:sz w:val="18"/>
                <w:szCs w:val="18"/>
              </w:rPr>
            </w:pPr>
            <w:r w:rsidDel="00000000" w:rsidR="00000000" w:rsidRPr="00000000">
              <w:rPr>
                <w:rtl w:val="0"/>
              </w:rPr>
            </w:r>
          </w:p>
          <w:p w:rsidR="00000000" w:rsidDel="00000000" w:rsidP="00000000" w:rsidRDefault="00000000" w:rsidRPr="00000000" w14:paraId="0000003D">
            <w:pPr>
              <w:jc w:val="center"/>
              <w:rPr>
                <w:rFonts w:ascii="Arial" w:cs="Arial" w:eastAsia="Arial" w:hAnsi="Arial"/>
                <w:sz w:val="18"/>
                <w:szCs w:val="18"/>
              </w:rPr>
            </w:pPr>
            <m:oMath>
              <m:r>
                <m:t>≥</m:t>
              </m:r>
            </m:oMath>
            <w:r w:rsidDel="00000000" w:rsidR="00000000" w:rsidRPr="00000000">
              <w:rPr>
                <w:rFonts w:ascii="Arial" w:cs="Arial" w:eastAsia="Arial" w:hAnsi="Arial"/>
                <w:sz w:val="18"/>
                <w:szCs w:val="18"/>
                <w:rtl w:val="0"/>
              </w:rPr>
              <w:t xml:space="preserve"> </w:t>
            </w:r>
            <w:r w:rsidDel="00000000" w:rsidR="00000000" w:rsidRPr="00000000">
              <w:rPr>
                <w:sz w:val="18"/>
                <w:szCs w:val="18"/>
                <w:rtl w:val="0"/>
              </w:rPr>
              <w:t xml:space="preserve">0,03</w:t>
            </w:r>
            <w:r w:rsidDel="00000000" w:rsidR="00000000" w:rsidRPr="00000000">
              <w:rPr>
                <w:rtl w:val="0"/>
              </w:rPr>
            </w:r>
          </w:p>
          <w:p w:rsidR="00000000" w:rsidDel="00000000" w:rsidP="00000000" w:rsidRDefault="00000000" w:rsidRPr="00000000" w14:paraId="0000003E">
            <w:pPr>
              <w:jc w:val="center"/>
              <w:rPr>
                <w:sz w:val="18"/>
                <w:szCs w:val="18"/>
              </w:rPr>
            </w:pPr>
            <w:r w:rsidDel="00000000" w:rsidR="00000000" w:rsidRPr="00000000">
              <w:rPr>
                <w:rtl w:val="0"/>
              </w:rPr>
            </w:r>
          </w:p>
        </w:tc>
      </w:tr>
      <w:tr>
        <w:trPr>
          <w:cantSplit w:val="1"/>
          <w:trHeight w:val="20" w:hRule="atLeast"/>
          <w:tblHeader w:val="0"/>
        </w:trPr>
        <w:tc>
          <w:tcPr>
            <w:vAlign w:val="center"/>
          </w:tcPr>
          <w:p w:rsidR="00000000" w:rsidDel="00000000" w:rsidP="00000000" w:rsidRDefault="00000000" w:rsidRPr="00000000" w14:paraId="0000003F">
            <w:pPr>
              <w:jc w:val="center"/>
              <w:rPr>
                <w:sz w:val="18"/>
                <w:szCs w:val="18"/>
              </w:rPr>
            </w:pPr>
            <w:r w:rsidDel="00000000" w:rsidR="00000000" w:rsidRPr="00000000">
              <w:rPr>
                <w:rtl w:val="0"/>
              </w:rPr>
            </w:r>
          </w:p>
          <w:p w:rsidR="00000000" w:rsidDel="00000000" w:rsidP="00000000" w:rsidRDefault="00000000" w:rsidRPr="00000000" w14:paraId="00000040">
            <w:pPr>
              <w:jc w:val="center"/>
              <w:rPr>
                <w:sz w:val="18"/>
                <w:szCs w:val="18"/>
              </w:rPr>
            </w:pPr>
            <w:r w:rsidDel="00000000" w:rsidR="00000000" w:rsidRPr="00000000">
              <w:rPr>
                <w:sz w:val="18"/>
                <w:szCs w:val="18"/>
                <w:rtl w:val="0"/>
              </w:rPr>
              <w:t xml:space="preserve">Rentabilidad del activo</w:t>
            </w:r>
          </w:p>
          <w:p w:rsidR="00000000" w:rsidDel="00000000" w:rsidP="00000000" w:rsidRDefault="00000000" w:rsidRPr="00000000" w14:paraId="00000041">
            <w:pPr>
              <w:jc w:val="center"/>
              <w:rPr>
                <w:sz w:val="18"/>
                <w:szCs w:val="18"/>
              </w:rPr>
            </w:pPr>
            <w:r w:rsidDel="00000000" w:rsidR="00000000" w:rsidRPr="00000000">
              <w:rPr>
                <w:rtl w:val="0"/>
              </w:rPr>
            </w:r>
          </w:p>
        </w:tc>
        <w:tc>
          <w:tcPr>
            <w:vAlign w:val="center"/>
          </w:tcPr>
          <w:p w:rsidR="00000000" w:rsidDel="00000000" w:rsidP="00000000" w:rsidRDefault="00000000" w:rsidRPr="00000000" w14:paraId="00000042">
            <w:pPr>
              <w:jc w:val="center"/>
              <w:rPr>
                <w:sz w:val="18"/>
                <w:szCs w:val="18"/>
              </w:rPr>
            </w:pPr>
            <m:oMath>
              <m:r>
                <m:t>≥</m:t>
              </m:r>
            </m:oMath>
            <w:r w:rsidDel="00000000" w:rsidR="00000000" w:rsidRPr="00000000">
              <w:rPr>
                <w:sz w:val="18"/>
                <w:szCs w:val="18"/>
                <w:rtl w:val="0"/>
              </w:rPr>
              <w:t xml:space="preserve"> 0,01</w:t>
            </w:r>
          </w:p>
        </w:tc>
        <w:tc>
          <w:tcPr>
            <w:vAlign w:val="center"/>
          </w:tcPr>
          <w:p w:rsidR="00000000" w:rsidDel="00000000" w:rsidP="00000000" w:rsidRDefault="00000000" w:rsidRPr="00000000" w14:paraId="00000043">
            <w:pPr>
              <w:jc w:val="center"/>
              <w:rPr>
                <w:sz w:val="18"/>
                <w:szCs w:val="18"/>
              </w:rPr>
            </w:pPr>
            <m:oMath>
              <m:r>
                <w:rPr>
                  <w:rFonts w:ascii="Cambria Math" w:cs="Cambria Math" w:eastAsia="Cambria Math" w:hAnsi="Cambria Math"/>
                  <w:sz w:val="18"/>
                  <w:szCs w:val="18"/>
                </w:rPr>
                <m:t xml:space="preserve">≥ </m:t>
              </m:r>
            </m:oMath>
            <w:r w:rsidDel="00000000" w:rsidR="00000000" w:rsidRPr="00000000">
              <w:rPr>
                <w:sz w:val="18"/>
                <w:szCs w:val="18"/>
                <w:rtl w:val="0"/>
              </w:rPr>
              <w:t xml:space="preserve">0,02</w:t>
            </w:r>
          </w:p>
        </w:tc>
      </w:tr>
    </w:tbl>
    <w:p w:rsidR="00000000" w:rsidDel="00000000" w:rsidP="00000000" w:rsidRDefault="00000000" w:rsidRPr="00000000" w14:paraId="00000044">
      <w:pPr>
        <w:ind w:left="720" w:firstLine="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Tratándose de Proponente Plurales estos indicadores solo se aplicarán si por lo menos uno de los integrantes acredita la calidad de Mipyme de conformidad con el artículo 2.2.1.2.4.2.4. del Decreto 1082 de 2015, o la normas que los modifiquen, sustituyan o complementen, y tienen una participación igual o superior al diez por ciento (10 %) en el Consorcio o en la Unión Temporal.</w:t>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Para acreditar la calidad de Mipyme el Proponente entregará copia del certificado del Registro Único de Proponentes, el cual deberá encontrarse vigente y en firme al momento de su presentación.</w:t>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d9d9d9" w:val="clear"/>
          <w:vertAlign w:val="baseline"/>
          <w:rtl w:val="0"/>
        </w:rPr>
        <w:t xml:space="preserve">[En el evento que el Proceso de Contratación se adelante por lotes o segmentos, los proponentes deberán acreditar los indicadores de capacidad financiera y organizacional para el rango de presupuesto en SMMLV que corresponda, según el presupuesto del lote o segmento al que se presente, o su sumatoria, si se presenta a varios lotes o segmentos.</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4A">
      <w:pPr>
        <w:ind w:left="284" w:firstLine="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4B">
      <w:pPr>
        <w:ind w:left="360"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Los indicadores definidos en la presente matriz deben ser usados por las Entidades en la estructuración de los Documentos del Proceso de Contratación de interventoría de obra pública para infraestructura de transporte. </w:t>
      </w:r>
    </w:p>
    <w:p w:rsidR="00000000" w:rsidDel="00000000" w:rsidP="00000000" w:rsidRDefault="00000000" w:rsidRPr="00000000" w14:paraId="0000004C">
      <w:pPr>
        <w:rPr>
          <w:rFonts w:ascii="Arial" w:cs="Arial" w:eastAsia="Arial" w:hAnsi="Arial"/>
          <w:b w:val="1"/>
          <w:bCs w:val="1"/>
          <w:i w:val="1"/>
          <w:iCs w:val="1"/>
          <w:sz w:val="20"/>
          <w:szCs w:val="20"/>
        </w:rPr>
      </w:pPr>
      <w:r w:rsidDel="00000000" w:rsidR="00000000" w:rsidRPr="00000000">
        <w:rPr>
          <w:rtl w:val="0"/>
        </w:rPr>
      </w:r>
    </w:p>
    <w:p w:rsidR="00000000" w:rsidDel="00000000" w:rsidP="00000000" w:rsidRDefault="00000000" w:rsidRPr="00000000" w14:paraId="0000004D">
      <w:pPr>
        <w:rPr>
          <w:rFonts w:ascii="Arial" w:cs="Arial" w:eastAsia="Arial" w:hAnsi="Arial"/>
          <w:b w:val="1"/>
          <w:bCs w:val="1"/>
          <w:i w:val="1"/>
          <w:iCs w:val="1"/>
          <w:sz w:val="20"/>
          <w:szCs w:val="20"/>
        </w:rPr>
      </w:pPr>
      <w:r w:rsidDel="00000000" w:rsidR="00000000" w:rsidRPr="00000000">
        <w:rPr>
          <w:rtl w:val="0"/>
        </w:rPr>
      </w:r>
    </w:p>
    <w:p w:rsidR="00000000" w:rsidDel="00000000" w:rsidP="00000000" w:rsidRDefault="00000000" w:rsidRPr="00000000" w14:paraId="0000004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Índices de capacidad financiera y organizacionales para los demás Proponentes</w:t>
      </w:r>
      <w:r w:rsidDel="00000000" w:rsidR="00000000" w:rsidRPr="00000000">
        <w:rPr>
          <w:rtl w:val="0"/>
        </w:rPr>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both"/>
        <w:rPr>
          <w:rFonts w:ascii="Arial" w:cs="Arial" w:eastAsia="Arial" w:hAnsi="Arial"/>
          <w:b w:val="0"/>
          <w:bCs w:val="0"/>
          <w:i w:val="1"/>
          <w:iCs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Los Proponentes que </w:t>
      </w:r>
      <w:r w:rsidDel="00000000" w:rsidR="00000000" w:rsidRPr="00000000">
        <w:rPr>
          <w:rFonts w:ascii="Arial" w:cs="Arial" w:eastAsia="Arial" w:hAnsi="Arial"/>
          <w:b w:val="1"/>
          <w:bCs w:val="1"/>
          <w:i w:val="0"/>
          <w:iCs w:val="0"/>
          <w:smallCaps w:val="0"/>
          <w:strike w:val="0"/>
          <w:color w:val="000000"/>
          <w:sz w:val="20"/>
          <w:szCs w:val="20"/>
          <w:u w:val="single"/>
          <w:shd w:fill="auto" w:val="clear"/>
          <w:vertAlign w:val="baseline"/>
          <w:rtl w:val="0"/>
        </w:rPr>
        <w:t xml:space="preserve">NO</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demuestren la condición de Mipyme de conformidad con lo previsto en el artículo 2.2.1.2.4.2.4. del Decreto 1082 de 2015, en concordancia con el parágrafo del artículo 2.2.1.13.2.4 del Decreto 1074 de 2015 o las normas que los modifiquen, sustituyan o complementen, acreditarán los siguientes indicadores: </w:t>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bl>
      <w:tblPr>
        <w:tblStyle w:val="Table3"/>
        <w:tblW w:w="7225.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689"/>
        <w:gridCol w:w="2268"/>
        <w:gridCol w:w="2268"/>
        <w:tblGridChange w:id="0">
          <w:tblGrid>
            <w:gridCol w:w="2689"/>
            <w:gridCol w:w="2268"/>
            <w:gridCol w:w="2268"/>
          </w:tblGrid>
        </w:tblGridChange>
      </w:tblGrid>
      <w:tr>
        <w:trPr>
          <w:cantSplit w:val="0"/>
          <w:trHeight w:val="300" w:hRule="atLeast"/>
          <w:tblHeader w:val="0"/>
        </w:trPr>
        <w:tc>
          <w:tcPr>
            <w:shd w:fill="3a3939" w:val="clear"/>
            <w:vAlign w:val="center"/>
          </w:tcPr>
          <w:p w:rsidR="00000000" w:rsidDel="00000000" w:rsidP="00000000" w:rsidRDefault="00000000" w:rsidRPr="00000000" w14:paraId="00000052">
            <w:pPr>
              <w:ind w:left="174" w:hanging="174"/>
              <w:jc w:val="center"/>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Indicador</w:t>
            </w:r>
          </w:p>
        </w:tc>
        <w:tc>
          <w:tcPr>
            <w:shd w:fill="3a3939" w:val="clear"/>
            <w:vAlign w:val="center"/>
          </w:tcPr>
          <w:p w:rsidR="00000000" w:rsidDel="00000000" w:rsidP="00000000" w:rsidRDefault="00000000" w:rsidRPr="00000000" w14:paraId="00000053">
            <w:pPr>
              <w:ind w:left="174" w:hanging="174"/>
              <w:jc w:val="center"/>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Valor concertado</w:t>
            </w:r>
          </w:p>
          <w:p w:rsidR="00000000" w:rsidDel="00000000" w:rsidP="00000000" w:rsidRDefault="00000000" w:rsidRPr="00000000" w14:paraId="00000054">
            <w:pPr>
              <w:ind w:left="174" w:hanging="174"/>
              <w:jc w:val="center"/>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Rango 1</w:t>
            </w:r>
          </w:p>
        </w:tc>
        <w:tc>
          <w:tcPr>
            <w:shd w:fill="3a3939" w:val="clear"/>
          </w:tcPr>
          <w:p w:rsidR="00000000" w:rsidDel="00000000" w:rsidP="00000000" w:rsidRDefault="00000000" w:rsidRPr="00000000" w14:paraId="00000055">
            <w:pPr>
              <w:ind w:left="174" w:hanging="174"/>
              <w:jc w:val="center"/>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Valor concertado</w:t>
            </w:r>
          </w:p>
          <w:p w:rsidR="00000000" w:rsidDel="00000000" w:rsidP="00000000" w:rsidRDefault="00000000" w:rsidRPr="00000000" w14:paraId="00000056">
            <w:pPr>
              <w:ind w:left="174" w:hanging="174"/>
              <w:jc w:val="center"/>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Rango 2</w:t>
            </w:r>
          </w:p>
        </w:tc>
      </w:tr>
      <w:tr>
        <w:trPr>
          <w:cantSplit w:val="0"/>
          <w:trHeight w:val="300" w:hRule="atLeast"/>
          <w:tblHeader w:val="0"/>
        </w:trPr>
        <w:tc>
          <w:tcPr>
            <w:vAlign w:val="center"/>
          </w:tcPr>
          <w:p w:rsidR="00000000" w:rsidDel="00000000" w:rsidP="00000000" w:rsidRDefault="00000000" w:rsidRPr="00000000" w14:paraId="00000057">
            <w:pPr>
              <w:ind w:left="174" w:hanging="174"/>
              <w:jc w:val="center"/>
              <w:rPr>
                <w:rFonts w:ascii="Arial" w:cs="Arial" w:eastAsia="Arial" w:hAnsi="Arial"/>
                <w:b w:val="1"/>
                <w:bCs w:val="1"/>
                <w:sz w:val="18"/>
                <w:szCs w:val="18"/>
              </w:rPr>
            </w:pPr>
            <w:r w:rsidDel="00000000" w:rsidR="00000000" w:rsidRPr="00000000">
              <w:rPr>
                <w:sz w:val="18"/>
                <w:szCs w:val="18"/>
                <w:rtl w:val="0"/>
              </w:rPr>
              <w:t xml:space="preserve">Índice de liquidez</w:t>
            </w:r>
            <w:r w:rsidDel="00000000" w:rsidR="00000000" w:rsidRPr="00000000">
              <w:rPr>
                <w:rtl w:val="0"/>
              </w:rPr>
            </w:r>
          </w:p>
        </w:tc>
        <w:tc>
          <w:tcPr>
            <w:vAlign w:val="center"/>
          </w:tcPr>
          <w:p w:rsidR="00000000" w:rsidDel="00000000" w:rsidP="00000000" w:rsidRDefault="00000000" w:rsidRPr="00000000" w14:paraId="00000058">
            <w:pPr>
              <w:ind w:left="174" w:hanging="174"/>
              <w:jc w:val="center"/>
              <w:rPr>
                <w:rFonts w:ascii="Arial" w:cs="Arial" w:eastAsia="Arial" w:hAnsi="Arial"/>
                <w:b w:val="1"/>
                <w:bCs w:val="1"/>
                <w:sz w:val="18"/>
                <w:szCs w:val="18"/>
              </w:rPr>
            </w:pPr>
            <m:oMath>
              <m:r>
                <m:t>≥</m:t>
              </m:r>
            </m:oMath>
            <w:r w:rsidDel="00000000" w:rsidR="00000000" w:rsidRPr="00000000">
              <w:rPr>
                <w:rFonts w:ascii="Arial" w:cs="Arial" w:eastAsia="Arial" w:hAnsi="Arial"/>
                <w:sz w:val="18"/>
                <w:szCs w:val="18"/>
                <w:rtl w:val="0"/>
              </w:rPr>
              <w:t xml:space="preserve">1,2</w:t>
            </w:r>
            <w:r w:rsidDel="00000000" w:rsidR="00000000" w:rsidRPr="00000000">
              <w:rPr>
                <w:rtl w:val="0"/>
              </w:rPr>
            </w:r>
          </w:p>
        </w:tc>
        <w:tc>
          <w:tcPr>
            <w:vAlign w:val="center"/>
          </w:tcPr>
          <w:p w:rsidR="00000000" w:rsidDel="00000000" w:rsidP="00000000" w:rsidRDefault="00000000" w:rsidRPr="00000000" w14:paraId="00000059">
            <w:pPr>
              <w:ind w:left="174" w:hanging="174"/>
              <w:jc w:val="center"/>
              <w:rPr>
                <w:rFonts w:ascii="Arial" w:cs="Arial" w:eastAsia="Arial" w:hAnsi="Arial"/>
                <w:b w:val="1"/>
                <w:bCs w:val="1"/>
                <w:sz w:val="18"/>
                <w:szCs w:val="18"/>
              </w:rPr>
            </w:pPr>
            <m:oMath>
              <m:r>
                <m:t>≥</m:t>
              </m:r>
            </m:oMath>
            <w:r w:rsidDel="00000000" w:rsidR="00000000" w:rsidRPr="00000000">
              <w:rPr>
                <w:rFonts w:ascii="Arial" w:cs="Arial" w:eastAsia="Arial" w:hAnsi="Arial"/>
                <w:sz w:val="18"/>
                <w:szCs w:val="18"/>
                <w:rtl w:val="0"/>
              </w:rPr>
              <w:t xml:space="preserve">1,3</w:t>
            </w:r>
            <w:r w:rsidDel="00000000" w:rsidR="00000000" w:rsidRPr="00000000">
              <w:rPr>
                <w:rtl w:val="0"/>
              </w:rPr>
            </w:r>
          </w:p>
        </w:tc>
      </w:tr>
      <w:tr>
        <w:trPr>
          <w:cantSplit w:val="0"/>
          <w:trHeight w:val="300" w:hRule="atLeast"/>
          <w:tblHeader w:val="0"/>
        </w:trPr>
        <w:tc>
          <w:tcPr>
            <w:vAlign w:val="center"/>
          </w:tcPr>
          <w:p w:rsidR="00000000" w:rsidDel="00000000" w:rsidP="00000000" w:rsidRDefault="00000000" w:rsidRPr="00000000" w14:paraId="0000005A">
            <w:pPr>
              <w:jc w:val="center"/>
              <w:rPr>
                <w:sz w:val="18"/>
                <w:szCs w:val="18"/>
              </w:rPr>
            </w:pPr>
            <w:r w:rsidDel="00000000" w:rsidR="00000000" w:rsidRPr="00000000">
              <w:rPr>
                <w:sz w:val="18"/>
                <w:szCs w:val="18"/>
                <w:rtl w:val="0"/>
              </w:rPr>
              <w:t xml:space="preserve">Índice de endeudamiento</w:t>
            </w:r>
          </w:p>
        </w:tc>
        <w:tc>
          <w:tcPr>
            <w:vAlign w:val="center"/>
          </w:tcPr>
          <w:p w:rsidR="00000000" w:rsidDel="00000000" w:rsidP="00000000" w:rsidRDefault="00000000" w:rsidRPr="00000000" w14:paraId="0000005B">
            <w:pPr>
              <w:jc w:val="center"/>
              <w:rPr>
                <w:sz w:val="18"/>
                <w:szCs w:val="18"/>
              </w:rPr>
            </w:pPr>
            <w:r w:rsidDel="00000000" w:rsidR="00000000" w:rsidRPr="00000000">
              <w:rPr>
                <w:rtl w:val="0"/>
              </w:rPr>
            </w:r>
          </w:p>
          <w:p w:rsidR="00000000" w:rsidDel="00000000" w:rsidP="00000000" w:rsidRDefault="00000000" w:rsidRPr="00000000" w14:paraId="0000005C">
            <w:pPr>
              <w:jc w:val="center"/>
              <w:rPr>
                <w:sz w:val="18"/>
                <w:szCs w:val="18"/>
              </w:rPr>
            </w:pPr>
            <m:oMath>
              <m:r>
                <w:rPr>
                  <w:rFonts w:ascii="Cambria Math" w:cs="Cambria Math" w:eastAsia="Cambria Math" w:hAnsi="Cambria Math"/>
                  <w:sz w:val="18"/>
                  <w:szCs w:val="18"/>
                </w:rPr>
                <m:t xml:space="preserve">≤ </m:t>
              </m:r>
            </m:oMath>
            <w:r w:rsidDel="00000000" w:rsidR="00000000" w:rsidRPr="00000000">
              <w:rPr>
                <w:sz w:val="18"/>
                <w:szCs w:val="18"/>
                <w:rtl w:val="0"/>
              </w:rPr>
              <w:t xml:space="preserve">0,65</w:t>
            </w:r>
          </w:p>
          <w:p w:rsidR="00000000" w:rsidDel="00000000" w:rsidP="00000000" w:rsidRDefault="00000000" w:rsidRPr="00000000" w14:paraId="0000005D">
            <w:pPr>
              <w:jc w:val="center"/>
              <w:rPr>
                <w:sz w:val="18"/>
                <w:szCs w:val="18"/>
              </w:rPr>
            </w:pPr>
            <w:r w:rsidDel="00000000" w:rsidR="00000000" w:rsidRPr="00000000">
              <w:rPr>
                <w:rtl w:val="0"/>
              </w:rPr>
            </w:r>
          </w:p>
        </w:tc>
        <w:tc>
          <w:tcPr>
            <w:vAlign w:val="center"/>
          </w:tcPr>
          <w:p w:rsidR="00000000" w:rsidDel="00000000" w:rsidP="00000000" w:rsidRDefault="00000000" w:rsidRPr="00000000" w14:paraId="0000005E">
            <w:pPr>
              <w:jc w:val="center"/>
              <w:rPr>
                <w:sz w:val="18"/>
                <w:szCs w:val="18"/>
              </w:rPr>
            </w:pPr>
            <w:r w:rsidDel="00000000" w:rsidR="00000000" w:rsidRPr="00000000">
              <w:rPr>
                <w:rtl w:val="0"/>
              </w:rPr>
            </w:r>
          </w:p>
          <w:p w:rsidR="00000000" w:rsidDel="00000000" w:rsidP="00000000" w:rsidRDefault="00000000" w:rsidRPr="00000000" w14:paraId="0000005F">
            <w:pPr>
              <w:jc w:val="center"/>
              <w:rPr>
                <w:sz w:val="18"/>
                <w:szCs w:val="18"/>
              </w:rPr>
            </w:pPr>
            <m:oMath>
              <m:r>
                <m:t>≤</m:t>
              </m:r>
            </m:oMath>
            <w:r w:rsidDel="00000000" w:rsidR="00000000" w:rsidRPr="00000000">
              <w:rPr>
                <w:sz w:val="18"/>
                <w:szCs w:val="18"/>
                <w:rtl w:val="0"/>
              </w:rPr>
              <w:t xml:space="preserve"> 0,70</w:t>
            </w:r>
          </w:p>
          <w:p w:rsidR="00000000" w:rsidDel="00000000" w:rsidP="00000000" w:rsidRDefault="00000000" w:rsidRPr="00000000" w14:paraId="00000060">
            <w:pPr>
              <w:jc w:val="center"/>
              <w:rPr>
                <w:sz w:val="18"/>
                <w:szCs w:val="18"/>
              </w:rPr>
            </w:pPr>
            <w:r w:rsidDel="00000000" w:rsidR="00000000" w:rsidRPr="00000000">
              <w:rPr>
                <w:rtl w:val="0"/>
              </w:rPr>
            </w:r>
          </w:p>
        </w:tc>
      </w:tr>
      <w:tr>
        <w:trPr>
          <w:cantSplit w:val="0"/>
          <w:trHeight w:val="300" w:hRule="atLeast"/>
          <w:tblHeader w:val="0"/>
        </w:trPr>
        <w:tc>
          <w:tcPr>
            <w:vAlign w:val="center"/>
          </w:tcPr>
          <w:p w:rsidR="00000000" w:rsidDel="00000000" w:rsidP="00000000" w:rsidRDefault="00000000" w:rsidRPr="00000000" w14:paraId="00000061">
            <w:pPr>
              <w:jc w:val="center"/>
              <w:rPr>
                <w:sz w:val="18"/>
                <w:szCs w:val="18"/>
              </w:rPr>
            </w:pPr>
            <w:r w:rsidDel="00000000" w:rsidR="00000000" w:rsidRPr="00000000">
              <w:rPr>
                <w:sz w:val="18"/>
                <w:szCs w:val="18"/>
                <w:rtl w:val="0"/>
              </w:rPr>
              <w:t xml:space="preserve">Razón de cobertura de intereses</w:t>
            </w:r>
          </w:p>
        </w:tc>
        <w:tc>
          <w:tcPr>
            <w:vAlign w:val="center"/>
          </w:tcPr>
          <w:p w:rsidR="00000000" w:rsidDel="00000000" w:rsidP="00000000" w:rsidRDefault="00000000" w:rsidRPr="00000000" w14:paraId="00000062">
            <w:pPr>
              <w:jc w:val="center"/>
              <w:rPr>
                <w:sz w:val="18"/>
                <w:szCs w:val="18"/>
              </w:rPr>
            </w:pPr>
            <w:r w:rsidDel="00000000" w:rsidR="00000000" w:rsidRPr="00000000">
              <w:rPr>
                <w:rtl w:val="0"/>
              </w:rPr>
            </w:r>
          </w:p>
          <w:p w:rsidR="00000000" w:rsidDel="00000000" w:rsidP="00000000" w:rsidRDefault="00000000" w:rsidRPr="00000000" w14:paraId="00000063">
            <w:pPr>
              <w:jc w:val="center"/>
              <w:rPr>
                <w:sz w:val="18"/>
                <w:szCs w:val="18"/>
              </w:rPr>
            </w:pPr>
            <m:oMath>
              <m:r>
                <m:t>≥</m:t>
              </m:r>
            </m:oMath>
            <w:r w:rsidDel="00000000" w:rsidR="00000000" w:rsidRPr="00000000">
              <w:rPr>
                <w:sz w:val="18"/>
                <w:szCs w:val="18"/>
                <w:rtl w:val="0"/>
              </w:rPr>
              <w:t xml:space="preserve">1,5</w:t>
            </w:r>
          </w:p>
          <w:p w:rsidR="00000000" w:rsidDel="00000000" w:rsidP="00000000" w:rsidRDefault="00000000" w:rsidRPr="00000000" w14:paraId="00000064">
            <w:pPr>
              <w:jc w:val="center"/>
              <w:rPr>
                <w:sz w:val="18"/>
                <w:szCs w:val="18"/>
              </w:rPr>
            </w:pPr>
            <w:r w:rsidDel="00000000" w:rsidR="00000000" w:rsidRPr="00000000">
              <w:rPr>
                <w:rtl w:val="0"/>
              </w:rPr>
            </w:r>
          </w:p>
        </w:tc>
        <w:tc>
          <w:tcPr>
            <w:vAlign w:val="center"/>
          </w:tcPr>
          <w:p w:rsidR="00000000" w:rsidDel="00000000" w:rsidP="00000000" w:rsidRDefault="00000000" w:rsidRPr="00000000" w14:paraId="00000065">
            <w:pPr>
              <w:jc w:val="center"/>
              <w:rPr>
                <w:sz w:val="18"/>
                <w:szCs w:val="18"/>
              </w:rPr>
            </w:pPr>
            <w:r w:rsidDel="00000000" w:rsidR="00000000" w:rsidRPr="00000000">
              <w:rPr>
                <w:rtl w:val="0"/>
              </w:rPr>
            </w:r>
          </w:p>
          <w:p w:rsidR="00000000" w:rsidDel="00000000" w:rsidP="00000000" w:rsidRDefault="00000000" w:rsidRPr="00000000" w14:paraId="00000066">
            <w:pPr>
              <w:jc w:val="center"/>
              <w:rPr>
                <w:sz w:val="18"/>
                <w:szCs w:val="18"/>
              </w:rPr>
            </w:pPr>
            <m:oMath>
              <m:r>
                <m:t>≥</m:t>
              </m:r>
            </m:oMath>
            <w:r w:rsidDel="00000000" w:rsidR="00000000" w:rsidRPr="00000000">
              <w:rPr>
                <w:sz w:val="18"/>
                <w:szCs w:val="18"/>
                <w:rtl w:val="0"/>
              </w:rPr>
              <w:t xml:space="preserve"> 1,5</w:t>
            </w:r>
          </w:p>
          <w:p w:rsidR="00000000" w:rsidDel="00000000" w:rsidP="00000000" w:rsidRDefault="00000000" w:rsidRPr="00000000" w14:paraId="00000067">
            <w:pPr>
              <w:jc w:val="center"/>
              <w:rPr>
                <w:sz w:val="18"/>
                <w:szCs w:val="18"/>
              </w:rPr>
            </w:pPr>
            <w:r w:rsidDel="00000000" w:rsidR="00000000" w:rsidRPr="00000000">
              <w:rPr>
                <w:rtl w:val="0"/>
              </w:rPr>
            </w:r>
          </w:p>
        </w:tc>
      </w:tr>
      <w:tr>
        <w:trPr>
          <w:cantSplit w:val="0"/>
          <w:trHeight w:val="300" w:hRule="atLeast"/>
          <w:tblHeader w:val="0"/>
        </w:trPr>
        <w:tc>
          <w:tcPr>
            <w:vAlign w:val="center"/>
          </w:tcPr>
          <w:p w:rsidR="00000000" w:rsidDel="00000000" w:rsidP="00000000" w:rsidRDefault="00000000" w:rsidRPr="00000000" w14:paraId="00000068">
            <w:pPr>
              <w:jc w:val="center"/>
              <w:rPr>
                <w:sz w:val="18"/>
                <w:szCs w:val="18"/>
              </w:rPr>
            </w:pPr>
            <w:r w:rsidDel="00000000" w:rsidR="00000000" w:rsidRPr="00000000">
              <w:rPr>
                <w:sz w:val="18"/>
                <w:szCs w:val="18"/>
                <w:rtl w:val="0"/>
              </w:rPr>
              <w:t xml:space="preserve">Capital de trabajo</w:t>
            </w:r>
          </w:p>
        </w:tc>
        <w:tc>
          <w:tcPr>
            <w:vAlign w:val="center"/>
          </w:tcPr>
          <w:p w:rsidR="00000000" w:rsidDel="00000000" w:rsidP="00000000" w:rsidRDefault="00000000" w:rsidRPr="00000000" w14:paraId="00000069">
            <w:pPr>
              <w:jc w:val="center"/>
              <w:rPr>
                <w:sz w:val="18"/>
                <w:szCs w:val="18"/>
              </w:rPr>
            </w:pPr>
            <w:r w:rsidDel="00000000" w:rsidR="00000000" w:rsidRPr="00000000">
              <w:rPr>
                <w:rtl w:val="0"/>
              </w:rPr>
            </w:r>
          </w:p>
          <w:p w:rsidR="00000000" w:rsidDel="00000000" w:rsidP="00000000" w:rsidRDefault="00000000" w:rsidRPr="00000000" w14:paraId="0000006A">
            <w:pPr>
              <w:jc w:val="center"/>
              <w:rPr>
                <w:sz w:val="18"/>
                <w:szCs w:val="18"/>
              </w:rPr>
            </w:pPr>
            <w:r w:rsidDel="00000000" w:rsidR="00000000" w:rsidRPr="00000000">
              <w:rPr>
                <w:sz w:val="18"/>
                <w:szCs w:val="18"/>
                <w:rtl w:val="0"/>
              </w:rPr>
              <w:t xml:space="preserve">Definido en los Pliegos</w:t>
            </w:r>
          </w:p>
          <w:p w:rsidR="00000000" w:rsidDel="00000000" w:rsidP="00000000" w:rsidRDefault="00000000" w:rsidRPr="00000000" w14:paraId="0000006B">
            <w:pPr>
              <w:jc w:val="center"/>
              <w:rPr>
                <w:sz w:val="18"/>
                <w:szCs w:val="18"/>
              </w:rPr>
            </w:pPr>
            <w:r w:rsidDel="00000000" w:rsidR="00000000" w:rsidRPr="00000000">
              <w:rPr>
                <w:rtl w:val="0"/>
              </w:rPr>
            </w:r>
          </w:p>
        </w:tc>
        <w:tc>
          <w:tcPr>
            <w:vAlign w:val="center"/>
          </w:tcPr>
          <w:p w:rsidR="00000000" w:rsidDel="00000000" w:rsidP="00000000" w:rsidRDefault="00000000" w:rsidRPr="00000000" w14:paraId="0000006C">
            <w:pPr>
              <w:jc w:val="center"/>
              <w:rPr>
                <w:sz w:val="18"/>
                <w:szCs w:val="18"/>
              </w:rPr>
            </w:pPr>
            <w:r w:rsidDel="00000000" w:rsidR="00000000" w:rsidRPr="00000000">
              <w:rPr>
                <w:rtl w:val="0"/>
              </w:rPr>
            </w:r>
          </w:p>
          <w:p w:rsidR="00000000" w:rsidDel="00000000" w:rsidP="00000000" w:rsidRDefault="00000000" w:rsidRPr="00000000" w14:paraId="0000006D">
            <w:pPr>
              <w:jc w:val="center"/>
              <w:rPr>
                <w:sz w:val="18"/>
                <w:szCs w:val="18"/>
              </w:rPr>
            </w:pPr>
            <w:r w:rsidDel="00000000" w:rsidR="00000000" w:rsidRPr="00000000">
              <w:rPr>
                <w:sz w:val="18"/>
                <w:szCs w:val="18"/>
                <w:rtl w:val="0"/>
              </w:rPr>
              <w:t xml:space="preserve">Definido en los Pliegos</w:t>
            </w:r>
          </w:p>
          <w:p w:rsidR="00000000" w:rsidDel="00000000" w:rsidP="00000000" w:rsidRDefault="00000000" w:rsidRPr="00000000" w14:paraId="0000006E">
            <w:pPr>
              <w:jc w:val="center"/>
              <w:rPr>
                <w:sz w:val="18"/>
                <w:szCs w:val="18"/>
              </w:rPr>
            </w:pPr>
            <w:r w:rsidDel="00000000" w:rsidR="00000000" w:rsidRPr="00000000">
              <w:rPr>
                <w:rtl w:val="0"/>
              </w:rPr>
            </w:r>
          </w:p>
        </w:tc>
      </w:tr>
      <w:tr>
        <w:trPr>
          <w:cantSplit w:val="0"/>
          <w:trHeight w:val="300" w:hRule="atLeast"/>
          <w:tblHeader w:val="0"/>
        </w:trPr>
        <w:tc>
          <w:tcPr>
            <w:vAlign w:val="center"/>
          </w:tcPr>
          <w:p w:rsidR="00000000" w:rsidDel="00000000" w:rsidP="00000000" w:rsidRDefault="00000000" w:rsidRPr="00000000" w14:paraId="0000006F">
            <w:pPr>
              <w:jc w:val="center"/>
              <w:rPr>
                <w:sz w:val="18"/>
                <w:szCs w:val="18"/>
              </w:rPr>
            </w:pPr>
            <w:r w:rsidDel="00000000" w:rsidR="00000000" w:rsidRPr="00000000">
              <w:rPr>
                <w:sz w:val="18"/>
                <w:szCs w:val="18"/>
                <w:rtl w:val="0"/>
              </w:rPr>
              <w:t xml:space="preserve">Rentabilidad del patrimonio</w:t>
            </w:r>
          </w:p>
        </w:tc>
        <w:tc>
          <w:tcPr>
            <w:vAlign w:val="center"/>
          </w:tcPr>
          <w:p w:rsidR="00000000" w:rsidDel="00000000" w:rsidP="00000000" w:rsidRDefault="00000000" w:rsidRPr="00000000" w14:paraId="00000070">
            <w:pPr>
              <w:jc w:val="center"/>
              <w:rPr>
                <w:sz w:val="18"/>
                <w:szCs w:val="18"/>
              </w:rPr>
            </w:pPr>
            <m:oMath>
              <m:r>
                <m:t>≥</m:t>
              </m:r>
            </m:oMath>
            <w:r w:rsidDel="00000000" w:rsidR="00000000" w:rsidRPr="00000000">
              <w:rPr>
                <w:sz w:val="18"/>
                <w:szCs w:val="18"/>
                <w:rtl w:val="0"/>
              </w:rPr>
              <w:t xml:space="preserve"> 0,03</w:t>
            </w:r>
          </w:p>
        </w:tc>
        <w:tc>
          <w:tcPr>
            <w:vAlign w:val="center"/>
          </w:tcPr>
          <w:p w:rsidR="00000000" w:rsidDel="00000000" w:rsidP="00000000" w:rsidRDefault="00000000" w:rsidRPr="00000000" w14:paraId="00000071">
            <w:pPr>
              <w:jc w:val="center"/>
              <w:rPr>
                <w:sz w:val="18"/>
                <w:szCs w:val="18"/>
              </w:rPr>
            </w:pPr>
            <w:r w:rsidDel="00000000" w:rsidR="00000000" w:rsidRPr="00000000">
              <w:rPr>
                <w:rtl w:val="0"/>
              </w:rPr>
            </w:r>
          </w:p>
          <w:p w:rsidR="00000000" w:rsidDel="00000000" w:rsidP="00000000" w:rsidRDefault="00000000" w:rsidRPr="00000000" w14:paraId="00000072">
            <w:pPr>
              <w:jc w:val="center"/>
              <w:rPr>
                <w:rFonts w:ascii="Arial" w:cs="Arial" w:eastAsia="Arial" w:hAnsi="Arial"/>
                <w:sz w:val="18"/>
                <w:szCs w:val="18"/>
              </w:rPr>
            </w:pPr>
            <m:oMath>
              <m:r>
                <m:t>≥</m:t>
              </m:r>
            </m:oMath>
            <w:r w:rsidDel="00000000" w:rsidR="00000000" w:rsidRPr="00000000">
              <w:rPr>
                <w:rFonts w:ascii="Arial" w:cs="Arial" w:eastAsia="Arial" w:hAnsi="Arial"/>
                <w:sz w:val="18"/>
                <w:szCs w:val="18"/>
                <w:rtl w:val="0"/>
              </w:rPr>
              <w:t xml:space="preserve"> </w:t>
            </w:r>
            <w:r w:rsidDel="00000000" w:rsidR="00000000" w:rsidRPr="00000000">
              <w:rPr>
                <w:sz w:val="18"/>
                <w:szCs w:val="18"/>
                <w:rtl w:val="0"/>
              </w:rPr>
              <w:t xml:space="preserve">0,04</w:t>
            </w:r>
            <w:r w:rsidDel="00000000" w:rsidR="00000000" w:rsidRPr="00000000">
              <w:rPr>
                <w:rtl w:val="0"/>
              </w:rPr>
            </w:r>
          </w:p>
          <w:p w:rsidR="00000000" w:rsidDel="00000000" w:rsidP="00000000" w:rsidRDefault="00000000" w:rsidRPr="00000000" w14:paraId="00000073">
            <w:pPr>
              <w:jc w:val="center"/>
              <w:rPr>
                <w:sz w:val="18"/>
                <w:szCs w:val="18"/>
              </w:rPr>
            </w:pPr>
            <w:r w:rsidDel="00000000" w:rsidR="00000000" w:rsidRPr="00000000">
              <w:rPr>
                <w:rtl w:val="0"/>
              </w:rPr>
            </w:r>
          </w:p>
        </w:tc>
      </w:tr>
      <w:tr>
        <w:trPr>
          <w:cantSplit w:val="0"/>
          <w:trHeight w:val="300" w:hRule="atLeast"/>
          <w:tblHeader w:val="0"/>
        </w:trPr>
        <w:tc>
          <w:tcPr>
            <w:vAlign w:val="center"/>
          </w:tcPr>
          <w:p w:rsidR="00000000" w:rsidDel="00000000" w:rsidP="00000000" w:rsidRDefault="00000000" w:rsidRPr="00000000" w14:paraId="00000074">
            <w:pPr>
              <w:jc w:val="center"/>
              <w:rPr>
                <w:sz w:val="18"/>
                <w:szCs w:val="18"/>
              </w:rPr>
            </w:pPr>
            <w:r w:rsidDel="00000000" w:rsidR="00000000" w:rsidRPr="00000000">
              <w:rPr>
                <w:rtl w:val="0"/>
              </w:rPr>
            </w:r>
          </w:p>
          <w:p w:rsidR="00000000" w:rsidDel="00000000" w:rsidP="00000000" w:rsidRDefault="00000000" w:rsidRPr="00000000" w14:paraId="00000075">
            <w:pPr>
              <w:jc w:val="center"/>
              <w:rPr>
                <w:sz w:val="18"/>
                <w:szCs w:val="18"/>
              </w:rPr>
            </w:pPr>
            <w:r w:rsidDel="00000000" w:rsidR="00000000" w:rsidRPr="00000000">
              <w:rPr>
                <w:sz w:val="18"/>
                <w:szCs w:val="18"/>
                <w:rtl w:val="0"/>
              </w:rPr>
              <w:t xml:space="preserve">Rentabilidad del activo</w:t>
            </w:r>
          </w:p>
          <w:p w:rsidR="00000000" w:rsidDel="00000000" w:rsidP="00000000" w:rsidRDefault="00000000" w:rsidRPr="00000000" w14:paraId="00000076">
            <w:pPr>
              <w:jc w:val="center"/>
              <w:rPr>
                <w:sz w:val="18"/>
                <w:szCs w:val="18"/>
              </w:rPr>
            </w:pPr>
            <w:r w:rsidDel="00000000" w:rsidR="00000000" w:rsidRPr="00000000">
              <w:rPr>
                <w:rtl w:val="0"/>
              </w:rPr>
            </w:r>
          </w:p>
        </w:tc>
        <w:tc>
          <w:tcPr>
            <w:vAlign w:val="center"/>
          </w:tcPr>
          <w:p w:rsidR="00000000" w:rsidDel="00000000" w:rsidP="00000000" w:rsidRDefault="00000000" w:rsidRPr="00000000" w14:paraId="00000077">
            <w:pPr>
              <w:jc w:val="center"/>
              <w:rPr>
                <w:sz w:val="18"/>
                <w:szCs w:val="18"/>
              </w:rPr>
            </w:pPr>
            <m:oMath>
              <m:r>
                <m:t>≥</m:t>
              </m:r>
            </m:oMath>
            <w:r w:rsidDel="00000000" w:rsidR="00000000" w:rsidRPr="00000000">
              <w:rPr>
                <w:sz w:val="18"/>
                <w:szCs w:val="18"/>
                <w:rtl w:val="0"/>
              </w:rPr>
              <w:t xml:space="preserve"> 0,02</w:t>
            </w:r>
          </w:p>
        </w:tc>
        <w:tc>
          <w:tcPr>
            <w:vAlign w:val="center"/>
          </w:tcPr>
          <w:p w:rsidR="00000000" w:rsidDel="00000000" w:rsidP="00000000" w:rsidRDefault="00000000" w:rsidRPr="00000000" w14:paraId="00000078">
            <w:pPr>
              <w:jc w:val="center"/>
              <w:rPr>
                <w:sz w:val="18"/>
                <w:szCs w:val="18"/>
              </w:rPr>
            </w:pPr>
            <m:oMath>
              <m:r>
                <w:rPr>
                  <w:rFonts w:ascii="Cambria Math" w:cs="Cambria Math" w:eastAsia="Cambria Math" w:hAnsi="Cambria Math"/>
                  <w:sz w:val="18"/>
                  <w:szCs w:val="18"/>
                </w:rPr>
                <m:t xml:space="preserve">≥ </m:t>
              </m:r>
            </m:oMath>
            <w:r w:rsidDel="00000000" w:rsidR="00000000" w:rsidRPr="00000000">
              <w:rPr>
                <w:sz w:val="18"/>
                <w:szCs w:val="18"/>
                <w:rtl w:val="0"/>
              </w:rPr>
              <w:t xml:space="preserve">0,03</w:t>
            </w:r>
          </w:p>
        </w:tc>
      </w:tr>
    </w:tbl>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d9d9d9" w:val="clear"/>
          <w:vertAlign w:val="baseline"/>
          <w:rtl w:val="0"/>
        </w:rPr>
        <w:t xml:space="preserve">[En el evento que el Proceso de Contratación se adelante por lotes o segmentos, los proponentes deberán acreditar los indicadores de capacidad financiera y organizacional para el rango de presupuesto en SMMLV que corresponda, según el presupuesto del lote o segmento al que se presente, o su sumatoria, si se presenta a varios lotes o segmentos.</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7B">
      <w:pPr>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7C">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Los indicadores definidos en la presente matriz deben ser usados por las Entidades en la estructuración de los Documentos del Proceso de Contratación de interventoría de obra pública para infraestructura de transporte. </w:t>
      </w:r>
    </w:p>
    <w:p w:rsidR="00000000" w:rsidDel="00000000" w:rsidP="00000000" w:rsidRDefault="00000000" w:rsidRPr="00000000" w14:paraId="0000007D">
      <w:pPr>
        <w:jc w:val="both"/>
        <w:rPr/>
      </w:pPr>
      <w:r w:rsidDel="00000000" w:rsidR="00000000" w:rsidRPr="00000000">
        <w:rPr>
          <w:rtl w:val="0"/>
        </w:rPr>
      </w:r>
    </w:p>
    <w:sectPr>
      <w:headerReference r:id="rId7" w:type="default"/>
      <w:headerReference r:id="rId8" w:type="first"/>
      <w:footerReference r:id="rId9" w:type="default"/>
      <w:footerReference r:id="rId10" w:type="first"/>
      <w:pgSz w:h="15840" w:w="12240" w:orient="portrait"/>
      <w:pgMar w:bottom="1417" w:top="1417" w:left="1701" w:right="1701" w:header="851" w:footer="851"/>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Calibri"/>
  <w:font w:name="Cambria Math">
    <w:embedRegular w:fontKey="{00000000-0000-0000-0000-000000000000}" r:id="rId1"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right"/>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tl w:val="0"/>
      </w:rPr>
    </w:r>
  </w:p>
  <w:tbl>
    <w:tblPr>
      <w:tblStyle w:val="Table5"/>
      <w:tblW w:w="2382.0" w:type="dxa"/>
      <w:jc w:val="left"/>
      <w:tblBorders>
        <w:top w:color="000000" w:space="0" w:sz="4" w:val="dotted"/>
        <w:left w:color="000000" w:space="0" w:sz="4" w:val="dotted"/>
        <w:bottom w:color="000000" w:space="0" w:sz="4" w:val="dotted"/>
        <w:right w:color="000000" w:space="0" w:sz="4" w:val="dotted"/>
        <w:insideH w:color="000000" w:space="0" w:sz="4" w:val="dotted"/>
        <w:insideV w:color="000000" w:space="0" w:sz="4" w:val="dotted"/>
      </w:tblBorders>
      <w:tblLayout w:type="fixed"/>
      <w:tblLook w:val="0000"/>
    </w:tblPr>
    <w:tblGrid>
      <w:gridCol w:w="2382"/>
      <w:tblGridChange w:id="0">
        <w:tblGrid>
          <w:gridCol w:w="2382"/>
        </w:tblGrid>
      </w:tblGridChange>
    </w:tblGrid>
    <w:tr>
      <w:trPr>
        <w:cantSplit w:val="0"/>
        <w:trHeight w:val="340" w:hRule="atLeast"/>
        <w:tblHeader w:val="0"/>
      </w:trPr>
      <w:tc>
        <w:tcPr>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08B">
          <w:pPr>
            <w:ind w:left="11" w:hanging="11"/>
            <w:jc w:val="center"/>
            <w:rPr>
              <w:rFonts w:ascii="Arial" w:cs="Arial" w:eastAsia="Arial" w:hAnsi="Arial"/>
              <w:b w:val="1"/>
              <w:bCs w:val="1"/>
              <w:sz w:val="16"/>
              <w:szCs w:val="16"/>
            </w:rPr>
          </w:pPr>
          <w:r w:rsidDel="00000000" w:rsidR="00000000" w:rsidRPr="00000000">
            <w:rPr>
              <w:rFonts w:ascii="Arial" w:cs="Arial" w:eastAsia="Arial" w:hAnsi="Arial"/>
              <w:b w:val="1"/>
              <w:bCs w:val="1"/>
              <w:sz w:val="16"/>
              <w:szCs w:val="16"/>
              <w:highlight w:val="lightGray"/>
              <w:rtl w:val="0"/>
            </w:rPr>
            <w:t xml:space="preserve">IDU-CMA-SGI-001-20</w:t>
          </w:r>
          <w:r w:rsidDel="00000000" w:rsidR="00000000" w:rsidRPr="00000000">
            <w:rPr>
              <w:rFonts w:ascii="Arial" w:cs="Arial" w:eastAsia="Arial" w:hAnsi="Arial"/>
              <w:b w:val="1"/>
              <w:bCs w:val="1"/>
              <w:sz w:val="16"/>
              <w:szCs w:val="16"/>
              <w:rtl w:val="0"/>
            </w:rPr>
            <w:t xml:space="preserve">26</w:t>
          </w:r>
        </w:p>
      </w:tc>
    </w:tr>
  </w:tbl>
  <w:p w:rsidR="00000000" w:rsidDel="00000000" w:rsidP="00000000" w:rsidRDefault="00000000" w:rsidRPr="00000000" w14:paraId="0000008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Pr>
      <w:drawing>
        <wp:inline distB="0" distT="0" distL="0" distR="0">
          <wp:extent cx="1562642" cy="365821"/>
          <wp:effectExtent b="0" l="0" r="0" t="0"/>
          <wp:docPr id="2"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1562642" cy="365821"/>
                  </a:xfrm>
                  <a:prstGeom prst="rect"/>
                  <a:ln/>
                </pic:spPr>
              </pic:pic>
            </a:graphicData>
          </a:graphic>
        </wp:inline>
      </w:drawing>
    </w:r>
    <w:r w:rsidDel="00000000" w:rsidR="00000000" w:rsidRPr="00000000">
      <w:rPr>
        <w:rtl w:val="0"/>
      </w:rPr>
    </w:r>
  </w:p>
  <w:p w:rsidR="00000000" w:rsidDel="00000000" w:rsidP="00000000" w:rsidRDefault="00000000" w:rsidRPr="00000000" w14:paraId="0000008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Pr>
      <w:drawing>
        <wp:inline distB="0" distT="0" distL="0" distR="0">
          <wp:extent cx="5607050" cy="362585"/>
          <wp:effectExtent b="0" l="0" r="0" t="0"/>
          <wp:docPr id="4" name="image4.jpg"/>
          <a:graphic>
            <a:graphicData uri="http://schemas.openxmlformats.org/drawingml/2006/picture">
              <pic:pic>
                <pic:nvPicPr>
                  <pic:cNvPr id="0" name="image4.jpg"/>
                  <pic:cNvPicPr preferRelativeResize="0"/>
                </pic:nvPicPr>
                <pic:blipFill>
                  <a:blip r:embed="rId2"/>
                  <a:srcRect b="0" l="0" r="0" t="0"/>
                  <a:stretch>
                    <a:fillRect/>
                  </a:stretch>
                </pic:blipFill>
                <pic:spPr>
                  <a:xfrm>
                    <a:off x="0" y="0"/>
                    <a:ext cx="5607050" cy="362585"/>
                  </a:xfrm>
                  <a:prstGeom prst="rect"/>
                  <a:ln/>
                </pic:spPr>
              </pic:pic>
            </a:graphicData>
          </a:graphic>
        </wp:inline>
      </w:drawing>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bl>
    <w:tblPr>
      <w:tblStyle w:val="Table4"/>
      <w:tblW w:w="8828.0" w:type="dxa"/>
      <w:jc w:val="left"/>
      <w:tblBorders>
        <w:top w:color="000000" w:space="0" w:sz="4" w:val="dotted"/>
        <w:left w:color="000000" w:space="0" w:sz="4" w:val="dotted"/>
        <w:bottom w:color="000000" w:space="0" w:sz="4" w:val="dotted"/>
        <w:right w:color="000000" w:space="0" w:sz="4" w:val="dotted"/>
        <w:insideH w:color="000000" w:space="0" w:sz="4" w:val="dotted"/>
        <w:insideV w:color="000000" w:space="0" w:sz="4" w:val="dotted"/>
      </w:tblBorders>
      <w:tblLayout w:type="fixed"/>
      <w:tblLook w:val="0400"/>
    </w:tblPr>
    <w:tblGrid>
      <w:gridCol w:w="1927"/>
      <w:gridCol w:w="3455"/>
      <w:gridCol w:w="3446"/>
      <w:tblGridChange w:id="0">
        <w:tblGrid>
          <w:gridCol w:w="1927"/>
          <w:gridCol w:w="3455"/>
          <w:gridCol w:w="3446"/>
        </w:tblGrid>
      </w:tblGridChange>
    </w:tblGrid>
    <w:tr>
      <w:trPr>
        <w:cantSplit w:val="0"/>
        <w:trHeight w:val="567" w:hRule="atLeast"/>
        <w:tblHeader w:val="0"/>
      </w:trPr>
      <w:tc>
        <w:tcPr>
          <w:vMerge w:val="restart"/>
          <w:vAlign w:val="center"/>
        </w:tcPr>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Pr>
            <w:drawing>
              <wp:inline distB="0" distT="0" distL="0" distR="0">
                <wp:extent cx="1080000" cy="553758"/>
                <wp:effectExtent b="0" l="0" r="0" t="0"/>
                <wp:docPr descr="Logotipo, nombre de la empresa&#10;&#10;El contenido generado por IA puede ser incorrecto." id="1" name="image3.png"/>
                <a:graphic>
                  <a:graphicData uri="http://schemas.openxmlformats.org/drawingml/2006/picture">
                    <pic:pic>
                      <pic:nvPicPr>
                        <pic:cNvPr descr="Logotipo, nombre de la empresa&#10;&#10;El contenido generado por IA puede ser incorrecto." id="0" name="image3.png"/>
                        <pic:cNvPicPr preferRelativeResize="0"/>
                      </pic:nvPicPr>
                      <pic:blipFill>
                        <a:blip r:embed="rId1"/>
                        <a:srcRect b="0" l="0" r="0" t="0"/>
                        <a:stretch>
                          <a:fillRect/>
                        </a:stretch>
                      </pic:blipFill>
                      <pic:spPr>
                        <a:xfrm>
                          <a:off x="0" y="0"/>
                          <a:ext cx="1080000" cy="553758"/>
                        </a:xfrm>
                        <a:prstGeom prst="rect"/>
                        <a:ln/>
                      </pic:spPr>
                    </pic:pic>
                  </a:graphicData>
                </a:graphic>
              </wp:inline>
            </w:drawing>
          </w:r>
          <w:r w:rsidDel="00000000" w:rsidR="00000000" w:rsidRPr="00000000">
            <w:rPr>
              <w:rtl w:val="0"/>
            </w:rPr>
          </w:r>
        </w:p>
      </w:tc>
      <w:tc>
        <w:tcPr>
          <w:gridSpan w:val="2"/>
          <w:vAlign w:val="center"/>
        </w:tcPr>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PLIEGO IDU</w:t>
          </w:r>
        </w:p>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INTERVENTORÍA DE ESTUDIOS DE INGENIERÍA DE INFRAESTRUCTURA DE TRANSPORTE</w:t>
          </w:r>
        </w:p>
      </w:tc>
    </w:tr>
    <w:tr>
      <w:trPr>
        <w:cantSplit w:val="0"/>
        <w:trHeight w:val="340" w:hRule="atLeast"/>
        <w:tblHeader w:val="0"/>
      </w:trPr>
      <w:tc>
        <w:tcPr>
          <w:vMerge w:val="continue"/>
          <w:vAlign w:val="center"/>
        </w:tcPr>
        <w:p w:rsidR="00000000" w:rsidDel="00000000" w:rsidP="00000000" w:rsidRDefault="00000000" w:rsidRPr="00000000" w14:paraId="000000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Página:</w:t>
          </w:r>
          <w:r w:rsidDel="00000000" w:rsidR="00000000" w:rsidRPr="00000000">
            <w:rPr>
              <w:rtl w:val="0"/>
            </w:rPr>
          </w:r>
        </w:p>
      </w:tc>
      <w:tc>
        <w:tcPr>
          <w:vAlign w:val="center"/>
        </w:tcPr>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tl w:val="0"/>
            </w:rPr>
            <w:t xml:space="preserve">Página </w:t>
          </w: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Pr>
            <w:fldChar w:fldCharType="begin"/>
            <w:instrText xml:space="preserve">PAGE</w:instrText>
            <w:fldChar w:fldCharType="separate"/>
            <w:fldChar w:fldCharType="end"/>
          </w: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tl w:val="0"/>
            </w:rPr>
            <w:t xml:space="preserve"> de </w:t>
          </w: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Pr>
            <w:fldChar w:fldCharType="begin"/>
            <w:instrText xml:space="preserve">NUMPAGES</w:instrText>
            <w:fldChar w:fldCharType="separate"/>
            <w:fldChar w:fldCharType="end"/>
          </w:r>
          <w:r w:rsidDel="00000000" w:rsidR="00000000" w:rsidRPr="00000000">
            <w:rPr>
              <w:rtl w:val="0"/>
            </w:rPr>
          </w:r>
        </w:p>
      </w:tc>
    </w:tr>
  </w:tbl>
  <w:p w:rsidR="00000000" w:rsidDel="00000000" w:rsidP="00000000" w:rsidRDefault="00000000" w:rsidRPr="00000000" w14:paraId="00000086">
    <w:pPr>
      <w:rPr>
        <w:color w:val="4e4d4d"/>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righ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Pr>
      <w:drawing>
        <wp:inline distB="0" distT="0" distL="0" distR="0">
          <wp:extent cx="1500803" cy="616644"/>
          <wp:effectExtent b="0" l="0" r="0" t="0"/>
          <wp:docPr id="3"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500803" cy="616644"/>
                  </a:xfrm>
                  <a:prstGeom prst="rect"/>
                  <a:ln/>
                </pic:spPr>
              </pic:pic>
            </a:graphicData>
          </a:graphic>
        </wp:inline>
      </w:drawing>
    </w:r>
    <w:r w:rsidDel="00000000" w:rsidR="00000000" w:rsidRPr="00000000">
      <w:rPr>
        <w:rtl w:val="0"/>
      </w:rPr>
    </w:r>
  </w:p>
  <w:p w:rsidR="00000000" w:rsidDel="00000000" w:rsidP="00000000" w:rsidRDefault="00000000" w:rsidRPr="00000000" w14:paraId="00000088">
    <w:pPr>
      <w:pStyle w:val="Heading1"/>
      <w:rPr/>
    </w:pPr>
    <w:r w:rsidDel="00000000" w:rsidR="00000000" w:rsidRPr="00000000">
      <w:rPr>
        <w:rtl w:val="0"/>
      </w:rPr>
      <w:t xml:space="preserve">TÍTULO DEL DOCUMENTO</w:t>
    </w:r>
  </w:p>
  <w:p w:rsidR="00000000" w:rsidDel="00000000" w:rsidP="00000000" w:rsidRDefault="00000000" w:rsidRPr="00000000" w14:paraId="00000089">
    <w:pPr>
      <w:rPr>
        <w:color w:val="4e4d4d"/>
      </w:rPr>
    </w:pPr>
    <w:r w:rsidDel="00000000" w:rsidR="00000000" w:rsidRPr="00000000">
      <w:rPr>
        <w:color w:val="4e4d4d"/>
        <w:rtl w:val="0"/>
      </w:rPr>
      <w:t xml:space="preserve">_______________________________________________________________________________</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b w:val="1"/>
        <w:bCs w:val="1"/>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4"/>
        <w:szCs w:val="24"/>
        <w:lang w:val="es_419"/>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before="480" w:lineRule="auto"/>
      <w:jc w:val="both"/>
    </w:pPr>
    <w:rPr>
      <w:rFonts w:ascii="Arial" w:cs="Arial" w:eastAsia="Arial" w:hAnsi="Arial"/>
      <w:b w:val="1"/>
      <w:bCs w:val="1"/>
      <w:color w:val="4e4d4d"/>
    </w:rPr>
  </w:style>
  <w:style w:type="paragraph" w:styleId="Heading2">
    <w:name w:val="heading 2"/>
    <w:basedOn w:val="Normal"/>
    <w:next w:val="Normal"/>
    <w:pPr>
      <w:keepNext w:val="1"/>
      <w:keepLines w:val="1"/>
      <w:spacing w:before="200" w:lineRule="auto"/>
      <w:ind w:left="720" w:hanging="360"/>
    </w:pPr>
    <w:rPr>
      <w:rFonts w:ascii="Arial" w:cs="Arial" w:eastAsia="Arial" w:hAnsi="Arial"/>
      <w:b w:val="1"/>
      <w:bCs w:val="1"/>
      <w:color w:val="4e4d4d"/>
    </w:rPr>
  </w:style>
  <w:style w:type="paragraph" w:styleId="Heading3">
    <w:name w:val="heading 3"/>
    <w:basedOn w:val="Normal"/>
    <w:next w:val="Normal"/>
    <w:pPr>
      <w:keepNext w:val="1"/>
      <w:keepLines w:val="1"/>
      <w:spacing w:before="200" w:lineRule="auto"/>
    </w:pPr>
    <w:rPr>
      <w:rFonts w:ascii="Arial" w:cs="Arial" w:eastAsia="Arial" w:hAnsi="Arial"/>
      <w:b w:val="1"/>
      <w:bCs w:val="1"/>
      <w:color w:val="1a181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spacing w:after="300" w:lineRule="auto"/>
      <w:ind w:left="1068" w:hanging="360"/>
    </w:pPr>
    <w:rPr>
      <w:rFonts w:ascii="Arial" w:cs="Arial" w:eastAsia="Arial" w:hAnsi="Arial"/>
      <w:color w:val="4e4d4d"/>
    </w:rPr>
  </w:style>
  <w:style w:type="paragraph" w:styleId="Subtitle">
    <w:name w:val="Subtitle"/>
    <w:basedOn w:val="Normal"/>
    <w:next w:val="Normal"/>
    <w:pPr/>
    <w:rPr>
      <w:rFonts w:ascii="Arial" w:cs="Arial" w:eastAsia="Arial" w:hAnsi="Arial"/>
      <w:i w:val="1"/>
      <w:iCs w:val="1"/>
      <w:color w:val="1a1818"/>
    </w:rPr>
  </w:style>
  <w:style w:type="table" w:styleId="Table1">
    <w:basedOn w:val="TableNormal"/>
    <w:tblPr>
      <w:tblStyleRowBandSize w:val="1"/>
      <w:tblStyleColBandSize w:val="1"/>
      <w:tblCellMar>
        <w:top w:w="0.0" w:type="dxa"/>
        <w:left w:w="70.0" w:type="dxa"/>
        <w:bottom w:w="0.0" w:type="dxa"/>
        <w:right w:w="70.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5">
    <w:basedOn w:val="TableNormal"/>
    <w:pPr>
      <w:spacing w:after="0" w:line="240" w:lineRule="auto"/>
    </w:pPr>
    <w:rPr>
      <w:rFonts w:ascii="Calibri" w:cs="Calibri" w:eastAsia="Calibri" w:hAnsi="Calibri"/>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2.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header" Target="header2.xml"/></Relationships>
</file>

<file path=word/_rels/fontTable.xml.rels><?xml version="1.0" encoding="UTF-8" standalone="yes"?><Relationships xmlns="http://schemas.openxmlformats.org/package/2006/relationships"><Relationship Id="rId1" Type="http://schemas.openxmlformats.org/officeDocument/2006/relationships/font" Target="fonts/CambriaMath-regular.ttf"/></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4.jp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zDXNj+lnaTYrz45FEG3Y7YTfx5Q==">CgMxLjA4AHIhMVh3UVh1N0ZQeHdQSXcyRkZxa0lMdXQ1aVFvcXI4dUNH</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MediaServiceImageTags</vt:lpwstr>
  </property>
</Properties>
</file>