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159A" w:rsidRDefault="00244C46">
      <w:pPr>
        <w:spacing w:after="0" w:line="240" w:lineRule="auto"/>
        <w:jc w:val="both"/>
        <w:rPr>
          <w:rFonts w:ascii="Arial" w:eastAsia="Arial" w:hAnsi="Arial" w:cs="Arial"/>
          <w:sz w:val="20"/>
          <w:szCs w:val="20"/>
        </w:rPr>
      </w:pPr>
      <w:r>
        <w:rPr>
          <w:noProof/>
        </w:rPr>
        <w:drawing>
          <wp:anchor distT="0" distB="0" distL="114300" distR="114300" simplePos="0" relativeHeight="251658240" behindDoc="0" locked="0" layoutInCell="1" hidden="0" allowOverlap="1">
            <wp:simplePos x="0" y="0"/>
            <wp:positionH relativeFrom="column">
              <wp:posOffset>2212065</wp:posOffset>
            </wp:positionH>
            <wp:positionV relativeFrom="paragraph">
              <wp:posOffset>159385</wp:posOffset>
            </wp:positionV>
            <wp:extent cx="1188000" cy="1188000"/>
            <wp:effectExtent l="0" t="0" r="0" b="0"/>
            <wp:wrapTopAndBottom distT="0" distB="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anchor>
        </w:drawing>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center"/>
        <w:rPr>
          <w:rFonts w:ascii="Arial" w:eastAsia="Arial" w:hAnsi="Arial" w:cs="Arial"/>
          <w:b/>
          <w:bCs/>
          <w:sz w:val="20"/>
          <w:szCs w:val="20"/>
        </w:rPr>
      </w:pPr>
      <w:r>
        <w:rPr>
          <w:rFonts w:ascii="Arial" w:eastAsia="Arial" w:hAnsi="Arial" w:cs="Arial"/>
          <w:b/>
          <w:bCs/>
          <w:sz w:val="20"/>
          <w:szCs w:val="20"/>
        </w:rPr>
        <w:t>CONCURSO DE MÉRITOS ABIERTO No.IDU-CMA-SGI-001-2026</w:t>
      </w:r>
    </w:p>
    <w:p w:rsidR="00C0159A" w:rsidRDefault="00C0159A">
      <w:pPr>
        <w:spacing w:after="0" w:line="240" w:lineRule="auto"/>
        <w:jc w:val="center"/>
        <w:rPr>
          <w:rFonts w:ascii="Arial" w:eastAsia="Arial" w:hAnsi="Arial" w:cs="Arial"/>
          <w:b/>
          <w:bCs/>
          <w:sz w:val="20"/>
          <w:szCs w:val="20"/>
        </w:rPr>
      </w:pPr>
    </w:p>
    <w:p w:rsidR="00C0159A" w:rsidRDefault="00C0159A">
      <w:pPr>
        <w:spacing w:after="0" w:line="240" w:lineRule="auto"/>
        <w:jc w:val="center"/>
        <w:rPr>
          <w:rFonts w:ascii="Arial" w:eastAsia="Arial" w:hAnsi="Arial" w:cs="Arial"/>
          <w:b/>
          <w:bCs/>
          <w:sz w:val="20"/>
          <w:szCs w:val="20"/>
          <w:highlight w:val="lightGray"/>
        </w:rPr>
      </w:pPr>
    </w:p>
    <w:p w:rsidR="00C0159A" w:rsidRDefault="00244C46">
      <w:pPr>
        <w:spacing w:after="0" w:line="240" w:lineRule="auto"/>
        <w:jc w:val="center"/>
        <w:rPr>
          <w:rFonts w:ascii="Arial" w:eastAsia="Arial" w:hAnsi="Arial" w:cs="Arial"/>
          <w:b/>
          <w:bCs/>
          <w:sz w:val="20"/>
          <w:szCs w:val="20"/>
        </w:rPr>
      </w:pPr>
      <w:r>
        <w:rPr>
          <w:rFonts w:ascii="Arial" w:eastAsia="Arial" w:hAnsi="Arial" w:cs="Arial"/>
          <w:b/>
          <w:bCs/>
          <w:sz w:val="20"/>
          <w:szCs w:val="20"/>
        </w:rPr>
        <w:t>PROYECTO DE PLIEGO DE CONDICIONES</w:t>
      </w:r>
    </w:p>
    <w:p w:rsidR="00C0159A" w:rsidRDefault="00C0159A">
      <w:pPr>
        <w:spacing w:after="0" w:line="240" w:lineRule="auto"/>
        <w:jc w:val="center"/>
        <w:rPr>
          <w:rFonts w:ascii="Arial" w:eastAsia="Arial" w:hAnsi="Arial" w:cs="Arial"/>
          <w:b/>
          <w:bCs/>
          <w:sz w:val="20"/>
          <w:szCs w:val="20"/>
          <w:highlight w:val="lightGray"/>
        </w:rPr>
      </w:pPr>
    </w:p>
    <w:p w:rsidR="00C0159A" w:rsidRDefault="00C0159A">
      <w:pPr>
        <w:spacing w:after="0" w:line="240" w:lineRule="auto"/>
        <w:jc w:val="center"/>
        <w:rPr>
          <w:rFonts w:ascii="Arial" w:eastAsia="Arial" w:hAnsi="Arial" w:cs="Arial"/>
          <w:b/>
          <w:bCs/>
          <w:sz w:val="20"/>
          <w:szCs w:val="20"/>
          <w:highlight w:val="lightGray"/>
        </w:rPr>
      </w:pPr>
    </w:p>
    <w:p w:rsidR="00C0159A" w:rsidRDefault="00244C46">
      <w:pPr>
        <w:spacing w:after="0" w:line="240" w:lineRule="auto"/>
        <w:jc w:val="center"/>
        <w:rPr>
          <w:rFonts w:ascii="Arial" w:eastAsia="Arial" w:hAnsi="Arial" w:cs="Arial"/>
          <w:b/>
          <w:bCs/>
          <w:sz w:val="20"/>
          <w:szCs w:val="20"/>
          <w:highlight w:val="lightGray"/>
        </w:rPr>
      </w:pPr>
      <w:r>
        <w:rPr>
          <w:rFonts w:ascii="Arial" w:eastAsia="Arial" w:hAnsi="Arial" w:cs="Arial"/>
          <w:b/>
          <w:bCs/>
          <w:sz w:val="20"/>
          <w:szCs w:val="20"/>
        </w:rPr>
        <w:t>“INTERVENTORÍA A LA BRIGADA DE REACCIÓN VIAL PARA LA EJECUCIÓN DE ACTIVIDADES PUNTUALES EN LA MALLA VIAL DE LA CIUDAD DE BOGOTÁ D.C. GRUPO 1, GRUPO 2 Y GRUPO 3”</w:t>
      </w:r>
    </w:p>
    <w:p w:rsidR="00C0159A" w:rsidRDefault="00C0159A">
      <w:pPr>
        <w:spacing w:after="0" w:line="240" w:lineRule="auto"/>
        <w:jc w:val="center"/>
        <w:rPr>
          <w:rFonts w:ascii="Arial" w:eastAsia="Arial" w:hAnsi="Arial" w:cs="Arial"/>
          <w:b/>
          <w:bCs/>
          <w:sz w:val="20"/>
          <w:szCs w:val="20"/>
          <w:highlight w:val="lightGray"/>
        </w:rPr>
      </w:pPr>
    </w:p>
    <w:p w:rsidR="00C0159A" w:rsidRDefault="00C0159A">
      <w:pPr>
        <w:spacing w:after="0" w:line="240" w:lineRule="auto"/>
        <w:jc w:val="center"/>
        <w:rPr>
          <w:rFonts w:ascii="Arial" w:eastAsia="Arial" w:hAnsi="Arial" w:cs="Arial"/>
          <w:b/>
          <w:bCs/>
          <w:sz w:val="20"/>
          <w:szCs w:val="20"/>
          <w:highlight w:val="lightGray"/>
        </w:rPr>
      </w:pPr>
    </w:p>
    <w:p w:rsidR="00C0159A" w:rsidRDefault="00244C46">
      <w:pPr>
        <w:rPr>
          <w:rFonts w:ascii="Arial" w:eastAsia="Arial" w:hAnsi="Arial" w:cs="Arial"/>
          <w:b/>
          <w:bCs/>
          <w:i/>
          <w:iCs/>
          <w:color w:val="000000"/>
          <w:sz w:val="20"/>
          <w:szCs w:val="20"/>
        </w:rPr>
      </w:pPr>
      <w:r>
        <w:rPr>
          <w:rFonts w:ascii="Arial" w:eastAsia="Arial" w:hAnsi="Arial" w:cs="Arial"/>
          <w:b/>
          <w:bCs/>
          <w:i/>
          <w:iCs/>
          <w:color w:val="000000"/>
          <w:sz w:val="20"/>
          <w:szCs w:val="20"/>
        </w:rPr>
        <w:t>GRUPO 1:</w:t>
      </w:r>
      <w:r>
        <w:rPr>
          <w:rFonts w:ascii="Arial" w:eastAsia="Arial" w:hAnsi="Arial" w:cs="Arial"/>
          <w:i/>
          <w:iCs/>
          <w:color w:val="000000"/>
          <w:sz w:val="20"/>
          <w:szCs w:val="20"/>
        </w:rPr>
        <w:t xml:space="preserve"> INTERVENTORÍA A LA BRIGADA DE REACCIÓN VIAL PARA LA EJECUCIÓN DE ACTIVIDADES PUNTUAL</w:t>
      </w:r>
      <w:r>
        <w:rPr>
          <w:rFonts w:ascii="Arial" w:eastAsia="Arial" w:hAnsi="Arial" w:cs="Arial"/>
          <w:i/>
          <w:iCs/>
          <w:color w:val="000000"/>
          <w:sz w:val="20"/>
          <w:szCs w:val="20"/>
        </w:rPr>
        <w:t>ES EN LA MALLA VIAL DE LA CIUDAD DE BOGOTÁ D.C. GRUPO 1.</w:t>
      </w:r>
    </w:p>
    <w:p w:rsidR="00C0159A" w:rsidRDefault="00244C46">
      <w:pPr>
        <w:rPr>
          <w:rFonts w:ascii="Arial" w:eastAsia="Arial" w:hAnsi="Arial" w:cs="Arial"/>
          <w:i/>
          <w:iCs/>
          <w:color w:val="000000"/>
          <w:sz w:val="20"/>
          <w:szCs w:val="20"/>
        </w:rPr>
      </w:pPr>
      <w:r>
        <w:rPr>
          <w:rFonts w:ascii="Arial" w:eastAsia="Arial" w:hAnsi="Arial" w:cs="Arial"/>
          <w:b/>
          <w:bCs/>
          <w:i/>
          <w:iCs/>
          <w:color w:val="000000"/>
          <w:sz w:val="20"/>
          <w:szCs w:val="20"/>
        </w:rPr>
        <w:t>GRUPO 2:</w:t>
      </w:r>
      <w:r>
        <w:rPr>
          <w:rFonts w:ascii="Arial" w:eastAsia="Arial" w:hAnsi="Arial" w:cs="Arial"/>
          <w:i/>
          <w:iCs/>
          <w:color w:val="000000"/>
          <w:sz w:val="20"/>
          <w:szCs w:val="20"/>
        </w:rPr>
        <w:t xml:space="preserve"> INTERVENTORÍA A LA BRIGADA DE REACCIÓN VIAL PARA LA EJECUCIÓN DE ACTIVIDADES PUNTUALES EN LA MALLA VIAL DE LA CIUDAD DE BOGOTÁ D.C. GRUPO 2.</w:t>
      </w:r>
    </w:p>
    <w:p w:rsidR="00C0159A" w:rsidRDefault="00244C46">
      <w:pPr>
        <w:rPr>
          <w:rFonts w:ascii="Arial" w:eastAsia="Arial" w:hAnsi="Arial" w:cs="Arial"/>
          <w:b/>
          <w:bCs/>
          <w:i/>
          <w:iCs/>
          <w:color w:val="000000"/>
          <w:sz w:val="20"/>
          <w:szCs w:val="20"/>
        </w:rPr>
      </w:pPr>
      <w:r>
        <w:rPr>
          <w:rFonts w:ascii="Arial" w:eastAsia="Arial" w:hAnsi="Arial" w:cs="Arial"/>
          <w:b/>
          <w:bCs/>
          <w:i/>
          <w:iCs/>
          <w:color w:val="000000"/>
          <w:sz w:val="20"/>
          <w:szCs w:val="20"/>
        </w:rPr>
        <w:t>GRUPO 3:</w:t>
      </w:r>
      <w:r>
        <w:rPr>
          <w:rFonts w:ascii="Arial" w:eastAsia="Arial" w:hAnsi="Arial" w:cs="Arial"/>
          <w:i/>
          <w:iCs/>
          <w:color w:val="000000"/>
          <w:sz w:val="20"/>
          <w:szCs w:val="20"/>
        </w:rPr>
        <w:t xml:space="preserve"> INTERVENTORÍA A LA BRIGADA DE REACCIÓN V</w:t>
      </w:r>
      <w:r>
        <w:rPr>
          <w:rFonts w:ascii="Arial" w:eastAsia="Arial" w:hAnsi="Arial" w:cs="Arial"/>
          <w:i/>
          <w:iCs/>
          <w:color w:val="000000"/>
          <w:sz w:val="20"/>
          <w:szCs w:val="20"/>
        </w:rPr>
        <w:t>IAL PARA LA EJECUCIÓN DE ACTIVIDADES PUNTUALES EN LA MALLA VIAL DE LA CIUDAD DE BOGOTÁ D.C. GRUPO 3.</w:t>
      </w:r>
    </w:p>
    <w:p w:rsidR="00C0159A" w:rsidRDefault="00C0159A">
      <w:pPr>
        <w:spacing w:after="0" w:line="240" w:lineRule="auto"/>
        <w:jc w:val="center"/>
        <w:rPr>
          <w:rFonts w:ascii="Arial" w:eastAsia="Arial" w:hAnsi="Arial" w:cs="Arial"/>
          <w:b/>
          <w:bCs/>
          <w:sz w:val="20"/>
          <w:szCs w:val="20"/>
        </w:rPr>
      </w:pPr>
    </w:p>
    <w:p w:rsidR="00C0159A" w:rsidRDefault="00C0159A">
      <w:pPr>
        <w:spacing w:after="0" w:line="240" w:lineRule="auto"/>
        <w:jc w:val="both"/>
        <w:rPr>
          <w:rFonts w:ascii="Arial" w:eastAsia="Arial" w:hAnsi="Arial" w:cs="Arial"/>
          <w:b/>
          <w:bCs/>
          <w:sz w:val="20"/>
          <w:szCs w:val="20"/>
        </w:rPr>
      </w:pPr>
    </w:p>
    <w:p w:rsidR="00C0159A" w:rsidRDefault="00244C46">
      <w:pPr>
        <w:spacing w:after="0" w:line="240" w:lineRule="auto"/>
        <w:jc w:val="both"/>
        <w:rPr>
          <w:rFonts w:ascii="Arial" w:eastAsia="Arial" w:hAnsi="Arial" w:cs="Arial"/>
          <w:b/>
          <w:bCs/>
          <w:sz w:val="20"/>
          <w:szCs w:val="20"/>
        </w:rPr>
      </w:pPr>
      <w:r>
        <w:rPr>
          <w:rFonts w:ascii="Arial" w:eastAsia="Arial" w:hAnsi="Arial" w:cs="Arial"/>
          <w:b/>
          <w:bCs/>
          <w:sz w:val="20"/>
          <w:szCs w:val="20"/>
        </w:rPr>
        <w:t xml:space="preserve">ESTE PROYECTO DE PLIEGO DE CONDICIONES SE PUBLICA EN SECOP II DURANTE EL TÉRMINO DE </w:t>
      </w:r>
      <w:r>
        <w:rPr>
          <w:rFonts w:ascii="Arial" w:eastAsia="Arial" w:hAnsi="Arial" w:cs="Arial"/>
          <w:b/>
          <w:bCs/>
          <w:sz w:val="20"/>
          <w:szCs w:val="20"/>
          <w:highlight w:val="white"/>
        </w:rPr>
        <w:t xml:space="preserve">9 DÍAS HÁBILES </w:t>
      </w:r>
      <w:r>
        <w:rPr>
          <w:rFonts w:ascii="Arial" w:eastAsia="Arial" w:hAnsi="Arial" w:cs="Arial"/>
          <w:b/>
          <w:bCs/>
          <w:sz w:val="20"/>
          <w:szCs w:val="20"/>
        </w:rPr>
        <w:t>COMPRENDIDOS ENTRE EL 29</w:t>
      </w:r>
      <w:r>
        <w:rPr>
          <w:rFonts w:ascii="Arial" w:eastAsia="Arial" w:hAnsi="Arial" w:cs="Arial"/>
          <w:b/>
          <w:bCs/>
          <w:sz w:val="20"/>
          <w:szCs w:val="20"/>
        </w:rPr>
        <w:t xml:space="preserve"> DE ABRIL Y EL 12 DE MAYO DE 2026, TÉRMINO DURANTE EL CUAL QUIEN ESTÉ INTERESADO Y LAS VEEDURÍAS CIUDADANAS PODRÁN FORMULAR OBSERVACIONES A SU CONTENIDO, DE CONFORMIDAD CON LO ESTABLECIDO EN EL ARTÍCULO 8º DE LA LEY 1150 DE 2007 Y ARTICULO 2.2.1.1.2.1.4. D</w:t>
      </w:r>
      <w:r>
        <w:rPr>
          <w:rFonts w:ascii="Arial" w:eastAsia="Arial" w:hAnsi="Arial" w:cs="Arial"/>
          <w:b/>
          <w:bCs/>
          <w:sz w:val="20"/>
          <w:szCs w:val="20"/>
        </w:rPr>
        <w:t xml:space="preserve">EL DECRETO 1082 DE 2015. LAS OBSERVACIONES PODRÁN PRESENTARSE POR INTERNET (en el sitio </w:t>
      </w:r>
      <w:hyperlink r:id="rId9">
        <w:r>
          <w:rPr>
            <w:rFonts w:ascii="Arial" w:eastAsia="Arial" w:hAnsi="Arial" w:cs="Arial"/>
            <w:b/>
            <w:bCs/>
            <w:color w:val="0563C1"/>
            <w:sz w:val="20"/>
            <w:szCs w:val="20"/>
            <w:u w:val="single"/>
          </w:rPr>
          <w:t>https://www.colombiacompra.gov.co/secop-ii</w:t>
        </w:r>
      </w:hyperlink>
      <w:r>
        <w:rPr>
          <w:rFonts w:ascii="Arial" w:eastAsia="Arial" w:hAnsi="Arial" w:cs="Arial"/>
          <w:b/>
          <w:bCs/>
          <w:sz w:val="20"/>
          <w:szCs w:val="20"/>
        </w:rPr>
        <w:t>).</w:t>
      </w:r>
    </w:p>
    <w:p w:rsidR="00C0159A" w:rsidRDefault="00C0159A">
      <w:pPr>
        <w:spacing w:after="0" w:line="240" w:lineRule="auto"/>
        <w:jc w:val="both"/>
        <w:rPr>
          <w:rFonts w:ascii="Arial" w:eastAsia="Arial" w:hAnsi="Arial" w:cs="Arial"/>
          <w:b/>
          <w:bCs/>
          <w:sz w:val="20"/>
          <w:szCs w:val="20"/>
        </w:rPr>
      </w:pPr>
    </w:p>
    <w:p w:rsidR="00C0159A" w:rsidRDefault="00244C46">
      <w:pPr>
        <w:spacing w:after="0" w:line="240" w:lineRule="auto"/>
        <w:jc w:val="both"/>
        <w:rPr>
          <w:rFonts w:ascii="Arial" w:eastAsia="Arial" w:hAnsi="Arial" w:cs="Arial"/>
          <w:b/>
          <w:bCs/>
          <w:sz w:val="20"/>
          <w:szCs w:val="20"/>
        </w:rPr>
      </w:pPr>
      <w:r>
        <w:rPr>
          <w:rFonts w:ascii="Arial" w:eastAsia="Arial" w:hAnsi="Arial" w:cs="Arial"/>
          <w:b/>
          <w:bCs/>
          <w:sz w:val="20"/>
          <w:szCs w:val="20"/>
        </w:rPr>
        <w:t xml:space="preserve">LA PUBLICACIÓN DE ESTE PROYECTO DE PLIEGO DE CONDICIONES NO </w:t>
      </w:r>
      <w:r>
        <w:rPr>
          <w:rFonts w:ascii="Arial" w:eastAsia="Arial" w:hAnsi="Arial" w:cs="Arial"/>
          <w:b/>
          <w:bCs/>
          <w:sz w:val="20"/>
          <w:szCs w:val="20"/>
        </w:rPr>
        <w:t>GENERA OBLIGACIÓN PARA EL IDU DE DAR APERTURA AL PROCESO DE SELECCIÓN (INCISO 2, ARTÍCULO 8º, LEY 1150 DE 2007 Y DE ACUERDO AL REGLAMENTO VIGENTE). SI EL IDU RESUELVE ADELANTAR EL PROCESO, EL TEXTO DEFINITIVO PODRÁ SER CONSULTADO A PARTIR DE LA FECHA DE AP</w:t>
      </w:r>
      <w:r>
        <w:rPr>
          <w:rFonts w:ascii="Arial" w:eastAsia="Arial" w:hAnsi="Arial" w:cs="Arial"/>
          <w:b/>
          <w:bCs/>
          <w:sz w:val="20"/>
          <w:szCs w:val="20"/>
        </w:rPr>
        <w:t xml:space="preserve">ERTURA RESPECTIVA, EN LA PAGINA WEB </w:t>
      </w:r>
      <w:hyperlink r:id="rId10">
        <w:r>
          <w:rPr>
            <w:rFonts w:ascii="Arial" w:eastAsia="Arial" w:hAnsi="Arial" w:cs="Arial"/>
            <w:b/>
            <w:bCs/>
            <w:color w:val="0563C1"/>
            <w:sz w:val="20"/>
            <w:szCs w:val="20"/>
            <w:u w:val="single"/>
          </w:rPr>
          <w:t>https://www.colombiacompra.gov.co/secop-ii</w:t>
        </w:r>
      </w:hyperlink>
      <w:r>
        <w:rPr>
          <w:rFonts w:ascii="Arial" w:eastAsia="Arial" w:hAnsi="Arial" w:cs="Arial"/>
          <w:b/>
          <w:bCs/>
          <w:sz w:val="20"/>
          <w:szCs w:val="20"/>
        </w:rPr>
        <w:t>.</w:t>
      </w:r>
    </w:p>
    <w:p w:rsidR="00C0159A" w:rsidRDefault="00C0159A">
      <w:pPr>
        <w:spacing w:after="0" w:line="240" w:lineRule="auto"/>
        <w:jc w:val="center"/>
        <w:rPr>
          <w:rFonts w:ascii="Arial" w:eastAsia="Arial" w:hAnsi="Arial" w:cs="Arial"/>
          <w:sz w:val="20"/>
          <w:szCs w:val="20"/>
          <w:highlight w:val="yellow"/>
        </w:rPr>
      </w:pPr>
    </w:p>
    <w:p w:rsidR="00C0159A" w:rsidRDefault="00C0159A">
      <w:pPr>
        <w:spacing w:after="0" w:line="240" w:lineRule="auto"/>
        <w:jc w:val="center"/>
        <w:rPr>
          <w:rFonts w:ascii="Arial" w:eastAsia="Arial" w:hAnsi="Arial" w:cs="Arial"/>
          <w:sz w:val="20"/>
          <w:szCs w:val="20"/>
          <w:highlight w:val="yellow"/>
        </w:rPr>
      </w:pPr>
    </w:p>
    <w:p w:rsidR="00C0159A" w:rsidRDefault="00244C46">
      <w:pPr>
        <w:spacing w:after="0" w:line="240" w:lineRule="auto"/>
        <w:jc w:val="center"/>
        <w:rPr>
          <w:rFonts w:ascii="Arial" w:eastAsia="Arial" w:hAnsi="Arial" w:cs="Arial"/>
          <w:b/>
          <w:bCs/>
          <w:sz w:val="20"/>
          <w:szCs w:val="20"/>
        </w:rPr>
      </w:pPr>
      <w:r>
        <w:rPr>
          <w:rFonts w:ascii="Arial" w:eastAsia="Arial" w:hAnsi="Arial" w:cs="Arial"/>
          <w:b/>
          <w:bCs/>
          <w:sz w:val="20"/>
          <w:szCs w:val="20"/>
        </w:rPr>
        <w:t>BOGOTÁ, ABRIL 2026</w:t>
      </w:r>
    </w:p>
    <w:p w:rsidR="00C0159A" w:rsidRDefault="00C0159A">
      <w:pPr>
        <w:spacing w:after="0" w:line="240" w:lineRule="auto"/>
        <w:jc w:val="center"/>
        <w:rPr>
          <w:rFonts w:ascii="Arial" w:eastAsia="Arial" w:hAnsi="Arial" w:cs="Arial"/>
          <w:b/>
          <w:bCs/>
          <w:sz w:val="20"/>
          <w:szCs w:val="20"/>
        </w:rPr>
      </w:pPr>
      <w:bookmarkStart w:id="0" w:name="_heading=h.mzp9m0rst4iq" w:colFirst="0" w:colLast="0"/>
      <w:bookmarkEnd w:id="0"/>
    </w:p>
    <w:p w:rsidR="00C0159A" w:rsidRDefault="00244C46">
      <w:pPr>
        <w:spacing w:after="0" w:line="240" w:lineRule="auto"/>
        <w:jc w:val="center"/>
        <w:rPr>
          <w:rFonts w:ascii="Arial" w:eastAsia="Arial" w:hAnsi="Arial" w:cs="Arial"/>
          <w:b/>
          <w:bCs/>
          <w:sz w:val="20"/>
          <w:szCs w:val="20"/>
        </w:rPr>
      </w:pPr>
      <w:bookmarkStart w:id="1" w:name="_heading=h.so9h015ppd56" w:colFirst="0" w:colLast="0"/>
      <w:bookmarkEnd w:id="1"/>
      <w:r>
        <w:rPr>
          <w:rFonts w:ascii="Arial" w:eastAsia="Arial" w:hAnsi="Arial" w:cs="Arial"/>
          <w:b/>
          <w:bCs/>
          <w:sz w:val="20"/>
          <w:szCs w:val="20"/>
        </w:rPr>
        <w:t>INTRODUCCIÓN</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b/>
          <w:bCs/>
          <w:sz w:val="20"/>
          <w:szCs w:val="20"/>
        </w:rPr>
        <w:t>INSTITUTO DE DESARROLLO URBANO – IDU</w:t>
      </w:r>
      <w:r>
        <w:rPr>
          <w:rFonts w:ascii="Arial" w:eastAsia="Arial" w:hAnsi="Arial" w:cs="Arial"/>
          <w:sz w:val="20"/>
          <w:szCs w:val="20"/>
        </w:rPr>
        <w:t xml:space="preserve">, en adelante la </w:t>
      </w:r>
      <w:r>
        <w:rPr>
          <w:rFonts w:ascii="Arial" w:eastAsia="Arial" w:hAnsi="Arial" w:cs="Arial"/>
          <w:i/>
          <w:iCs/>
          <w:sz w:val="20"/>
          <w:szCs w:val="20"/>
        </w:rPr>
        <w:t>“entidad”</w:t>
      </w:r>
      <w:r>
        <w:rPr>
          <w:rFonts w:ascii="Arial" w:eastAsia="Arial" w:hAnsi="Arial" w:cs="Arial"/>
          <w:sz w:val="20"/>
          <w:szCs w:val="20"/>
        </w:rPr>
        <w:t>, pone a dis</w:t>
      </w:r>
      <w:r>
        <w:rPr>
          <w:rFonts w:ascii="Arial" w:eastAsia="Arial" w:hAnsi="Arial" w:cs="Arial"/>
          <w:sz w:val="20"/>
          <w:szCs w:val="20"/>
        </w:rPr>
        <w:t xml:space="preserve">posición de los interesados el Pliego de Condiciones para la selección del Contratista encargado de ejecutar el Contrato de Interventoría de obra pública para </w:t>
      </w:r>
      <w:r>
        <w:rPr>
          <w:rFonts w:ascii="Arial" w:eastAsia="Arial" w:hAnsi="Arial" w:cs="Arial"/>
          <w:i/>
          <w:iCs/>
          <w:color w:val="000000"/>
          <w:sz w:val="20"/>
          <w:szCs w:val="20"/>
          <w:highlight w:val="white"/>
        </w:rPr>
        <w:t>“</w:t>
      </w:r>
      <w:r>
        <w:rPr>
          <w:rFonts w:ascii="Arial" w:eastAsia="Arial" w:hAnsi="Arial" w:cs="Arial"/>
          <w:sz w:val="20"/>
          <w:szCs w:val="20"/>
        </w:rPr>
        <w:t>“INTERVENTORÍA A LA BRIGADA DE REACCIÓN VIAL PARA LA EJECUCIÓN DE ACTIVIDADES PUNTUALES EN LA MA</w:t>
      </w:r>
      <w:r>
        <w:rPr>
          <w:rFonts w:ascii="Arial" w:eastAsia="Arial" w:hAnsi="Arial" w:cs="Arial"/>
          <w:sz w:val="20"/>
          <w:szCs w:val="20"/>
        </w:rPr>
        <w:t>LLA VIAL DE LA CIUDAD DE BOGOTÁ D.C. GRUPO 1, GRUPO 2 Y GRUPO 3</w:t>
      </w:r>
      <w:r>
        <w:rPr>
          <w:rFonts w:ascii="Arial" w:eastAsia="Arial" w:hAnsi="Arial" w:cs="Arial"/>
          <w:color w:val="000000"/>
          <w:sz w:val="20"/>
          <w:szCs w:val="20"/>
        </w:rPr>
        <w:t>”,</w:t>
      </w:r>
      <w:r>
        <w:rPr>
          <w:rFonts w:ascii="Arial" w:eastAsia="Arial" w:hAnsi="Arial" w:cs="Arial"/>
          <w:sz w:val="20"/>
          <w:szCs w:val="20"/>
        </w:rPr>
        <w:t xml:space="preserve"> en adelante el </w:t>
      </w:r>
      <w:r>
        <w:rPr>
          <w:rFonts w:ascii="Arial" w:eastAsia="Arial" w:hAnsi="Arial" w:cs="Arial"/>
          <w:i/>
          <w:iCs/>
          <w:sz w:val="20"/>
          <w:szCs w:val="20"/>
        </w:rPr>
        <w:t>“contrato”</w:t>
      </w:r>
      <w:r>
        <w:rPr>
          <w:rFonts w:ascii="Arial" w:eastAsia="Arial" w:hAnsi="Arial" w:cs="Arial"/>
          <w:sz w:val="20"/>
          <w:szCs w:val="20"/>
        </w:rPr>
        <w:t>.</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 en adelante SECOP–.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selección del </w:t>
      </w:r>
      <w:r>
        <w:rPr>
          <w:rFonts w:ascii="Arial" w:eastAsia="Arial" w:hAnsi="Arial" w:cs="Arial"/>
          <w:sz w:val="20"/>
          <w:szCs w:val="20"/>
        </w:rPr>
        <w:t>Contratista se realizará a través del Proceso de Contratación No. IDU-CMA-SGI-001-2026.</w:t>
      </w:r>
    </w:p>
    <w:p w:rsidR="00C0159A" w:rsidRDefault="00C0159A">
      <w:pPr>
        <w:spacing w:after="0" w:line="240" w:lineRule="auto"/>
        <w:jc w:val="both"/>
        <w:rPr>
          <w:rFonts w:ascii="Arial" w:eastAsia="Arial" w:hAnsi="Arial" w:cs="Arial"/>
          <w:sz w:val="20"/>
          <w:szCs w:val="20"/>
          <w:highlight w:val="lightGray"/>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evaluará las ofertas con base en las reglas establecidas en el Pliego de Condiciones y la normativa aplicable.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uso de los Documentos Tipo no exime a la </w:t>
      </w:r>
      <w:r>
        <w:rPr>
          <w:rFonts w:ascii="Arial" w:eastAsia="Arial" w:hAnsi="Arial" w:cs="Arial"/>
          <w:sz w:val="20"/>
          <w:szCs w:val="20"/>
        </w:rPr>
        <w:t>Entidad de la obligación de utilizar la normativa y la jurisprudencia aplicable al Proceso de Contratación.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no podrá modificar los Formatos, Anexos, Matrices y Formularios, ni solicitar soportes o requisitos adicionales a los establecidos en lo</w:t>
      </w:r>
      <w:r>
        <w:rPr>
          <w:rFonts w:ascii="Arial" w:eastAsia="Arial" w:hAnsi="Arial" w:cs="Arial"/>
          <w:sz w:val="20"/>
          <w:szCs w:val="20"/>
        </w:rPr>
        <w:t>s Documentos Tipo.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w:t>
      </w:r>
      <w:r>
        <w:rPr>
          <w:rFonts w:ascii="Arial" w:eastAsia="Arial" w:hAnsi="Arial" w:cs="Arial"/>
          <w:sz w:val="20"/>
          <w:szCs w:val="20"/>
        </w:rPr>
        <w:t>nsultar los Documentos del Proceso en los términos previstos en el inciso 3 del artículo 66 de la Ley 80 de 1993 y el artículo 2.2.1.1.1.2.1 del Decreto 1082 de 2015</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Estos Documentos Tipo aplican a los procesos de interventoría de obra pública de infraest</w:t>
      </w:r>
      <w:r>
        <w:rPr>
          <w:rFonts w:ascii="Arial" w:eastAsia="Arial" w:hAnsi="Arial" w:cs="Arial"/>
          <w:sz w:val="20"/>
          <w:szCs w:val="20"/>
        </w:rPr>
        <w:t>ructura de transporte celebrados en la modalidad de concurso de méritos, que correspondan con las “actividades” definidas en la “Matriz 1 – Experiencia”. En consecuencia, las actividades de infraestructura de transporte no contempladas en la “Matriz 1 – Ex</w:t>
      </w:r>
      <w:r>
        <w:rPr>
          <w:rFonts w:ascii="Arial" w:eastAsia="Arial" w:hAnsi="Arial" w:cs="Arial"/>
          <w:sz w:val="20"/>
          <w:szCs w:val="20"/>
        </w:rPr>
        <w:t xml:space="preserve">periencia” no tienen que emplearlos; sin perjuicio de lo previsto en el artículo 4 de la resolución 725 de 2024 que adopta los Documentos Tipo de interventoría de obra pública de infraestructura de transporte – versión 3.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Se aclara que este Documento Tip</w:t>
      </w:r>
      <w:r>
        <w:rPr>
          <w:rFonts w:ascii="Arial" w:eastAsia="Arial" w:hAnsi="Arial" w:cs="Arial"/>
          <w:sz w:val="20"/>
          <w:szCs w:val="20"/>
        </w:rPr>
        <w:t>o no aplica a las interventorías de los contratos de que trata la Ley 1508 de 2012, esto es, para las Asociaciones Público Privadas, debido a la naturaleza y especialidad de dichos contratos.</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keepNext/>
        <w:keepLines/>
        <w:pBdr>
          <w:top w:val="nil"/>
          <w:left w:val="nil"/>
          <w:bottom w:val="nil"/>
          <w:right w:val="nil"/>
          <w:between w:val="nil"/>
        </w:pBdr>
        <w:spacing w:after="0" w:line="240" w:lineRule="auto"/>
        <w:jc w:val="center"/>
        <w:rPr>
          <w:rFonts w:ascii="Arial" w:eastAsia="Arial" w:hAnsi="Arial" w:cs="Arial"/>
          <w:b/>
          <w:bCs/>
          <w:color w:val="000000"/>
          <w:sz w:val="20"/>
          <w:szCs w:val="20"/>
        </w:rPr>
      </w:pPr>
      <w:r>
        <w:rPr>
          <w:rFonts w:ascii="Arial" w:eastAsia="Arial" w:hAnsi="Arial" w:cs="Arial"/>
          <w:b/>
          <w:bCs/>
          <w:color w:val="000000"/>
          <w:sz w:val="20"/>
          <w:szCs w:val="20"/>
        </w:rPr>
        <w:lastRenderedPageBreak/>
        <w:t>TABLA DE CONTENIDO</w:t>
      </w:r>
    </w:p>
    <w:p w:rsidR="00C0159A" w:rsidRDefault="00C0159A">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sdt>
      <w:sdtPr>
        <w:id w:val="-393649857"/>
        <w:docPartObj>
          <w:docPartGallery w:val="Table of Contents"/>
          <w:docPartUnique/>
        </w:docPartObj>
      </w:sdtPr>
      <w:sdtEndPr/>
      <w:sdtContent>
        <w:p w:rsidR="00C0159A" w:rsidRDefault="00244C46">
          <w:pPr>
            <w:pBdr>
              <w:top w:val="nil"/>
              <w:left w:val="nil"/>
              <w:bottom w:val="nil"/>
              <w:right w:val="nil"/>
              <w:between w:val="nil"/>
            </w:pBdr>
            <w:tabs>
              <w:tab w:val="right" w:pos="8828"/>
            </w:tabs>
            <w:spacing w:after="0" w:line="240" w:lineRule="auto"/>
            <w:jc w:val="both"/>
            <w:rPr>
              <w:color w:val="000000"/>
              <w:sz w:val="24"/>
              <w:szCs w:val="24"/>
            </w:rPr>
          </w:pPr>
          <w:r>
            <w:fldChar w:fldCharType="begin"/>
          </w:r>
          <w:r>
            <w:instrText xml:space="preserve"> TOC \h \u \z \t "Heading 1,1,Heading 2,2,Heading 3,3,"</w:instrText>
          </w:r>
          <w:r>
            <w:fldChar w:fldCharType="separate"/>
          </w:r>
          <w:hyperlink w:anchor="_heading=h.so9h015ppd56">
            <w:r>
              <w:rPr>
                <w:rFonts w:ascii="Arial" w:eastAsia="Arial" w:hAnsi="Arial" w:cs="Arial"/>
                <w:b/>
                <w:bCs/>
                <w:color w:val="000000"/>
                <w:sz w:val="20"/>
                <w:szCs w:val="20"/>
              </w:rPr>
              <w:t>INTRODUCCIÓN</w:t>
            </w:r>
          </w:hyperlink>
          <w:hyperlink w:anchor="_heading=h.so9h015ppd56">
            <w:r>
              <w:rPr>
                <w:rFonts w:ascii="Arial" w:eastAsia="Arial" w:hAnsi="Arial" w:cs="Arial"/>
                <w:color w:val="000000"/>
                <w:sz w:val="20"/>
                <w:szCs w:val="20"/>
              </w:rPr>
              <w:tab/>
              <w:t>2</w:t>
            </w:r>
          </w:hyperlink>
        </w:p>
        <w:p w:rsidR="00C0159A" w:rsidRDefault="00244C46">
          <w:pPr>
            <w:pBdr>
              <w:top w:val="nil"/>
              <w:left w:val="nil"/>
              <w:bottom w:val="nil"/>
              <w:right w:val="nil"/>
              <w:between w:val="nil"/>
            </w:pBdr>
            <w:tabs>
              <w:tab w:val="left" w:pos="1440"/>
              <w:tab w:val="right" w:pos="8828"/>
            </w:tabs>
            <w:spacing w:after="0" w:line="240" w:lineRule="auto"/>
            <w:jc w:val="both"/>
            <w:rPr>
              <w:color w:val="000000"/>
              <w:sz w:val="24"/>
              <w:szCs w:val="24"/>
            </w:rPr>
          </w:pPr>
          <w:hyperlink w:anchor="_heading=h.wbl8ygst1j4a">
            <w:r>
              <w:rPr>
                <w:rFonts w:ascii="Arial" w:eastAsia="Arial" w:hAnsi="Arial" w:cs="Arial"/>
                <w:color w:val="000000"/>
                <w:sz w:val="20"/>
                <w:szCs w:val="20"/>
              </w:rPr>
              <w:t>CAPITULO I.</w:t>
            </w:r>
          </w:hyperlink>
          <w:hyperlink w:anchor="_heading=h.wbl8ygst1j4a">
            <w:r>
              <w:rPr>
                <w:color w:val="000000"/>
                <w:sz w:val="24"/>
                <w:szCs w:val="24"/>
              </w:rPr>
              <w:tab/>
            </w:r>
          </w:hyperlink>
          <w:r>
            <w:fldChar w:fldCharType="begin"/>
          </w:r>
          <w:r>
            <w:instrText xml:space="preserve"> PAGEREF _heading=h.wbl8ygst1j4a \h </w:instrText>
          </w:r>
          <w:r>
            <w:fldChar w:fldCharType="separate"/>
          </w:r>
          <w:r>
            <w:rPr>
              <w:rFonts w:ascii="Arial" w:eastAsia="Arial" w:hAnsi="Arial" w:cs="Arial"/>
              <w:color w:val="000000"/>
              <w:sz w:val="20"/>
              <w:szCs w:val="20"/>
            </w:rPr>
            <w:t>INFORMACIÓN GENERAL</w:t>
          </w:r>
          <w:r>
            <w:rPr>
              <w:rFonts w:ascii="Arial" w:eastAsia="Arial" w:hAnsi="Arial" w:cs="Arial"/>
              <w:color w:val="000000"/>
              <w:sz w:val="20"/>
              <w:szCs w:val="20"/>
            </w:rPr>
            <w:tab/>
            <w:t>6</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17lsimxpu7j">
            <w:r>
              <w:rPr>
                <w:rFonts w:ascii="Arial" w:eastAsia="Arial" w:hAnsi="Arial" w:cs="Arial"/>
                <w:color w:val="000000"/>
                <w:sz w:val="20"/>
                <w:szCs w:val="20"/>
              </w:rPr>
              <w:t>1.1.</w:t>
            </w:r>
          </w:hyperlink>
          <w:hyperlink w:anchor="_heading=h.i17lsimxpu7j">
            <w:r>
              <w:rPr>
                <w:color w:val="000000"/>
                <w:sz w:val="24"/>
                <w:szCs w:val="24"/>
              </w:rPr>
              <w:tab/>
            </w:r>
          </w:hyperlink>
          <w:r>
            <w:fldChar w:fldCharType="begin"/>
          </w:r>
          <w:r>
            <w:instrText xml:space="preserve"> PAGEREF _heading=h.i17lsimxpu7j \h </w:instrText>
          </w:r>
          <w:r>
            <w:fldChar w:fldCharType="separate"/>
          </w:r>
          <w:r>
            <w:rPr>
              <w:rFonts w:ascii="Arial" w:eastAsia="Arial" w:hAnsi="Arial" w:cs="Arial"/>
              <w:color w:val="000000"/>
              <w:sz w:val="20"/>
              <w:szCs w:val="20"/>
            </w:rPr>
            <w:t>OBJETO, PRESUPUESTO OFICIAL, PLAZO Y UBICACIÓN</w:t>
          </w:r>
          <w:r>
            <w:rPr>
              <w:rFonts w:ascii="Arial" w:eastAsia="Arial" w:hAnsi="Arial" w:cs="Arial"/>
              <w:color w:val="000000"/>
              <w:sz w:val="20"/>
              <w:szCs w:val="20"/>
            </w:rPr>
            <w:tab/>
            <w:t>6</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7u51nkcfmak">
            <w:r>
              <w:rPr>
                <w:rFonts w:ascii="Arial" w:eastAsia="Arial" w:hAnsi="Arial" w:cs="Arial"/>
                <w:color w:val="000000"/>
                <w:sz w:val="20"/>
                <w:szCs w:val="20"/>
              </w:rPr>
              <w:t>1.2.</w:t>
            </w:r>
          </w:hyperlink>
          <w:hyperlink w:anchor="_heading=h.d7u51nkcfmak">
            <w:r>
              <w:rPr>
                <w:color w:val="000000"/>
                <w:sz w:val="24"/>
                <w:szCs w:val="24"/>
              </w:rPr>
              <w:tab/>
            </w:r>
          </w:hyperlink>
          <w:r>
            <w:fldChar w:fldCharType="begin"/>
          </w:r>
          <w:r>
            <w:instrText xml:space="preserve"> PAGEREF _heading=h.d7u51nkcfmak \h </w:instrText>
          </w:r>
          <w:r>
            <w:fldChar w:fldCharType="separate"/>
          </w:r>
          <w:r>
            <w:rPr>
              <w:rFonts w:ascii="Arial" w:eastAsia="Arial" w:hAnsi="Arial" w:cs="Arial"/>
              <w:color w:val="000000"/>
              <w:sz w:val="20"/>
              <w:szCs w:val="20"/>
            </w:rPr>
            <w:t>DOCUMENTOS DEL PROCESO</w:t>
          </w:r>
          <w:r>
            <w:rPr>
              <w:rFonts w:ascii="Arial" w:eastAsia="Arial" w:hAnsi="Arial" w:cs="Arial"/>
              <w:color w:val="000000"/>
              <w:sz w:val="20"/>
              <w:szCs w:val="20"/>
            </w:rPr>
            <w:tab/>
            <w:t>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d2o01t4r0fwp">
            <w:r>
              <w:rPr>
                <w:rFonts w:ascii="Arial" w:eastAsia="Arial" w:hAnsi="Arial" w:cs="Arial"/>
                <w:color w:val="000000"/>
                <w:sz w:val="20"/>
                <w:szCs w:val="20"/>
              </w:rPr>
              <w:t>1.3.</w:t>
            </w:r>
          </w:hyperlink>
          <w:hyperlink w:anchor="_heading=h.d2o01t4r0fwp">
            <w:r>
              <w:rPr>
                <w:color w:val="000000"/>
                <w:sz w:val="24"/>
                <w:szCs w:val="24"/>
              </w:rPr>
              <w:tab/>
            </w:r>
          </w:hyperlink>
          <w:r>
            <w:fldChar w:fldCharType="begin"/>
          </w:r>
          <w:r>
            <w:instrText xml:space="preserve"> PAGEREF _heading=h.d2o01t4r0fwp \h </w:instrText>
          </w:r>
          <w:r>
            <w:fldChar w:fldCharType="separate"/>
          </w:r>
          <w:r>
            <w:rPr>
              <w:rFonts w:ascii="Arial" w:eastAsia="Arial" w:hAnsi="Arial" w:cs="Arial"/>
              <w:color w:val="000000"/>
              <w:sz w:val="20"/>
              <w:szCs w:val="20"/>
            </w:rPr>
            <w:t>COMUNICACIONES Y OBSERVACIONES AL PROCESO</w:t>
          </w:r>
          <w:r>
            <w:rPr>
              <w:rFonts w:ascii="Arial" w:eastAsia="Arial" w:hAnsi="Arial" w:cs="Arial"/>
              <w:color w:val="000000"/>
              <w:sz w:val="20"/>
              <w:szCs w:val="20"/>
            </w:rPr>
            <w:tab/>
            <w:t>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0gtuvasttgx">
            <w:r>
              <w:rPr>
                <w:rFonts w:ascii="Arial" w:eastAsia="Arial" w:hAnsi="Arial" w:cs="Arial"/>
                <w:color w:val="000000"/>
                <w:sz w:val="20"/>
                <w:szCs w:val="20"/>
              </w:rPr>
              <w:t>1.4.</w:t>
            </w:r>
          </w:hyperlink>
          <w:hyperlink w:anchor="_heading=h.u0gtuvasttgx">
            <w:r>
              <w:rPr>
                <w:color w:val="000000"/>
                <w:sz w:val="24"/>
                <w:szCs w:val="24"/>
              </w:rPr>
              <w:tab/>
            </w:r>
          </w:hyperlink>
          <w:r>
            <w:fldChar w:fldCharType="begin"/>
          </w:r>
          <w:r>
            <w:instrText xml:space="preserve"> PAGEREF _heading=h.u0gtuvasttgx \h </w:instrText>
          </w:r>
          <w:r>
            <w:fldChar w:fldCharType="separate"/>
          </w:r>
          <w:r>
            <w:rPr>
              <w:rFonts w:ascii="Arial" w:eastAsia="Arial" w:hAnsi="Arial" w:cs="Arial"/>
              <w:color w:val="000000"/>
              <w:sz w:val="20"/>
              <w:szCs w:val="20"/>
            </w:rPr>
            <w:t>CLASIFICADOR DE BIENES Y SERVICIOS DE NACIONES UNI</w:t>
          </w:r>
          <w:r>
            <w:rPr>
              <w:rFonts w:ascii="Arial" w:eastAsia="Arial" w:hAnsi="Arial" w:cs="Arial"/>
              <w:color w:val="000000"/>
              <w:sz w:val="20"/>
              <w:szCs w:val="20"/>
            </w:rPr>
            <w:t>DAS (UNSPSC)</w:t>
          </w:r>
          <w:r>
            <w:rPr>
              <w:rFonts w:ascii="Arial" w:eastAsia="Arial" w:hAnsi="Arial" w:cs="Arial"/>
              <w:color w:val="000000"/>
              <w:sz w:val="20"/>
              <w:szCs w:val="20"/>
            </w:rPr>
            <w:tab/>
            <w:t>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8jxam7ba4qb7">
            <w:r>
              <w:rPr>
                <w:rFonts w:ascii="Arial" w:eastAsia="Arial" w:hAnsi="Arial" w:cs="Arial"/>
                <w:color w:val="000000"/>
                <w:sz w:val="20"/>
                <w:szCs w:val="20"/>
              </w:rPr>
              <w:t>1.5.</w:t>
            </w:r>
          </w:hyperlink>
          <w:hyperlink w:anchor="_heading=h.8jxam7ba4qb7">
            <w:r>
              <w:rPr>
                <w:color w:val="000000"/>
                <w:sz w:val="24"/>
                <w:szCs w:val="24"/>
              </w:rPr>
              <w:tab/>
            </w:r>
          </w:hyperlink>
          <w:r>
            <w:fldChar w:fldCharType="begin"/>
          </w:r>
          <w:r>
            <w:instrText xml:space="preserve"> PAGEREF _heading=h.8jxam7ba4qb7 \h </w:instrText>
          </w:r>
          <w:r>
            <w:fldChar w:fldCharType="separate"/>
          </w:r>
          <w:r>
            <w:rPr>
              <w:rFonts w:ascii="Arial" w:eastAsia="Arial" w:hAnsi="Arial" w:cs="Arial"/>
              <w:color w:val="000000"/>
              <w:sz w:val="20"/>
              <w:szCs w:val="20"/>
            </w:rPr>
            <w:t>RECURSOS QUE RESPALDAN LA PRES</w:t>
          </w:r>
          <w:r>
            <w:rPr>
              <w:rFonts w:ascii="Arial" w:eastAsia="Arial" w:hAnsi="Arial" w:cs="Arial"/>
              <w:color w:val="000000"/>
              <w:sz w:val="20"/>
              <w:szCs w:val="20"/>
            </w:rPr>
            <w:t>ENTE CONTRATACIÓN</w:t>
          </w:r>
          <w:r>
            <w:rPr>
              <w:rFonts w:ascii="Arial" w:eastAsia="Arial" w:hAnsi="Arial" w:cs="Arial"/>
              <w:color w:val="000000"/>
              <w:sz w:val="20"/>
              <w:szCs w:val="20"/>
            </w:rPr>
            <w:tab/>
            <w:t>8</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lj9g4ejzpqm">
            <w:r>
              <w:rPr>
                <w:rFonts w:ascii="Arial" w:eastAsia="Arial" w:hAnsi="Arial" w:cs="Arial"/>
                <w:color w:val="000000"/>
                <w:sz w:val="20"/>
                <w:szCs w:val="20"/>
              </w:rPr>
              <w:t>1.6.</w:t>
            </w:r>
          </w:hyperlink>
          <w:hyperlink w:anchor="_heading=h.3lj9g4ejzpqm">
            <w:r>
              <w:rPr>
                <w:color w:val="000000"/>
                <w:sz w:val="24"/>
                <w:szCs w:val="24"/>
              </w:rPr>
              <w:tab/>
            </w:r>
          </w:hyperlink>
          <w:r>
            <w:fldChar w:fldCharType="begin"/>
          </w:r>
          <w:r>
            <w:instrText xml:space="preserve"> PAGEREF _heading=h.3lj9g4ejzpqm \h </w:instrText>
          </w:r>
          <w:r>
            <w:fldChar w:fldCharType="separate"/>
          </w:r>
          <w:r>
            <w:rPr>
              <w:rFonts w:ascii="Arial" w:eastAsia="Arial" w:hAnsi="Arial" w:cs="Arial"/>
              <w:color w:val="000000"/>
              <w:sz w:val="20"/>
              <w:szCs w:val="20"/>
            </w:rPr>
            <w:t xml:space="preserve">REGLAS DE SUBSANABILIDAD, </w:t>
          </w:r>
          <w:r>
            <w:rPr>
              <w:rFonts w:ascii="Arial" w:eastAsia="Arial" w:hAnsi="Arial" w:cs="Arial"/>
              <w:color w:val="000000"/>
              <w:sz w:val="20"/>
              <w:szCs w:val="20"/>
            </w:rPr>
            <w:t>EXPLICACIONES Y ACLARACIONES</w:t>
          </w:r>
          <w:r>
            <w:rPr>
              <w:rFonts w:ascii="Arial" w:eastAsia="Arial" w:hAnsi="Arial" w:cs="Arial"/>
              <w:color w:val="000000"/>
              <w:sz w:val="20"/>
              <w:szCs w:val="20"/>
            </w:rPr>
            <w:tab/>
            <w:t>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nkgr6t7844uu">
            <w:r>
              <w:rPr>
                <w:rFonts w:ascii="Arial" w:eastAsia="Arial" w:hAnsi="Arial" w:cs="Arial"/>
                <w:color w:val="000000"/>
                <w:sz w:val="20"/>
                <w:szCs w:val="20"/>
              </w:rPr>
              <w:t>1.7.</w:t>
            </w:r>
          </w:hyperlink>
          <w:hyperlink w:anchor="_heading=h.nkgr6t7844uu">
            <w:r>
              <w:rPr>
                <w:color w:val="000000"/>
                <w:sz w:val="24"/>
                <w:szCs w:val="24"/>
              </w:rPr>
              <w:tab/>
            </w:r>
          </w:hyperlink>
          <w:r>
            <w:fldChar w:fldCharType="begin"/>
          </w:r>
          <w:r>
            <w:instrText xml:space="preserve"> PAGEREF _heading=h.nkgr6t7844uu \h </w:instrText>
          </w:r>
          <w:r>
            <w:fldChar w:fldCharType="separate"/>
          </w:r>
          <w:r>
            <w:rPr>
              <w:rFonts w:ascii="Arial" w:eastAsia="Arial" w:hAnsi="Arial" w:cs="Arial"/>
              <w:color w:val="000000"/>
              <w:sz w:val="20"/>
              <w:szCs w:val="20"/>
            </w:rPr>
            <w:t>CRONOGRAMA DEL PROCESO</w:t>
          </w:r>
          <w:r>
            <w:rPr>
              <w:rFonts w:ascii="Arial" w:eastAsia="Arial" w:hAnsi="Arial" w:cs="Arial"/>
              <w:color w:val="000000"/>
              <w:sz w:val="20"/>
              <w:szCs w:val="20"/>
            </w:rPr>
            <w:tab/>
            <w:t>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sl3ecvqbtmv">
            <w:r>
              <w:rPr>
                <w:rFonts w:ascii="Arial" w:eastAsia="Arial" w:hAnsi="Arial" w:cs="Arial"/>
                <w:color w:val="000000"/>
                <w:sz w:val="20"/>
                <w:szCs w:val="20"/>
              </w:rPr>
              <w:t>1.8.</w:t>
            </w:r>
          </w:hyperlink>
          <w:hyperlink w:anchor="_heading=h.wsl3ecvqbtmv">
            <w:r>
              <w:rPr>
                <w:color w:val="000000"/>
                <w:sz w:val="24"/>
                <w:szCs w:val="24"/>
              </w:rPr>
              <w:tab/>
            </w:r>
          </w:hyperlink>
          <w:r>
            <w:fldChar w:fldCharType="begin"/>
          </w:r>
          <w:r>
            <w:instrText xml:space="preserve"> PAGEREF _heading=h.wsl3ecvqbtmv \h </w:instrText>
          </w:r>
          <w:r>
            <w:fldChar w:fldCharType="separate"/>
          </w:r>
          <w:r>
            <w:rPr>
              <w:rFonts w:ascii="Arial" w:eastAsia="Arial" w:hAnsi="Arial" w:cs="Arial"/>
              <w:color w:val="000000"/>
              <w:sz w:val="20"/>
              <w:szCs w:val="20"/>
            </w:rPr>
            <w:t>IDIOMA</w:t>
          </w:r>
          <w:r>
            <w:rPr>
              <w:rFonts w:ascii="Arial" w:eastAsia="Arial" w:hAnsi="Arial" w:cs="Arial"/>
              <w:color w:val="000000"/>
              <w:sz w:val="20"/>
              <w:szCs w:val="20"/>
            </w:rPr>
            <w:tab/>
            <w:t>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y0m9146udie">
            <w:r>
              <w:rPr>
                <w:rFonts w:ascii="Arial" w:eastAsia="Arial" w:hAnsi="Arial" w:cs="Arial"/>
                <w:color w:val="000000"/>
                <w:sz w:val="20"/>
                <w:szCs w:val="20"/>
              </w:rPr>
              <w:t>1.9.</w:t>
            </w:r>
          </w:hyperlink>
          <w:hyperlink w:anchor="_heading=h.y0m9146udie">
            <w:r>
              <w:rPr>
                <w:color w:val="000000"/>
                <w:sz w:val="24"/>
                <w:szCs w:val="24"/>
              </w:rPr>
              <w:tab/>
            </w:r>
          </w:hyperlink>
          <w:r>
            <w:fldChar w:fldCharType="begin"/>
          </w:r>
          <w:r>
            <w:instrText xml:space="preserve"> PAGEREF _heading=h.y0m9146udie \h </w:instrText>
          </w:r>
          <w:r>
            <w:fldChar w:fldCharType="separate"/>
          </w:r>
          <w:r>
            <w:rPr>
              <w:rFonts w:ascii="Arial" w:eastAsia="Arial" w:hAnsi="Arial" w:cs="Arial"/>
              <w:color w:val="000000"/>
              <w:sz w:val="20"/>
              <w:szCs w:val="20"/>
            </w:rPr>
            <w:t>DOCUMENTOS OTORGADOS EN EL EXTERIOR</w:t>
          </w:r>
          <w:r>
            <w:rPr>
              <w:rFonts w:ascii="Arial" w:eastAsia="Arial" w:hAnsi="Arial" w:cs="Arial"/>
              <w:color w:val="000000"/>
              <w:sz w:val="20"/>
              <w:szCs w:val="20"/>
            </w:rPr>
            <w:tab/>
            <w:t>10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jux80i1qc8r">
            <w:r>
              <w:rPr>
                <w:rFonts w:ascii="Arial" w:eastAsia="Arial" w:hAnsi="Arial" w:cs="Arial"/>
                <w:color w:val="000000"/>
                <w:sz w:val="20"/>
                <w:szCs w:val="20"/>
              </w:rPr>
              <w:t>1.10.</w:t>
            </w:r>
          </w:hyperlink>
          <w:hyperlink w:anchor="_heading=h.cjux80i1qc8r">
            <w:r>
              <w:rPr>
                <w:color w:val="000000"/>
                <w:sz w:val="24"/>
                <w:szCs w:val="24"/>
              </w:rPr>
              <w:tab/>
            </w:r>
          </w:hyperlink>
          <w:r>
            <w:fldChar w:fldCharType="begin"/>
          </w:r>
          <w:r>
            <w:instrText xml:space="preserve"> PAGEREF _heading=h.cjux80i1qc8r \h </w:instrText>
          </w:r>
          <w:r>
            <w:fldChar w:fldCharType="separate"/>
          </w:r>
          <w:r>
            <w:rPr>
              <w:rFonts w:ascii="Arial" w:eastAsia="Arial" w:hAnsi="Arial" w:cs="Arial"/>
              <w:color w:val="000000"/>
              <w:sz w:val="20"/>
              <w:szCs w:val="20"/>
            </w:rPr>
            <w:t>GLOSARIO</w:t>
          </w:r>
          <w:r>
            <w:rPr>
              <w:rFonts w:ascii="Arial" w:eastAsia="Arial" w:hAnsi="Arial" w:cs="Arial"/>
              <w:color w:val="000000"/>
              <w:sz w:val="20"/>
              <w:szCs w:val="20"/>
            </w:rPr>
            <w:tab/>
            <w:t>10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nj0lqjninds">
            <w:r>
              <w:rPr>
                <w:rFonts w:ascii="Arial" w:eastAsia="Arial" w:hAnsi="Arial" w:cs="Arial"/>
                <w:color w:val="000000"/>
                <w:sz w:val="20"/>
                <w:szCs w:val="20"/>
              </w:rPr>
              <w:t>1.11.</w:t>
            </w:r>
          </w:hyperlink>
          <w:hyperlink w:anchor="_heading=h.bnj0lqjninds">
            <w:r>
              <w:rPr>
                <w:color w:val="000000"/>
                <w:sz w:val="24"/>
                <w:szCs w:val="24"/>
              </w:rPr>
              <w:tab/>
            </w:r>
          </w:hyperlink>
          <w:r>
            <w:fldChar w:fldCharType="begin"/>
          </w:r>
          <w:r>
            <w:instrText xml:space="preserve"> PAGEREF _heading=h.bnj0lqjninds \h </w:instrText>
          </w:r>
          <w:r>
            <w:fldChar w:fldCharType="separate"/>
          </w:r>
          <w:r>
            <w:rPr>
              <w:rFonts w:ascii="Arial" w:eastAsia="Arial" w:hAnsi="Arial" w:cs="Arial"/>
              <w:color w:val="000000"/>
              <w:sz w:val="20"/>
              <w:szCs w:val="20"/>
            </w:rPr>
            <w:t>INFORMACIÓN INEXACTA</w:t>
          </w:r>
          <w:r>
            <w:rPr>
              <w:rFonts w:ascii="Arial" w:eastAsia="Arial" w:hAnsi="Arial" w:cs="Arial"/>
              <w:color w:val="000000"/>
              <w:sz w:val="20"/>
              <w:szCs w:val="20"/>
            </w:rPr>
            <w:tab/>
            <w:t>10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usyem1jp8mv">
            <w:r>
              <w:rPr>
                <w:rFonts w:ascii="Arial" w:eastAsia="Arial" w:hAnsi="Arial" w:cs="Arial"/>
                <w:color w:val="000000"/>
                <w:sz w:val="20"/>
                <w:szCs w:val="20"/>
              </w:rPr>
              <w:t>1.12.</w:t>
            </w:r>
          </w:hyperlink>
          <w:hyperlink w:anchor="_heading=h.tusyem1jp8mv">
            <w:r>
              <w:rPr>
                <w:color w:val="000000"/>
                <w:sz w:val="24"/>
                <w:szCs w:val="24"/>
              </w:rPr>
              <w:tab/>
            </w:r>
          </w:hyperlink>
          <w:r>
            <w:fldChar w:fldCharType="begin"/>
          </w:r>
          <w:r>
            <w:instrText xml:space="preserve"> PAGEREF _heading=h.tusyem1jp8mv \h </w:instrText>
          </w:r>
          <w:r>
            <w:fldChar w:fldCharType="separate"/>
          </w:r>
          <w:r>
            <w:rPr>
              <w:rFonts w:ascii="Arial" w:eastAsia="Arial" w:hAnsi="Arial" w:cs="Arial"/>
              <w:color w:val="000000"/>
              <w:sz w:val="20"/>
              <w:szCs w:val="20"/>
            </w:rPr>
            <w:t>INFORMACIÓN RESERVADA</w:t>
          </w:r>
          <w:r>
            <w:rPr>
              <w:rFonts w:ascii="Arial" w:eastAsia="Arial" w:hAnsi="Arial" w:cs="Arial"/>
              <w:color w:val="000000"/>
              <w:sz w:val="20"/>
              <w:szCs w:val="20"/>
            </w:rPr>
            <w:tab/>
            <w:t>11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lo27mqqetuw">
            <w:r>
              <w:rPr>
                <w:rFonts w:ascii="Arial" w:eastAsia="Arial" w:hAnsi="Arial" w:cs="Arial"/>
                <w:color w:val="000000"/>
                <w:sz w:val="20"/>
                <w:szCs w:val="20"/>
              </w:rPr>
              <w:t>1.13.</w:t>
            </w:r>
          </w:hyperlink>
          <w:hyperlink w:anchor="_heading=h.3lo27mqqetuw">
            <w:r>
              <w:rPr>
                <w:color w:val="000000"/>
                <w:sz w:val="24"/>
                <w:szCs w:val="24"/>
              </w:rPr>
              <w:tab/>
            </w:r>
          </w:hyperlink>
          <w:r>
            <w:fldChar w:fldCharType="begin"/>
          </w:r>
          <w:r>
            <w:instrText xml:space="preserve"> PAGEREF _heading=h.3lo27mqqetuw \h </w:instrText>
          </w:r>
          <w:r>
            <w:fldChar w:fldCharType="separate"/>
          </w:r>
          <w:r>
            <w:rPr>
              <w:rFonts w:ascii="Arial" w:eastAsia="Arial" w:hAnsi="Arial" w:cs="Arial"/>
              <w:color w:val="000000"/>
              <w:sz w:val="20"/>
              <w:szCs w:val="20"/>
            </w:rPr>
            <w:t>MONEDA</w:t>
          </w:r>
          <w:r>
            <w:rPr>
              <w:rFonts w:ascii="Arial" w:eastAsia="Arial" w:hAnsi="Arial" w:cs="Arial"/>
              <w:color w:val="000000"/>
              <w:sz w:val="20"/>
              <w:szCs w:val="20"/>
            </w:rPr>
            <w:tab/>
            <w:t>11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v6eerrpt1ipr">
            <w:r>
              <w:rPr>
                <w:rFonts w:ascii="Arial" w:eastAsia="Arial" w:hAnsi="Arial" w:cs="Arial"/>
                <w:color w:val="000000"/>
                <w:sz w:val="20"/>
                <w:szCs w:val="20"/>
              </w:rPr>
              <w:t>1.14.</w:t>
            </w:r>
          </w:hyperlink>
          <w:hyperlink w:anchor="_heading=h.v6eerrpt1ipr">
            <w:r>
              <w:rPr>
                <w:color w:val="000000"/>
                <w:sz w:val="24"/>
                <w:szCs w:val="24"/>
              </w:rPr>
              <w:tab/>
            </w:r>
          </w:hyperlink>
          <w:r>
            <w:fldChar w:fldCharType="begin"/>
          </w:r>
          <w:r>
            <w:instrText xml:space="preserve"> PAGEREF _heading=h.v6eerrpt1ipr \h </w:instrText>
          </w:r>
          <w:r>
            <w:fldChar w:fldCharType="separate"/>
          </w:r>
          <w:r>
            <w:rPr>
              <w:rFonts w:ascii="Arial" w:eastAsia="Arial" w:hAnsi="Arial" w:cs="Arial"/>
              <w:color w:val="000000"/>
              <w:sz w:val="20"/>
              <w:szCs w:val="20"/>
            </w:rPr>
            <w:t>CONFLICTO DE INTERÉS DE ORIGEN CONSTITUCIONAL O LEGAL</w:t>
          </w:r>
          <w:r>
            <w:rPr>
              <w:rFonts w:ascii="Arial" w:eastAsia="Arial" w:hAnsi="Arial" w:cs="Arial"/>
              <w:color w:val="000000"/>
              <w:sz w:val="20"/>
              <w:szCs w:val="20"/>
            </w:rPr>
            <w:tab/>
            <w:t>12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414cnxnoxwz">
            <w:r>
              <w:rPr>
                <w:rFonts w:ascii="Arial" w:eastAsia="Arial" w:hAnsi="Arial" w:cs="Arial"/>
                <w:color w:val="000000"/>
                <w:sz w:val="20"/>
                <w:szCs w:val="20"/>
              </w:rPr>
              <w:t>1.15.</w:t>
            </w:r>
          </w:hyperlink>
          <w:hyperlink w:anchor="_heading=h.u414cnxnoxwz">
            <w:r>
              <w:rPr>
                <w:color w:val="000000"/>
                <w:sz w:val="24"/>
                <w:szCs w:val="24"/>
              </w:rPr>
              <w:tab/>
            </w:r>
          </w:hyperlink>
          <w:r>
            <w:fldChar w:fldCharType="begin"/>
          </w:r>
          <w:r>
            <w:instrText xml:space="preserve"> PAGEREF _heading=h.u414cnxnoxwz \h </w:instrText>
          </w:r>
          <w:r>
            <w:fldChar w:fldCharType="separate"/>
          </w:r>
          <w:r>
            <w:rPr>
              <w:rFonts w:ascii="Arial" w:eastAsia="Arial" w:hAnsi="Arial" w:cs="Arial"/>
              <w:color w:val="000000"/>
              <w:sz w:val="20"/>
              <w:szCs w:val="20"/>
            </w:rPr>
            <w:t>CAUSALES DE RECHAZO</w:t>
          </w:r>
          <w:r>
            <w:rPr>
              <w:rFonts w:ascii="Arial" w:eastAsia="Arial" w:hAnsi="Arial" w:cs="Arial"/>
              <w:color w:val="000000"/>
              <w:sz w:val="20"/>
              <w:szCs w:val="20"/>
            </w:rPr>
            <w:tab/>
            <w:t>12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ngn4ih5vvd42">
            <w:r>
              <w:rPr>
                <w:rFonts w:ascii="Arial" w:eastAsia="Arial" w:hAnsi="Arial" w:cs="Arial"/>
                <w:color w:val="000000"/>
                <w:sz w:val="20"/>
                <w:szCs w:val="20"/>
              </w:rPr>
              <w:t>1.16.</w:t>
            </w:r>
          </w:hyperlink>
          <w:hyperlink w:anchor="_heading=h.ngn4ih5vvd42">
            <w:r>
              <w:rPr>
                <w:color w:val="000000"/>
                <w:sz w:val="24"/>
                <w:szCs w:val="24"/>
              </w:rPr>
              <w:tab/>
            </w:r>
          </w:hyperlink>
          <w:r>
            <w:fldChar w:fldCharType="begin"/>
          </w:r>
          <w:r>
            <w:instrText xml:space="preserve"> PAGEREF _heading=h.ngn4ih5vvd42 \h </w:instrText>
          </w:r>
          <w:r>
            <w:fldChar w:fldCharType="separate"/>
          </w:r>
          <w:r>
            <w:rPr>
              <w:rFonts w:ascii="Arial" w:eastAsia="Arial" w:hAnsi="Arial" w:cs="Arial"/>
              <w:color w:val="000000"/>
              <w:sz w:val="20"/>
              <w:szCs w:val="20"/>
            </w:rPr>
            <w:t>CAUSALES PARA DECLARAR DESIERTO EL PROCESO DE SELECCIÓN</w:t>
          </w:r>
          <w:r>
            <w:rPr>
              <w:rFonts w:ascii="Arial" w:eastAsia="Arial" w:hAnsi="Arial" w:cs="Arial"/>
              <w:color w:val="000000"/>
              <w:sz w:val="20"/>
              <w:szCs w:val="20"/>
            </w:rPr>
            <w:tab/>
            <w:t>14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t78e4di08okt">
            <w:r>
              <w:rPr>
                <w:rFonts w:ascii="Arial" w:eastAsia="Arial" w:hAnsi="Arial" w:cs="Arial"/>
                <w:color w:val="000000"/>
                <w:sz w:val="20"/>
                <w:szCs w:val="20"/>
              </w:rPr>
              <w:t>1.17.</w:t>
            </w:r>
          </w:hyperlink>
          <w:hyperlink w:anchor="_heading=h.t78e4di08okt">
            <w:r>
              <w:rPr>
                <w:color w:val="000000"/>
                <w:sz w:val="24"/>
                <w:szCs w:val="24"/>
              </w:rPr>
              <w:tab/>
            </w:r>
          </w:hyperlink>
          <w:r>
            <w:fldChar w:fldCharType="begin"/>
          </w:r>
          <w:r>
            <w:instrText xml:space="preserve"> PAGEREF _heading=h.t78e4di08okt \h </w:instrText>
          </w:r>
          <w:r>
            <w:fldChar w:fldCharType="separate"/>
          </w:r>
          <w:r>
            <w:rPr>
              <w:rFonts w:ascii="Arial" w:eastAsia="Arial" w:hAnsi="Arial" w:cs="Arial"/>
              <w:color w:val="000000"/>
              <w:sz w:val="20"/>
              <w:szCs w:val="20"/>
            </w:rPr>
            <w:t>NORMAS DE INTERPRETACIÓN DEL PLIEGO DE CONDICIONES</w:t>
          </w:r>
          <w:r>
            <w:rPr>
              <w:rFonts w:ascii="Arial" w:eastAsia="Arial" w:hAnsi="Arial" w:cs="Arial"/>
              <w:color w:val="000000"/>
              <w:sz w:val="20"/>
              <w:szCs w:val="20"/>
            </w:rPr>
            <w:tab/>
            <w:t>14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rq7bvjaxla4">
            <w:r>
              <w:rPr>
                <w:rFonts w:ascii="Arial" w:eastAsia="Arial" w:hAnsi="Arial" w:cs="Arial"/>
                <w:color w:val="000000"/>
                <w:sz w:val="20"/>
                <w:szCs w:val="20"/>
              </w:rPr>
              <w:t>1.18.</w:t>
            </w:r>
          </w:hyperlink>
          <w:hyperlink w:anchor="_heading=h.rrq7bvjaxla4">
            <w:r>
              <w:rPr>
                <w:color w:val="000000"/>
                <w:sz w:val="24"/>
                <w:szCs w:val="24"/>
              </w:rPr>
              <w:tab/>
            </w:r>
          </w:hyperlink>
          <w:r>
            <w:fldChar w:fldCharType="begin"/>
          </w:r>
          <w:r>
            <w:instrText xml:space="preserve"> PAGEREF _heading=h.rrq7bvjaxla4 \h </w:instrText>
          </w:r>
          <w:r>
            <w:fldChar w:fldCharType="separate"/>
          </w:r>
          <w:r>
            <w:rPr>
              <w:rFonts w:ascii="Arial" w:eastAsia="Arial" w:hAnsi="Arial" w:cs="Arial"/>
              <w:color w:val="000000"/>
              <w:sz w:val="20"/>
              <w:szCs w:val="20"/>
            </w:rPr>
            <w:t>RETIRO DE LA PROPUESTA</w:t>
          </w:r>
          <w:r>
            <w:rPr>
              <w:rFonts w:ascii="Arial" w:eastAsia="Arial" w:hAnsi="Arial" w:cs="Arial"/>
              <w:color w:val="000000"/>
              <w:sz w:val="20"/>
              <w:szCs w:val="20"/>
            </w:rPr>
            <w:tab/>
            <w:t>15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g71x7klvqex">
            <w:r>
              <w:rPr>
                <w:rFonts w:ascii="Arial" w:eastAsia="Arial" w:hAnsi="Arial" w:cs="Arial"/>
                <w:color w:val="000000"/>
                <w:sz w:val="20"/>
                <w:szCs w:val="20"/>
              </w:rPr>
              <w:t>1.19.</w:t>
            </w:r>
          </w:hyperlink>
          <w:hyperlink w:anchor="_heading=h.cg71x7klvqex">
            <w:r>
              <w:rPr>
                <w:color w:val="000000"/>
                <w:sz w:val="24"/>
                <w:szCs w:val="24"/>
              </w:rPr>
              <w:tab/>
            </w:r>
          </w:hyperlink>
          <w:r>
            <w:fldChar w:fldCharType="begin"/>
          </w:r>
          <w:r>
            <w:instrText xml:space="preserve"> PAGEREF _heading=h.cg71x7klvqex \h </w:instrText>
          </w:r>
          <w:r>
            <w:fldChar w:fldCharType="separate"/>
          </w:r>
          <w:r>
            <w:rPr>
              <w:rFonts w:ascii="Arial" w:eastAsia="Arial" w:hAnsi="Arial" w:cs="Arial"/>
              <w:color w:val="000000"/>
              <w:sz w:val="20"/>
              <w:szCs w:val="20"/>
            </w:rPr>
            <w:t xml:space="preserve">CONFIDENCIALIDAD DE LA INFORMACIÓN RELACIONADA </w:t>
          </w:r>
          <w:r>
            <w:rPr>
              <w:rFonts w:ascii="Arial" w:eastAsia="Arial" w:hAnsi="Arial" w:cs="Arial"/>
              <w:color w:val="000000"/>
              <w:sz w:val="20"/>
              <w:szCs w:val="20"/>
            </w:rPr>
            <w:t>CON DATOS SENSIBLES</w:t>
          </w:r>
          <w:r>
            <w:rPr>
              <w:rFonts w:ascii="Arial" w:eastAsia="Arial" w:hAnsi="Arial" w:cs="Arial"/>
              <w:color w:val="000000"/>
              <w:sz w:val="20"/>
              <w:szCs w:val="20"/>
            </w:rPr>
            <w:tab/>
            <w:t>15</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jdvkalcsfjyg">
            <w:r>
              <w:rPr>
                <w:rFonts w:ascii="Arial" w:eastAsia="Arial" w:hAnsi="Arial" w:cs="Arial"/>
                <w:color w:val="000000"/>
                <w:sz w:val="20"/>
                <w:szCs w:val="20"/>
              </w:rPr>
              <w:t>CAPITULO II.</w:t>
            </w:r>
          </w:hyperlink>
          <w:hyperlink w:anchor="_heading=h.jdvkalcsfjyg">
            <w:r>
              <w:rPr>
                <w:color w:val="000000"/>
                <w:sz w:val="24"/>
                <w:szCs w:val="24"/>
              </w:rPr>
              <w:tab/>
            </w:r>
          </w:hyperlink>
          <w:r>
            <w:fldChar w:fldCharType="begin"/>
          </w:r>
          <w:r>
            <w:instrText xml:space="preserve"> PAGEREF _heading=h.jdvkalcsfjyg \h </w:instrText>
          </w:r>
          <w:r>
            <w:fldChar w:fldCharType="separate"/>
          </w:r>
          <w:r>
            <w:rPr>
              <w:rFonts w:ascii="Arial" w:eastAsia="Arial" w:hAnsi="Arial" w:cs="Arial"/>
              <w:color w:val="000000"/>
              <w:sz w:val="20"/>
              <w:szCs w:val="20"/>
            </w:rPr>
            <w:t xml:space="preserve">ELABORACIÓN Y </w:t>
          </w:r>
          <w:r>
            <w:rPr>
              <w:rFonts w:ascii="Arial" w:eastAsia="Arial" w:hAnsi="Arial" w:cs="Arial"/>
              <w:color w:val="000000"/>
              <w:sz w:val="20"/>
              <w:szCs w:val="20"/>
            </w:rPr>
            <w:t>PRESENTACIÓN DE LA OFERTA</w:t>
          </w:r>
          <w:r>
            <w:rPr>
              <w:rFonts w:ascii="Arial" w:eastAsia="Arial" w:hAnsi="Arial" w:cs="Arial"/>
              <w:color w:val="000000"/>
              <w:sz w:val="20"/>
              <w:szCs w:val="20"/>
            </w:rPr>
            <w:tab/>
            <w:t>17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1z2j6n80zsnj">
            <w:r>
              <w:rPr>
                <w:rFonts w:ascii="Arial" w:eastAsia="Arial" w:hAnsi="Arial" w:cs="Arial"/>
                <w:color w:val="000000"/>
                <w:sz w:val="20"/>
                <w:szCs w:val="20"/>
              </w:rPr>
              <w:t>2.1.</w:t>
            </w:r>
          </w:hyperlink>
          <w:hyperlink w:anchor="_heading=h.1z2j6n80zsnj">
            <w:r>
              <w:rPr>
                <w:color w:val="000000"/>
                <w:sz w:val="24"/>
                <w:szCs w:val="24"/>
              </w:rPr>
              <w:tab/>
            </w:r>
          </w:hyperlink>
          <w:r>
            <w:fldChar w:fldCharType="begin"/>
          </w:r>
          <w:r>
            <w:instrText xml:space="preserve"> PAGEREF _heading=h.1z2j6n80zsnj \h </w:instrText>
          </w:r>
          <w:r>
            <w:fldChar w:fldCharType="separate"/>
          </w:r>
          <w:r>
            <w:rPr>
              <w:rFonts w:ascii="Arial" w:eastAsia="Arial" w:hAnsi="Arial" w:cs="Arial"/>
              <w:color w:val="000000"/>
              <w:sz w:val="20"/>
              <w:szCs w:val="20"/>
            </w:rPr>
            <w:t>CARTA DE PRESENT</w:t>
          </w:r>
          <w:r>
            <w:rPr>
              <w:rFonts w:ascii="Arial" w:eastAsia="Arial" w:hAnsi="Arial" w:cs="Arial"/>
              <w:color w:val="000000"/>
              <w:sz w:val="20"/>
              <w:szCs w:val="20"/>
            </w:rPr>
            <w:t>ACIÓN DE LA OFERTA</w:t>
          </w:r>
          <w:r>
            <w:rPr>
              <w:rFonts w:ascii="Arial" w:eastAsia="Arial" w:hAnsi="Arial" w:cs="Arial"/>
              <w:color w:val="000000"/>
              <w:sz w:val="20"/>
              <w:szCs w:val="20"/>
            </w:rPr>
            <w:tab/>
            <w:t>17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qevwxy3ydp6">
            <w:r>
              <w:rPr>
                <w:rFonts w:ascii="Arial" w:eastAsia="Arial" w:hAnsi="Arial" w:cs="Arial"/>
                <w:color w:val="000000"/>
                <w:sz w:val="20"/>
                <w:szCs w:val="20"/>
              </w:rPr>
              <w:t>2.2.</w:t>
            </w:r>
          </w:hyperlink>
          <w:hyperlink w:anchor="_heading=h.3qevwxy3ydp6">
            <w:r>
              <w:rPr>
                <w:color w:val="000000"/>
                <w:sz w:val="24"/>
                <w:szCs w:val="24"/>
              </w:rPr>
              <w:tab/>
            </w:r>
          </w:hyperlink>
          <w:r>
            <w:fldChar w:fldCharType="begin"/>
          </w:r>
          <w:r>
            <w:instrText xml:space="preserve"> PAGEREF _heading=h.3qevwxy3ydp6 \h </w:instrText>
          </w:r>
          <w:r>
            <w:fldChar w:fldCharType="separate"/>
          </w:r>
          <w:r>
            <w:rPr>
              <w:rFonts w:ascii="Arial" w:eastAsia="Arial" w:hAnsi="Arial" w:cs="Arial"/>
              <w:color w:val="000000"/>
              <w:sz w:val="20"/>
              <w:szCs w:val="20"/>
            </w:rPr>
            <w:t>APODERADO</w:t>
          </w:r>
          <w:r>
            <w:rPr>
              <w:rFonts w:ascii="Arial" w:eastAsia="Arial" w:hAnsi="Arial" w:cs="Arial"/>
              <w:color w:val="000000"/>
              <w:sz w:val="20"/>
              <w:szCs w:val="20"/>
            </w:rPr>
            <w:tab/>
            <w:t>17</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h29s4y590sq">
            <w:r>
              <w:rPr>
                <w:rFonts w:ascii="Arial" w:eastAsia="Arial" w:hAnsi="Arial" w:cs="Arial"/>
                <w:color w:val="000000"/>
                <w:sz w:val="20"/>
                <w:szCs w:val="20"/>
              </w:rPr>
              <w:t>2.3.</w:t>
            </w:r>
          </w:hyperlink>
          <w:hyperlink w:anchor="_heading=h.oh29s4y590sq">
            <w:r>
              <w:rPr>
                <w:color w:val="000000"/>
                <w:sz w:val="24"/>
                <w:szCs w:val="24"/>
              </w:rPr>
              <w:tab/>
            </w:r>
          </w:hyperlink>
          <w:r>
            <w:fldChar w:fldCharType="begin"/>
          </w:r>
          <w:r>
            <w:instrText xml:space="preserve"> PAGEREF _heading=h.oh29s4y590sq \h </w:instrText>
          </w:r>
          <w:r>
            <w:fldChar w:fldCharType="separate"/>
          </w:r>
          <w:r>
            <w:rPr>
              <w:rFonts w:ascii="Arial" w:eastAsia="Arial" w:hAnsi="Arial" w:cs="Arial"/>
              <w:color w:val="000000"/>
              <w:sz w:val="20"/>
              <w:szCs w:val="20"/>
            </w:rPr>
            <w:t>LIMITACIÓN A MIPYME</w:t>
          </w:r>
          <w:r>
            <w:rPr>
              <w:rFonts w:ascii="Arial" w:eastAsia="Arial" w:hAnsi="Arial" w:cs="Arial"/>
              <w:color w:val="000000"/>
              <w:sz w:val="20"/>
              <w:szCs w:val="20"/>
            </w:rPr>
            <w:tab/>
            <w:t>18</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70odtg58puh">
            <w:r>
              <w:rPr>
                <w:rFonts w:ascii="Arial" w:eastAsia="Arial" w:hAnsi="Arial" w:cs="Arial"/>
                <w:b/>
                <w:bCs/>
                <w:color w:val="000000"/>
                <w:sz w:val="20"/>
                <w:szCs w:val="20"/>
                <w:highlight w:val="lightGray"/>
              </w:rPr>
              <w:t>2.3.1.</w:t>
            </w:r>
          </w:hyperlink>
          <w:hyperlink w:anchor="_heading=h.w70odtg58puh">
            <w:r>
              <w:rPr>
                <w:color w:val="000000"/>
                <w:sz w:val="24"/>
                <w:szCs w:val="24"/>
              </w:rPr>
              <w:tab/>
            </w:r>
          </w:hyperlink>
          <w:r>
            <w:fldChar w:fldCharType="begin"/>
          </w:r>
          <w:r>
            <w:instrText xml:space="preserve"> PAGEREF _heading=h.w70odtg58puh \h </w:instrText>
          </w:r>
          <w:r>
            <w:fldChar w:fldCharType="separate"/>
          </w:r>
          <w:r>
            <w:rPr>
              <w:rFonts w:ascii="Arial" w:eastAsia="Arial" w:hAnsi="Arial" w:cs="Arial"/>
              <w:b/>
              <w:bCs/>
              <w:color w:val="000000"/>
              <w:sz w:val="20"/>
              <w:szCs w:val="20"/>
              <w:highlight w:val="lightGray"/>
            </w:rPr>
            <w:t>ACREDITACIÓN DE LA CONDICIÓN MIPYMES Y DE LOS REQUISITOS MÍNIMOS DEL</w:t>
          </w:r>
          <w:r>
            <w:rPr>
              <w:rFonts w:ascii="Arial" w:eastAsia="Arial" w:hAnsi="Arial" w:cs="Arial"/>
              <w:b/>
              <w:bCs/>
              <w:color w:val="000000"/>
              <w:sz w:val="20"/>
              <w:szCs w:val="20"/>
              <w:highlight w:val="lightGray"/>
            </w:rPr>
            <w:t xml:space="preserve"> DECRETO 1082 DE 2015 PARA LA LIMITACIÓN DEL PROCESO.</w:t>
          </w:r>
          <w:r>
            <w:rPr>
              <w:rFonts w:ascii="Arial" w:eastAsia="Arial" w:hAnsi="Arial" w:cs="Arial"/>
              <w:color w:val="000000"/>
              <w:sz w:val="20"/>
              <w:szCs w:val="20"/>
            </w:rPr>
            <w:tab/>
            <w:t>18</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qqqzalt2fqge">
            <w:r>
              <w:rPr>
                <w:rFonts w:ascii="Arial" w:eastAsia="Arial" w:hAnsi="Arial" w:cs="Arial"/>
                <w:b/>
                <w:bCs/>
                <w:color w:val="000000"/>
                <w:sz w:val="20"/>
                <w:szCs w:val="20"/>
                <w:highlight w:val="lightGray"/>
              </w:rPr>
              <w:t>2.3.2.</w:t>
            </w:r>
          </w:hyperlink>
          <w:hyperlink w:anchor="_heading=h.qqqzalt2fqge">
            <w:r>
              <w:rPr>
                <w:color w:val="000000"/>
                <w:sz w:val="24"/>
                <w:szCs w:val="24"/>
              </w:rPr>
              <w:tab/>
            </w:r>
          </w:hyperlink>
          <w:r>
            <w:fldChar w:fldCharType="begin"/>
          </w:r>
          <w:r>
            <w:instrText xml:space="preserve"> PAGEREF _heading=h.qq</w:instrText>
          </w:r>
          <w:r>
            <w:instrText xml:space="preserve">qzalt2fqge \h </w:instrText>
          </w:r>
          <w:r>
            <w:fldChar w:fldCharType="separate"/>
          </w:r>
          <w:r>
            <w:rPr>
              <w:rFonts w:ascii="Arial" w:eastAsia="Arial" w:hAnsi="Arial" w:cs="Arial"/>
              <w:b/>
              <w:bCs/>
              <w:color w:val="000000"/>
              <w:sz w:val="20"/>
              <w:szCs w:val="20"/>
              <w:highlight w:val="lightGray"/>
            </w:rPr>
            <w:t>ACREDITACIÓN DE LA CONDICIÓN DE MIPYME</w:t>
          </w:r>
          <w:r>
            <w:rPr>
              <w:rFonts w:ascii="Arial" w:eastAsia="Arial" w:hAnsi="Arial" w:cs="Arial"/>
              <w:color w:val="000000"/>
              <w:sz w:val="20"/>
              <w:szCs w:val="20"/>
            </w:rPr>
            <w:tab/>
            <w:t>19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lin9oox821u">
            <w:r>
              <w:rPr>
                <w:rFonts w:ascii="Arial" w:eastAsia="Arial" w:hAnsi="Arial" w:cs="Arial"/>
                <w:color w:val="000000"/>
                <w:sz w:val="20"/>
                <w:szCs w:val="20"/>
              </w:rPr>
              <w:t>2.4.</w:t>
            </w:r>
          </w:hyperlink>
          <w:hyperlink w:anchor="_heading=h.ulin9oox821u">
            <w:r>
              <w:rPr>
                <w:color w:val="000000"/>
                <w:sz w:val="24"/>
                <w:szCs w:val="24"/>
              </w:rPr>
              <w:tab/>
            </w:r>
          </w:hyperlink>
          <w:r>
            <w:fldChar w:fldCharType="begin"/>
          </w:r>
          <w:r>
            <w:instrText xml:space="preserve"> PAGEREF _heading=h.ulin9oox821u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20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pugkho5yjp69">
            <w:r>
              <w:rPr>
                <w:rFonts w:ascii="Arial" w:eastAsia="Arial" w:hAnsi="Arial" w:cs="Arial"/>
                <w:color w:val="000000"/>
                <w:sz w:val="20"/>
                <w:szCs w:val="20"/>
              </w:rPr>
              <w:t>2.5.</w:t>
            </w:r>
          </w:hyperlink>
          <w:hyperlink w:anchor="_heading=h.pugkho5yjp69">
            <w:r>
              <w:rPr>
                <w:color w:val="000000"/>
                <w:sz w:val="24"/>
                <w:szCs w:val="24"/>
              </w:rPr>
              <w:tab/>
            </w:r>
          </w:hyperlink>
          <w:r>
            <w:fldChar w:fldCharType="begin"/>
          </w:r>
          <w:r>
            <w:instrText xml:space="preserve"> PAGEREF _heading=h.pugkho5yjp69 \h </w:instrText>
          </w:r>
          <w:r>
            <w:fldChar w:fldCharType="separate"/>
          </w:r>
          <w:r>
            <w:rPr>
              <w:rFonts w:ascii="Arial" w:eastAsia="Arial" w:hAnsi="Arial" w:cs="Arial"/>
              <w:color w:val="000000"/>
              <w:sz w:val="20"/>
              <w:szCs w:val="20"/>
            </w:rPr>
            <w:t>CIERRE DEL PROCESO Y APERTURA DE OFERTAS</w:t>
          </w:r>
          <w:r>
            <w:rPr>
              <w:rFonts w:ascii="Arial" w:eastAsia="Arial" w:hAnsi="Arial" w:cs="Arial"/>
              <w:color w:val="000000"/>
              <w:sz w:val="20"/>
              <w:szCs w:val="20"/>
            </w:rPr>
            <w:tab/>
            <w:t>20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8yjers5536ca">
            <w:r>
              <w:rPr>
                <w:rFonts w:ascii="Arial" w:eastAsia="Arial" w:hAnsi="Arial" w:cs="Arial"/>
                <w:color w:val="000000"/>
                <w:sz w:val="20"/>
                <w:szCs w:val="20"/>
              </w:rPr>
              <w:t>2.6.</w:t>
            </w:r>
          </w:hyperlink>
          <w:hyperlink w:anchor="_heading=h.8yjers5536ca">
            <w:r>
              <w:rPr>
                <w:color w:val="000000"/>
                <w:sz w:val="24"/>
                <w:szCs w:val="24"/>
              </w:rPr>
              <w:tab/>
            </w:r>
          </w:hyperlink>
          <w:r>
            <w:fldChar w:fldCharType="begin"/>
          </w:r>
          <w:r>
            <w:instrText xml:space="preserve"> PAGEREF _heading=h.8yjers5536ca \h </w:instrText>
          </w:r>
          <w:r>
            <w:fldChar w:fldCharType="separate"/>
          </w:r>
          <w:r>
            <w:rPr>
              <w:rFonts w:ascii="Arial" w:eastAsia="Arial" w:hAnsi="Arial" w:cs="Arial"/>
              <w:color w:val="000000"/>
              <w:sz w:val="20"/>
              <w:szCs w:val="20"/>
            </w:rPr>
            <w:t>INFORME DE EVALUACIÓN</w:t>
          </w:r>
          <w:r>
            <w:rPr>
              <w:rFonts w:ascii="Arial" w:eastAsia="Arial" w:hAnsi="Arial" w:cs="Arial"/>
              <w:color w:val="000000"/>
              <w:sz w:val="20"/>
              <w:szCs w:val="20"/>
            </w:rPr>
            <w:tab/>
            <w:t>21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in1rbuehb6w">
            <w:r>
              <w:rPr>
                <w:rFonts w:ascii="Arial" w:eastAsia="Arial" w:hAnsi="Arial" w:cs="Arial"/>
                <w:color w:val="000000"/>
                <w:sz w:val="20"/>
                <w:szCs w:val="20"/>
              </w:rPr>
              <w:t>2.7.</w:t>
            </w:r>
          </w:hyperlink>
          <w:hyperlink w:anchor="_heading=h.iin1rbuehb6w">
            <w:r>
              <w:rPr>
                <w:color w:val="000000"/>
                <w:sz w:val="24"/>
                <w:szCs w:val="24"/>
              </w:rPr>
              <w:tab/>
            </w:r>
          </w:hyperlink>
          <w:r>
            <w:fldChar w:fldCharType="begin"/>
          </w:r>
          <w:r>
            <w:instrText xml:space="preserve"> PAGEREF _heading=h.iin1rbuehb6w \h </w:instrText>
          </w:r>
          <w:r>
            <w:fldChar w:fldCharType="separate"/>
          </w:r>
          <w:r>
            <w:rPr>
              <w:rFonts w:ascii="Arial" w:eastAsia="Arial" w:hAnsi="Arial" w:cs="Arial"/>
              <w:color w:val="000000"/>
              <w:sz w:val="20"/>
              <w:szCs w:val="20"/>
            </w:rPr>
            <w:t>ADJUDICACIÓN</w:t>
          </w:r>
          <w:r>
            <w:rPr>
              <w:rFonts w:ascii="Arial" w:eastAsia="Arial" w:hAnsi="Arial" w:cs="Arial"/>
              <w:color w:val="000000"/>
              <w:sz w:val="20"/>
              <w:szCs w:val="20"/>
            </w:rPr>
            <w:tab/>
            <w:t>21</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macqonxowek1">
            <w:r>
              <w:rPr>
                <w:rFonts w:ascii="Arial" w:eastAsia="Arial" w:hAnsi="Arial" w:cs="Arial"/>
                <w:b/>
                <w:bCs/>
                <w:color w:val="000000"/>
                <w:sz w:val="20"/>
                <w:szCs w:val="20"/>
                <w:highlight w:val="lightGray"/>
              </w:rPr>
              <w:t>2.7.1.</w:t>
            </w:r>
          </w:hyperlink>
          <w:hyperlink w:anchor="_heading=h.macqonxowek1">
            <w:r>
              <w:rPr>
                <w:color w:val="000000"/>
                <w:sz w:val="24"/>
                <w:szCs w:val="24"/>
              </w:rPr>
              <w:tab/>
            </w:r>
          </w:hyperlink>
          <w:r>
            <w:fldChar w:fldCharType="begin"/>
          </w:r>
          <w:r>
            <w:instrText xml:space="preserve"> PAGEREF _heading=h.macqonxowek1 \h </w:instrText>
          </w:r>
          <w:r>
            <w:fldChar w:fldCharType="separate"/>
          </w:r>
          <w:r>
            <w:rPr>
              <w:rFonts w:ascii="Arial" w:eastAsia="Arial" w:hAnsi="Arial" w:cs="Arial"/>
              <w:b/>
              <w:bCs/>
              <w:color w:val="000000"/>
              <w:sz w:val="20"/>
              <w:szCs w:val="20"/>
              <w:highlight w:val="lightGray"/>
            </w:rPr>
            <w:t>CÁLCULO CAPITAL DE TRABAJO</w:t>
          </w:r>
          <w:r>
            <w:rPr>
              <w:rFonts w:ascii="Arial" w:eastAsia="Arial" w:hAnsi="Arial" w:cs="Arial"/>
              <w:color w:val="000000"/>
              <w:sz w:val="20"/>
              <w:szCs w:val="20"/>
            </w:rPr>
            <w:tab/>
            <w:t>22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oxqxy8fft9n6">
            <w:r>
              <w:rPr>
                <w:rFonts w:ascii="Arial" w:eastAsia="Arial" w:hAnsi="Arial" w:cs="Arial"/>
                <w:color w:val="000000"/>
                <w:sz w:val="20"/>
                <w:szCs w:val="20"/>
              </w:rPr>
              <w:t>2.8.</w:t>
            </w:r>
          </w:hyperlink>
          <w:hyperlink w:anchor="_heading=h.oxqxy8fft9n6">
            <w:r>
              <w:rPr>
                <w:color w:val="000000"/>
                <w:sz w:val="24"/>
                <w:szCs w:val="24"/>
              </w:rPr>
              <w:tab/>
            </w:r>
          </w:hyperlink>
          <w:r>
            <w:fldChar w:fldCharType="begin"/>
          </w:r>
          <w:r>
            <w:instrText xml:space="preserve"> PAGEREF _heading=h.oxqxy8fft9n6 \h </w:instrText>
          </w:r>
          <w:r>
            <w:fldChar w:fldCharType="separate"/>
          </w:r>
          <w:r>
            <w:rPr>
              <w:rFonts w:ascii="Arial" w:eastAsia="Arial" w:hAnsi="Arial" w:cs="Arial"/>
              <w:color w:val="000000"/>
              <w:sz w:val="20"/>
              <w:szCs w:val="20"/>
            </w:rPr>
            <w:t>PROPUESTAS PARCIALES</w:t>
          </w:r>
          <w:r>
            <w:rPr>
              <w:rFonts w:ascii="Arial" w:eastAsia="Arial" w:hAnsi="Arial" w:cs="Arial"/>
              <w:color w:val="000000"/>
              <w:sz w:val="20"/>
              <w:szCs w:val="20"/>
            </w:rPr>
            <w:tab/>
            <w:t>22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5u8atrdncbs">
            <w:r>
              <w:rPr>
                <w:rFonts w:ascii="Arial" w:eastAsia="Arial" w:hAnsi="Arial" w:cs="Arial"/>
                <w:color w:val="000000"/>
                <w:sz w:val="20"/>
                <w:szCs w:val="20"/>
              </w:rPr>
              <w:t>2.9.</w:t>
            </w:r>
          </w:hyperlink>
          <w:hyperlink w:anchor="_heading=h.u5u8atrdncbs">
            <w:r>
              <w:rPr>
                <w:color w:val="000000"/>
                <w:sz w:val="24"/>
                <w:szCs w:val="24"/>
              </w:rPr>
              <w:tab/>
            </w:r>
          </w:hyperlink>
          <w:r>
            <w:fldChar w:fldCharType="begin"/>
          </w:r>
          <w:r>
            <w:instrText xml:space="preserve"> PAGEREF _heading=h.u5u8atrdncbs \h </w:instrText>
          </w:r>
          <w:r>
            <w:fldChar w:fldCharType="separate"/>
          </w:r>
          <w:r>
            <w:rPr>
              <w:rFonts w:ascii="Arial" w:eastAsia="Arial" w:hAnsi="Arial" w:cs="Arial"/>
              <w:color w:val="000000"/>
              <w:sz w:val="20"/>
              <w:szCs w:val="20"/>
            </w:rPr>
            <w:t>PROPUESTAS ALTERNATIVAS</w:t>
          </w:r>
          <w:r>
            <w:rPr>
              <w:rFonts w:ascii="Arial" w:eastAsia="Arial" w:hAnsi="Arial" w:cs="Arial"/>
              <w:color w:val="000000"/>
              <w:sz w:val="20"/>
              <w:szCs w:val="20"/>
            </w:rPr>
            <w:tab/>
            <w:t>22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jcpho5wy7t3">
            <w:r>
              <w:rPr>
                <w:rFonts w:ascii="Arial" w:eastAsia="Arial" w:hAnsi="Arial" w:cs="Arial"/>
                <w:color w:val="000000"/>
                <w:sz w:val="20"/>
                <w:szCs w:val="20"/>
                <w:highlight w:val="lightGray"/>
              </w:rPr>
              <w:t>2.10.</w:t>
            </w:r>
          </w:hyperlink>
          <w:hyperlink w:anchor="_heading=h.6jcpho5wy7t3">
            <w:r>
              <w:rPr>
                <w:color w:val="000000"/>
                <w:sz w:val="24"/>
                <w:szCs w:val="24"/>
              </w:rPr>
              <w:tab/>
            </w:r>
          </w:hyperlink>
          <w:r>
            <w:fldChar w:fldCharType="begin"/>
          </w:r>
          <w:r>
            <w:instrText xml:space="preserve"> PAGEREF _heading=h.6jcpho5wy7t3 \h </w:instrText>
          </w:r>
          <w:r>
            <w:fldChar w:fldCharType="separate"/>
          </w:r>
          <w:r>
            <w:rPr>
              <w:rFonts w:ascii="Arial" w:eastAsia="Arial" w:hAnsi="Arial" w:cs="Arial"/>
              <w:color w:val="000000"/>
              <w:sz w:val="20"/>
              <w:szCs w:val="20"/>
              <w:highlight w:val="lightGray"/>
            </w:rPr>
            <w:t>REGLAS PARA LOS PROCESOS ESTRUCTURADOS POR LOTES O SEGMENTOS (SOLO APLICA PARA PROCESOS POR LOTES)</w:t>
          </w:r>
          <w:r>
            <w:rPr>
              <w:rFonts w:ascii="Arial" w:eastAsia="Arial" w:hAnsi="Arial" w:cs="Arial"/>
              <w:color w:val="000000"/>
              <w:sz w:val="20"/>
              <w:szCs w:val="20"/>
            </w:rPr>
            <w:tab/>
            <w:t>23</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9qa0fb1cv7z">
            <w:r>
              <w:rPr>
                <w:rFonts w:ascii="Arial" w:eastAsia="Arial" w:hAnsi="Arial" w:cs="Arial"/>
                <w:color w:val="000000"/>
                <w:sz w:val="20"/>
                <w:szCs w:val="20"/>
              </w:rPr>
              <w:t>CAPITULO III.</w:t>
            </w:r>
          </w:hyperlink>
          <w:hyperlink w:anchor="_heading=h.9qa0fb1cv7z">
            <w:r>
              <w:rPr>
                <w:color w:val="000000"/>
                <w:sz w:val="24"/>
                <w:szCs w:val="24"/>
              </w:rPr>
              <w:tab/>
            </w:r>
          </w:hyperlink>
          <w:r>
            <w:fldChar w:fldCharType="begin"/>
          </w:r>
          <w:r>
            <w:instrText xml:space="preserve"> PAGEREF _heading=h.9qa0fb1cv7z \h </w:instrText>
          </w:r>
          <w:r>
            <w:fldChar w:fldCharType="separate"/>
          </w:r>
          <w:r>
            <w:rPr>
              <w:rFonts w:ascii="Arial" w:eastAsia="Arial" w:hAnsi="Arial" w:cs="Arial"/>
              <w:color w:val="000000"/>
              <w:sz w:val="20"/>
              <w:szCs w:val="20"/>
            </w:rPr>
            <w:t>REQUISITOS HABILITANTES Y SU VERIFICACIÓN</w:t>
          </w:r>
          <w:r>
            <w:rPr>
              <w:rFonts w:ascii="Arial" w:eastAsia="Arial" w:hAnsi="Arial" w:cs="Arial"/>
              <w:color w:val="000000"/>
              <w:sz w:val="20"/>
              <w:szCs w:val="20"/>
            </w:rPr>
            <w:tab/>
            <w:t>25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alei3d3u19d0">
            <w:r>
              <w:rPr>
                <w:rFonts w:ascii="Arial" w:eastAsia="Arial" w:hAnsi="Arial" w:cs="Arial"/>
                <w:color w:val="000000"/>
                <w:sz w:val="20"/>
                <w:szCs w:val="20"/>
              </w:rPr>
              <w:t>3.1.</w:t>
            </w:r>
          </w:hyperlink>
          <w:hyperlink w:anchor="_heading=h.alei3d3u19d0">
            <w:r>
              <w:rPr>
                <w:color w:val="000000"/>
                <w:sz w:val="24"/>
                <w:szCs w:val="24"/>
              </w:rPr>
              <w:tab/>
            </w:r>
          </w:hyperlink>
          <w:r>
            <w:fldChar w:fldCharType="begin"/>
          </w:r>
          <w:r>
            <w:instrText xml:space="preserve"> PAGEREF _heading=h.alei3d3u19d0 \h </w:instrText>
          </w:r>
          <w:r>
            <w:fldChar w:fldCharType="separate"/>
          </w:r>
          <w:r>
            <w:rPr>
              <w:rFonts w:ascii="Arial" w:eastAsia="Arial" w:hAnsi="Arial" w:cs="Arial"/>
              <w:color w:val="000000"/>
              <w:sz w:val="20"/>
              <w:szCs w:val="20"/>
            </w:rPr>
            <w:t>GENERALIDADES</w:t>
          </w:r>
          <w:r>
            <w:rPr>
              <w:rFonts w:ascii="Arial" w:eastAsia="Arial" w:hAnsi="Arial" w:cs="Arial"/>
              <w:color w:val="000000"/>
              <w:sz w:val="20"/>
              <w:szCs w:val="20"/>
            </w:rPr>
            <w:tab/>
            <w:t>25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ysmy9xbczwl">
            <w:r>
              <w:rPr>
                <w:rFonts w:ascii="Arial" w:eastAsia="Arial" w:hAnsi="Arial" w:cs="Arial"/>
                <w:color w:val="000000"/>
                <w:sz w:val="20"/>
                <w:szCs w:val="20"/>
              </w:rPr>
              <w:t>3.2.</w:t>
            </w:r>
          </w:hyperlink>
          <w:hyperlink w:anchor="_heading=h.4ysmy9xbczwl">
            <w:r>
              <w:rPr>
                <w:color w:val="000000"/>
                <w:sz w:val="24"/>
                <w:szCs w:val="24"/>
              </w:rPr>
              <w:tab/>
            </w:r>
          </w:hyperlink>
          <w:r>
            <w:fldChar w:fldCharType="begin"/>
          </w:r>
          <w:r>
            <w:instrText xml:space="preserve"> PAGEREF _heading=h.4ysmy9xbczwl \h </w:instrText>
          </w:r>
          <w:r>
            <w:fldChar w:fldCharType="separate"/>
          </w:r>
          <w:r>
            <w:rPr>
              <w:rFonts w:ascii="Arial" w:eastAsia="Arial" w:hAnsi="Arial" w:cs="Arial"/>
              <w:color w:val="000000"/>
              <w:sz w:val="20"/>
              <w:szCs w:val="20"/>
            </w:rPr>
            <w:t>CAPACIDAD JURÍDICA</w:t>
          </w:r>
          <w:r>
            <w:rPr>
              <w:rFonts w:ascii="Arial" w:eastAsia="Arial" w:hAnsi="Arial" w:cs="Arial"/>
              <w:color w:val="000000"/>
              <w:sz w:val="20"/>
              <w:szCs w:val="20"/>
            </w:rPr>
            <w:tab/>
            <w:t>25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ce5zzraly9m">
            <w:r>
              <w:rPr>
                <w:rFonts w:ascii="Arial" w:eastAsia="Arial" w:hAnsi="Arial" w:cs="Arial"/>
                <w:color w:val="000000"/>
                <w:sz w:val="20"/>
                <w:szCs w:val="20"/>
              </w:rPr>
              <w:t>3.3.</w:t>
            </w:r>
          </w:hyperlink>
          <w:hyperlink w:anchor="_heading=h.lce5zzraly9m">
            <w:r>
              <w:rPr>
                <w:color w:val="000000"/>
                <w:sz w:val="24"/>
                <w:szCs w:val="24"/>
              </w:rPr>
              <w:tab/>
            </w:r>
          </w:hyperlink>
          <w:r>
            <w:fldChar w:fldCharType="begin"/>
          </w:r>
          <w:r>
            <w:instrText xml:space="preserve"> PAGEREF _heading=h.lce5zzraly9m \h </w:instrText>
          </w:r>
          <w:r>
            <w:fldChar w:fldCharType="separate"/>
          </w:r>
          <w:r>
            <w:rPr>
              <w:rFonts w:ascii="Arial" w:eastAsia="Arial" w:hAnsi="Arial" w:cs="Arial"/>
              <w:color w:val="000000"/>
              <w:sz w:val="20"/>
              <w:szCs w:val="20"/>
            </w:rPr>
            <w:t>EXISTENCIA Y REPRESENTACIÓN LEGAL</w:t>
          </w:r>
          <w:r>
            <w:rPr>
              <w:rFonts w:ascii="Arial" w:eastAsia="Arial" w:hAnsi="Arial" w:cs="Arial"/>
              <w:color w:val="000000"/>
              <w:sz w:val="20"/>
              <w:szCs w:val="20"/>
            </w:rPr>
            <w:tab/>
            <w:t>26</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jvhdjjonept3">
            <w:r>
              <w:rPr>
                <w:rFonts w:ascii="Arial" w:eastAsia="Arial" w:hAnsi="Arial" w:cs="Arial"/>
                <w:b/>
                <w:bCs/>
                <w:color w:val="000000"/>
                <w:sz w:val="20"/>
                <w:szCs w:val="20"/>
              </w:rPr>
              <w:t>3.3.1.</w:t>
            </w:r>
          </w:hyperlink>
          <w:hyperlink w:anchor="_heading=h.jvhdjjonept3">
            <w:r>
              <w:rPr>
                <w:color w:val="000000"/>
                <w:sz w:val="24"/>
                <w:szCs w:val="24"/>
              </w:rPr>
              <w:tab/>
            </w:r>
          </w:hyperlink>
          <w:r>
            <w:fldChar w:fldCharType="begin"/>
          </w:r>
          <w:r>
            <w:instrText xml:space="preserve"> PAGEREF _heading=h.jvhdjjonept3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27</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c8553hlkr6j6">
            <w:r>
              <w:rPr>
                <w:rFonts w:ascii="Arial" w:eastAsia="Arial" w:hAnsi="Arial" w:cs="Arial"/>
                <w:b/>
                <w:bCs/>
                <w:color w:val="000000"/>
                <w:sz w:val="20"/>
                <w:szCs w:val="20"/>
              </w:rPr>
              <w:t>3.3.2.</w:t>
            </w:r>
          </w:hyperlink>
          <w:hyperlink w:anchor="_heading=h.c8553hlkr6j6">
            <w:r>
              <w:rPr>
                <w:color w:val="000000"/>
                <w:sz w:val="24"/>
                <w:szCs w:val="24"/>
              </w:rPr>
              <w:tab/>
            </w:r>
          </w:hyperlink>
          <w:r>
            <w:fldChar w:fldCharType="begin"/>
          </w:r>
          <w:r>
            <w:instrText xml:space="preserve"> PAGEREF _heading=h.c8553hlkr6j6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27</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4odau6u5ie83">
            <w:r>
              <w:rPr>
                <w:rFonts w:ascii="Arial" w:eastAsia="Arial" w:hAnsi="Arial" w:cs="Arial"/>
                <w:b/>
                <w:bCs/>
                <w:color w:val="000000"/>
                <w:sz w:val="20"/>
                <w:szCs w:val="20"/>
              </w:rPr>
              <w:t>3.3.3.</w:t>
            </w:r>
          </w:hyperlink>
          <w:hyperlink w:anchor="_heading=h.4odau6u5ie83">
            <w:r>
              <w:rPr>
                <w:color w:val="000000"/>
                <w:sz w:val="24"/>
                <w:szCs w:val="24"/>
              </w:rPr>
              <w:tab/>
            </w:r>
          </w:hyperlink>
          <w:r>
            <w:fldChar w:fldCharType="begin"/>
          </w:r>
          <w:r>
            <w:instrText xml:space="preserve"> PAGEREF _heading=h.4odau6u5ie83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29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iyivl9y2j3p">
            <w:r>
              <w:rPr>
                <w:rFonts w:ascii="Arial" w:eastAsia="Arial" w:hAnsi="Arial" w:cs="Arial"/>
                <w:color w:val="000000"/>
                <w:sz w:val="20"/>
                <w:szCs w:val="20"/>
              </w:rPr>
              <w:t>3.4.</w:t>
            </w:r>
          </w:hyperlink>
          <w:hyperlink w:anchor="_heading=h.9iyivl9y2j3p">
            <w:r>
              <w:rPr>
                <w:color w:val="000000"/>
                <w:sz w:val="24"/>
                <w:szCs w:val="24"/>
              </w:rPr>
              <w:tab/>
            </w:r>
          </w:hyperlink>
          <w:r>
            <w:fldChar w:fldCharType="begin"/>
          </w:r>
          <w:r>
            <w:instrText xml:space="preserve"> PAGEREF _heading=h.9iyivl9y2j3p \h </w:instrText>
          </w:r>
          <w:r>
            <w:fldChar w:fldCharType="separate"/>
          </w:r>
          <w:r>
            <w:rPr>
              <w:rFonts w:ascii="Arial" w:eastAsia="Arial" w:hAnsi="Arial" w:cs="Arial"/>
              <w:color w:val="000000"/>
              <w:sz w:val="20"/>
              <w:szCs w:val="20"/>
            </w:rPr>
            <w:t>CERTIFICACIÓN DE PAGOS AL SISTEMA DE SEGURIDAD SOCIAL Y APORTES LEGA</w:t>
          </w:r>
          <w:r>
            <w:rPr>
              <w:rFonts w:ascii="Arial" w:eastAsia="Arial" w:hAnsi="Arial" w:cs="Arial"/>
              <w:color w:val="000000"/>
              <w:sz w:val="20"/>
              <w:szCs w:val="20"/>
            </w:rPr>
            <w:t>LES</w:t>
          </w:r>
          <w:r>
            <w:rPr>
              <w:rFonts w:ascii="Arial" w:eastAsia="Arial" w:hAnsi="Arial" w:cs="Arial"/>
              <w:color w:val="000000"/>
              <w:sz w:val="20"/>
              <w:szCs w:val="20"/>
            </w:rPr>
            <w:tab/>
            <w:t>30</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ffnan58mfwc">
            <w:r>
              <w:rPr>
                <w:rFonts w:ascii="Arial" w:eastAsia="Arial" w:hAnsi="Arial" w:cs="Arial"/>
                <w:b/>
                <w:bCs/>
                <w:color w:val="000000"/>
                <w:sz w:val="20"/>
                <w:szCs w:val="20"/>
              </w:rPr>
              <w:t>3.4.1.</w:t>
            </w:r>
          </w:hyperlink>
          <w:hyperlink w:anchor="_heading=h.ffnan58mfwc">
            <w:r>
              <w:rPr>
                <w:color w:val="000000"/>
                <w:sz w:val="24"/>
                <w:szCs w:val="24"/>
              </w:rPr>
              <w:tab/>
            </w:r>
          </w:hyperlink>
          <w:r>
            <w:fldChar w:fldCharType="begin"/>
          </w:r>
          <w:r>
            <w:instrText xml:space="preserve"> PAGEREF _heading=h.ffnan58mfwc \h </w:instrText>
          </w:r>
          <w:r>
            <w:fldChar w:fldCharType="separate"/>
          </w:r>
          <w:r>
            <w:rPr>
              <w:rFonts w:ascii="Arial" w:eastAsia="Arial" w:hAnsi="Arial" w:cs="Arial"/>
              <w:b/>
              <w:bCs/>
              <w:color w:val="000000"/>
              <w:sz w:val="20"/>
              <w:szCs w:val="20"/>
            </w:rPr>
            <w:t>PERSONAS JURÍDICAS</w:t>
          </w:r>
          <w:r>
            <w:rPr>
              <w:rFonts w:ascii="Arial" w:eastAsia="Arial" w:hAnsi="Arial" w:cs="Arial"/>
              <w:color w:val="000000"/>
              <w:sz w:val="20"/>
              <w:szCs w:val="20"/>
            </w:rPr>
            <w:tab/>
            <w:t>30</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97y9u415s88o">
            <w:r>
              <w:rPr>
                <w:rFonts w:ascii="Arial" w:eastAsia="Arial" w:hAnsi="Arial" w:cs="Arial"/>
                <w:b/>
                <w:bCs/>
                <w:color w:val="000000"/>
                <w:sz w:val="20"/>
                <w:szCs w:val="20"/>
              </w:rPr>
              <w:t>3.4.2.</w:t>
            </w:r>
          </w:hyperlink>
          <w:hyperlink w:anchor="_heading=h.97y9u415s88o">
            <w:r>
              <w:rPr>
                <w:color w:val="000000"/>
                <w:sz w:val="24"/>
                <w:szCs w:val="24"/>
              </w:rPr>
              <w:tab/>
            </w:r>
          </w:hyperlink>
          <w:r>
            <w:fldChar w:fldCharType="begin"/>
          </w:r>
          <w:r>
            <w:instrText xml:space="preserve"> PAGEREF _heading=h.97y9u415s88o \h </w:instrText>
          </w:r>
          <w:r>
            <w:fldChar w:fldCharType="separate"/>
          </w:r>
          <w:r>
            <w:rPr>
              <w:rFonts w:ascii="Arial" w:eastAsia="Arial" w:hAnsi="Arial" w:cs="Arial"/>
              <w:b/>
              <w:bCs/>
              <w:color w:val="000000"/>
              <w:sz w:val="20"/>
              <w:szCs w:val="20"/>
            </w:rPr>
            <w:t>PERSONAS NATURALES</w:t>
          </w:r>
          <w:r>
            <w:rPr>
              <w:rFonts w:ascii="Arial" w:eastAsia="Arial" w:hAnsi="Arial" w:cs="Arial"/>
              <w:color w:val="000000"/>
              <w:sz w:val="20"/>
              <w:szCs w:val="20"/>
            </w:rPr>
            <w:tab/>
            <w:t>30</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7l652dwxdhmd">
            <w:r>
              <w:rPr>
                <w:rFonts w:ascii="Arial" w:eastAsia="Arial" w:hAnsi="Arial" w:cs="Arial"/>
                <w:b/>
                <w:bCs/>
                <w:color w:val="000000"/>
                <w:sz w:val="20"/>
                <w:szCs w:val="20"/>
              </w:rPr>
              <w:t>3.4.3.</w:t>
            </w:r>
          </w:hyperlink>
          <w:hyperlink w:anchor="_heading=h.7l652dwxdhmd">
            <w:r>
              <w:rPr>
                <w:color w:val="000000"/>
                <w:sz w:val="24"/>
                <w:szCs w:val="24"/>
              </w:rPr>
              <w:tab/>
            </w:r>
          </w:hyperlink>
          <w:r>
            <w:fldChar w:fldCharType="begin"/>
          </w:r>
          <w:r>
            <w:instrText xml:space="preserve"> PAGEREF _heading=h.7l652dwxdhmd \h </w:instrText>
          </w:r>
          <w:r>
            <w:fldChar w:fldCharType="separate"/>
          </w:r>
          <w:r>
            <w:rPr>
              <w:rFonts w:ascii="Arial" w:eastAsia="Arial" w:hAnsi="Arial" w:cs="Arial"/>
              <w:b/>
              <w:bCs/>
              <w:color w:val="000000"/>
              <w:sz w:val="20"/>
              <w:szCs w:val="20"/>
            </w:rPr>
            <w:t>PROPONENTES PLURALES</w:t>
          </w:r>
          <w:r>
            <w:rPr>
              <w:rFonts w:ascii="Arial" w:eastAsia="Arial" w:hAnsi="Arial" w:cs="Arial"/>
              <w:color w:val="000000"/>
              <w:sz w:val="20"/>
              <w:szCs w:val="20"/>
            </w:rPr>
            <w:tab/>
            <w:t>31</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gk3o3sib3efk">
            <w:r>
              <w:rPr>
                <w:rFonts w:ascii="Arial" w:eastAsia="Arial" w:hAnsi="Arial" w:cs="Arial"/>
                <w:b/>
                <w:bCs/>
                <w:color w:val="000000"/>
                <w:sz w:val="20"/>
                <w:szCs w:val="20"/>
              </w:rPr>
              <w:t>3.4.4.</w:t>
            </w:r>
          </w:hyperlink>
          <w:hyperlink w:anchor="_heading=h.gk3o3sib3efk">
            <w:r>
              <w:rPr>
                <w:color w:val="000000"/>
                <w:sz w:val="24"/>
                <w:szCs w:val="24"/>
              </w:rPr>
              <w:tab/>
            </w:r>
          </w:hyperlink>
          <w:r>
            <w:fldChar w:fldCharType="begin"/>
          </w:r>
          <w:r>
            <w:instrText xml:space="preserve"> PAGEREF _heading=h.gk3o3sib3efk \h </w:instrText>
          </w:r>
          <w:r>
            <w:fldChar w:fldCharType="separate"/>
          </w:r>
          <w:r>
            <w:rPr>
              <w:rFonts w:ascii="Arial" w:eastAsia="Arial" w:hAnsi="Arial" w:cs="Arial"/>
              <w:b/>
              <w:bCs/>
              <w:color w:val="000000"/>
              <w:sz w:val="20"/>
              <w:szCs w:val="20"/>
            </w:rPr>
            <w:t>SEGURIDAD SOCIAL PARA LA SUSCRIPCIÓN DEL CONTR</w:t>
          </w:r>
          <w:r>
            <w:rPr>
              <w:rFonts w:ascii="Arial" w:eastAsia="Arial" w:hAnsi="Arial" w:cs="Arial"/>
              <w:b/>
              <w:bCs/>
              <w:color w:val="000000"/>
              <w:sz w:val="20"/>
              <w:szCs w:val="20"/>
            </w:rPr>
            <w:t>ATO</w:t>
          </w:r>
          <w:r>
            <w:rPr>
              <w:rFonts w:ascii="Arial" w:eastAsia="Arial" w:hAnsi="Arial" w:cs="Arial"/>
              <w:color w:val="000000"/>
              <w:sz w:val="20"/>
              <w:szCs w:val="20"/>
            </w:rPr>
            <w:tab/>
            <w:t>31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udk60b1l31tn">
            <w:r>
              <w:rPr>
                <w:rFonts w:ascii="Arial" w:eastAsia="Arial" w:hAnsi="Arial" w:cs="Arial"/>
                <w:color w:val="000000"/>
                <w:sz w:val="20"/>
                <w:szCs w:val="20"/>
              </w:rPr>
              <w:t>3.5.</w:t>
            </w:r>
          </w:hyperlink>
          <w:hyperlink w:anchor="_heading=h.udk60b1l31tn">
            <w:r>
              <w:rPr>
                <w:color w:val="000000"/>
                <w:sz w:val="24"/>
                <w:szCs w:val="24"/>
              </w:rPr>
              <w:tab/>
            </w:r>
          </w:hyperlink>
          <w:r>
            <w:fldChar w:fldCharType="begin"/>
          </w:r>
          <w:r>
            <w:instrText xml:space="preserve"> PAGEREF _heading=h.udk60b1l31tn \h </w:instrText>
          </w:r>
          <w:r>
            <w:fldChar w:fldCharType="separate"/>
          </w:r>
          <w:r>
            <w:rPr>
              <w:rFonts w:ascii="Arial" w:eastAsia="Arial" w:hAnsi="Arial" w:cs="Arial"/>
              <w:color w:val="000000"/>
              <w:sz w:val="20"/>
              <w:szCs w:val="20"/>
            </w:rPr>
            <w:t>CAPACIDAD FINANCIERA</w:t>
          </w:r>
          <w:r>
            <w:rPr>
              <w:rFonts w:ascii="Arial" w:eastAsia="Arial" w:hAnsi="Arial" w:cs="Arial"/>
              <w:color w:val="000000"/>
              <w:sz w:val="20"/>
              <w:szCs w:val="20"/>
            </w:rPr>
            <w:tab/>
            <w:t>31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ncfclrn8ywhe">
            <w:r>
              <w:rPr>
                <w:rFonts w:ascii="Arial" w:eastAsia="Arial" w:hAnsi="Arial" w:cs="Arial"/>
                <w:color w:val="000000"/>
                <w:sz w:val="20"/>
                <w:szCs w:val="20"/>
              </w:rPr>
              <w:t>3.6.</w:t>
            </w:r>
          </w:hyperlink>
          <w:hyperlink w:anchor="_heading=h.ncfclrn8ywhe">
            <w:r>
              <w:rPr>
                <w:color w:val="000000"/>
                <w:sz w:val="24"/>
                <w:szCs w:val="24"/>
              </w:rPr>
              <w:tab/>
            </w:r>
          </w:hyperlink>
          <w:r>
            <w:fldChar w:fldCharType="begin"/>
          </w:r>
          <w:r>
            <w:instrText xml:space="preserve"> PAGEREF _heading=h.ncfclrn8ywhe \h </w:instrText>
          </w:r>
          <w:r>
            <w:fldChar w:fldCharType="separate"/>
          </w:r>
          <w:r>
            <w:rPr>
              <w:rFonts w:ascii="Arial" w:eastAsia="Arial" w:hAnsi="Arial" w:cs="Arial"/>
              <w:color w:val="000000"/>
              <w:sz w:val="20"/>
              <w:szCs w:val="20"/>
            </w:rPr>
            <w:t>CAPITAL DE TRABAJO</w:t>
          </w:r>
          <w:r>
            <w:rPr>
              <w:rFonts w:ascii="Arial" w:eastAsia="Arial" w:hAnsi="Arial" w:cs="Arial"/>
              <w:color w:val="000000"/>
              <w:sz w:val="20"/>
              <w:szCs w:val="20"/>
            </w:rPr>
            <w:tab/>
            <w:t>32</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3qeaao7kl5jz">
            <w:r>
              <w:rPr>
                <w:rFonts w:ascii="Arial" w:eastAsia="Arial" w:hAnsi="Arial" w:cs="Arial"/>
                <w:color w:val="000000"/>
                <w:sz w:val="20"/>
                <w:szCs w:val="20"/>
              </w:rPr>
              <w:t>3.7.</w:t>
            </w:r>
          </w:hyperlink>
          <w:hyperlink w:anchor="_heading=h.3qeaao7kl5jz">
            <w:r>
              <w:rPr>
                <w:color w:val="000000"/>
                <w:sz w:val="24"/>
                <w:szCs w:val="24"/>
              </w:rPr>
              <w:tab/>
            </w:r>
          </w:hyperlink>
          <w:r>
            <w:fldChar w:fldCharType="begin"/>
          </w:r>
          <w:r>
            <w:instrText xml:space="preserve"> PAGEREF _heading=h.3qeaao7kl5jz \h </w:instrText>
          </w:r>
          <w:r>
            <w:fldChar w:fldCharType="separate"/>
          </w:r>
          <w:r>
            <w:rPr>
              <w:rFonts w:ascii="Arial" w:eastAsia="Arial" w:hAnsi="Arial" w:cs="Arial"/>
              <w:color w:val="000000"/>
              <w:sz w:val="20"/>
              <w:szCs w:val="20"/>
            </w:rPr>
            <w:t>CAPACIDAD ORGANIZACIONAL</w:t>
          </w:r>
          <w:r>
            <w:rPr>
              <w:rFonts w:ascii="Arial" w:eastAsia="Arial" w:hAnsi="Arial" w:cs="Arial"/>
              <w:color w:val="000000"/>
              <w:sz w:val="20"/>
              <w:szCs w:val="20"/>
            </w:rPr>
            <w:tab/>
            <w:t>34</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ynrxblpqhsv3">
            <w:r>
              <w:rPr>
                <w:rFonts w:ascii="Arial" w:eastAsia="Arial" w:hAnsi="Arial" w:cs="Arial"/>
                <w:b/>
                <w:bCs/>
                <w:color w:val="000000"/>
                <w:sz w:val="20"/>
                <w:szCs w:val="20"/>
              </w:rPr>
              <w:t>3.7.1.</w:t>
            </w:r>
          </w:hyperlink>
          <w:hyperlink w:anchor="_heading=h.ynrxblpqhsv3">
            <w:r>
              <w:rPr>
                <w:color w:val="000000"/>
                <w:sz w:val="24"/>
                <w:szCs w:val="24"/>
              </w:rPr>
              <w:tab/>
            </w:r>
          </w:hyperlink>
          <w:r>
            <w:fldChar w:fldCharType="begin"/>
          </w:r>
          <w:r>
            <w:instrText xml:space="preserve"> PAGEREF _heading=h.ynrxblpqhsv3 \h </w:instrText>
          </w:r>
          <w:r>
            <w:fldChar w:fldCharType="separate"/>
          </w:r>
          <w:r>
            <w:rPr>
              <w:rFonts w:ascii="Arial" w:eastAsia="Arial" w:hAnsi="Arial" w:cs="Arial"/>
              <w:b/>
              <w:bCs/>
              <w:color w:val="000000"/>
              <w:sz w:val="20"/>
              <w:szCs w:val="20"/>
            </w:rPr>
            <w:t>ACREDITACIÓN DE LA CAPACIDAD FINANCIERA Y ORGANIZACIONAL</w:t>
          </w:r>
          <w:r>
            <w:rPr>
              <w:rFonts w:ascii="Arial" w:eastAsia="Arial" w:hAnsi="Arial" w:cs="Arial"/>
              <w:color w:val="000000"/>
              <w:sz w:val="20"/>
              <w:szCs w:val="20"/>
            </w:rPr>
            <w:tab/>
            <w:t>34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mo2sqtvbypd0">
            <w:r>
              <w:rPr>
                <w:rFonts w:ascii="Arial" w:eastAsia="Arial" w:hAnsi="Arial" w:cs="Arial"/>
                <w:color w:val="000000"/>
                <w:sz w:val="20"/>
                <w:szCs w:val="20"/>
              </w:rPr>
              <w:t>3.8.</w:t>
            </w:r>
          </w:hyperlink>
          <w:hyperlink w:anchor="_heading=h.mo2sqtvbypd0">
            <w:r>
              <w:rPr>
                <w:color w:val="000000"/>
                <w:sz w:val="24"/>
                <w:szCs w:val="24"/>
              </w:rPr>
              <w:tab/>
            </w:r>
          </w:hyperlink>
          <w:r>
            <w:fldChar w:fldCharType="begin"/>
          </w:r>
          <w:r>
            <w:instrText xml:space="preserve"> PAGEREF _heading=h.mo2sqtvbypd0 \h </w:instrText>
          </w:r>
          <w:r>
            <w:fldChar w:fldCharType="separate"/>
          </w:r>
          <w:r>
            <w:rPr>
              <w:rFonts w:ascii="Arial" w:eastAsia="Arial" w:hAnsi="Arial" w:cs="Arial"/>
              <w:color w:val="000000"/>
              <w:sz w:val="20"/>
              <w:szCs w:val="20"/>
            </w:rPr>
            <w:t>EXIGENCIAS MÍNIMAS DE LA EXPERIENCIA DEL PROPONENTE, Y LA EXPERIENCIA Y FORMACIÓN ACADÉMICA DEL EQUIPO DE TRABAJO (Personal Clave Evaluable)</w:t>
          </w:r>
          <w:r>
            <w:rPr>
              <w:rFonts w:ascii="Arial" w:eastAsia="Arial" w:hAnsi="Arial" w:cs="Arial"/>
              <w:color w:val="000000"/>
              <w:sz w:val="20"/>
              <w:szCs w:val="20"/>
            </w:rPr>
            <w:tab/>
            <w:t>35</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qcedi8krv9xp">
            <w:r>
              <w:rPr>
                <w:rFonts w:ascii="Arial" w:eastAsia="Arial" w:hAnsi="Arial" w:cs="Arial"/>
                <w:b/>
                <w:bCs/>
                <w:color w:val="000000"/>
                <w:sz w:val="20"/>
                <w:szCs w:val="20"/>
              </w:rPr>
              <w:t>3.8.1.</w:t>
            </w:r>
          </w:hyperlink>
          <w:hyperlink w:anchor="_heading=h.qcedi8krv9xp">
            <w:r>
              <w:rPr>
                <w:color w:val="000000"/>
                <w:sz w:val="24"/>
                <w:szCs w:val="24"/>
              </w:rPr>
              <w:tab/>
            </w:r>
          </w:hyperlink>
          <w:r>
            <w:fldChar w:fldCharType="begin"/>
          </w:r>
          <w:r>
            <w:instrText xml:space="preserve"> PAGEREF _heading=h.qcedi8krv9xp \h </w:instrText>
          </w:r>
          <w:r>
            <w:fldChar w:fldCharType="separate"/>
          </w:r>
          <w:r>
            <w:rPr>
              <w:rFonts w:ascii="Arial" w:eastAsia="Arial" w:hAnsi="Arial" w:cs="Arial"/>
              <w:b/>
              <w:bCs/>
              <w:color w:val="000000"/>
              <w:sz w:val="20"/>
              <w:szCs w:val="20"/>
            </w:rPr>
            <w:t>EXIGENCIA MÍNIMA DE LA EXPERIENCIA DEL PROPONENTE</w:t>
          </w:r>
          <w:r>
            <w:rPr>
              <w:rFonts w:ascii="Arial" w:eastAsia="Arial" w:hAnsi="Arial" w:cs="Arial"/>
              <w:color w:val="000000"/>
              <w:sz w:val="20"/>
              <w:szCs w:val="20"/>
            </w:rPr>
            <w:tab/>
            <w:t>35</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vtju6e4itf0k">
            <w:r>
              <w:rPr>
                <w:rFonts w:ascii="Arial" w:eastAsia="Arial" w:hAnsi="Arial" w:cs="Arial"/>
                <w:b/>
                <w:bCs/>
                <w:color w:val="000000"/>
                <w:sz w:val="20"/>
                <w:szCs w:val="20"/>
              </w:rPr>
              <w:t>3.8.2.</w:t>
            </w:r>
          </w:hyperlink>
          <w:hyperlink w:anchor="_heading=h.vtju6e4itf0k">
            <w:r>
              <w:rPr>
                <w:color w:val="000000"/>
                <w:sz w:val="24"/>
                <w:szCs w:val="24"/>
              </w:rPr>
              <w:tab/>
            </w:r>
          </w:hyperlink>
          <w:r>
            <w:fldChar w:fldCharType="begin"/>
          </w:r>
          <w:r>
            <w:instrText xml:space="preserve"> PAGEREF _heading=h.vtju6e4itf0k \h </w:instrText>
          </w:r>
          <w:r>
            <w:fldChar w:fldCharType="separate"/>
          </w:r>
          <w:r>
            <w:rPr>
              <w:rFonts w:ascii="Arial" w:eastAsia="Arial" w:hAnsi="Arial" w:cs="Arial"/>
              <w:b/>
              <w:bCs/>
              <w:color w:val="000000"/>
              <w:sz w:val="20"/>
              <w:szCs w:val="20"/>
            </w:rPr>
            <w:t>EXIGENCIAS MÍNIMAS DE EXPERIENCIA Y FORMACIÓN ACADÉMICA DEL EQUIPO DE TRABAJO (Personal Clave Evaluable)</w:t>
          </w:r>
          <w:r>
            <w:rPr>
              <w:rFonts w:ascii="Arial" w:eastAsia="Arial" w:hAnsi="Arial" w:cs="Arial"/>
              <w:color w:val="000000"/>
              <w:sz w:val="20"/>
              <w:szCs w:val="20"/>
            </w:rPr>
            <w:tab/>
            <w:t>36</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mh5u68iql217">
            <w:r>
              <w:rPr>
                <w:rFonts w:ascii="Arial" w:eastAsia="Arial" w:hAnsi="Arial" w:cs="Arial"/>
                <w:color w:val="000000"/>
                <w:sz w:val="20"/>
                <w:szCs w:val="20"/>
              </w:rPr>
              <w:t>CAPITULO IV.</w:t>
            </w:r>
          </w:hyperlink>
          <w:hyperlink w:anchor="_heading=h.mh5u68iql217">
            <w:r>
              <w:rPr>
                <w:color w:val="000000"/>
                <w:sz w:val="24"/>
                <w:szCs w:val="24"/>
              </w:rPr>
              <w:tab/>
            </w:r>
          </w:hyperlink>
          <w:r>
            <w:fldChar w:fldCharType="begin"/>
          </w:r>
          <w:r>
            <w:instrText xml:space="preserve"> PAGEREF _heading=h.mh5u68iql217 \h </w:instrText>
          </w:r>
          <w:r>
            <w:fldChar w:fldCharType="separate"/>
          </w:r>
          <w:r>
            <w:rPr>
              <w:rFonts w:ascii="Arial" w:eastAsia="Arial" w:hAnsi="Arial" w:cs="Arial"/>
              <w:color w:val="000000"/>
              <w:sz w:val="20"/>
              <w:szCs w:val="20"/>
            </w:rPr>
            <w:t>CRITERIOS DE EVALUACIÓN, ASIGNACIÓN DE PUNTAJE Y CRITERIOS DE DESEMPATE</w:t>
          </w:r>
          <w:r>
            <w:rPr>
              <w:rFonts w:ascii="Arial" w:eastAsia="Arial" w:hAnsi="Arial" w:cs="Arial"/>
              <w:color w:val="000000"/>
              <w:sz w:val="20"/>
              <w:szCs w:val="20"/>
            </w:rPr>
            <w:tab/>
            <w:t>38</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jnnm125ieu6s">
            <w:r>
              <w:rPr>
                <w:rFonts w:ascii="Arial" w:eastAsia="Arial" w:hAnsi="Arial" w:cs="Arial"/>
                <w:color w:val="000000"/>
                <w:sz w:val="20"/>
                <w:szCs w:val="20"/>
              </w:rPr>
              <w:t>4.1</w:t>
            </w:r>
          </w:hyperlink>
          <w:hyperlink w:anchor="_heading=h.jnnm125ieu6s">
            <w:r>
              <w:rPr>
                <w:color w:val="000000"/>
                <w:sz w:val="24"/>
                <w:szCs w:val="24"/>
              </w:rPr>
              <w:tab/>
            </w:r>
          </w:hyperlink>
          <w:r>
            <w:fldChar w:fldCharType="begin"/>
          </w:r>
          <w:r>
            <w:instrText xml:space="preserve"> PAGERE</w:instrText>
          </w:r>
          <w:r>
            <w:instrText xml:space="preserve">F _heading=h.jnnm125ieu6s \h </w:instrText>
          </w:r>
          <w:r>
            <w:fldChar w:fldCharType="separate"/>
          </w:r>
          <w:r>
            <w:rPr>
              <w:rFonts w:ascii="Arial" w:eastAsia="Arial" w:hAnsi="Arial" w:cs="Arial"/>
              <w:color w:val="000000"/>
              <w:sz w:val="20"/>
              <w:szCs w:val="20"/>
            </w:rPr>
            <w:t>FORMA VERIFICACIÓN Y ASIGNACIÓN DE PUNTAJE POR LA EXPERIENCIA DEL PROPONENTE</w:t>
          </w:r>
          <w:r>
            <w:rPr>
              <w:rFonts w:ascii="Arial" w:eastAsia="Arial" w:hAnsi="Arial" w:cs="Arial"/>
              <w:color w:val="000000"/>
              <w:sz w:val="20"/>
              <w:szCs w:val="20"/>
            </w:rPr>
            <w:tab/>
            <w:t>39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e5k60ea01m8q">
            <w:r>
              <w:rPr>
                <w:rFonts w:ascii="Arial" w:eastAsia="Arial" w:hAnsi="Arial" w:cs="Arial"/>
                <w:color w:val="000000"/>
                <w:sz w:val="20"/>
                <w:szCs w:val="20"/>
              </w:rPr>
              <w:t>4.2</w:t>
            </w:r>
          </w:hyperlink>
          <w:hyperlink w:anchor="_heading=h.e5k60ea01m8q">
            <w:r>
              <w:rPr>
                <w:color w:val="000000"/>
                <w:sz w:val="24"/>
                <w:szCs w:val="24"/>
              </w:rPr>
              <w:tab/>
            </w:r>
          </w:hyperlink>
          <w:r>
            <w:fldChar w:fldCharType="begin"/>
          </w:r>
          <w:r>
            <w:instrText xml:space="preserve"> PAGEREF _heading=h.e5k60ea01m8q \h </w:instrText>
          </w:r>
          <w:r>
            <w:fldChar w:fldCharType="separate"/>
          </w:r>
          <w:r>
            <w:rPr>
              <w:rFonts w:ascii="Arial" w:eastAsia="Arial" w:hAnsi="Arial" w:cs="Arial"/>
              <w:color w:val="000000"/>
              <w:sz w:val="20"/>
              <w:szCs w:val="20"/>
            </w:rPr>
            <w:t>EQUIPO DE TRABAJO (Personal Clave Evaluable)</w:t>
          </w:r>
          <w:r>
            <w:rPr>
              <w:rFonts w:ascii="Arial" w:eastAsia="Arial" w:hAnsi="Arial" w:cs="Arial"/>
              <w:color w:val="000000"/>
              <w:sz w:val="20"/>
              <w:szCs w:val="20"/>
            </w:rPr>
            <w:tab/>
            <w:t>43</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dnek462qqar1">
            <w:r>
              <w:rPr>
                <w:rFonts w:ascii="Arial" w:eastAsia="Arial" w:hAnsi="Arial" w:cs="Arial"/>
                <w:color w:val="000000"/>
                <w:sz w:val="20"/>
                <w:szCs w:val="20"/>
              </w:rPr>
              <w:t>4.2.1</w:t>
            </w:r>
          </w:hyperlink>
          <w:hyperlink w:anchor="_heading=h.dnek462qqar1">
            <w:r>
              <w:rPr>
                <w:color w:val="000000"/>
                <w:sz w:val="24"/>
                <w:szCs w:val="24"/>
              </w:rPr>
              <w:tab/>
            </w:r>
          </w:hyperlink>
          <w:r>
            <w:fldChar w:fldCharType="begin"/>
          </w:r>
          <w:r>
            <w:instrText xml:space="preserve"> PAGEREF _heading=h.dnek462qqar1 \h </w:instrText>
          </w:r>
          <w:r>
            <w:fldChar w:fldCharType="separate"/>
          </w:r>
          <w:r>
            <w:rPr>
              <w:rFonts w:ascii="Arial" w:eastAsia="Arial" w:hAnsi="Arial" w:cs="Arial"/>
              <w:color w:val="000000"/>
              <w:sz w:val="20"/>
              <w:szCs w:val="20"/>
            </w:rPr>
            <w:t>EXPERIENCIA ESPECÍFICA ADICIONAL</w:t>
          </w:r>
          <w:r>
            <w:rPr>
              <w:rFonts w:ascii="Arial" w:eastAsia="Arial" w:hAnsi="Arial" w:cs="Arial"/>
              <w:color w:val="000000"/>
              <w:sz w:val="20"/>
              <w:szCs w:val="20"/>
            </w:rPr>
            <w:tab/>
            <w:t>43</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8gv0hd1z8mrt">
            <w:r>
              <w:rPr>
                <w:rFonts w:ascii="Arial" w:eastAsia="Arial" w:hAnsi="Arial" w:cs="Arial"/>
                <w:color w:val="000000"/>
                <w:sz w:val="20"/>
                <w:szCs w:val="20"/>
              </w:rPr>
              <w:t>4.2.2</w:t>
            </w:r>
          </w:hyperlink>
          <w:hyperlink w:anchor="_heading=h.8gv0hd1z8mrt">
            <w:r>
              <w:rPr>
                <w:color w:val="000000"/>
                <w:sz w:val="24"/>
                <w:szCs w:val="24"/>
              </w:rPr>
              <w:tab/>
            </w:r>
          </w:hyperlink>
          <w:r>
            <w:fldChar w:fldCharType="begin"/>
          </w:r>
          <w:r>
            <w:instrText xml:space="preserve"> PAGEREF _heading=h.8gv0hd1z8mrt \h </w:instrText>
          </w:r>
          <w:r>
            <w:fldChar w:fldCharType="separate"/>
          </w:r>
          <w:r>
            <w:rPr>
              <w:rFonts w:ascii="Arial" w:eastAsia="Arial" w:hAnsi="Arial" w:cs="Arial"/>
              <w:color w:val="000000"/>
              <w:sz w:val="20"/>
              <w:szCs w:val="20"/>
            </w:rPr>
            <w:t>FORMACIÓN ACADÉMICA ADICIONAL</w:t>
          </w:r>
          <w:r>
            <w:rPr>
              <w:rFonts w:ascii="Arial" w:eastAsia="Arial" w:hAnsi="Arial" w:cs="Arial"/>
              <w:color w:val="000000"/>
              <w:sz w:val="20"/>
              <w:szCs w:val="20"/>
            </w:rPr>
            <w:tab/>
            <w:t>44</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5168xoxpwc56">
            <w:r>
              <w:rPr>
                <w:rFonts w:ascii="Arial" w:eastAsia="Arial" w:hAnsi="Arial" w:cs="Arial"/>
                <w:color w:val="000000"/>
                <w:sz w:val="20"/>
                <w:szCs w:val="20"/>
              </w:rPr>
              <w:t>4.2.3</w:t>
            </w:r>
          </w:hyperlink>
          <w:hyperlink w:anchor="_heading=h.5168xoxpwc56">
            <w:r>
              <w:rPr>
                <w:color w:val="000000"/>
                <w:sz w:val="24"/>
                <w:szCs w:val="24"/>
              </w:rPr>
              <w:tab/>
            </w:r>
          </w:hyperlink>
          <w:r>
            <w:fldChar w:fldCharType="begin"/>
          </w:r>
          <w:r>
            <w:instrText xml:space="preserve"> PAGEREF _heading=h.5168xoxpwc56 \h </w:instrText>
          </w:r>
          <w:r>
            <w:fldChar w:fldCharType="separate"/>
          </w:r>
          <w:r>
            <w:rPr>
              <w:rFonts w:ascii="Arial" w:eastAsia="Arial" w:hAnsi="Arial" w:cs="Arial"/>
              <w:color w:val="000000"/>
              <w:sz w:val="20"/>
              <w:szCs w:val="20"/>
            </w:rPr>
            <w:t>CAMBIO DEL PERSONAL CLAVE EVALUABLE</w:t>
          </w:r>
          <w:r>
            <w:rPr>
              <w:rFonts w:ascii="Arial" w:eastAsia="Arial" w:hAnsi="Arial" w:cs="Arial"/>
              <w:color w:val="000000"/>
              <w:sz w:val="20"/>
              <w:szCs w:val="20"/>
            </w:rPr>
            <w:tab/>
            <w:t>45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48ynpvjmr9uy">
            <w:r>
              <w:rPr>
                <w:rFonts w:ascii="Arial" w:eastAsia="Arial" w:hAnsi="Arial" w:cs="Arial"/>
                <w:color w:val="000000"/>
                <w:sz w:val="20"/>
                <w:szCs w:val="20"/>
              </w:rPr>
              <w:t>4.3</w:t>
            </w:r>
          </w:hyperlink>
          <w:hyperlink w:anchor="_heading=h.48ynpvjmr9uy">
            <w:r>
              <w:rPr>
                <w:color w:val="000000"/>
                <w:sz w:val="24"/>
                <w:szCs w:val="24"/>
              </w:rPr>
              <w:tab/>
            </w:r>
          </w:hyperlink>
          <w:r>
            <w:fldChar w:fldCharType="begin"/>
          </w:r>
          <w:r>
            <w:instrText xml:space="preserve"> PAGEREF _heading=h.48ynpvjmr9uy \h </w:instrText>
          </w:r>
          <w:r>
            <w:fldChar w:fldCharType="separate"/>
          </w:r>
          <w:r>
            <w:rPr>
              <w:rFonts w:ascii="Arial" w:eastAsia="Arial" w:hAnsi="Arial" w:cs="Arial"/>
              <w:color w:val="000000"/>
              <w:sz w:val="20"/>
              <w:szCs w:val="20"/>
            </w:rPr>
            <w:t>FACTOR DE SOSTENIBILIDAD</w:t>
          </w:r>
          <w:r>
            <w:rPr>
              <w:rFonts w:ascii="Arial" w:eastAsia="Arial" w:hAnsi="Arial" w:cs="Arial"/>
              <w:color w:val="000000"/>
              <w:sz w:val="20"/>
              <w:szCs w:val="20"/>
            </w:rPr>
            <w:tab/>
            <w:t>45</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600734qq3bwy">
            <w:r>
              <w:rPr>
                <w:rFonts w:ascii="Arial" w:eastAsia="Arial" w:hAnsi="Arial" w:cs="Arial"/>
                <w:color w:val="000000"/>
                <w:sz w:val="20"/>
                <w:szCs w:val="20"/>
              </w:rPr>
              <w:t>4.4</w:t>
            </w:r>
          </w:hyperlink>
          <w:hyperlink w:anchor="_heading=h.600734qq3bwy">
            <w:r>
              <w:rPr>
                <w:color w:val="000000"/>
                <w:sz w:val="24"/>
                <w:szCs w:val="24"/>
              </w:rPr>
              <w:tab/>
            </w:r>
          </w:hyperlink>
          <w:r>
            <w:fldChar w:fldCharType="begin"/>
          </w:r>
          <w:r>
            <w:instrText xml:space="preserve"> PAGEREF _heading=h.600734qq3bwy \h </w:instrText>
          </w:r>
          <w:r>
            <w:fldChar w:fldCharType="separate"/>
          </w:r>
          <w:r>
            <w:rPr>
              <w:rFonts w:ascii="Arial" w:eastAsia="Arial" w:hAnsi="Arial" w:cs="Arial"/>
              <w:color w:val="000000"/>
              <w:sz w:val="20"/>
              <w:szCs w:val="20"/>
            </w:rPr>
            <w:t>APOYO A LA INDUSTRIA NACIONAL</w:t>
          </w:r>
          <w:r>
            <w:rPr>
              <w:rFonts w:ascii="Arial" w:eastAsia="Arial" w:hAnsi="Arial" w:cs="Arial"/>
              <w:color w:val="000000"/>
              <w:sz w:val="20"/>
              <w:szCs w:val="20"/>
            </w:rPr>
            <w:tab/>
            <w:t>46</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l8dsggjmz859">
            <w:r>
              <w:rPr>
                <w:rFonts w:ascii="Arial" w:eastAsia="Arial" w:hAnsi="Arial" w:cs="Arial"/>
                <w:color w:val="000000"/>
                <w:sz w:val="20"/>
                <w:szCs w:val="20"/>
              </w:rPr>
              <w:t>4.4.1</w:t>
            </w:r>
          </w:hyperlink>
          <w:hyperlink w:anchor="_heading=h.l8dsggjmz859">
            <w:r>
              <w:rPr>
                <w:color w:val="000000"/>
                <w:sz w:val="24"/>
                <w:szCs w:val="24"/>
              </w:rPr>
              <w:tab/>
            </w:r>
          </w:hyperlink>
          <w:r>
            <w:fldChar w:fldCharType="begin"/>
          </w:r>
          <w:r>
            <w:instrText xml:space="preserve"> PAGEREF _heading=h.l8dsggjmz859 \h </w:instrText>
          </w:r>
          <w:r>
            <w:fldChar w:fldCharType="separate"/>
          </w:r>
          <w:r>
            <w:rPr>
              <w:rFonts w:ascii="Arial" w:eastAsia="Arial" w:hAnsi="Arial" w:cs="Arial"/>
              <w:color w:val="000000"/>
              <w:sz w:val="20"/>
              <w:szCs w:val="20"/>
            </w:rPr>
            <w:t>4.4.1 PROMOCIÓN DE SERVICIOS NACIONALES O CON TRATO NACIONAL</w:t>
          </w:r>
          <w:r>
            <w:rPr>
              <w:rFonts w:ascii="Arial" w:eastAsia="Arial" w:hAnsi="Arial" w:cs="Arial"/>
              <w:color w:val="000000"/>
              <w:sz w:val="20"/>
              <w:szCs w:val="20"/>
            </w:rPr>
            <w:tab/>
            <w:t>47</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725ka542pq6e">
            <w:r>
              <w:rPr>
                <w:rFonts w:ascii="Arial" w:eastAsia="Arial" w:hAnsi="Arial" w:cs="Arial"/>
                <w:color w:val="000000"/>
                <w:sz w:val="20"/>
                <w:szCs w:val="20"/>
              </w:rPr>
              <w:t>4.4.2</w:t>
            </w:r>
          </w:hyperlink>
          <w:hyperlink w:anchor="_heading=h.725ka542pq6e">
            <w:r>
              <w:rPr>
                <w:color w:val="000000"/>
                <w:sz w:val="24"/>
                <w:szCs w:val="24"/>
              </w:rPr>
              <w:tab/>
            </w:r>
          </w:hyperlink>
          <w:r>
            <w:fldChar w:fldCharType="begin"/>
          </w:r>
          <w:r>
            <w:instrText xml:space="preserve"> PAGEREF _heading</w:instrText>
          </w:r>
          <w:r>
            <w:instrText xml:space="preserve">=h.725ka542pq6e \h </w:instrText>
          </w:r>
          <w:r>
            <w:fldChar w:fldCharType="separate"/>
          </w:r>
          <w:r>
            <w:rPr>
              <w:rFonts w:ascii="Arial" w:eastAsia="Arial" w:hAnsi="Arial" w:cs="Arial"/>
              <w:color w:val="000000"/>
              <w:sz w:val="20"/>
              <w:szCs w:val="20"/>
            </w:rPr>
            <w:t>INCORPORACIÓN DE COMPONENTE NACIONAL EN SERVICIOS EXTRANJEROS</w:t>
          </w:r>
          <w:r>
            <w:rPr>
              <w:rFonts w:ascii="Arial" w:eastAsia="Arial" w:hAnsi="Arial" w:cs="Arial"/>
              <w:color w:val="000000"/>
              <w:sz w:val="20"/>
              <w:szCs w:val="20"/>
            </w:rPr>
            <w:tab/>
            <w:t>49</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5nertm8vc960">
            <w:r>
              <w:rPr>
                <w:rFonts w:ascii="Arial" w:eastAsia="Arial" w:hAnsi="Arial" w:cs="Arial"/>
                <w:color w:val="000000"/>
                <w:sz w:val="20"/>
                <w:szCs w:val="20"/>
              </w:rPr>
              <w:t>4.5</w:t>
            </w:r>
          </w:hyperlink>
          <w:hyperlink w:anchor="_heading=h.5nertm8vc960">
            <w:r>
              <w:rPr>
                <w:color w:val="000000"/>
                <w:sz w:val="24"/>
                <w:szCs w:val="24"/>
              </w:rPr>
              <w:tab/>
            </w:r>
          </w:hyperlink>
          <w:r>
            <w:fldChar w:fldCharType="begin"/>
          </w:r>
          <w:r>
            <w:instrText xml:space="preserve"> PAGEREF _heading=h.5nertm8vc960 \h </w:instrText>
          </w:r>
          <w:r>
            <w:fldChar w:fldCharType="separate"/>
          </w:r>
          <w:r>
            <w:rPr>
              <w:rFonts w:ascii="Arial" w:eastAsia="Arial" w:hAnsi="Arial" w:cs="Arial"/>
              <w:color w:val="000000"/>
              <w:sz w:val="20"/>
              <w:szCs w:val="20"/>
            </w:rPr>
            <w:t>VINCULACIÓN DE PERSONAS CON DISCAPACIDAD</w:t>
          </w:r>
          <w:r>
            <w:rPr>
              <w:rFonts w:ascii="Arial" w:eastAsia="Arial" w:hAnsi="Arial" w:cs="Arial"/>
              <w:color w:val="000000"/>
              <w:sz w:val="20"/>
              <w:szCs w:val="20"/>
            </w:rPr>
            <w:tab/>
            <w:t>50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77t18qvkpshy">
            <w:r>
              <w:rPr>
                <w:rFonts w:ascii="Arial" w:eastAsia="Arial" w:hAnsi="Arial" w:cs="Arial"/>
                <w:color w:val="000000"/>
                <w:sz w:val="20"/>
                <w:szCs w:val="20"/>
              </w:rPr>
              <w:t>4.6</w:t>
            </w:r>
          </w:hyperlink>
          <w:hyperlink w:anchor="_heading=h.77t18qvkpshy">
            <w:r>
              <w:rPr>
                <w:color w:val="000000"/>
                <w:sz w:val="24"/>
                <w:szCs w:val="24"/>
              </w:rPr>
              <w:tab/>
            </w:r>
          </w:hyperlink>
          <w:r>
            <w:fldChar w:fldCharType="begin"/>
          </w:r>
          <w:r>
            <w:instrText xml:space="preserve"> </w:instrText>
          </w:r>
          <w:r>
            <w:instrText xml:space="preserve">PAGEREF _heading=h.77t18qvkpshy \h </w:instrText>
          </w:r>
          <w:r>
            <w:fldChar w:fldCharType="separate"/>
          </w:r>
          <w:r>
            <w:rPr>
              <w:rFonts w:ascii="Arial" w:eastAsia="Arial" w:hAnsi="Arial" w:cs="Arial"/>
              <w:color w:val="000000"/>
              <w:sz w:val="20"/>
              <w:szCs w:val="20"/>
            </w:rPr>
            <w:t>EMPRENDIMIENTOS Y EMPRESAS DE MUJERES</w:t>
          </w:r>
          <w:r>
            <w:rPr>
              <w:rFonts w:ascii="Arial" w:eastAsia="Arial" w:hAnsi="Arial" w:cs="Arial"/>
              <w:color w:val="000000"/>
              <w:sz w:val="20"/>
              <w:szCs w:val="20"/>
            </w:rPr>
            <w:tab/>
            <w:t>50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p0ovgl3l3r0i">
            <w:r>
              <w:rPr>
                <w:rFonts w:ascii="Arial" w:eastAsia="Arial" w:hAnsi="Arial" w:cs="Arial"/>
                <w:color w:val="000000"/>
                <w:sz w:val="20"/>
                <w:szCs w:val="20"/>
              </w:rPr>
              <w:t>4.7</w:t>
            </w:r>
          </w:hyperlink>
          <w:hyperlink w:anchor="_heading=h.p0ovgl3l3r0i">
            <w:r>
              <w:rPr>
                <w:color w:val="000000"/>
                <w:sz w:val="24"/>
                <w:szCs w:val="24"/>
              </w:rPr>
              <w:tab/>
            </w:r>
          </w:hyperlink>
          <w:r>
            <w:fldChar w:fldCharType="begin"/>
          </w:r>
          <w:r>
            <w:instrText xml:space="preserve"> PAGEREF _heading=h.p0ovgl3l3r0i \h </w:instrText>
          </w:r>
          <w:r>
            <w:fldChar w:fldCharType="separate"/>
          </w:r>
          <w:r>
            <w:rPr>
              <w:rFonts w:ascii="Arial" w:eastAsia="Arial" w:hAnsi="Arial" w:cs="Arial"/>
              <w:color w:val="000000"/>
              <w:sz w:val="20"/>
              <w:szCs w:val="20"/>
            </w:rPr>
            <w:t>MIPYME DOMICILIADA EN COLOMBIA</w:t>
          </w:r>
          <w:r>
            <w:rPr>
              <w:rFonts w:ascii="Arial" w:eastAsia="Arial" w:hAnsi="Arial" w:cs="Arial"/>
              <w:color w:val="000000"/>
              <w:sz w:val="20"/>
              <w:szCs w:val="20"/>
            </w:rPr>
            <w:tab/>
            <w:t>51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7olxgo1e63vz">
            <w:r>
              <w:rPr>
                <w:rFonts w:ascii="Arial" w:eastAsia="Arial" w:hAnsi="Arial" w:cs="Arial"/>
                <w:color w:val="000000"/>
                <w:sz w:val="20"/>
                <w:szCs w:val="20"/>
              </w:rPr>
              <w:t>4.8</w:t>
            </w:r>
          </w:hyperlink>
          <w:hyperlink w:anchor="_heading=h.7olxgo1e63vz">
            <w:r>
              <w:rPr>
                <w:color w:val="000000"/>
                <w:sz w:val="24"/>
                <w:szCs w:val="24"/>
              </w:rPr>
              <w:tab/>
            </w:r>
          </w:hyperlink>
          <w:r>
            <w:fldChar w:fldCharType="begin"/>
          </w:r>
          <w:r>
            <w:instrText xml:space="preserve"> PAGEREF _hea</w:instrText>
          </w:r>
          <w:r>
            <w:instrText xml:space="preserve">ding=h.7olxgo1e63vz \h </w:instrText>
          </w:r>
          <w:r>
            <w:fldChar w:fldCharType="separate"/>
          </w:r>
          <w:r>
            <w:rPr>
              <w:rFonts w:ascii="Arial" w:eastAsia="Arial" w:hAnsi="Arial" w:cs="Arial"/>
              <w:color w:val="000000"/>
              <w:sz w:val="20"/>
              <w:szCs w:val="20"/>
            </w:rPr>
            <w:t>CRITERIOS DE DESEMPATE</w:t>
          </w:r>
          <w:r>
            <w:rPr>
              <w:rFonts w:ascii="Arial" w:eastAsia="Arial" w:hAnsi="Arial" w:cs="Arial"/>
              <w:color w:val="000000"/>
              <w:sz w:val="20"/>
              <w:szCs w:val="20"/>
            </w:rPr>
            <w:tab/>
            <w:t>51</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k0cdxecidbga">
            <w:r>
              <w:rPr>
                <w:rFonts w:ascii="Arial" w:eastAsia="Arial" w:hAnsi="Arial" w:cs="Arial"/>
                <w:color w:val="000000"/>
                <w:sz w:val="20"/>
                <w:szCs w:val="20"/>
              </w:rPr>
              <w:t>CAPITULO V.</w:t>
            </w:r>
          </w:hyperlink>
          <w:hyperlink w:anchor="_heading=h.k0cdxecidbga">
            <w:r>
              <w:rPr>
                <w:color w:val="000000"/>
                <w:sz w:val="24"/>
                <w:szCs w:val="24"/>
              </w:rPr>
              <w:tab/>
            </w:r>
          </w:hyperlink>
          <w:r>
            <w:fldChar w:fldCharType="begin"/>
          </w:r>
          <w:r>
            <w:instrText xml:space="preserve"> PAGEREF _heading=h.k0cdx</w:instrText>
          </w:r>
          <w:r>
            <w:instrText xml:space="preserve">ecidbga \h </w:instrText>
          </w:r>
          <w:r>
            <w:fldChar w:fldCharType="separate"/>
          </w:r>
          <w:r>
            <w:rPr>
              <w:rFonts w:ascii="Arial" w:eastAsia="Arial" w:hAnsi="Arial" w:cs="Arial"/>
              <w:color w:val="000000"/>
              <w:sz w:val="20"/>
              <w:szCs w:val="20"/>
            </w:rPr>
            <w:t>OFERTA ECONÓMICA</w:t>
          </w:r>
          <w:r>
            <w:rPr>
              <w:rFonts w:ascii="Arial" w:eastAsia="Arial" w:hAnsi="Arial" w:cs="Arial"/>
              <w:color w:val="000000"/>
              <w:sz w:val="20"/>
              <w:szCs w:val="20"/>
            </w:rPr>
            <w:tab/>
            <w:t>60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ra3eiz1tbikt">
            <w:r>
              <w:rPr>
                <w:rFonts w:ascii="Arial" w:eastAsia="Arial" w:hAnsi="Arial" w:cs="Arial"/>
                <w:color w:val="000000"/>
                <w:sz w:val="20"/>
                <w:szCs w:val="20"/>
              </w:rPr>
              <w:t>5.1.</w:t>
            </w:r>
          </w:hyperlink>
          <w:hyperlink w:anchor="_heading=h.ra3eiz1tbikt">
            <w:r>
              <w:rPr>
                <w:color w:val="000000"/>
                <w:sz w:val="24"/>
                <w:szCs w:val="24"/>
              </w:rPr>
              <w:tab/>
            </w:r>
          </w:hyperlink>
          <w:r>
            <w:fldChar w:fldCharType="begin"/>
          </w:r>
          <w:r>
            <w:instrText xml:space="preserve"> PAGEREF _heading=h.ra3eiz1tbikt \h </w:instrText>
          </w:r>
          <w:r>
            <w:fldChar w:fldCharType="separate"/>
          </w:r>
          <w:r>
            <w:rPr>
              <w:rFonts w:ascii="Arial" w:eastAsia="Arial" w:hAnsi="Arial" w:cs="Arial"/>
              <w:color w:val="000000"/>
              <w:sz w:val="20"/>
              <w:szCs w:val="20"/>
            </w:rPr>
            <w:t>CORRECCIONES A</w:t>
          </w:r>
          <w:r>
            <w:rPr>
              <w:rFonts w:ascii="Arial" w:eastAsia="Arial" w:hAnsi="Arial" w:cs="Arial"/>
              <w:color w:val="000000"/>
              <w:sz w:val="20"/>
              <w:szCs w:val="20"/>
            </w:rPr>
            <w:t>RITMÉTICAS</w:t>
          </w:r>
          <w:r>
            <w:rPr>
              <w:rFonts w:ascii="Arial" w:eastAsia="Arial" w:hAnsi="Arial" w:cs="Arial"/>
              <w:color w:val="000000"/>
              <w:sz w:val="20"/>
              <w:szCs w:val="20"/>
            </w:rPr>
            <w:tab/>
            <w:t>60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c2n0zytgdcbo">
            <w:r>
              <w:rPr>
                <w:rFonts w:ascii="Arial" w:eastAsia="Arial" w:hAnsi="Arial" w:cs="Arial"/>
                <w:color w:val="000000"/>
                <w:sz w:val="20"/>
                <w:szCs w:val="20"/>
              </w:rPr>
              <w:t>5.2.</w:t>
            </w:r>
          </w:hyperlink>
          <w:hyperlink w:anchor="_heading=h.c2n0zytgdcbo">
            <w:r>
              <w:rPr>
                <w:color w:val="000000"/>
                <w:sz w:val="24"/>
                <w:szCs w:val="24"/>
              </w:rPr>
              <w:tab/>
            </w:r>
          </w:hyperlink>
          <w:r>
            <w:fldChar w:fldCharType="begin"/>
          </w:r>
          <w:r>
            <w:instrText xml:space="preserve"> PAGEREF _heading=h.c2n0zytgdcbo \h </w:instrText>
          </w:r>
          <w:r>
            <w:fldChar w:fldCharType="separate"/>
          </w:r>
          <w:r>
            <w:rPr>
              <w:rFonts w:ascii="Arial" w:eastAsia="Arial" w:hAnsi="Arial" w:cs="Arial"/>
              <w:color w:val="000000"/>
              <w:sz w:val="20"/>
              <w:szCs w:val="20"/>
            </w:rPr>
            <w:t>PRECIO ARTIFICIALMENTE BAJO</w:t>
          </w:r>
          <w:r>
            <w:rPr>
              <w:rFonts w:ascii="Arial" w:eastAsia="Arial" w:hAnsi="Arial" w:cs="Arial"/>
              <w:color w:val="000000"/>
              <w:sz w:val="20"/>
              <w:szCs w:val="20"/>
            </w:rPr>
            <w:tab/>
            <w:t>60</w:t>
          </w:r>
          <w:r>
            <w:fldChar w:fldCharType="end"/>
          </w:r>
        </w:p>
        <w:p w:rsidR="00C0159A" w:rsidRDefault="00244C46">
          <w:pPr>
            <w:pBdr>
              <w:top w:val="nil"/>
              <w:left w:val="nil"/>
              <w:bottom w:val="nil"/>
              <w:right w:val="nil"/>
              <w:between w:val="nil"/>
            </w:pBdr>
            <w:tabs>
              <w:tab w:val="left" w:pos="1920"/>
              <w:tab w:val="right" w:pos="8828"/>
            </w:tabs>
            <w:spacing w:after="0" w:line="240" w:lineRule="auto"/>
            <w:jc w:val="both"/>
            <w:rPr>
              <w:color w:val="000000"/>
              <w:sz w:val="24"/>
              <w:szCs w:val="24"/>
            </w:rPr>
          </w:pPr>
          <w:hyperlink w:anchor="_heading=h.xc06zlacjd58">
            <w:r>
              <w:rPr>
                <w:rFonts w:ascii="Arial" w:eastAsia="Arial" w:hAnsi="Arial" w:cs="Arial"/>
                <w:color w:val="000000"/>
                <w:sz w:val="20"/>
                <w:szCs w:val="20"/>
              </w:rPr>
              <w:t>CAPITULO VI.</w:t>
            </w:r>
          </w:hyperlink>
          <w:hyperlink w:anchor="_heading=h.xc06zlacjd58">
            <w:r>
              <w:rPr>
                <w:color w:val="000000"/>
                <w:sz w:val="24"/>
                <w:szCs w:val="24"/>
              </w:rPr>
              <w:tab/>
            </w:r>
          </w:hyperlink>
          <w:r>
            <w:fldChar w:fldCharType="begin"/>
          </w:r>
          <w:r>
            <w:instrText xml:space="preserve"> PAGER</w:instrText>
          </w:r>
          <w:r>
            <w:instrText xml:space="preserve">EF _heading=h.xc06zlacjd58 \h </w:instrText>
          </w:r>
          <w:r>
            <w:fldChar w:fldCharType="separate"/>
          </w:r>
          <w:r>
            <w:rPr>
              <w:rFonts w:ascii="Arial" w:eastAsia="Arial" w:hAnsi="Arial" w:cs="Arial"/>
              <w:color w:val="000000"/>
              <w:sz w:val="20"/>
              <w:szCs w:val="20"/>
            </w:rPr>
            <w:t>RIESGOS ASOCIADOS AL CONTRATO, FORMA DE MITIGARLOS Y ASIGNACIÓN DE RIESGOS</w:t>
          </w:r>
          <w:r>
            <w:rPr>
              <w:rFonts w:ascii="Arial" w:eastAsia="Arial" w:hAnsi="Arial" w:cs="Arial"/>
              <w:color w:val="000000"/>
              <w:sz w:val="20"/>
              <w:szCs w:val="20"/>
            </w:rPr>
            <w:tab/>
            <w:t>61</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2ir4hknsxr6t">
            <w:r>
              <w:rPr>
                <w:rFonts w:ascii="Arial" w:eastAsia="Arial" w:hAnsi="Arial" w:cs="Arial"/>
                <w:color w:val="000000"/>
                <w:sz w:val="20"/>
                <w:szCs w:val="20"/>
              </w:rPr>
              <w:t>6.1.</w:t>
            </w:r>
          </w:hyperlink>
          <w:hyperlink w:anchor="_heading=h.2ir4hknsxr6t">
            <w:r>
              <w:rPr>
                <w:color w:val="000000"/>
                <w:sz w:val="24"/>
                <w:szCs w:val="24"/>
              </w:rPr>
              <w:tab/>
            </w:r>
          </w:hyperlink>
          <w:r>
            <w:fldChar w:fldCharType="begin"/>
          </w:r>
          <w:r>
            <w:instrText xml:space="preserve"> PAGEREF _heading=h.2ir4hknsxr6t \h </w:instrText>
          </w:r>
          <w:r>
            <w:fldChar w:fldCharType="separate"/>
          </w:r>
          <w:r>
            <w:rPr>
              <w:rFonts w:ascii="Arial" w:eastAsia="Arial" w:hAnsi="Arial" w:cs="Arial"/>
              <w:color w:val="000000"/>
              <w:sz w:val="20"/>
              <w:szCs w:val="20"/>
            </w:rPr>
            <w:t>AUDIENCIA DE ASIGNACIÓN DE RIESGOS</w:t>
          </w:r>
          <w:r>
            <w:rPr>
              <w:rFonts w:ascii="Arial" w:eastAsia="Arial" w:hAnsi="Arial" w:cs="Arial"/>
              <w:color w:val="000000"/>
              <w:sz w:val="20"/>
              <w:szCs w:val="20"/>
            </w:rPr>
            <w:tab/>
            <w:t>61</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lnnmqs49eu3m">
            <w:r>
              <w:rPr>
                <w:rFonts w:ascii="Arial" w:eastAsia="Arial" w:hAnsi="Arial" w:cs="Arial"/>
                <w:color w:val="000000"/>
                <w:sz w:val="20"/>
                <w:szCs w:val="20"/>
              </w:rPr>
              <w:t>CAPITULO VII.</w:t>
            </w:r>
          </w:hyperlink>
          <w:hyperlink w:anchor="_heading=h.lnnmqs49eu3m">
            <w:r>
              <w:rPr>
                <w:color w:val="000000"/>
                <w:sz w:val="24"/>
                <w:szCs w:val="24"/>
              </w:rPr>
              <w:tab/>
            </w:r>
          </w:hyperlink>
          <w:r>
            <w:fldChar w:fldCharType="begin"/>
          </w:r>
          <w:r>
            <w:instrText xml:space="preserve"> PAGEREF _heading=h.lnnmqs49eu3m \h </w:instrText>
          </w:r>
          <w:r>
            <w:fldChar w:fldCharType="separate"/>
          </w:r>
          <w:r>
            <w:rPr>
              <w:rFonts w:ascii="Arial" w:eastAsia="Arial" w:hAnsi="Arial" w:cs="Arial"/>
              <w:color w:val="000000"/>
              <w:sz w:val="20"/>
              <w:szCs w:val="20"/>
            </w:rPr>
            <w:t>ACUERDOS COMERCIALES</w:t>
          </w:r>
          <w:r>
            <w:rPr>
              <w:rFonts w:ascii="Arial" w:eastAsia="Arial" w:hAnsi="Arial" w:cs="Arial"/>
              <w:color w:val="000000"/>
              <w:sz w:val="20"/>
              <w:szCs w:val="20"/>
            </w:rPr>
            <w:tab/>
            <w:t>62</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ushqk3bb0lk6">
            <w:r>
              <w:rPr>
                <w:rFonts w:ascii="Arial" w:eastAsia="Arial" w:hAnsi="Arial" w:cs="Arial"/>
                <w:color w:val="000000"/>
                <w:sz w:val="20"/>
                <w:szCs w:val="20"/>
              </w:rPr>
              <w:t>CAPITULO VIII.</w:t>
            </w:r>
          </w:hyperlink>
          <w:hyperlink w:anchor="_heading=h.ushqk3bb0lk6">
            <w:r>
              <w:rPr>
                <w:color w:val="000000"/>
                <w:sz w:val="24"/>
                <w:szCs w:val="24"/>
              </w:rPr>
              <w:tab/>
            </w:r>
          </w:hyperlink>
          <w:r>
            <w:fldChar w:fldCharType="begin"/>
          </w:r>
          <w:r>
            <w:instrText xml:space="preserve"> PAGEREF _heading=h.ushqk3bb0lk6 \h </w:instrText>
          </w:r>
          <w:r>
            <w:fldChar w:fldCharType="separate"/>
          </w:r>
          <w:r>
            <w:rPr>
              <w:rFonts w:ascii="Arial" w:eastAsia="Arial" w:hAnsi="Arial" w:cs="Arial"/>
              <w:color w:val="000000"/>
              <w:sz w:val="20"/>
              <w:szCs w:val="20"/>
            </w:rPr>
            <w:t>GARANTÍAS</w:t>
          </w:r>
          <w:r>
            <w:rPr>
              <w:rFonts w:ascii="Arial" w:eastAsia="Arial" w:hAnsi="Arial" w:cs="Arial"/>
              <w:color w:val="000000"/>
              <w:sz w:val="20"/>
              <w:szCs w:val="20"/>
            </w:rPr>
            <w:tab/>
            <w:t>63</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bmfjr148psdq">
            <w:r>
              <w:rPr>
                <w:rFonts w:ascii="Arial" w:eastAsia="Arial" w:hAnsi="Arial" w:cs="Arial"/>
                <w:color w:val="000000"/>
                <w:sz w:val="20"/>
                <w:szCs w:val="20"/>
              </w:rPr>
              <w:t>8.1.</w:t>
            </w:r>
          </w:hyperlink>
          <w:hyperlink w:anchor="_heading=h.bmfjr148psdq">
            <w:r>
              <w:rPr>
                <w:color w:val="000000"/>
                <w:sz w:val="24"/>
                <w:szCs w:val="24"/>
              </w:rPr>
              <w:tab/>
            </w:r>
          </w:hyperlink>
          <w:r>
            <w:fldChar w:fldCharType="begin"/>
          </w:r>
          <w:r>
            <w:instrText xml:space="preserve"> PAGEREF _heading=h.bmfjr148psdq \h </w:instrText>
          </w:r>
          <w:r>
            <w:fldChar w:fldCharType="separate"/>
          </w:r>
          <w:r>
            <w:rPr>
              <w:rFonts w:ascii="Arial" w:eastAsia="Arial" w:hAnsi="Arial" w:cs="Arial"/>
              <w:color w:val="000000"/>
              <w:sz w:val="20"/>
              <w:szCs w:val="20"/>
            </w:rPr>
            <w:t>GARANTÍA DE SERIEDAD DE LA OFERTA</w:t>
          </w:r>
          <w:r>
            <w:rPr>
              <w:rFonts w:ascii="Arial" w:eastAsia="Arial" w:hAnsi="Arial" w:cs="Arial"/>
              <w:color w:val="000000"/>
              <w:sz w:val="20"/>
              <w:szCs w:val="20"/>
            </w:rPr>
            <w:tab/>
            <w:t>63</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wwxfn4wem51x">
            <w:r>
              <w:rPr>
                <w:rFonts w:ascii="Arial" w:eastAsia="Arial" w:hAnsi="Arial" w:cs="Arial"/>
                <w:color w:val="000000"/>
                <w:sz w:val="20"/>
                <w:szCs w:val="20"/>
              </w:rPr>
              <w:t>8.2.</w:t>
            </w:r>
          </w:hyperlink>
          <w:hyperlink w:anchor="_heading=h.wwxfn4wem51x">
            <w:r>
              <w:rPr>
                <w:color w:val="000000"/>
                <w:sz w:val="24"/>
                <w:szCs w:val="24"/>
              </w:rPr>
              <w:tab/>
            </w:r>
          </w:hyperlink>
          <w:r>
            <w:fldChar w:fldCharType="begin"/>
          </w:r>
          <w:r>
            <w:instrText xml:space="preserve"> PAGEREF _heading=h.wwxfn4wem51x \h </w:instrText>
          </w:r>
          <w:r>
            <w:fldChar w:fldCharType="separate"/>
          </w:r>
          <w:r>
            <w:rPr>
              <w:rFonts w:ascii="Arial" w:eastAsia="Arial" w:hAnsi="Arial" w:cs="Arial"/>
              <w:color w:val="000000"/>
              <w:sz w:val="20"/>
              <w:szCs w:val="20"/>
            </w:rPr>
            <w:t>GARANTÍAS DEL CONTRATO</w:t>
          </w:r>
          <w:r>
            <w:rPr>
              <w:rFonts w:ascii="Arial" w:eastAsia="Arial" w:hAnsi="Arial" w:cs="Arial"/>
              <w:color w:val="000000"/>
              <w:sz w:val="20"/>
              <w:szCs w:val="20"/>
            </w:rPr>
            <w:tab/>
            <w:t>63</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6iw1bwv5lh7i">
            <w:r>
              <w:rPr>
                <w:rFonts w:ascii="Arial" w:eastAsia="Arial" w:hAnsi="Arial" w:cs="Arial"/>
                <w:color w:val="000000"/>
                <w:sz w:val="20"/>
                <w:szCs w:val="20"/>
              </w:rPr>
              <w:t>8.2.1.</w:t>
            </w:r>
          </w:hyperlink>
          <w:hyperlink w:anchor="_heading=h.6iw1bwv5lh7i">
            <w:r>
              <w:rPr>
                <w:color w:val="000000"/>
                <w:sz w:val="24"/>
                <w:szCs w:val="24"/>
              </w:rPr>
              <w:tab/>
            </w:r>
          </w:hyperlink>
          <w:r>
            <w:fldChar w:fldCharType="begin"/>
          </w:r>
          <w:r>
            <w:instrText xml:space="preserve"> PAGEREF _heading=h.6iw1bwv5lh7i \h </w:instrText>
          </w:r>
          <w:r>
            <w:fldChar w:fldCharType="separate"/>
          </w:r>
          <w:r>
            <w:rPr>
              <w:rFonts w:ascii="Arial" w:eastAsia="Arial" w:hAnsi="Arial" w:cs="Arial"/>
              <w:color w:val="000000"/>
              <w:sz w:val="20"/>
              <w:szCs w:val="20"/>
            </w:rPr>
            <w:t>GARANTÍA DE CUMPLIMIENTO</w:t>
          </w:r>
          <w:r>
            <w:rPr>
              <w:rFonts w:ascii="Arial" w:eastAsia="Arial" w:hAnsi="Arial" w:cs="Arial"/>
              <w:color w:val="000000"/>
              <w:sz w:val="20"/>
              <w:szCs w:val="20"/>
            </w:rPr>
            <w:tab/>
            <w:t>64</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s91r8djywlc4">
            <w:r>
              <w:rPr>
                <w:rFonts w:ascii="Arial" w:eastAsia="Arial" w:hAnsi="Arial" w:cs="Arial"/>
                <w:color w:val="000000"/>
                <w:sz w:val="20"/>
                <w:szCs w:val="20"/>
              </w:rPr>
              <w:t>8.2.2.</w:t>
            </w:r>
          </w:hyperlink>
          <w:hyperlink w:anchor="_heading=h.s91r8djywlc4">
            <w:r>
              <w:rPr>
                <w:color w:val="000000"/>
                <w:sz w:val="24"/>
                <w:szCs w:val="24"/>
              </w:rPr>
              <w:tab/>
            </w:r>
          </w:hyperlink>
          <w:r>
            <w:fldChar w:fldCharType="begin"/>
          </w:r>
          <w:r>
            <w:instrText xml:space="preserve"> PAGEREF _heading=h.s91r8djywlc4 \h </w:instrText>
          </w:r>
          <w:r>
            <w:fldChar w:fldCharType="separate"/>
          </w:r>
          <w:r>
            <w:rPr>
              <w:rFonts w:ascii="Arial" w:eastAsia="Arial" w:hAnsi="Arial" w:cs="Arial"/>
              <w:color w:val="000000"/>
              <w:sz w:val="20"/>
              <w:szCs w:val="20"/>
            </w:rPr>
            <w:t>DEL AMPARO DE CALIDAD DEL SERVICIO EN LA GARANTÍA ÚNICA DE CUMPLIMIENTO</w:t>
          </w:r>
          <w:r>
            <w:rPr>
              <w:rFonts w:ascii="Arial" w:eastAsia="Arial" w:hAnsi="Arial" w:cs="Arial"/>
              <w:color w:val="000000"/>
              <w:sz w:val="20"/>
              <w:szCs w:val="20"/>
            </w:rPr>
            <w:tab/>
            <w:t>65</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w3n2vgc0fpxv">
            <w:r>
              <w:rPr>
                <w:rFonts w:ascii="Arial" w:eastAsia="Arial" w:hAnsi="Arial" w:cs="Arial"/>
                <w:color w:val="000000"/>
                <w:sz w:val="20"/>
                <w:szCs w:val="20"/>
              </w:rPr>
              <w:t>8.2.3.</w:t>
            </w:r>
          </w:hyperlink>
          <w:hyperlink w:anchor="_heading=h.w3n2vgc0fpxv">
            <w:r>
              <w:rPr>
                <w:color w:val="000000"/>
                <w:sz w:val="24"/>
                <w:szCs w:val="24"/>
              </w:rPr>
              <w:tab/>
            </w:r>
          </w:hyperlink>
          <w:r>
            <w:fldChar w:fldCharType="begin"/>
          </w:r>
          <w:r>
            <w:instrText xml:space="preserve"> PAG</w:instrText>
          </w:r>
          <w:r>
            <w:instrText xml:space="preserve">EREF _heading=h.w3n2vgc0fpxv \h </w:instrText>
          </w:r>
          <w:r>
            <w:fldChar w:fldCharType="separate"/>
          </w:r>
          <w:r>
            <w:rPr>
              <w:rFonts w:ascii="Arial" w:eastAsia="Arial" w:hAnsi="Arial" w:cs="Arial"/>
              <w:color w:val="000000"/>
              <w:sz w:val="20"/>
              <w:szCs w:val="20"/>
            </w:rPr>
            <w:t>GARANTÍA DE RESPONSABILIDAD CIVIL EXTRACONTRACTUAL</w:t>
          </w:r>
          <w:r>
            <w:rPr>
              <w:rFonts w:ascii="Arial" w:eastAsia="Arial" w:hAnsi="Arial" w:cs="Arial"/>
              <w:color w:val="000000"/>
              <w:sz w:val="20"/>
              <w:szCs w:val="20"/>
            </w:rPr>
            <w:tab/>
            <w:t>66</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85jxyc70crz8">
            <w:r>
              <w:rPr>
                <w:rFonts w:ascii="Arial" w:eastAsia="Arial" w:hAnsi="Arial" w:cs="Arial"/>
                <w:color w:val="000000"/>
                <w:sz w:val="20"/>
                <w:szCs w:val="20"/>
                <w:highlight w:val="lightGray"/>
              </w:rPr>
              <w:t>8.2.4.</w:t>
            </w:r>
          </w:hyperlink>
          <w:hyperlink w:anchor="_heading=h.85jxyc70crz8">
            <w:r>
              <w:rPr>
                <w:color w:val="000000"/>
                <w:sz w:val="24"/>
                <w:szCs w:val="24"/>
              </w:rPr>
              <w:tab/>
            </w:r>
          </w:hyperlink>
          <w:r>
            <w:fldChar w:fldCharType="begin"/>
          </w:r>
          <w:r>
            <w:instrText xml:space="preserve"> PAGEREF _heading=h.85jxyc70crz8 \h </w:instrText>
          </w:r>
          <w:r>
            <w:fldChar w:fldCharType="separate"/>
          </w:r>
          <w:r>
            <w:rPr>
              <w:rFonts w:ascii="Arial" w:eastAsia="Arial" w:hAnsi="Arial" w:cs="Arial"/>
              <w:color w:val="000000"/>
              <w:sz w:val="20"/>
              <w:szCs w:val="20"/>
              <w:highlight w:val="lightGray"/>
            </w:rPr>
            <w:t>INCLUIR OTRAS GARANTÍAS</w:t>
          </w:r>
          <w:r>
            <w:rPr>
              <w:rFonts w:ascii="Arial" w:eastAsia="Arial" w:hAnsi="Arial" w:cs="Arial"/>
              <w:color w:val="000000"/>
              <w:sz w:val="20"/>
              <w:szCs w:val="20"/>
            </w:rPr>
            <w:tab/>
            <w:t>67</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9911dhpv8qcw">
            <w:r>
              <w:rPr>
                <w:rFonts w:ascii="Arial" w:eastAsia="Arial" w:hAnsi="Arial" w:cs="Arial"/>
                <w:color w:val="000000"/>
                <w:sz w:val="20"/>
                <w:szCs w:val="20"/>
              </w:rPr>
              <w:t>CAPITULO IX.</w:t>
            </w:r>
          </w:hyperlink>
          <w:hyperlink w:anchor="_heading=h.9911dhpv8qcw">
            <w:r>
              <w:rPr>
                <w:color w:val="000000"/>
                <w:sz w:val="24"/>
                <w:szCs w:val="24"/>
              </w:rPr>
              <w:tab/>
            </w:r>
          </w:hyperlink>
          <w:r>
            <w:fldChar w:fldCharType="begin"/>
          </w:r>
          <w:r>
            <w:instrText xml:space="preserve"> PAG</w:instrText>
          </w:r>
          <w:r>
            <w:instrText xml:space="preserve">EREF _heading=h.9911dhpv8qcw \h </w:instrText>
          </w:r>
          <w:r>
            <w:fldChar w:fldCharType="separate"/>
          </w:r>
          <w:r>
            <w:rPr>
              <w:rFonts w:ascii="Arial" w:eastAsia="Arial" w:hAnsi="Arial" w:cs="Arial"/>
              <w:color w:val="000000"/>
              <w:sz w:val="20"/>
              <w:szCs w:val="20"/>
            </w:rPr>
            <w:t>MINUTA Y CONDICIONES DEL CONTRATO</w:t>
          </w:r>
          <w:r>
            <w:rPr>
              <w:rFonts w:ascii="Arial" w:eastAsia="Arial" w:hAnsi="Arial" w:cs="Arial"/>
              <w:color w:val="000000"/>
              <w:sz w:val="20"/>
              <w:szCs w:val="20"/>
            </w:rPr>
            <w:tab/>
            <w:t>68</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p4628471u1y3">
            <w:r>
              <w:rPr>
                <w:rFonts w:ascii="Arial" w:eastAsia="Arial" w:hAnsi="Arial" w:cs="Arial"/>
                <w:color w:val="000000"/>
                <w:sz w:val="20"/>
                <w:szCs w:val="20"/>
              </w:rPr>
              <w:t>9.1.</w:t>
            </w:r>
          </w:hyperlink>
          <w:hyperlink w:anchor="_heading=h.p4628471u1y3">
            <w:r>
              <w:rPr>
                <w:color w:val="000000"/>
                <w:sz w:val="24"/>
                <w:szCs w:val="24"/>
              </w:rPr>
              <w:tab/>
            </w:r>
          </w:hyperlink>
          <w:r>
            <w:fldChar w:fldCharType="begin"/>
          </w:r>
          <w:r>
            <w:instrText xml:space="preserve"> PAGEREF _heading=h.p4628471u1y3 \h </w:instrText>
          </w:r>
          <w:r>
            <w:fldChar w:fldCharType="separate"/>
          </w:r>
          <w:r>
            <w:rPr>
              <w:rFonts w:ascii="Arial" w:eastAsia="Arial" w:hAnsi="Arial" w:cs="Arial"/>
              <w:color w:val="000000"/>
              <w:sz w:val="20"/>
              <w:szCs w:val="20"/>
            </w:rPr>
            <w:t>INFORMACIÓN PARA EL CONTROL DE LA EJECUCIÓN DE L</w:t>
          </w:r>
          <w:r>
            <w:rPr>
              <w:rFonts w:ascii="Arial" w:eastAsia="Arial" w:hAnsi="Arial" w:cs="Arial"/>
              <w:color w:val="000000"/>
              <w:sz w:val="20"/>
              <w:szCs w:val="20"/>
            </w:rPr>
            <w:t>A OBRA</w:t>
          </w:r>
          <w:r>
            <w:rPr>
              <w:rFonts w:ascii="Arial" w:eastAsia="Arial" w:hAnsi="Arial" w:cs="Arial"/>
              <w:color w:val="000000"/>
              <w:sz w:val="20"/>
              <w:szCs w:val="20"/>
            </w:rPr>
            <w:tab/>
            <w:t>68</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9tg5molt9y38">
            <w:r>
              <w:rPr>
                <w:rFonts w:ascii="Arial" w:eastAsia="Arial" w:hAnsi="Arial" w:cs="Arial"/>
                <w:color w:val="000000"/>
                <w:sz w:val="20"/>
                <w:szCs w:val="20"/>
              </w:rPr>
              <w:t>9.2.</w:t>
            </w:r>
          </w:hyperlink>
          <w:hyperlink w:anchor="_heading=h.9tg5molt9y38">
            <w:r>
              <w:rPr>
                <w:color w:val="000000"/>
                <w:sz w:val="24"/>
                <w:szCs w:val="24"/>
              </w:rPr>
              <w:tab/>
            </w:r>
          </w:hyperlink>
          <w:r>
            <w:fldChar w:fldCharType="begin"/>
          </w:r>
          <w:r>
            <w:instrText xml:space="preserve"> PAGEREF _heading=h.9tg5molt9y38 \h </w:instrText>
          </w:r>
          <w:r>
            <w:fldChar w:fldCharType="separate"/>
          </w:r>
          <w:r>
            <w:rPr>
              <w:rFonts w:ascii="Arial" w:eastAsia="Arial" w:hAnsi="Arial" w:cs="Arial"/>
              <w:color w:val="000000"/>
              <w:sz w:val="20"/>
              <w:szCs w:val="20"/>
            </w:rPr>
            <w:t>ANTICIPO Y/O PAGO ANTICIPADO</w:t>
          </w:r>
          <w:r>
            <w:rPr>
              <w:rFonts w:ascii="Arial" w:eastAsia="Arial" w:hAnsi="Arial" w:cs="Arial"/>
              <w:color w:val="000000"/>
              <w:sz w:val="20"/>
              <w:szCs w:val="20"/>
            </w:rPr>
            <w:tab/>
            <w:t>68</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62hwkacu25pd">
            <w:r>
              <w:rPr>
                <w:rFonts w:ascii="Arial" w:eastAsia="Arial" w:hAnsi="Arial" w:cs="Arial"/>
                <w:color w:val="000000"/>
                <w:sz w:val="20"/>
                <w:szCs w:val="20"/>
              </w:rPr>
              <w:t>CAPITULO X.</w:t>
            </w:r>
          </w:hyperlink>
          <w:hyperlink w:anchor="_heading=h.62hwkacu25pd">
            <w:r>
              <w:rPr>
                <w:color w:val="000000"/>
                <w:sz w:val="24"/>
                <w:szCs w:val="24"/>
              </w:rPr>
              <w:tab/>
            </w:r>
          </w:hyperlink>
          <w:r>
            <w:fldChar w:fldCharType="begin"/>
          </w:r>
          <w:r>
            <w:instrText xml:space="preserve"> PAGEREF _heading=h.62hwkacu25pd \h </w:instrText>
          </w:r>
          <w:r>
            <w:fldChar w:fldCharType="separate"/>
          </w:r>
          <w:r>
            <w:rPr>
              <w:rFonts w:ascii="Arial" w:eastAsia="Arial" w:hAnsi="Arial" w:cs="Arial"/>
              <w:color w:val="000000"/>
              <w:sz w:val="20"/>
              <w:szCs w:val="20"/>
            </w:rPr>
            <w:t>CONDICIONES DE ACREDITACIÓN DE LA EXPERIENC</w:t>
          </w:r>
          <w:r>
            <w:rPr>
              <w:rFonts w:ascii="Arial" w:eastAsia="Arial" w:hAnsi="Arial" w:cs="Arial"/>
              <w:color w:val="000000"/>
              <w:sz w:val="20"/>
              <w:szCs w:val="20"/>
            </w:rPr>
            <w:t>IA DEL PROPONENTE, Y LA EXPERIENCIA Y FORMACIÓN ACADÉMICA DEL EQUIPO DE TRABAJO Y EL PERSONAL CLAVE EVALUABLE</w:t>
          </w:r>
          <w:r>
            <w:rPr>
              <w:rFonts w:ascii="Arial" w:eastAsia="Arial" w:hAnsi="Arial" w:cs="Arial"/>
              <w:color w:val="000000"/>
              <w:sz w:val="20"/>
              <w:szCs w:val="20"/>
            </w:rPr>
            <w:tab/>
            <w:t>70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ipdzv04d6ejf">
            <w:r>
              <w:rPr>
                <w:rFonts w:ascii="Arial" w:eastAsia="Arial" w:hAnsi="Arial" w:cs="Arial"/>
                <w:color w:val="000000"/>
                <w:sz w:val="20"/>
                <w:szCs w:val="20"/>
              </w:rPr>
              <w:t>10.1</w:t>
            </w:r>
          </w:hyperlink>
          <w:hyperlink w:anchor="_heading=h.ipdzv04d6ejf">
            <w:r>
              <w:rPr>
                <w:color w:val="000000"/>
                <w:sz w:val="24"/>
                <w:szCs w:val="24"/>
              </w:rPr>
              <w:tab/>
            </w:r>
          </w:hyperlink>
          <w:r>
            <w:fldChar w:fldCharType="begin"/>
          </w:r>
          <w:r>
            <w:instrText xml:space="preserve"> PAGEREF _heading=h.ipdzv04d6ejf \h </w:instrText>
          </w:r>
          <w:r>
            <w:fldChar w:fldCharType="separate"/>
          </w:r>
          <w:r>
            <w:rPr>
              <w:rFonts w:ascii="Arial" w:eastAsia="Arial" w:hAnsi="Arial" w:cs="Arial"/>
              <w:color w:val="000000"/>
              <w:sz w:val="20"/>
              <w:szCs w:val="20"/>
            </w:rPr>
            <w:t>ACREDITACIÓN DE LA EXPERIENCIA DEL PROPONENTE</w:t>
          </w:r>
          <w:r>
            <w:rPr>
              <w:rFonts w:ascii="Arial" w:eastAsia="Arial" w:hAnsi="Arial" w:cs="Arial"/>
              <w:color w:val="000000"/>
              <w:sz w:val="20"/>
              <w:szCs w:val="20"/>
            </w:rPr>
            <w:tab/>
            <w:t>70</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lvdgfm5l7vmt">
            <w:r>
              <w:rPr>
                <w:rFonts w:ascii="Arial" w:eastAsia="Arial" w:hAnsi="Arial" w:cs="Arial"/>
                <w:b/>
                <w:bCs/>
                <w:color w:val="000000"/>
                <w:sz w:val="20"/>
                <w:szCs w:val="20"/>
              </w:rPr>
              <w:t>10.1.1.</w:t>
            </w:r>
          </w:hyperlink>
          <w:hyperlink w:anchor="_heading=h.lvdgfm5l7vmt">
            <w:r>
              <w:rPr>
                <w:color w:val="000000"/>
                <w:sz w:val="24"/>
                <w:szCs w:val="24"/>
              </w:rPr>
              <w:tab/>
            </w:r>
          </w:hyperlink>
          <w:r>
            <w:fldChar w:fldCharType="begin"/>
          </w:r>
          <w:r>
            <w:instrText xml:space="preserve"> PAGEREF _heading=h.lvdgfm5l7vmt \h </w:instrText>
          </w:r>
          <w:r>
            <w:fldChar w:fldCharType="separate"/>
          </w:r>
          <w:r>
            <w:rPr>
              <w:rFonts w:ascii="Arial" w:eastAsia="Arial" w:hAnsi="Arial" w:cs="Arial"/>
              <w:b/>
              <w:bCs/>
              <w:color w:val="000000"/>
              <w:sz w:val="20"/>
              <w:szCs w:val="20"/>
            </w:rPr>
            <w:t xml:space="preserve">CARACTERÍSTICAS DE LOS CONTRATOS PRESENTADOS </w:t>
          </w:r>
          <w:r>
            <w:rPr>
              <w:rFonts w:ascii="Arial" w:eastAsia="Arial" w:hAnsi="Arial" w:cs="Arial"/>
              <w:b/>
              <w:bCs/>
              <w:color w:val="000000"/>
              <w:sz w:val="20"/>
              <w:szCs w:val="20"/>
            </w:rPr>
            <w:t>PARA ACREDITAR LA EXPERIENCIA DEL PROPONENTE</w:t>
          </w:r>
          <w:r>
            <w:rPr>
              <w:rFonts w:ascii="Arial" w:eastAsia="Arial" w:hAnsi="Arial" w:cs="Arial"/>
              <w:color w:val="000000"/>
              <w:sz w:val="20"/>
              <w:szCs w:val="20"/>
            </w:rPr>
            <w:tab/>
            <w:t>71</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56dfh4e6tpyv">
            <w:r>
              <w:rPr>
                <w:rFonts w:ascii="Arial" w:eastAsia="Arial" w:hAnsi="Arial" w:cs="Arial"/>
                <w:b/>
                <w:bCs/>
                <w:color w:val="000000"/>
                <w:sz w:val="20"/>
                <w:szCs w:val="20"/>
              </w:rPr>
              <w:t>10.1.2.</w:t>
            </w:r>
          </w:hyperlink>
          <w:hyperlink w:anchor="_heading=h.56dfh4e6tpyv">
            <w:r>
              <w:rPr>
                <w:color w:val="000000"/>
                <w:sz w:val="24"/>
                <w:szCs w:val="24"/>
              </w:rPr>
              <w:tab/>
            </w:r>
          </w:hyperlink>
          <w:r>
            <w:fldChar w:fldCharType="begin"/>
          </w:r>
          <w:r>
            <w:instrText xml:space="preserve"> PAGEREF _heading=h.56dfh4e6tpy</w:instrText>
          </w:r>
          <w:r>
            <w:instrText xml:space="preserve">v \h </w:instrText>
          </w:r>
          <w:r>
            <w:fldChar w:fldCharType="separate"/>
          </w:r>
          <w:r>
            <w:rPr>
              <w:rFonts w:ascii="Arial" w:eastAsia="Arial" w:hAnsi="Arial" w:cs="Arial"/>
              <w:b/>
              <w:bCs/>
              <w:color w:val="000000"/>
              <w:sz w:val="20"/>
              <w:szCs w:val="20"/>
            </w:rPr>
            <w:t>CONSIDERACIONES PARA LA VALIDEZ DE LA EXPERIENCIA DEL PROPONENTE</w:t>
          </w:r>
          <w:r>
            <w:rPr>
              <w:rFonts w:ascii="Arial" w:eastAsia="Arial" w:hAnsi="Arial" w:cs="Arial"/>
              <w:color w:val="000000"/>
              <w:sz w:val="20"/>
              <w:szCs w:val="20"/>
            </w:rPr>
            <w:tab/>
            <w:t>75</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em7x9tkal4vg">
            <w:r>
              <w:rPr>
                <w:rFonts w:ascii="Arial" w:eastAsia="Arial" w:hAnsi="Arial" w:cs="Arial"/>
                <w:b/>
                <w:bCs/>
                <w:color w:val="000000"/>
                <w:sz w:val="20"/>
                <w:szCs w:val="20"/>
              </w:rPr>
              <w:t>10.1.3.</w:t>
            </w:r>
          </w:hyperlink>
          <w:hyperlink w:anchor="_heading=h.em7x9tkal4vg">
            <w:r>
              <w:rPr>
                <w:color w:val="000000"/>
                <w:sz w:val="24"/>
                <w:szCs w:val="24"/>
              </w:rPr>
              <w:tab/>
            </w:r>
          </w:hyperlink>
          <w:r>
            <w:fldChar w:fldCharType="begin"/>
          </w:r>
          <w:r>
            <w:instrText xml:space="preserve"> PAGE</w:instrText>
          </w:r>
          <w:r>
            <w:instrText xml:space="preserve">REF _heading=h.em7x9tkal4vg \h </w:instrText>
          </w:r>
          <w:r>
            <w:fldChar w:fldCharType="separate"/>
          </w:r>
          <w:r>
            <w:rPr>
              <w:rFonts w:ascii="Arial" w:eastAsia="Arial" w:hAnsi="Arial" w:cs="Arial"/>
              <w:b/>
              <w:bCs/>
              <w:color w:val="000000"/>
              <w:sz w:val="20"/>
              <w:szCs w:val="20"/>
            </w:rPr>
            <w:t>CLASIFICACIÓN DE LA EXPERIENCIA EN EL “CLASIFICADOR DE BIENES, OBRAS Y SERVICIOS DE LAS NACIONES UNIDAS”</w:t>
          </w:r>
          <w:r>
            <w:rPr>
              <w:rFonts w:ascii="Arial" w:eastAsia="Arial" w:hAnsi="Arial" w:cs="Arial"/>
              <w:color w:val="000000"/>
              <w:sz w:val="20"/>
              <w:szCs w:val="20"/>
            </w:rPr>
            <w:tab/>
            <w:t>78</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mcayaul269be">
            <w:r>
              <w:rPr>
                <w:rFonts w:ascii="Arial" w:eastAsia="Arial" w:hAnsi="Arial" w:cs="Arial"/>
                <w:b/>
                <w:bCs/>
                <w:color w:val="000000"/>
                <w:sz w:val="20"/>
                <w:szCs w:val="20"/>
              </w:rPr>
              <w:t>10.1.4.</w:t>
            </w:r>
          </w:hyperlink>
          <w:hyperlink w:anchor="_heading=h.mcayaul269be">
            <w:r>
              <w:rPr>
                <w:color w:val="000000"/>
                <w:sz w:val="24"/>
                <w:szCs w:val="24"/>
              </w:rPr>
              <w:tab/>
            </w:r>
          </w:hyperlink>
          <w:r>
            <w:fldChar w:fldCharType="begin"/>
          </w:r>
          <w:r>
            <w:instrText xml:space="preserve"> PAGEREF _heading=h.mcayaul269be \h </w:instrText>
          </w:r>
          <w:r>
            <w:fldChar w:fldCharType="separate"/>
          </w:r>
          <w:r>
            <w:rPr>
              <w:rFonts w:ascii="Arial" w:eastAsia="Arial" w:hAnsi="Arial" w:cs="Arial"/>
              <w:b/>
              <w:bCs/>
              <w:color w:val="000000"/>
              <w:sz w:val="20"/>
              <w:szCs w:val="20"/>
            </w:rPr>
            <w:t>ACREDITACIÓN DE LA EXPERIENCIA REQUERIDA</w:t>
          </w:r>
          <w:r>
            <w:rPr>
              <w:rFonts w:ascii="Arial" w:eastAsia="Arial" w:hAnsi="Arial" w:cs="Arial"/>
              <w:color w:val="000000"/>
              <w:sz w:val="20"/>
              <w:szCs w:val="20"/>
            </w:rPr>
            <w:tab/>
            <w:t>79</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6i09ys58e06w">
            <w:r>
              <w:rPr>
                <w:rFonts w:ascii="Arial" w:eastAsia="Arial" w:hAnsi="Arial" w:cs="Arial"/>
                <w:b/>
                <w:bCs/>
                <w:color w:val="000000"/>
                <w:sz w:val="20"/>
                <w:szCs w:val="20"/>
              </w:rPr>
              <w:t>10.1.5.</w:t>
            </w:r>
          </w:hyperlink>
          <w:hyperlink w:anchor="_heading=h.6i09ys58e06w">
            <w:r>
              <w:rPr>
                <w:color w:val="000000"/>
                <w:sz w:val="24"/>
                <w:szCs w:val="24"/>
              </w:rPr>
              <w:tab/>
            </w:r>
          </w:hyperlink>
          <w:r>
            <w:fldChar w:fldCharType="begin"/>
          </w:r>
          <w:r>
            <w:instrText xml:space="preserve"> PAGEREF _heading=h.6i09ys58e06w \h </w:instrText>
          </w:r>
          <w:r>
            <w:fldChar w:fldCharType="separate"/>
          </w:r>
          <w:r>
            <w:rPr>
              <w:rFonts w:ascii="Arial" w:eastAsia="Arial" w:hAnsi="Arial" w:cs="Arial"/>
              <w:b/>
              <w:bCs/>
              <w:color w:val="000000"/>
              <w:sz w:val="20"/>
              <w:szCs w:val="20"/>
            </w:rPr>
            <w:t xml:space="preserve">DOCUMENTOS VÁLIDOS PARA LA ACREDITACIÓN DE </w:t>
          </w:r>
          <w:r>
            <w:rPr>
              <w:rFonts w:ascii="Arial" w:eastAsia="Arial" w:hAnsi="Arial" w:cs="Arial"/>
              <w:b/>
              <w:bCs/>
              <w:color w:val="000000"/>
              <w:sz w:val="20"/>
              <w:szCs w:val="20"/>
            </w:rPr>
            <w:t>LA EXPERIENCIA REQUERIDA</w:t>
          </w:r>
          <w:r>
            <w:rPr>
              <w:rFonts w:ascii="Arial" w:eastAsia="Arial" w:hAnsi="Arial" w:cs="Arial"/>
              <w:color w:val="000000"/>
              <w:sz w:val="20"/>
              <w:szCs w:val="20"/>
            </w:rPr>
            <w:tab/>
            <w:t>80</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5ewvxuj7zpd4">
            <w:r>
              <w:rPr>
                <w:rFonts w:ascii="Arial" w:eastAsia="Arial" w:hAnsi="Arial" w:cs="Arial"/>
                <w:b/>
                <w:bCs/>
                <w:color w:val="000000"/>
                <w:sz w:val="20"/>
                <w:szCs w:val="20"/>
              </w:rPr>
              <w:t>10.1.6.</w:t>
            </w:r>
          </w:hyperlink>
          <w:hyperlink w:anchor="_heading=h.5ewvxuj7zpd4">
            <w:r>
              <w:rPr>
                <w:color w:val="000000"/>
                <w:sz w:val="24"/>
                <w:szCs w:val="24"/>
              </w:rPr>
              <w:tab/>
            </w:r>
          </w:hyperlink>
          <w:r>
            <w:fldChar w:fldCharType="begin"/>
          </w:r>
          <w:r>
            <w:instrText xml:space="preserve"> PAGEREF _heading=h.5ewvxuj7zpd4 \h </w:instrText>
          </w:r>
          <w:r>
            <w:fldChar w:fldCharType="separate"/>
          </w:r>
          <w:r>
            <w:rPr>
              <w:rFonts w:ascii="Arial" w:eastAsia="Arial" w:hAnsi="Arial" w:cs="Arial"/>
              <w:b/>
              <w:bCs/>
              <w:color w:val="000000"/>
              <w:sz w:val="20"/>
              <w:szCs w:val="20"/>
            </w:rPr>
            <w:t>PARA CONTRATOS ENTRE PARTICULARES</w:t>
          </w:r>
          <w:r>
            <w:rPr>
              <w:rFonts w:ascii="Arial" w:eastAsia="Arial" w:hAnsi="Arial" w:cs="Arial"/>
              <w:color w:val="000000"/>
              <w:sz w:val="20"/>
              <w:szCs w:val="20"/>
            </w:rPr>
            <w:tab/>
            <w:t>80</w:t>
          </w:r>
          <w:r>
            <w:fldChar w:fldCharType="end"/>
          </w:r>
        </w:p>
        <w:p w:rsidR="00C0159A" w:rsidRDefault="00244C46">
          <w:pPr>
            <w:pBdr>
              <w:top w:val="nil"/>
              <w:left w:val="nil"/>
              <w:bottom w:val="nil"/>
              <w:right w:val="nil"/>
              <w:between w:val="nil"/>
            </w:pBdr>
            <w:tabs>
              <w:tab w:val="left" w:pos="1440"/>
              <w:tab w:val="right" w:pos="8828"/>
            </w:tabs>
            <w:spacing w:after="0" w:line="240" w:lineRule="auto"/>
            <w:ind w:left="442"/>
            <w:jc w:val="both"/>
            <w:rPr>
              <w:color w:val="000000"/>
              <w:sz w:val="24"/>
              <w:szCs w:val="24"/>
            </w:rPr>
          </w:pPr>
          <w:hyperlink w:anchor="_heading=h.nmf5f2ie4yui">
            <w:r>
              <w:rPr>
                <w:rFonts w:ascii="Arial" w:eastAsia="Arial" w:hAnsi="Arial" w:cs="Arial"/>
                <w:b/>
                <w:bCs/>
                <w:color w:val="000000"/>
                <w:sz w:val="20"/>
                <w:szCs w:val="20"/>
              </w:rPr>
              <w:t>10.1.7.</w:t>
            </w:r>
          </w:hyperlink>
          <w:hyperlink w:anchor="_heading=h.nmf5f2ie4yui">
            <w:r>
              <w:rPr>
                <w:color w:val="000000"/>
                <w:sz w:val="24"/>
                <w:szCs w:val="24"/>
              </w:rPr>
              <w:tab/>
            </w:r>
          </w:hyperlink>
          <w:r>
            <w:fldChar w:fldCharType="begin"/>
          </w:r>
          <w:r>
            <w:instrText xml:space="preserve"> PAGE</w:instrText>
          </w:r>
          <w:r>
            <w:instrText xml:space="preserve">REF _heading=h.nmf5f2ie4yui \h </w:instrText>
          </w:r>
          <w:r>
            <w:fldChar w:fldCharType="separate"/>
          </w:r>
          <w:r>
            <w:rPr>
              <w:rFonts w:ascii="Arial" w:eastAsia="Arial" w:hAnsi="Arial" w:cs="Arial"/>
              <w:b/>
              <w:bCs/>
              <w:color w:val="000000"/>
              <w:sz w:val="20"/>
              <w:szCs w:val="20"/>
            </w:rPr>
            <w:t>PARA SUBCONTRATOS</w:t>
          </w:r>
          <w:r>
            <w:rPr>
              <w:rFonts w:ascii="Arial" w:eastAsia="Arial" w:hAnsi="Arial" w:cs="Arial"/>
              <w:color w:val="000000"/>
              <w:sz w:val="20"/>
              <w:szCs w:val="20"/>
            </w:rPr>
            <w:tab/>
            <w:t>80</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x0tkzyohrjsh">
            <w:r>
              <w:rPr>
                <w:rFonts w:ascii="Arial" w:eastAsia="Arial" w:hAnsi="Arial" w:cs="Arial"/>
                <w:color w:val="000000"/>
                <w:sz w:val="20"/>
                <w:szCs w:val="20"/>
              </w:rPr>
              <w:t>10.2</w:t>
            </w:r>
          </w:hyperlink>
          <w:hyperlink w:anchor="_heading=h.x0tkzyohrjsh">
            <w:r>
              <w:rPr>
                <w:color w:val="000000"/>
                <w:sz w:val="24"/>
                <w:szCs w:val="24"/>
              </w:rPr>
              <w:tab/>
            </w:r>
          </w:hyperlink>
          <w:r>
            <w:fldChar w:fldCharType="begin"/>
          </w:r>
          <w:r>
            <w:instrText xml:space="preserve"> PAGEREF _heading=h.x0tkzyohrj</w:instrText>
          </w:r>
          <w:r>
            <w:instrText xml:space="preserve">sh \h </w:instrText>
          </w:r>
          <w:r>
            <w:fldChar w:fldCharType="separate"/>
          </w:r>
          <w:r>
            <w:rPr>
              <w:rFonts w:ascii="Arial" w:eastAsia="Arial" w:hAnsi="Arial" w:cs="Arial"/>
              <w:color w:val="000000"/>
              <w:sz w:val="20"/>
              <w:szCs w:val="20"/>
            </w:rPr>
            <w:t>ACREDITACIÓN DE EXPERIENCIA Y FORMACIÓN ACÁDEMICA DEL EQUIPO DE TRABAJO Y DEL PERSONAL CLAVE EVALUABLE</w:t>
          </w:r>
          <w:r>
            <w:rPr>
              <w:rFonts w:ascii="Arial" w:eastAsia="Arial" w:hAnsi="Arial" w:cs="Arial"/>
              <w:color w:val="000000"/>
              <w:sz w:val="20"/>
              <w:szCs w:val="20"/>
            </w:rPr>
            <w:tab/>
            <w:t>82</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6vux7s3k5691">
            <w:r>
              <w:rPr>
                <w:rFonts w:ascii="Arial" w:eastAsia="Arial" w:hAnsi="Arial" w:cs="Arial"/>
                <w:b/>
                <w:bCs/>
                <w:color w:val="000000"/>
                <w:sz w:val="20"/>
                <w:szCs w:val="20"/>
              </w:rPr>
              <w:t>9.2.1.</w:t>
            </w:r>
          </w:hyperlink>
          <w:hyperlink w:anchor="_heading=h.6vux7s3k5691">
            <w:r>
              <w:rPr>
                <w:color w:val="000000"/>
                <w:sz w:val="24"/>
                <w:szCs w:val="24"/>
              </w:rPr>
              <w:tab/>
            </w:r>
          </w:hyperlink>
          <w:r>
            <w:fldChar w:fldCharType="begin"/>
          </w:r>
          <w:r>
            <w:instrText xml:space="preserve"> PAGEREF _heading=h.6vux7s3k5691 \h </w:instrText>
          </w:r>
          <w:r>
            <w:fldChar w:fldCharType="separate"/>
          </w:r>
          <w:r>
            <w:rPr>
              <w:rFonts w:ascii="Arial" w:eastAsia="Arial" w:hAnsi="Arial" w:cs="Arial"/>
              <w:b/>
              <w:bCs/>
              <w:color w:val="000000"/>
              <w:sz w:val="20"/>
              <w:szCs w:val="20"/>
            </w:rPr>
            <w:t>DISPOSICIONES GENERALES PARA LA VALIDEZ DE LA EXPERIENCIA DEL EQUIPO DE TRABAJO Y DEL PERSONAL CLAVE EVALUABLE</w:t>
          </w:r>
          <w:r>
            <w:rPr>
              <w:rFonts w:ascii="Arial" w:eastAsia="Arial" w:hAnsi="Arial" w:cs="Arial"/>
              <w:color w:val="000000"/>
              <w:sz w:val="20"/>
              <w:szCs w:val="20"/>
            </w:rPr>
            <w:tab/>
            <w:t>82</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2rny8967b81d">
            <w:r>
              <w:rPr>
                <w:rFonts w:ascii="Arial" w:eastAsia="Arial" w:hAnsi="Arial" w:cs="Arial"/>
                <w:b/>
                <w:bCs/>
                <w:color w:val="000000"/>
                <w:sz w:val="20"/>
                <w:szCs w:val="20"/>
              </w:rPr>
              <w:t>9.2.2.</w:t>
            </w:r>
          </w:hyperlink>
          <w:hyperlink w:anchor="_heading=h.2rny8967b81d">
            <w:r>
              <w:rPr>
                <w:color w:val="000000"/>
                <w:sz w:val="24"/>
                <w:szCs w:val="24"/>
              </w:rPr>
              <w:tab/>
            </w:r>
          </w:hyperlink>
          <w:r>
            <w:fldChar w:fldCharType="begin"/>
          </w:r>
          <w:r>
            <w:instrText xml:space="preserve"> PAGEREF _heading=h.2rny8967b81d \h </w:instrText>
          </w:r>
          <w:r>
            <w:fldChar w:fldCharType="separate"/>
          </w:r>
          <w:r>
            <w:rPr>
              <w:rFonts w:ascii="Arial" w:eastAsia="Arial" w:hAnsi="Arial" w:cs="Arial"/>
              <w:b/>
              <w:bCs/>
              <w:color w:val="000000"/>
              <w:sz w:val="20"/>
              <w:szCs w:val="20"/>
            </w:rPr>
            <w:t>10.2.2 DOCUMENTOS SOPORTE VÁLIDOS PARA ACREDITAR LA EXPERIENCIA DEL EQUIPO DE TRABAJO Y EL PERSONAL CLAVE EVALUABLE</w:t>
          </w:r>
          <w:r>
            <w:rPr>
              <w:rFonts w:ascii="Arial" w:eastAsia="Arial" w:hAnsi="Arial" w:cs="Arial"/>
              <w:color w:val="000000"/>
              <w:sz w:val="20"/>
              <w:szCs w:val="20"/>
            </w:rPr>
            <w:tab/>
            <w:t>82</w:t>
          </w:r>
          <w:r>
            <w:fldChar w:fldCharType="end"/>
          </w:r>
        </w:p>
        <w:p w:rsidR="00C0159A" w:rsidRDefault="00244C46">
          <w:pPr>
            <w:pBdr>
              <w:top w:val="nil"/>
              <w:left w:val="nil"/>
              <w:bottom w:val="nil"/>
              <w:right w:val="nil"/>
              <w:between w:val="nil"/>
            </w:pBdr>
            <w:tabs>
              <w:tab w:val="left" w:pos="1200"/>
              <w:tab w:val="right" w:pos="8828"/>
            </w:tabs>
            <w:spacing w:after="0" w:line="240" w:lineRule="auto"/>
            <w:ind w:left="442"/>
            <w:jc w:val="both"/>
            <w:rPr>
              <w:color w:val="000000"/>
              <w:sz w:val="24"/>
              <w:szCs w:val="24"/>
            </w:rPr>
          </w:pPr>
          <w:hyperlink w:anchor="_heading=h.e5ut3yqetse6">
            <w:r>
              <w:rPr>
                <w:rFonts w:ascii="Arial" w:eastAsia="Arial" w:hAnsi="Arial" w:cs="Arial"/>
                <w:b/>
                <w:bCs/>
                <w:color w:val="000000"/>
                <w:sz w:val="20"/>
                <w:szCs w:val="20"/>
              </w:rPr>
              <w:t>9.2.3.</w:t>
            </w:r>
          </w:hyperlink>
          <w:hyperlink w:anchor="_heading=h.e5ut3yqetse6">
            <w:r>
              <w:rPr>
                <w:color w:val="000000"/>
                <w:sz w:val="24"/>
                <w:szCs w:val="24"/>
              </w:rPr>
              <w:tab/>
            </w:r>
          </w:hyperlink>
          <w:r>
            <w:fldChar w:fldCharType="begin"/>
          </w:r>
          <w:r>
            <w:instrText xml:space="preserve"> PAGEREF _heading=h.e5ut3yqetse6 \h </w:instrText>
          </w:r>
          <w:r>
            <w:fldChar w:fldCharType="separate"/>
          </w:r>
          <w:r>
            <w:rPr>
              <w:rFonts w:ascii="Arial" w:eastAsia="Arial" w:hAnsi="Arial" w:cs="Arial"/>
              <w:b/>
              <w:bCs/>
              <w:color w:val="000000"/>
              <w:sz w:val="20"/>
              <w:szCs w:val="20"/>
            </w:rPr>
            <w:t>ACREDITACIÓN DE LA FORMACIÓN ACADÉMICA DEL EQUIPO DE TRABAJO Y EL PERSONAL CLAVE EVALUABLE</w:t>
          </w:r>
          <w:r>
            <w:rPr>
              <w:rFonts w:ascii="Arial" w:eastAsia="Arial" w:hAnsi="Arial" w:cs="Arial"/>
              <w:color w:val="000000"/>
              <w:sz w:val="20"/>
              <w:szCs w:val="20"/>
            </w:rPr>
            <w:tab/>
            <w:t>83</w:t>
          </w:r>
          <w:r>
            <w:fldChar w:fldCharType="end"/>
          </w:r>
        </w:p>
        <w:p w:rsidR="00C0159A" w:rsidRDefault="00244C46">
          <w:pPr>
            <w:pBdr>
              <w:top w:val="nil"/>
              <w:left w:val="nil"/>
              <w:bottom w:val="nil"/>
              <w:right w:val="nil"/>
              <w:between w:val="nil"/>
            </w:pBdr>
            <w:tabs>
              <w:tab w:val="left" w:pos="1680"/>
              <w:tab w:val="right" w:pos="8828"/>
            </w:tabs>
            <w:spacing w:after="0" w:line="240" w:lineRule="auto"/>
            <w:jc w:val="both"/>
            <w:rPr>
              <w:color w:val="000000"/>
              <w:sz w:val="24"/>
              <w:szCs w:val="24"/>
            </w:rPr>
          </w:pPr>
          <w:hyperlink w:anchor="_heading=h.k1jwe8x1pew0">
            <w:r>
              <w:rPr>
                <w:rFonts w:ascii="Arial" w:eastAsia="Arial" w:hAnsi="Arial" w:cs="Arial"/>
                <w:color w:val="000000"/>
                <w:sz w:val="20"/>
                <w:szCs w:val="20"/>
              </w:rPr>
              <w:t>CAPITULO XI.</w:t>
            </w:r>
          </w:hyperlink>
          <w:hyperlink w:anchor="_heading=h.k1jwe8x1pew0">
            <w:r>
              <w:rPr>
                <w:color w:val="000000"/>
                <w:sz w:val="24"/>
                <w:szCs w:val="24"/>
              </w:rPr>
              <w:tab/>
            </w:r>
          </w:hyperlink>
          <w:r>
            <w:fldChar w:fldCharType="begin"/>
          </w:r>
          <w:r>
            <w:instrText xml:space="preserve"> PAGEREF _heading=h.k1jwe8x1pew0 \h </w:instrText>
          </w:r>
          <w:r>
            <w:fldChar w:fldCharType="separate"/>
          </w:r>
          <w:r>
            <w:rPr>
              <w:rFonts w:ascii="Arial" w:eastAsia="Arial" w:hAnsi="Arial" w:cs="Arial"/>
              <w:color w:val="000000"/>
              <w:sz w:val="20"/>
              <w:szCs w:val="20"/>
            </w:rPr>
            <w:t>LISTADO DE ANEXOS, FORMATOS, MATRICES Y FORMULARIOS</w:t>
          </w:r>
          <w:r>
            <w:rPr>
              <w:rFonts w:ascii="Arial" w:eastAsia="Arial" w:hAnsi="Arial" w:cs="Arial"/>
              <w:color w:val="000000"/>
              <w:sz w:val="20"/>
              <w:szCs w:val="20"/>
            </w:rPr>
            <w:tab/>
            <w:t>84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7wsyd4yvwyw4">
            <w:r>
              <w:rPr>
                <w:rFonts w:ascii="Arial" w:eastAsia="Arial" w:hAnsi="Arial" w:cs="Arial"/>
                <w:color w:val="000000"/>
                <w:sz w:val="20"/>
                <w:szCs w:val="20"/>
              </w:rPr>
              <w:t>10.1.</w:t>
            </w:r>
          </w:hyperlink>
          <w:hyperlink w:anchor="_heading=h.7wsyd4yvwyw4">
            <w:r>
              <w:rPr>
                <w:color w:val="000000"/>
                <w:sz w:val="24"/>
                <w:szCs w:val="24"/>
              </w:rPr>
              <w:tab/>
            </w:r>
          </w:hyperlink>
          <w:r>
            <w:fldChar w:fldCharType="begin"/>
          </w:r>
          <w:r>
            <w:instrText xml:space="preserve"> PAGEREF _heading=h.7wsyd</w:instrText>
          </w:r>
          <w:r>
            <w:instrText xml:space="preserve">4yvwyw4 \h </w:instrText>
          </w:r>
          <w:r>
            <w:fldChar w:fldCharType="separate"/>
          </w:r>
          <w:r>
            <w:rPr>
              <w:rFonts w:ascii="Arial" w:eastAsia="Arial" w:hAnsi="Arial" w:cs="Arial"/>
              <w:color w:val="000000"/>
              <w:sz w:val="20"/>
              <w:szCs w:val="20"/>
            </w:rPr>
            <w:t>ANEXOS</w:t>
          </w:r>
          <w:r>
            <w:rPr>
              <w:rFonts w:ascii="Arial" w:eastAsia="Arial" w:hAnsi="Arial" w:cs="Arial"/>
              <w:color w:val="000000"/>
              <w:sz w:val="20"/>
              <w:szCs w:val="20"/>
            </w:rPr>
            <w:tab/>
            <w:t>84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2q1gnjihr40z">
            <w:r>
              <w:rPr>
                <w:rFonts w:ascii="Arial" w:eastAsia="Arial" w:hAnsi="Arial" w:cs="Arial"/>
                <w:color w:val="000000"/>
                <w:sz w:val="20"/>
                <w:szCs w:val="20"/>
              </w:rPr>
              <w:t>10.2.</w:t>
            </w:r>
          </w:hyperlink>
          <w:hyperlink w:anchor="_heading=h.2q1gnjihr40z">
            <w:r>
              <w:rPr>
                <w:color w:val="000000"/>
                <w:sz w:val="24"/>
                <w:szCs w:val="24"/>
              </w:rPr>
              <w:tab/>
            </w:r>
          </w:hyperlink>
          <w:r>
            <w:fldChar w:fldCharType="begin"/>
          </w:r>
          <w:r>
            <w:instrText xml:space="preserve"> PAGEREF _heading=h.2q1gnjihr40z \h </w:instrText>
          </w:r>
          <w:r>
            <w:fldChar w:fldCharType="separate"/>
          </w:r>
          <w:r>
            <w:rPr>
              <w:rFonts w:ascii="Arial" w:eastAsia="Arial" w:hAnsi="Arial" w:cs="Arial"/>
              <w:color w:val="000000"/>
              <w:sz w:val="20"/>
              <w:szCs w:val="20"/>
            </w:rPr>
            <w:t>FORMATOS</w:t>
          </w:r>
          <w:r>
            <w:rPr>
              <w:rFonts w:ascii="Arial" w:eastAsia="Arial" w:hAnsi="Arial" w:cs="Arial"/>
              <w:color w:val="000000"/>
              <w:sz w:val="20"/>
              <w:szCs w:val="20"/>
            </w:rPr>
            <w:tab/>
            <w:t>84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ln6gdv92tgwm">
            <w:r>
              <w:rPr>
                <w:rFonts w:ascii="Arial" w:eastAsia="Arial" w:hAnsi="Arial" w:cs="Arial"/>
                <w:color w:val="000000"/>
                <w:sz w:val="20"/>
                <w:szCs w:val="20"/>
              </w:rPr>
              <w:t>10.3.</w:t>
            </w:r>
          </w:hyperlink>
          <w:hyperlink w:anchor="_heading=h.ln6gdv92tgwm">
            <w:r>
              <w:rPr>
                <w:color w:val="000000"/>
                <w:sz w:val="24"/>
                <w:szCs w:val="24"/>
              </w:rPr>
              <w:tab/>
            </w:r>
          </w:hyperlink>
          <w:r>
            <w:fldChar w:fldCharType="begin"/>
          </w:r>
          <w:r>
            <w:instrText xml:space="preserve"> PAGEREF _heading=h.ln6gdv92tgwm \h </w:instrText>
          </w:r>
          <w:r>
            <w:fldChar w:fldCharType="separate"/>
          </w:r>
          <w:r>
            <w:rPr>
              <w:rFonts w:ascii="Arial" w:eastAsia="Arial" w:hAnsi="Arial" w:cs="Arial"/>
              <w:color w:val="000000"/>
              <w:sz w:val="20"/>
              <w:szCs w:val="20"/>
            </w:rPr>
            <w:t>MATRICES</w:t>
          </w:r>
          <w:r>
            <w:rPr>
              <w:rFonts w:ascii="Arial" w:eastAsia="Arial" w:hAnsi="Arial" w:cs="Arial"/>
              <w:color w:val="000000"/>
              <w:sz w:val="20"/>
              <w:szCs w:val="20"/>
            </w:rPr>
            <w:tab/>
            <w:t>84</w:t>
          </w:r>
          <w:r>
            <w:fldChar w:fldCharType="end"/>
          </w:r>
        </w:p>
        <w:p w:rsidR="00C0159A" w:rsidRDefault="00244C46">
          <w:pPr>
            <w:pBdr>
              <w:top w:val="nil"/>
              <w:left w:val="nil"/>
              <w:bottom w:val="nil"/>
              <w:right w:val="nil"/>
              <w:between w:val="nil"/>
            </w:pBdr>
            <w:tabs>
              <w:tab w:val="left" w:pos="960"/>
              <w:tab w:val="right" w:pos="8828"/>
            </w:tabs>
            <w:spacing w:after="0" w:line="240" w:lineRule="auto"/>
            <w:ind w:left="221"/>
            <w:jc w:val="both"/>
            <w:rPr>
              <w:color w:val="000000"/>
              <w:sz w:val="24"/>
              <w:szCs w:val="24"/>
            </w:rPr>
          </w:pPr>
          <w:hyperlink w:anchor="_heading=h.2j6wfc6zdo32">
            <w:r>
              <w:rPr>
                <w:rFonts w:ascii="Arial" w:eastAsia="Arial" w:hAnsi="Arial" w:cs="Arial"/>
                <w:color w:val="000000"/>
                <w:sz w:val="20"/>
                <w:szCs w:val="20"/>
              </w:rPr>
              <w:t>10.4.</w:t>
            </w:r>
          </w:hyperlink>
          <w:hyperlink w:anchor="_heading=h.2j6wfc6zdo32">
            <w:r>
              <w:rPr>
                <w:color w:val="000000"/>
                <w:sz w:val="24"/>
                <w:szCs w:val="24"/>
              </w:rPr>
              <w:tab/>
            </w:r>
          </w:hyperlink>
          <w:r>
            <w:fldChar w:fldCharType="begin"/>
          </w:r>
          <w:r>
            <w:instrText xml:space="preserve"> PAGEREF _heading=h.2j6wfc6zdo32 \h </w:instrText>
          </w:r>
          <w:r>
            <w:fldChar w:fldCharType="separate"/>
          </w:r>
          <w:r>
            <w:rPr>
              <w:rFonts w:ascii="Arial" w:eastAsia="Arial" w:hAnsi="Arial" w:cs="Arial"/>
              <w:color w:val="000000"/>
              <w:sz w:val="20"/>
              <w:szCs w:val="20"/>
            </w:rPr>
            <w:t>FORMULARIOS</w:t>
          </w:r>
          <w:r>
            <w:rPr>
              <w:rFonts w:ascii="Arial" w:eastAsia="Arial" w:hAnsi="Arial" w:cs="Arial"/>
              <w:color w:val="000000"/>
              <w:sz w:val="20"/>
              <w:szCs w:val="20"/>
            </w:rPr>
            <w:tab/>
            <w:t>84</w:t>
          </w:r>
          <w:r>
            <w:fldChar w:fldCharType="end"/>
          </w:r>
        </w:p>
        <w:p w:rsidR="00C0159A" w:rsidRDefault="00244C46">
          <w:pPr>
            <w:spacing w:after="0" w:line="240" w:lineRule="auto"/>
          </w:pPr>
          <w:r>
            <w:fldChar w:fldCharType="end"/>
          </w:r>
        </w:p>
      </w:sdtContent>
    </w:sdt>
    <w:p w:rsidR="00C0159A" w:rsidRDefault="00C0159A">
      <w:pPr>
        <w:spacing w:after="0" w:line="240" w:lineRule="auto"/>
        <w:jc w:val="both"/>
        <w:rPr>
          <w:rFonts w:ascii="Arial" w:eastAsia="Arial" w:hAnsi="Arial" w:cs="Arial"/>
          <w:sz w:val="20"/>
          <w:szCs w:val="20"/>
        </w:rPr>
        <w:sectPr w:rsidR="00C0159A">
          <w:headerReference w:type="default" r:id="rId11"/>
          <w:footerReference w:type="default" r:id="rId12"/>
          <w:pgSz w:w="12240" w:h="15840"/>
          <w:pgMar w:top="1417" w:right="1701" w:bottom="1417" w:left="1701" w:header="708" w:footer="708" w:gutter="0"/>
          <w:pgNumType w:start="1"/>
          <w:cols w:space="720"/>
        </w:sectPr>
      </w:pPr>
    </w:p>
    <w:p w:rsidR="00C0159A" w:rsidRDefault="00244C46">
      <w:pPr>
        <w:spacing w:after="0" w:line="240" w:lineRule="auto"/>
        <w:jc w:val="center"/>
        <w:rPr>
          <w:rFonts w:ascii="Arial" w:eastAsia="Arial" w:hAnsi="Arial" w:cs="Arial"/>
          <w:b/>
          <w:bCs/>
          <w:sz w:val="20"/>
          <w:szCs w:val="20"/>
        </w:rPr>
      </w:pPr>
      <w:r>
        <w:rPr>
          <w:rFonts w:ascii="Arial" w:eastAsia="Arial" w:hAnsi="Arial" w:cs="Arial"/>
          <w:b/>
          <w:bCs/>
          <w:sz w:val="20"/>
          <w:szCs w:val="20"/>
        </w:rPr>
        <w:lastRenderedPageBreak/>
        <w:t>DOCUMENTOS TIPO DE INTERVENTORÍA DE OBRA PÚBLICA DE INFRAESTRUCTURA DE TRANSPORTE – VERSIÓN 3</w:t>
      </w:r>
    </w:p>
    <w:p w:rsidR="00C0159A" w:rsidRDefault="00C0159A">
      <w:pPr>
        <w:spacing w:after="0" w:line="240" w:lineRule="auto"/>
        <w:jc w:val="center"/>
        <w:rPr>
          <w:rFonts w:ascii="Arial" w:eastAsia="Arial" w:hAnsi="Arial" w:cs="Arial"/>
          <w:b/>
          <w:bCs/>
          <w:sz w:val="20"/>
          <w:szCs w:val="20"/>
        </w:rPr>
      </w:pPr>
    </w:p>
    <w:p w:rsidR="00C0159A" w:rsidRDefault="00244C46">
      <w:pPr>
        <w:numPr>
          <w:ilvl w:val="0"/>
          <w:numId w:val="1"/>
        </w:numPr>
        <w:pBdr>
          <w:top w:val="nil"/>
          <w:left w:val="nil"/>
          <w:bottom w:val="nil"/>
          <w:right w:val="nil"/>
          <w:between w:val="nil"/>
        </w:pBdr>
        <w:spacing w:after="0" w:line="240" w:lineRule="auto"/>
        <w:jc w:val="center"/>
      </w:pPr>
      <w:bookmarkStart w:id="2" w:name="_heading=h.wbl8ygst1j4a" w:colFirst="0" w:colLast="0"/>
      <w:bookmarkEnd w:id="2"/>
      <w:r>
        <w:rPr>
          <w:rFonts w:ascii="Arial" w:eastAsia="Arial" w:hAnsi="Arial" w:cs="Arial"/>
          <w:b/>
          <w:bCs/>
          <w:color w:val="000000"/>
          <w:sz w:val="20"/>
          <w:szCs w:val="20"/>
        </w:rPr>
        <w:t>INFORMACIÓN GENERAL</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3" w:name="_heading=h.i17lsimxpu7j" w:colFirst="0" w:colLast="0"/>
      <w:bookmarkEnd w:id="3"/>
      <w:r>
        <w:rPr>
          <w:rFonts w:ascii="Arial" w:eastAsia="Arial" w:hAnsi="Arial" w:cs="Arial"/>
          <w:b/>
          <w:bCs/>
          <w:color w:val="000000"/>
          <w:sz w:val="20"/>
          <w:szCs w:val="20"/>
        </w:rPr>
        <w:t>OBJETO, PRESUPUESTO OFICIAL, PLAZO Y UBICACIÓN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objeto, Presupuesto Oficial, plazo y ubicación del proyecto de este Proceso de Contrataci</w:t>
      </w:r>
      <w:r>
        <w:rPr>
          <w:rFonts w:ascii="Arial" w:eastAsia="Arial" w:hAnsi="Arial" w:cs="Arial"/>
          <w:sz w:val="20"/>
          <w:szCs w:val="20"/>
        </w:rPr>
        <w:t>ón se identifican en la siguiente tabla:</w:t>
      </w:r>
    </w:p>
    <w:p w:rsidR="00C0159A" w:rsidRDefault="00C0159A">
      <w:pPr>
        <w:spacing w:after="0" w:line="240" w:lineRule="auto"/>
        <w:jc w:val="both"/>
        <w:rPr>
          <w:rFonts w:ascii="Arial" w:eastAsia="Arial" w:hAnsi="Arial" w:cs="Arial"/>
          <w:sz w:val="20"/>
          <w:szCs w:val="2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C0159A">
        <w:tc>
          <w:tcPr>
            <w:tcW w:w="2207"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Objeto del proyecto</w:t>
            </w:r>
          </w:p>
        </w:tc>
        <w:tc>
          <w:tcPr>
            <w:tcW w:w="2207"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Plazo del contrato</w:t>
            </w:r>
          </w:p>
        </w:tc>
        <w:tc>
          <w:tcPr>
            <w:tcW w:w="2207"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Valor presupuesto oficial (pesos incluido IVA)</w:t>
            </w:r>
          </w:p>
        </w:tc>
        <w:tc>
          <w:tcPr>
            <w:tcW w:w="2207"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Lugar(es) de ejecución del contrato</w:t>
            </w:r>
          </w:p>
        </w:tc>
      </w:tr>
      <w:tr w:rsidR="00C0159A">
        <w:tc>
          <w:tcPr>
            <w:tcW w:w="2207"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“INTERVENTORÍA A LA BRIGADA DE REACCIÓN VIAL PARA LA EJECUCIÓN DE ACTIVIDADES</w:t>
            </w:r>
          </w:p>
          <w:p w:rsidR="00C0159A" w:rsidRDefault="00244C46">
            <w:pPr>
              <w:jc w:val="center"/>
              <w:rPr>
                <w:rFonts w:ascii="Arial" w:eastAsia="Arial" w:hAnsi="Arial" w:cs="Arial"/>
                <w:sz w:val="18"/>
                <w:szCs w:val="18"/>
              </w:rPr>
            </w:pPr>
            <w:r>
              <w:rPr>
                <w:rFonts w:ascii="Arial" w:eastAsia="Arial" w:hAnsi="Arial" w:cs="Arial"/>
                <w:sz w:val="18"/>
                <w:szCs w:val="18"/>
              </w:rPr>
              <w:t>PUNTUALES EN LA MALLA VIAL DE LA CIUDAD DE BOGOTÁ D.C. GRUPO 1, GRUPO 2 Y GRUPO</w:t>
            </w:r>
          </w:p>
          <w:p w:rsidR="00C0159A" w:rsidRDefault="00244C46">
            <w:pPr>
              <w:jc w:val="center"/>
              <w:rPr>
                <w:rFonts w:ascii="Arial" w:eastAsia="Arial" w:hAnsi="Arial" w:cs="Arial"/>
                <w:sz w:val="18"/>
                <w:szCs w:val="18"/>
              </w:rPr>
            </w:pPr>
            <w:r>
              <w:rPr>
                <w:rFonts w:ascii="Arial" w:eastAsia="Arial" w:hAnsi="Arial" w:cs="Arial"/>
                <w:sz w:val="18"/>
                <w:szCs w:val="18"/>
              </w:rPr>
              <w:t xml:space="preserve">3”, </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2207" w:type="dxa"/>
            <w:vAlign w:val="center"/>
          </w:tcPr>
          <w:p w:rsidR="00C0159A" w:rsidRDefault="00244C46">
            <w:pPr>
              <w:jc w:val="center"/>
              <w:rPr>
                <w:rFonts w:ascii="Arial" w:eastAsia="Arial" w:hAnsi="Arial" w:cs="Arial"/>
                <w:sz w:val="20"/>
                <w:szCs w:val="20"/>
                <w:highlight w:val="lightGray"/>
              </w:rPr>
            </w:pPr>
            <w:r>
              <w:rPr>
                <w:rFonts w:ascii="Arial" w:eastAsia="Arial" w:hAnsi="Arial" w:cs="Arial"/>
                <w:sz w:val="20"/>
                <w:szCs w:val="20"/>
              </w:rPr>
              <w:t>DIEZ (10</w:t>
            </w:r>
            <w:r>
              <w:rPr>
                <w:rFonts w:ascii="Arial" w:eastAsia="Arial" w:hAnsi="Arial" w:cs="Arial"/>
                <w:sz w:val="20"/>
                <w:szCs w:val="20"/>
              </w:rPr>
              <w:t>) MESES</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3.3 del estudio previo.</w:t>
            </w:r>
          </w:p>
        </w:tc>
        <w:tc>
          <w:tcPr>
            <w:tcW w:w="2207"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DIEZ MIL CUATROCIENTOS NOVENTA Y OCHO MILLONES NOVECIENTOS SESENTA Y TRES MIL OCHOCIENTOS SETENTA Y OCHO PESOS M/CTE ($ 10.498.963.878) incluido IVA, equivalentes a 5996,31 salarios míni</w:t>
            </w:r>
            <w:r>
              <w:rPr>
                <w:rFonts w:ascii="Arial" w:eastAsia="Arial" w:hAnsi="Arial" w:cs="Arial"/>
                <w:sz w:val="18"/>
                <w:szCs w:val="18"/>
              </w:rPr>
              <w:t>mos legales mensuales vigentes para el año 2026</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2207" w:type="dxa"/>
            <w:vAlign w:val="center"/>
          </w:tcPr>
          <w:p w:rsidR="00C0159A" w:rsidRDefault="00244C46">
            <w:pPr>
              <w:jc w:val="center"/>
              <w:rPr>
                <w:rFonts w:ascii="Arial" w:eastAsia="Arial" w:hAnsi="Arial" w:cs="Arial"/>
                <w:sz w:val="18"/>
                <w:szCs w:val="18"/>
                <w:highlight w:val="lightGray"/>
              </w:rPr>
            </w:pPr>
            <w:r>
              <w:rPr>
                <w:rFonts w:ascii="Arial" w:eastAsia="Arial" w:hAnsi="Arial" w:cs="Arial"/>
                <w:sz w:val="18"/>
                <w:szCs w:val="18"/>
              </w:rPr>
              <w:t>El proyecto será ejecutado en la ciudad de Bogotá D.C., el detalle de la localización, cobertura y límites de los corredores asignados para cada gr</w:t>
            </w:r>
            <w:r>
              <w:rPr>
                <w:rFonts w:ascii="Arial" w:eastAsia="Arial" w:hAnsi="Arial" w:cs="Arial"/>
                <w:sz w:val="18"/>
                <w:szCs w:val="18"/>
              </w:rPr>
              <w:t>upo se encuentran contenidos en el documento Anexo 1 – Anexo Técnico numeral 2.2 Localización.</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bl>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tbl>
      <w:tblPr>
        <w:tblStyle w:val="a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7"/>
        <w:gridCol w:w="2315"/>
        <w:gridCol w:w="1772"/>
        <w:gridCol w:w="1882"/>
        <w:gridCol w:w="1792"/>
      </w:tblGrid>
      <w:tr w:rsidR="00C0159A">
        <w:tc>
          <w:tcPr>
            <w:tcW w:w="1067"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Número de lote o segmento</w:t>
            </w:r>
          </w:p>
        </w:tc>
        <w:tc>
          <w:tcPr>
            <w:tcW w:w="2315"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Objeto del proyecto, lote o segmento</w:t>
            </w:r>
          </w:p>
        </w:tc>
        <w:tc>
          <w:tcPr>
            <w:tcW w:w="1772"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Plazo del contrato</w:t>
            </w:r>
          </w:p>
        </w:tc>
        <w:tc>
          <w:tcPr>
            <w:tcW w:w="1882"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Valor presupuesto oficial (pesos incluido IVA)</w:t>
            </w:r>
          </w:p>
        </w:tc>
        <w:tc>
          <w:tcPr>
            <w:tcW w:w="1792"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Lugar(es) de ejecución del contrato</w:t>
            </w:r>
          </w:p>
        </w:tc>
      </w:tr>
      <w:tr w:rsidR="00C0159A">
        <w:tc>
          <w:tcPr>
            <w:tcW w:w="1067" w:type="dxa"/>
            <w:vAlign w:val="center"/>
          </w:tcPr>
          <w:p w:rsidR="00C0159A" w:rsidRDefault="00244C46">
            <w:pPr>
              <w:jc w:val="center"/>
              <w:rPr>
                <w:rFonts w:ascii="Arial" w:eastAsia="Arial" w:hAnsi="Arial" w:cs="Arial"/>
                <w:sz w:val="18"/>
                <w:szCs w:val="18"/>
                <w:highlight w:val="lightGray"/>
              </w:rPr>
            </w:pPr>
            <w:r>
              <w:rPr>
                <w:rFonts w:ascii="Arial" w:eastAsia="Arial" w:hAnsi="Arial" w:cs="Arial"/>
                <w:sz w:val="18"/>
                <w:szCs w:val="18"/>
              </w:rPr>
              <w:t>GRUPO 1</w:t>
            </w:r>
          </w:p>
        </w:tc>
        <w:tc>
          <w:tcPr>
            <w:tcW w:w="231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“INTERVENTORÍA A LA BRIGADA DE REACCIÓN VIAL PARA LA EJECUCIÓN DE</w:t>
            </w:r>
          </w:p>
          <w:p w:rsidR="00C0159A" w:rsidRDefault="00244C46">
            <w:pPr>
              <w:jc w:val="center"/>
              <w:rPr>
                <w:rFonts w:ascii="Arial" w:eastAsia="Arial" w:hAnsi="Arial" w:cs="Arial"/>
                <w:sz w:val="18"/>
                <w:szCs w:val="18"/>
              </w:rPr>
            </w:pPr>
            <w:r>
              <w:rPr>
                <w:rFonts w:ascii="Arial" w:eastAsia="Arial" w:hAnsi="Arial" w:cs="Arial"/>
                <w:sz w:val="18"/>
                <w:szCs w:val="18"/>
              </w:rPr>
              <w:t>ACTIVIDADES PUNTUALES EN LA MALLA VIAL DE LA CIUDAD DE BOGOTÁ D.C. GRUPO 1”</w:t>
            </w: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 xml:space="preserve"> </w:t>
            </w: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1772" w:type="dxa"/>
            <w:vAlign w:val="center"/>
          </w:tcPr>
          <w:p w:rsidR="00C0159A" w:rsidRDefault="00244C46">
            <w:pPr>
              <w:jc w:val="center"/>
              <w:rPr>
                <w:rFonts w:ascii="Arial" w:eastAsia="Arial" w:hAnsi="Arial" w:cs="Arial"/>
                <w:sz w:val="20"/>
                <w:szCs w:val="20"/>
                <w:highlight w:val="lightGray"/>
              </w:rPr>
            </w:pPr>
            <w:r>
              <w:rPr>
                <w:rFonts w:ascii="Arial" w:eastAsia="Arial" w:hAnsi="Arial" w:cs="Arial"/>
                <w:sz w:val="20"/>
                <w:szCs w:val="20"/>
              </w:rPr>
              <w:t>DIEZ (10) MESES</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3.3 del estudio previo.</w:t>
            </w:r>
          </w:p>
        </w:tc>
        <w:tc>
          <w:tcPr>
            <w:tcW w:w="188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rPr>
            </w:pPr>
            <w:r>
              <w:rPr>
                <w:rFonts w:ascii="Arial" w:eastAsia="Arial" w:hAnsi="Arial" w:cs="Arial"/>
                <w:sz w:val="18"/>
                <w:szCs w:val="18"/>
              </w:rPr>
              <w:t xml:space="preserve">El presupuesto oficial se estima en la suma de TRES MIL CUATROCIENTOS NOVENTA Y NUEVE MILLONES SEISCIENTOS CINCUENTA Y CUATRO MIL SEISCIENTOS VEINTISEIS PESOS M/CTE </w:t>
            </w:r>
          </w:p>
          <w:p w:rsidR="00C0159A" w:rsidRDefault="00244C46">
            <w:pPr>
              <w:jc w:val="center"/>
              <w:rPr>
                <w:rFonts w:ascii="Arial" w:eastAsia="Arial" w:hAnsi="Arial" w:cs="Arial"/>
                <w:sz w:val="18"/>
                <w:szCs w:val="18"/>
              </w:rPr>
            </w:pPr>
            <w:r>
              <w:rPr>
                <w:rFonts w:ascii="Arial" w:eastAsia="Arial" w:hAnsi="Arial" w:cs="Arial"/>
                <w:sz w:val="18"/>
                <w:szCs w:val="18"/>
              </w:rPr>
              <w:t>($3.499.654.626), incluido IVA, su</w:t>
            </w:r>
            <w:r>
              <w:rPr>
                <w:rFonts w:ascii="Arial" w:eastAsia="Arial" w:hAnsi="Arial" w:cs="Arial"/>
                <w:sz w:val="18"/>
                <w:szCs w:val="18"/>
              </w:rPr>
              <w:t xml:space="preserve">ma equivalente a 1998,77 salarios </w:t>
            </w:r>
            <w:r>
              <w:rPr>
                <w:rFonts w:ascii="Arial" w:eastAsia="Arial" w:hAnsi="Arial" w:cs="Arial"/>
                <w:sz w:val="18"/>
                <w:szCs w:val="18"/>
              </w:rPr>
              <w:lastRenderedPageBreak/>
              <w:t>mínimos legales mensuales vigentes para el año 2026.</w:t>
            </w:r>
          </w:p>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 xml:space="preserve">El proyecto será ejecutado en la ciudad de Bogotá D.C., el detalle de la localización, cobertura y límites </w:t>
            </w:r>
            <w:r>
              <w:rPr>
                <w:rFonts w:ascii="Arial" w:eastAsia="Arial" w:hAnsi="Arial" w:cs="Arial"/>
                <w:sz w:val="18"/>
                <w:szCs w:val="18"/>
              </w:rPr>
              <w:t>de los corredores asignados para cada grupo se encuentran contenidos en el documento Anexo 1 – Anexo Técnico numeral 2.2 Localización.</w:t>
            </w:r>
          </w:p>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rPr>
            </w:pPr>
            <w:r>
              <w:rPr>
                <w:rFonts w:ascii="Arial" w:eastAsia="Arial" w:hAnsi="Arial" w:cs="Arial"/>
                <w:b/>
                <w:bCs/>
                <w:sz w:val="14"/>
                <w:szCs w:val="14"/>
              </w:rPr>
              <w:lastRenderedPageBreak/>
              <w:t>Nota:</w:t>
            </w:r>
            <w:r>
              <w:rPr>
                <w:rFonts w:ascii="Arial" w:eastAsia="Arial" w:hAnsi="Arial" w:cs="Arial"/>
                <w:sz w:val="14"/>
                <w:szCs w:val="14"/>
              </w:rPr>
              <w:t xml:space="preserve"> De conformidad con el numeral 3.5 del estudio previo.</w:t>
            </w:r>
          </w:p>
        </w:tc>
      </w:tr>
      <w:tr w:rsidR="00C0159A">
        <w:tc>
          <w:tcPr>
            <w:tcW w:w="1067" w:type="dxa"/>
            <w:vAlign w:val="center"/>
          </w:tcPr>
          <w:p w:rsidR="00C0159A" w:rsidRDefault="00244C46">
            <w:pPr>
              <w:jc w:val="center"/>
              <w:rPr>
                <w:rFonts w:ascii="Arial" w:eastAsia="Arial" w:hAnsi="Arial" w:cs="Arial"/>
                <w:sz w:val="18"/>
                <w:szCs w:val="18"/>
                <w:highlight w:val="lightGray"/>
              </w:rPr>
            </w:pPr>
            <w:r>
              <w:rPr>
                <w:rFonts w:ascii="Arial" w:eastAsia="Arial" w:hAnsi="Arial" w:cs="Arial"/>
                <w:sz w:val="18"/>
                <w:szCs w:val="18"/>
              </w:rPr>
              <w:lastRenderedPageBreak/>
              <w:t>GRUPO 2</w:t>
            </w:r>
          </w:p>
        </w:tc>
        <w:tc>
          <w:tcPr>
            <w:tcW w:w="231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“INTERVENTORÍA A LA BRIGADA DE REACCIÓN VIAL PARA LA EJECUCIÓN DE</w:t>
            </w:r>
          </w:p>
          <w:p w:rsidR="00C0159A" w:rsidRDefault="00244C46">
            <w:pPr>
              <w:jc w:val="center"/>
              <w:rPr>
                <w:rFonts w:ascii="Arial" w:eastAsia="Arial" w:hAnsi="Arial" w:cs="Arial"/>
                <w:sz w:val="18"/>
                <w:szCs w:val="18"/>
              </w:rPr>
            </w:pPr>
            <w:r>
              <w:rPr>
                <w:rFonts w:ascii="Arial" w:eastAsia="Arial" w:hAnsi="Arial" w:cs="Arial"/>
                <w:sz w:val="18"/>
                <w:szCs w:val="18"/>
              </w:rPr>
              <w:t>ACTIVIDADES PUNTUALES EN LA MALLA VIAL DE LA CIUDAD DE BOGOTÁ D.C. GRUPO 2”</w:t>
            </w: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 xml:space="preserve"> </w:t>
            </w: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1772" w:type="dxa"/>
            <w:vAlign w:val="center"/>
          </w:tcPr>
          <w:p w:rsidR="00C0159A" w:rsidRDefault="00244C46">
            <w:pPr>
              <w:jc w:val="center"/>
              <w:rPr>
                <w:rFonts w:ascii="Arial" w:eastAsia="Arial" w:hAnsi="Arial" w:cs="Arial"/>
                <w:sz w:val="20"/>
                <w:szCs w:val="20"/>
                <w:highlight w:val="lightGray"/>
              </w:rPr>
            </w:pPr>
            <w:r>
              <w:rPr>
                <w:rFonts w:ascii="Arial" w:eastAsia="Arial" w:hAnsi="Arial" w:cs="Arial"/>
                <w:sz w:val="20"/>
                <w:szCs w:val="20"/>
              </w:rPr>
              <w:t>DIEZ (10) MESES</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w:t>
            </w:r>
            <w:r>
              <w:rPr>
                <w:rFonts w:ascii="Arial" w:eastAsia="Arial" w:hAnsi="Arial" w:cs="Arial"/>
                <w:sz w:val="14"/>
                <w:szCs w:val="14"/>
              </w:rPr>
              <w:t>nformidad con el numeral 3.3 del estudio previo.</w:t>
            </w:r>
          </w:p>
        </w:tc>
        <w:tc>
          <w:tcPr>
            <w:tcW w:w="188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rPr>
            </w:pPr>
            <w:r>
              <w:rPr>
                <w:rFonts w:ascii="Arial" w:eastAsia="Arial" w:hAnsi="Arial" w:cs="Arial"/>
                <w:sz w:val="18"/>
                <w:szCs w:val="18"/>
              </w:rPr>
              <w:t xml:space="preserve">El presupuesto oficial se estima en la suma de TRES MIL CUATROCIENTOS NOVENTA Y NUEVE MILLONES SEISCIENTOS CINCUENTA Y CUATRO MIL SEISCIENTOS VEINTISEIS PESOS M/CTE </w:t>
            </w:r>
          </w:p>
          <w:p w:rsidR="00C0159A" w:rsidRDefault="00244C46">
            <w:pPr>
              <w:jc w:val="center"/>
              <w:rPr>
                <w:rFonts w:ascii="Arial" w:eastAsia="Arial" w:hAnsi="Arial" w:cs="Arial"/>
                <w:sz w:val="18"/>
                <w:szCs w:val="18"/>
              </w:rPr>
            </w:pPr>
            <w:r>
              <w:rPr>
                <w:rFonts w:ascii="Arial" w:eastAsia="Arial" w:hAnsi="Arial" w:cs="Arial"/>
                <w:sz w:val="18"/>
                <w:szCs w:val="18"/>
              </w:rPr>
              <w:t>($3.499.654.626), incluido IVA, suma equ</w:t>
            </w:r>
            <w:r>
              <w:rPr>
                <w:rFonts w:ascii="Arial" w:eastAsia="Arial" w:hAnsi="Arial" w:cs="Arial"/>
                <w:sz w:val="18"/>
                <w:szCs w:val="18"/>
              </w:rPr>
              <w:t>ivalente a 1998,77 salarios mínimos legales mensuales vigentes para el año 2026.</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El proyecto será ejecutado en la ciudad de Bogotá D.C., el detalle de la localización, cobertura y límites de los</w:t>
            </w:r>
            <w:r>
              <w:rPr>
                <w:rFonts w:ascii="Arial" w:eastAsia="Arial" w:hAnsi="Arial" w:cs="Arial"/>
                <w:sz w:val="18"/>
                <w:szCs w:val="18"/>
              </w:rPr>
              <w:t xml:space="preserve"> corredores asignados para cada grupo se encuentran contenidos en el documento Anexo 1 – Anexo Técnico numeral 2.2 Localización.</w:t>
            </w:r>
          </w:p>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r w:rsidR="00C0159A">
        <w:tc>
          <w:tcPr>
            <w:tcW w:w="1067" w:type="dxa"/>
            <w:vAlign w:val="center"/>
          </w:tcPr>
          <w:p w:rsidR="00C0159A" w:rsidRDefault="00244C46">
            <w:pPr>
              <w:jc w:val="center"/>
              <w:rPr>
                <w:rFonts w:ascii="Arial" w:eastAsia="Arial" w:hAnsi="Arial" w:cs="Arial"/>
                <w:sz w:val="18"/>
                <w:szCs w:val="18"/>
                <w:highlight w:val="lightGray"/>
              </w:rPr>
            </w:pPr>
            <w:r>
              <w:rPr>
                <w:rFonts w:ascii="Arial" w:eastAsia="Arial" w:hAnsi="Arial" w:cs="Arial"/>
                <w:sz w:val="18"/>
                <w:szCs w:val="18"/>
              </w:rPr>
              <w:t>GRUPO 3</w:t>
            </w:r>
          </w:p>
        </w:tc>
        <w:tc>
          <w:tcPr>
            <w:tcW w:w="231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“INTERVENTORÍA A LA BRIGADA DE REACCIÓN VIAL PARA LA EJECUCIÓN DE</w:t>
            </w:r>
          </w:p>
          <w:p w:rsidR="00C0159A" w:rsidRDefault="00244C46">
            <w:pPr>
              <w:jc w:val="center"/>
              <w:rPr>
                <w:rFonts w:ascii="Arial" w:eastAsia="Arial" w:hAnsi="Arial" w:cs="Arial"/>
                <w:sz w:val="18"/>
                <w:szCs w:val="18"/>
              </w:rPr>
            </w:pPr>
            <w:r>
              <w:rPr>
                <w:rFonts w:ascii="Arial" w:eastAsia="Arial" w:hAnsi="Arial" w:cs="Arial"/>
                <w:sz w:val="18"/>
                <w:szCs w:val="18"/>
              </w:rPr>
              <w:t>ACTIVIDADES PUNTUALES EN LA MALLA VIAL DE LA CIUDAD DE BOGOTÁ D.C. GRUPO 3”</w:t>
            </w:r>
          </w:p>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acápite </w:t>
            </w:r>
            <w:r>
              <w:rPr>
                <w:rFonts w:ascii="Arial" w:eastAsia="Arial" w:hAnsi="Arial" w:cs="Arial"/>
                <w:i/>
                <w:iCs/>
                <w:sz w:val="14"/>
                <w:szCs w:val="14"/>
              </w:rPr>
              <w:t>“Objeto de la contratación”</w:t>
            </w:r>
            <w:r>
              <w:rPr>
                <w:rFonts w:ascii="Arial" w:eastAsia="Arial" w:hAnsi="Arial" w:cs="Arial"/>
                <w:sz w:val="14"/>
                <w:szCs w:val="14"/>
              </w:rPr>
              <w:t xml:space="preserve"> del estudio previo.</w:t>
            </w:r>
          </w:p>
        </w:tc>
        <w:tc>
          <w:tcPr>
            <w:tcW w:w="1772" w:type="dxa"/>
            <w:vAlign w:val="center"/>
          </w:tcPr>
          <w:p w:rsidR="00C0159A" w:rsidRDefault="00244C46">
            <w:pPr>
              <w:jc w:val="center"/>
              <w:rPr>
                <w:rFonts w:ascii="Arial" w:eastAsia="Arial" w:hAnsi="Arial" w:cs="Arial"/>
                <w:sz w:val="20"/>
                <w:szCs w:val="20"/>
                <w:highlight w:val="lightGray"/>
              </w:rPr>
            </w:pPr>
            <w:r>
              <w:rPr>
                <w:rFonts w:ascii="Arial" w:eastAsia="Arial" w:hAnsi="Arial" w:cs="Arial"/>
                <w:sz w:val="20"/>
                <w:szCs w:val="20"/>
              </w:rPr>
              <w:t>DIEZ (10) MESES</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w:t>
            </w:r>
            <w:r>
              <w:rPr>
                <w:rFonts w:ascii="Arial" w:eastAsia="Arial" w:hAnsi="Arial" w:cs="Arial"/>
                <w:sz w:val="14"/>
                <w:szCs w:val="14"/>
              </w:rPr>
              <w:t>formidad con el numeral 3.3 del estudio previo.</w:t>
            </w:r>
          </w:p>
        </w:tc>
        <w:tc>
          <w:tcPr>
            <w:tcW w:w="188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rPr>
            </w:pPr>
            <w:r>
              <w:rPr>
                <w:rFonts w:ascii="Arial" w:eastAsia="Arial" w:hAnsi="Arial" w:cs="Arial"/>
                <w:sz w:val="18"/>
                <w:szCs w:val="18"/>
              </w:rPr>
              <w:t xml:space="preserve">El presupuesto oficial se estima en la suma de TRES MIL CUATROCIENTOS NOVENTA Y NUEVE MILLONES SEISCIENTOS CINCUENTA Y CUATRO MIL SEISCIENTOS VEINTISEIS PESOS M/CTE </w:t>
            </w: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($3.499.654.626), incluido IVA, suma equi</w:t>
            </w:r>
            <w:r>
              <w:rPr>
                <w:rFonts w:ascii="Arial" w:eastAsia="Arial" w:hAnsi="Arial" w:cs="Arial"/>
                <w:sz w:val="18"/>
                <w:szCs w:val="18"/>
              </w:rPr>
              <w:t>valente a 1998,77 salarios mínimos legales mensuales vigentes para el año 2026.</w:t>
            </w:r>
          </w:p>
          <w:p w:rsidR="00C0159A" w:rsidRDefault="00C0159A">
            <w:pPr>
              <w:jc w:val="center"/>
              <w:rPr>
                <w:rFonts w:ascii="Arial" w:eastAsia="Arial" w:hAnsi="Arial" w:cs="Arial"/>
                <w:sz w:val="18"/>
                <w:szCs w:val="18"/>
                <w:highlight w:val="lightGray"/>
              </w:rPr>
            </w:pPr>
          </w:p>
          <w:p w:rsidR="00C0159A" w:rsidRDefault="00244C46">
            <w:pPr>
              <w:jc w:val="center"/>
              <w:rPr>
                <w:rFonts w:ascii="Arial" w:eastAsia="Arial" w:hAnsi="Arial" w:cs="Arial"/>
                <w:sz w:val="18"/>
                <w:szCs w:val="18"/>
                <w:highlight w:val="lightGray"/>
              </w:rPr>
            </w:pPr>
            <w:r>
              <w:rPr>
                <w:rFonts w:ascii="Arial" w:eastAsia="Arial" w:hAnsi="Arial" w:cs="Arial"/>
                <w:b/>
                <w:bCs/>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highlight w:val="lightGray"/>
              </w:rPr>
            </w:pPr>
            <w:r>
              <w:rPr>
                <w:rFonts w:ascii="Arial" w:eastAsia="Arial" w:hAnsi="Arial" w:cs="Arial"/>
                <w:sz w:val="18"/>
                <w:szCs w:val="18"/>
              </w:rPr>
              <w:t xml:space="preserve">El proyecto será ejecutado en la ciudad de Bogotá D.C., el detalle de la localización, cobertura y límites de los </w:t>
            </w:r>
            <w:r>
              <w:rPr>
                <w:rFonts w:ascii="Arial" w:eastAsia="Arial" w:hAnsi="Arial" w:cs="Arial"/>
                <w:sz w:val="18"/>
                <w:szCs w:val="18"/>
              </w:rPr>
              <w:t>corredores asignados para cada grupo se encuentran contenidos en el documento Anexo 1 – Anexo Técnico numeral 2.2 Localización.</w:t>
            </w:r>
          </w:p>
          <w:p w:rsidR="00C0159A" w:rsidRDefault="00C0159A">
            <w:pPr>
              <w:jc w:val="center"/>
              <w:rPr>
                <w:rFonts w:ascii="Arial" w:eastAsia="Arial" w:hAnsi="Arial" w:cs="Arial"/>
                <w:sz w:val="18"/>
                <w:szCs w:val="18"/>
              </w:rPr>
            </w:pPr>
          </w:p>
          <w:p w:rsidR="00C0159A" w:rsidRDefault="00244C46">
            <w:pPr>
              <w:jc w:val="center"/>
              <w:rPr>
                <w:rFonts w:ascii="Arial" w:eastAsia="Arial" w:hAnsi="Arial" w:cs="Arial"/>
                <w:sz w:val="18"/>
                <w:szCs w:val="18"/>
              </w:rPr>
            </w:pPr>
            <w:r>
              <w:rPr>
                <w:rFonts w:ascii="Arial" w:eastAsia="Arial" w:hAnsi="Arial" w:cs="Arial"/>
                <w:b/>
                <w:bCs/>
                <w:sz w:val="14"/>
                <w:szCs w:val="14"/>
              </w:rPr>
              <w:t>Nota:</w:t>
            </w:r>
            <w:r>
              <w:rPr>
                <w:rFonts w:ascii="Arial" w:eastAsia="Arial" w:hAnsi="Arial" w:cs="Arial"/>
                <w:sz w:val="14"/>
                <w:szCs w:val="14"/>
              </w:rPr>
              <w:t xml:space="preserve"> De conformidad con el numeral 3.5 del estudio previo.</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El valor del contrato será el valor de la propuesta económica para cada uno de los grupos de interventoría, que realice el proponente adjudicatario para cada caso.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interventoría de la obra tiene las especificaciones descritas en el “Anexo 1 – Anexo Téc</w:t>
      </w:r>
      <w:r>
        <w:rPr>
          <w:rFonts w:ascii="Arial" w:eastAsia="Arial" w:hAnsi="Arial" w:cs="Arial"/>
          <w:sz w:val="20"/>
          <w:szCs w:val="20"/>
        </w:rPr>
        <w:t>nico” y el Estudio Previo, los cuales incluyen la descripción del proyecto u obra a la cual se realizará la interventoría y su información técnica (localización, actividades a ejecutar, alcance de la interventoría, entre otros.).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tener </w:t>
      </w:r>
      <w:r>
        <w:rPr>
          <w:rFonts w:ascii="Arial" w:eastAsia="Arial" w:hAnsi="Arial" w:cs="Arial"/>
          <w:sz w:val="20"/>
          <w:szCs w:val="20"/>
        </w:rPr>
        <w:t>en cuenta las especificaciones técnicas y el alcance de la obra objeto de interventoría, para lo cual consultará los documentos que hacen parte del proceso de licitación de obra pública, cuyo número de proceso de selección es IDU-LP-SGI–004-2026, el cual s</w:t>
      </w:r>
      <w:r>
        <w:rPr>
          <w:rFonts w:ascii="Arial" w:eastAsia="Arial" w:hAnsi="Arial" w:cs="Arial"/>
          <w:sz w:val="20"/>
          <w:szCs w:val="20"/>
        </w:rPr>
        <w:t>e encuentra publicado en la plataforma SECOP II.</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4" w:name="_heading=h.d7u51nkcfmak" w:colFirst="0" w:colLast="0"/>
      <w:bookmarkEnd w:id="4"/>
      <w:r>
        <w:rPr>
          <w:rFonts w:ascii="Arial" w:eastAsia="Arial" w:hAnsi="Arial" w:cs="Arial"/>
          <w:b/>
          <w:bCs/>
          <w:color w:val="000000"/>
          <w:sz w:val="20"/>
          <w:szCs w:val="20"/>
        </w:rPr>
        <w:t xml:space="preserve">DOCUMENTOS DEL PROCESO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son los señalados en el capítulo XI, así como todos los indicados en el artículo 1 de la resolución que adopta los Documentos Tipo de interventoría de obra pública de infraestructura de transporte – versión 3 y los enunciados en </w:t>
      </w:r>
      <w:r>
        <w:rPr>
          <w:rFonts w:ascii="Arial" w:eastAsia="Arial" w:hAnsi="Arial" w:cs="Arial"/>
          <w:sz w:val="20"/>
          <w:szCs w:val="20"/>
        </w:rPr>
        <w:t>el artículo 2.2.1.1.1.3.1. del Decreto 1082 de 2015.</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5" w:name="_heading=h.d2o01t4r0fwp" w:colFirst="0" w:colLast="0"/>
      <w:bookmarkEnd w:id="5"/>
      <w:r>
        <w:rPr>
          <w:rFonts w:ascii="Arial" w:eastAsia="Arial" w:hAnsi="Arial" w:cs="Arial"/>
          <w:b/>
          <w:bCs/>
          <w:color w:val="000000"/>
          <w:sz w:val="20"/>
          <w:szCs w:val="20"/>
        </w:rPr>
        <w:t>COMUNICACIONES Y OBSERVACIONES AL PROCESO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Cualquier interesado y oferente en las convocatorias públicas adelantadas por el IDU podrá comunicarse con la entidad a través de la plataforma SECOP II y en los términos establecidos para ello. Dentro del proceso de selección solo se atenderán las comunic</w:t>
      </w:r>
      <w:r>
        <w:rPr>
          <w:rFonts w:ascii="Arial" w:eastAsia="Arial" w:hAnsi="Arial" w:cs="Arial"/>
          <w:sz w:val="20"/>
          <w:szCs w:val="20"/>
        </w:rPr>
        <w:t>aciones, preguntas, observaciones efectuadas a través de la plataforma; no se admitirá documentación remitida y/o radicada en la sede de la entidad.</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respuestas se comunicarán mediante la plataforma del SECOP II, de acuerdo con el Manual de Uso y Condi</w:t>
      </w:r>
      <w:r>
        <w:rPr>
          <w:rFonts w:ascii="Arial" w:eastAsia="Arial" w:hAnsi="Arial" w:cs="Arial"/>
          <w:sz w:val="20"/>
          <w:szCs w:val="20"/>
        </w:rPr>
        <w:t>ciones de la plataforma.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Cuando el Proponente registre el certificado de indisponibilidad de la plataforma, la Entidad pondrá al servicio el siguiente correo electrónico: </w:t>
      </w:r>
      <w:hyperlink r:id="rId13">
        <w:r>
          <w:rPr>
            <w:rFonts w:ascii="Arial" w:eastAsia="Arial" w:hAnsi="Arial" w:cs="Arial"/>
            <w:color w:val="0563C1"/>
            <w:sz w:val="20"/>
            <w:szCs w:val="20"/>
            <w:u w:val="single"/>
          </w:rPr>
          <w:t>licitaciones@idu.gov.co</w:t>
        </w:r>
      </w:hyperlink>
      <w:r>
        <w:rPr>
          <w:rFonts w:ascii="Arial" w:eastAsia="Arial" w:hAnsi="Arial" w:cs="Arial"/>
          <w:sz w:val="20"/>
          <w:szCs w:val="20"/>
        </w:rPr>
        <w:t>.</w:t>
      </w:r>
      <w:r>
        <w:t xml:space="preserve"> </w:t>
      </w:r>
      <w:r>
        <w:rPr>
          <w:rFonts w:ascii="Arial" w:eastAsia="Arial" w:hAnsi="Arial" w:cs="Arial"/>
          <w:sz w:val="20"/>
          <w:szCs w:val="20"/>
        </w:rPr>
        <w:t>Para noti</w:t>
      </w:r>
      <w:r>
        <w:rPr>
          <w:rFonts w:ascii="Arial" w:eastAsia="Arial" w:hAnsi="Arial" w:cs="Arial"/>
          <w:sz w:val="20"/>
          <w:szCs w:val="20"/>
        </w:rPr>
        <w:t>ficar o enviar el respectivo Certificado de Indisponibilidad.</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6" w:name="_heading=h.u0gtuvasttgx" w:colFirst="0" w:colLast="0"/>
      <w:bookmarkEnd w:id="6"/>
      <w:r>
        <w:rPr>
          <w:rFonts w:ascii="Arial" w:eastAsia="Arial" w:hAnsi="Arial" w:cs="Arial"/>
          <w:b/>
          <w:bCs/>
          <w:color w:val="000000"/>
          <w:sz w:val="20"/>
          <w:szCs w:val="20"/>
        </w:rPr>
        <w:t>CLASIFICADOR DE BIENES Y SERVICIOS DE NACIONES UNIDAS (UNSPSC)</w:t>
      </w:r>
    </w:p>
    <w:p w:rsidR="00C0159A" w:rsidRDefault="00C0159A">
      <w:pPr>
        <w:spacing w:after="0" w:line="240" w:lineRule="auto"/>
        <w:jc w:val="both"/>
        <w:rPr>
          <w:rFonts w:ascii="Arial" w:eastAsia="Arial" w:hAnsi="Arial" w:cs="Arial"/>
          <w:sz w:val="20"/>
          <w:szCs w:val="20"/>
        </w:rPr>
      </w:pPr>
    </w:p>
    <w:p w:rsidR="00C0159A" w:rsidRDefault="00244C46">
      <w:pPr>
        <w:spacing w:before="240" w:after="240" w:line="240" w:lineRule="auto"/>
        <w:jc w:val="both"/>
        <w:rPr>
          <w:rFonts w:ascii="Arial" w:eastAsia="Arial" w:hAnsi="Arial" w:cs="Arial"/>
          <w:sz w:val="20"/>
          <w:szCs w:val="20"/>
        </w:rPr>
      </w:pPr>
      <w:r>
        <w:rPr>
          <w:rFonts w:ascii="Arial" w:eastAsia="Arial" w:hAnsi="Arial" w:cs="Arial"/>
          <w:sz w:val="20"/>
          <w:szCs w:val="20"/>
        </w:rPr>
        <w:t>El Contrato de Interventoría objeto del presente Proceso de Contratación está codificado en el Clasificador de Bienes y Servicios</w:t>
      </w:r>
      <w:r>
        <w:rPr>
          <w:rFonts w:ascii="Arial" w:eastAsia="Arial" w:hAnsi="Arial" w:cs="Arial"/>
          <w:sz w:val="20"/>
          <w:szCs w:val="20"/>
        </w:rPr>
        <w:t xml:space="preserve"> de Naciones Unidas (UNSPSC) bajo el segmento 81, con el tercer nivel, como se indica en la siguiente tabla:</w:t>
      </w:r>
    </w:p>
    <w:tbl>
      <w:tblPr>
        <w:tblStyle w:val="a1"/>
        <w:tblW w:w="8828" w:type="dxa"/>
        <w:tblInd w:w="0" w:type="dxa"/>
        <w:tblLayout w:type="fixed"/>
        <w:tblLook w:val="0400" w:firstRow="0" w:lastRow="0" w:firstColumn="0" w:lastColumn="0" w:noHBand="0" w:noVBand="1"/>
      </w:tblPr>
      <w:tblGrid>
        <w:gridCol w:w="1468"/>
        <w:gridCol w:w="2421"/>
        <w:gridCol w:w="2195"/>
        <w:gridCol w:w="1564"/>
        <w:gridCol w:w="1130"/>
        <w:gridCol w:w="50"/>
      </w:tblGrid>
      <w:tr w:rsidR="00C0159A">
        <w:tc>
          <w:tcPr>
            <w:tcW w:w="14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CLASIFICACIÓN</w:t>
            </w:r>
          </w:p>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UNSPSC</w:t>
            </w:r>
          </w:p>
        </w:tc>
        <w:tc>
          <w:tcPr>
            <w:tcW w:w="7358" w:type="dxa"/>
            <w:gridSpan w:val="5"/>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DESCRIPCIÓN</w:t>
            </w:r>
          </w:p>
        </w:tc>
      </w:tr>
      <w:tr w:rsidR="00C0159A">
        <w:tc>
          <w:tcPr>
            <w:tcW w:w="14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C0159A">
            <w:pPr>
              <w:spacing w:after="0" w:line="240" w:lineRule="auto"/>
              <w:rPr>
                <w:rFonts w:ascii="Times New Roman" w:eastAsia="Times New Roman" w:hAnsi="Times New Roman" w:cs="Times New Roman"/>
                <w:sz w:val="24"/>
                <w:szCs w:val="24"/>
              </w:rPr>
            </w:pPr>
          </w:p>
        </w:tc>
        <w:tc>
          <w:tcPr>
            <w:tcW w:w="24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SEGMENTO</w:t>
            </w:r>
          </w:p>
        </w:tc>
        <w:tc>
          <w:tcPr>
            <w:tcW w:w="219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FAMILIA</w:t>
            </w:r>
          </w:p>
        </w:tc>
        <w:tc>
          <w:tcPr>
            <w:tcW w:w="156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CLASE</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16"/>
                <w:szCs w:val="16"/>
              </w:rPr>
              <w:t>PRODUCTO</w:t>
            </w:r>
          </w:p>
        </w:tc>
        <w:tc>
          <w:tcPr>
            <w:tcW w:w="36" w:type="dxa"/>
            <w:vAlign w:val="center"/>
          </w:tcPr>
          <w:p w:rsidR="00C0159A" w:rsidRDefault="00C0159A">
            <w:pPr>
              <w:spacing w:after="0" w:line="240" w:lineRule="auto"/>
              <w:rPr>
                <w:rFonts w:ascii="Times New Roman" w:eastAsia="Times New Roman" w:hAnsi="Times New Roman" w:cs="Times New Roman"/>
                <w:sz w:val="20"/>
                <w:szCs w:val="20"/>
              </w:rPr>
            </w:pPr>
          </w:p>
        </w:tc>
      </w:tr>
      <w:tr w:rsidR="00C0159A">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color w:val="000000"/>
                <w:sz w:val="16"/>
                <w:szCs w:val="16"/>
              </w:rPr>
              <w:t>81101500</w:t>
            </w:r>
          </w:p>
        </w:tc>
        <w:tc>
          <w:tcPr>
            <w:tcW w:w="2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81- Servicios Basados en Ingeniería, Investigación y Tecnología</w:t>
            </w:r>
          </w:p>
        </w:tc>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10- Servicios profesionales de ingeniería y arquitectura</w:t>
            </w:r>
          </w:p>
        </w:tc>
        <w:tc>
          <w:tcPr>
            <w:tcW w:w="15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 xml:space="preserve">15- Ingeniería civil </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color w:val="000000"/>
                <w:sz w:val="16"/>
                <w:szCs w:val="16"/>
              </w:rPr>
              <w:t>00-</w:t>
            </w:r>
          </w:p>
        </w:tc>
        <w:tc>
          <w:tcPr>
            <w:tcW w:w="36" w:type="dxa"/>
            <w:vAlign w:val="center"/>
          </w:tcPr>
          <w:p w:rsidR="00C0159A" w:rsidRDefault="00C0159A">
            <w:pPr>
              <w:spacing w:after="0" w:line="240" w:lineRule="auto"/>
              <w:rPr>
                <w:rFonts w:ascii="Times New Roman" w:eastAsia="Times New Roman" w:hAnsi="Times New Roman" w:cs="Times New Roman"/>
                <w:sz w:val="20"/>
                <w:szCs w:val="20"/>
              </w:rPr>
            </w:pPr>
          </w:p>
        </w:tc>
      </w:tr>
      <w:tr w:rsidR="00C0159A">
        <w:tc>
          <w:tcPr>
            <w:tcW w:w="1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color w:val="000000"/>
                <w:sz w:val="16"/>
                <w:szCs w:val="16"/>
              </w:rPr>
              <w:lastRenderedPageBreak/>
              <w:t>81102200</w:t>
            </w:r>
          </w:p>
        </w:tc>
        <w:tc>
          <w:tcPr>
            <w:tcW w:w="2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81- Servicios Basados en Ingeniería, Investigación y Tecnología  </w:t>
            </w:r>
          </w:p>
        </w:tc>
        <w:tc>
          <w:tcPr>
            <w:tcW w:w="21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10- Servicios profesionales de i</w:t>
            </w:r>
            <w:r>
              <w:rPr>
                <w:rFonts w:ascii="Arial" w:eastAsia="Arial" w:hAnsi="Arial" w:cs="Arial"/>
                <w:color w:val="000000"/>
                <w:sz w:val="16"/>
                <w:szCs w:val="16"/>
              </w:rPr>
              <w:t>ngeniería y arquitectura </w:t>
            </w:r>
          </w:p>
        </w:tc>
        <w:tc>
          <w:tcPr>
            <w:tcW w:w="15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159A" w:rsidRDefault="00244C46">
            <w:pPr>
              <w:spacing w:after="0" w:line="240" w:lineRule="auto"/>
              <w:jc w:val="both"/>
              <w:rPr>
                <w:rFonts w:ascii="Times New Roman" w:eastAsia="Times New Roman" w:hAnsi="Times New Roman" w:cs="Times New Roman"/>
                <w:sz w:val="24"/>
                <w:szCs w:val="24"/>
              </w:rPr>
            </w:pPr>
            <w:r>
              <w:rPr>
                <w:rFonts w:ascii="Arial" w:eastAsia="Arial" w:hAnsi="Arial" w:cs="Arial"/>
                <w:color w:val="000000"/>
                <w:sz w:val="16"/>
                <w:szCs w:val="16"/>
              </w:rPr>
              <w:t>22- Ingeniería de transporte </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159A" w:rsidRDefault="00244C46">
            <w:pPr>
              <w:spacing w:after="0" w:line="240" w:lineRule="auto"/>
              <w:jc w:val="center"/>
              <w:rPr>
                <w:rFonts w:ascii="Times New Roman" w:eastAsia="Times New Roman" w:hAnsi="Times New Roman" w:cs="Times New Roman"/>
                <w:sz w:val="24"/>
                <w:szCs w:val="24"/>
              </w:rPr>
            </w:pPr>
            <w:r>
              <w:rPr>
                <w:rFonts w:ascii="Arial" w:eastAsia="Arial" w:hAnsi="Arial" w:cs="Arial"/>
                <w:color w:val="000000"/>
                <w:sz w:val="16"/>
                <w:szCs w:val="16"/>
              </w:rPr>
              <w:t>00-</w:t>
            </w:r>
          </w:p>
        </w:tc>
        <w:tc>
          <w:tcPr>
            <w:tcW w:w="36" w:type="dxa"/>
            <w:vAlign w:val="center"/>
          </w:tcPr>
          <w:p w:rsidR="00C0159A" w:rsidRDefault="00C0159A">
            <w:pPr>
              <w:spacing w:after="0" w:line="240" w:lineRule="auto"/>
              <w:rPr>
                <w:rFonts w:ascii="Times New Roman" w:eastAsia="Times New Roman" w:hAnsi="Times New Roman" w:cs="Times New Roman"/>
                <w:sz w:val="20"/>
                <w:szCs w:val="20"/>
              </w:rPr>
            </w:pPr>
          </w:p>
        </w:tc>
      </w:tr>
    </w:tbl>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Cada uno de los contratos aportados para cada uno de los GRUPOS/LOTES como experiencia deberá estar clasificado en alguno de los códigos relacionados anteriormente.</w:t>
      </w:r>
    </w:p>
    <w:p w:rsidR="00C0159A" w:rsidRDefault="00C0159A">
      <w:pPr>
        <w:spacing w:after="0" w:line="240" w:lineRule="auto"/>
        <w:jc w:val="both"/>
        <w:rPr>
          <w:rFonts w:ascii="Arial" w:eastAsia="Arial" w:hAnsi="Arial" w:cs="Arial"/>
          <w:sz w:val="20"/>
          <w:szCs w:val="20"/>
          <w:highlight w:val="lightGray"/>
        </w:rPr>
      </w:pP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7" w:name="_heading=h.8jxam7ba4qb7" w:colFirst="0" w:colLast="0"/>
      <w:bookmarkEnd w:id="7"/>
      <w:r>
        <w:rPr>
          <w:rFonts w:ascii="Arial" w:eastAsia="Arial" w:hAnsi="Arial" w:cs="Arial"/>
          <w:b/>
          <w:bCs/>
          <w:color w:val="000000"/>
          <w:sz w:val="20"/>
          <w:szCs w:val="20"/>
        </w:rPr>
        <w:t xml:space="preserve">RECURSOS QUE RESPALDAN LA PRESENTE CONTRATACIÓN </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Para respaldar el compromiso derivado </w:t>
      </w:r>
      <w:r>
        <w:rPr>
          <w:rFonts w:ascii="Arial" w:eastAsia="Arial" w:hAnsi="Arial" w:cs="Arial"/>
          <w:sz w:val="20"/>
          <w:szCs w:val="20"/>
        </w:rPr>
        <w:t>de este Proceso de Contratación, la Entidad cuenta con el siguiente Certificado de Disponibilidad Presupuestal:</w:t>
      </w:r>
    </w:p>
    <w:p w:rsidR="00C0159A" w:rsidRDefault="00C0159A">
      <w:pPr>
        <w:spacing w:after="0" w:line="240" w:lineRule="auto"/>
        <w:jc w:val="both"/>
        <w:rPr>
          <w:rFonts w:ascii="Arial" w:eastAsia="Arial" w:hAnsi="Arial" w:cs="Arial"/>
          <w:sz w:val="20"/>
          <w:szCs w:val="20"/>
        </w:rPr>
      </w:pPr>
    </w:p>
    <w:tbl>
      <w:tblPr>
        <w:tblStyle w:val="a2"/>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C0159A">
        <w:trPr>
          <w:jc w:val="center"/>
        </w:trPr>
        <w:tc>
          <w:tcPr>
            <w:tcW w:w="2268"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Número certificado disponibilidad presupuestal</w:t>
            </w:r>
          </w:p>
        </w:tc>
        <w:tc>
          <w:tcPr>
            <w:tcW w:w="2835"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Fecha certificado disponibilidad presupuestal</w:t>
            </w:r>
          </w:p>
        </w:tc>
        <w:tc>
          <w:tcPr>
            <w:tcW w:w="2693"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Valor certificado de disponibilidad presupuestal</w:t>
            </w:r>
          </w:p>
        </w:tc>
      </w:tr>
      <w:tr w:rsidR="00C0159A">
        <w:trPr>
          <w:jc w:val="center"/>
        </w:trPr>
        <w:tc>
          <w:tcPr>
            <w:tcW w:w="2268"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1609</w:t>
            </w:r>
          </w:p>
        </w:tc>
        <w:tc>
          <w:tcPr>
            <w:tcW w:w="283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4/02/2026</w:t>
            </w:r>
          </w:p>
        </w:tc>
        <w:tc>
          <w:tcPr>
            <w:tcW w:w="2693"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$ 3,500,000,000</w:t>
            </w:r>
          </w:p>
        </w:tc>
      </w:tr>
      <w:tr w:rsidR="00C0159A">
        <w:trPr>
          <w:trHeight w:val="191"/>
          <w:jc w:val="center"/>
        </w:trPr>
        <w:tc>
          <w:tcPr>
            <w:tcW w:w="2268"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1611</w:t>
            </w:r>
          </w:p>
        </w:tc>
        <w:tc>
          <w:tcPr>
            <w:tcW w:w="283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4/02/2026</w:t>
            </w:r>
          </w:p>
        </w:tc>
        <w:tc>
          <w:tcPr>
            <w:tcW w:w="2693"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$ 3,500,000,000</w:t>
            </w:r>
          </w:p>
        </w:tc>
      </w:tr>
      <w:tr w:rsidR="00C0159A">
        <w:trPr>
          <w:jc w:val="center"/>
        </w:trPr>
        <w:tc>
          <w:tcPr>
            <w:tcW w:w="2268"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1613</w:t>
            </w:r>
          </w:p>
        </w:tc>
        <w:tc>
          <w:tcPr>
            <w:tcW w:w="2835" w:type="dxa"/>
            <w:vAlign w:val="center"/>
          </w:tcPr>
          <w:p w:rsidR="00C0159A" w:rsidRDefault="00244C46">
            <w:pPr>
              <w:jc w:val="center"/>
              <w:rPr>
                <w:rFonts w:ascii="Arial" w:eastAsia="Arial" w:hAnsi="Arial" w:cs="Arial"/>
                <w:sz w:val="18"/>
                <w:szCs w:val="18"/>
              </w:rPr>
            </w:pPr>
            <w:r>
              <w:rPr>
                <w:rFonts w:ascii="Arial" w:eastAsia="Arial" w:hAnsi="Arial" w:cs="Arial"/>
                <w:sz w:val="18"/>
                <w:szCs w:val="18"/>
              </w:rPr>
              <w:t>4/02/2026</w:t>
            </w:r>
          </w:p>
        </w:tc>
        <w:tc>
          <w:tcPr>
            <w:tcW w:w="2693" w:type="dxa"/>
            <w:vAlign w:val="center"/>
          </w:tcPr>
          <w:p w:rsidR="00C0159A" w:rsidRDefault="00244C46">
            <w:pPr>
              <w:rPr>
                <w:rFonts w:ascii="Arial" w:eastAsia="Arial" w:hAnsi="Arial" w:cs="Arial"/>
                <w:sz w:val="18"/>
                <w:szCs w:val="18"/>
              </w:rPr>
            </w:pPr>
            <w:r>
              <w:rPr>
                <w:rFonts w:ascii="Arial" w:eastAsia="Arial" w:hAnsi="Arial" w:cs="Arial"/>
                <w:sz w:val="18"/>
                <w:szCs w:val="18"/>
              </w:rPr>
              <w:t xml:space="preserve">            $ 3,500,000,000</w:t>
            </w:r>
          </w:p>
        </w:tc>
      </w:tr>
      <w:tr w:rsidR="00C0159A">
        <w:trPr>
          <w:jc w:val="center"/>
        </w:trPr>
        <w:tc>
          <w:tcPr>
            <w:tcW w:w="5103" w:type="dxa"/>
            <w:gridSpan w:val="2"/>
            <w:vAlign w:val="center"/>
          </w:tcPr>
          <w:p w:rsidR="00C0159A" w:rsidRDefault="00244C46">
            <w:pPr>
              <w:jc w:val="center"/>
              <w:rPr>
                <w:rFonts w:ascii="Arial" w:eastAsia="Arial" w:hAnsi="Arial" w:cs="Arial"/>
                <w:b/>
                <w:bCs/>
                <w:sz w:val="18"/>
                <w:szCs w:val="18"/>
              </w:rPr>
            </w:pPr>
            <w:r>
              <w:rPr>
                <w:rFonts w:ascii="Arial" w:eastAsia="Arial" w:hAnsi="Arial" w:cs="Arial"/>
                <w:b/>
                <w:bCs/>
                <w:sz w:val="18"/>
                <w:szCs w:val="18"/>
              </w:rPr>
              <w:t>TOTAL</w:t>
            </w:r>
          </w:p>
        </w:tc>
        <w:tc>
          <w:tcPr>
            <w:tcW w:w="2693" w:type="dxa"/>
            <w:vAlign w:val="center"/>
          </w:tcPr>
          <w:p w:rsidR="00C0159A" w:rsidRDefault="00244C46">
            <w:pPr>
              <w:jc w:val="center"/>
              <w:rPr>
                <w:rFonts w:ascii="Arial" w:eastAsia="Arial" w:hAnsi="Arial" w:cs="Arial"/>
                <w:b/>
                <w:bCs/>
                <w:sz w:val="18"/>
                <w:szCs w:val="18"/>
              </w:rPr>
            </w:pPr>
            <w:r>
              <w:rPr>
                <w:rFonts w:ascii="Arial" w:eastAsia="Arial" w:hAnsi="Arial" w:cs="Arial"/>
                <w:b/>
                <w:bCs/>
                <w:sz w:val="18"/>
                <w:szCs w:val="18"/>
              </w:rPr>
              <w:t>$ 10.500.000.000</w:t>
            </w:r>
          </w:p>
        </w:tc>
      </w:tr>
    </w:tbl>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necesidad se encuentra incluida en el Plan Anual de Adquisiciones de la entidad</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8" w:name="_heading=h.3lj9g4ejzpqm" w:colFirst="0" w:colLast="0"/>
      <w:bookmarkEnd w:id="8"/>
      <w:r>
        <w:rPr>
          <w:rFonts w:ascii="Arial" w:eastAsia="Arial" w:hAnsi="Arial" w:cs="Arial"/>
          <w:b/>
          <w:bCs/>
          <w:color w:val="000000"/>
          <w:sz w:val="20"/>
          <w:szCs w:val="20"/>
        </w:rPr>
        <w:t>REGLAS DE SUBSANABILIDAD, EXPLICACIONES Y ACLARACIONES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tiene la responsabilidad y el deber de presentar su oferta de forma completa e íntegra, esto es, cumpliendo el contenido del Pliego de Condiciones y adjuntando los documentos de soporte o prueba de las condiciones que pretenda hacer valer en </w:t>
      </w:r>
      <w:r>
        <w:rPr>
          <w:rFonts w:ascii="Arial" w:eastAsia="Arial" w:hAnsi="Arial" w:cs="Arial"/>
          <w:sz w:val="20"/>
          <w:szCs w:val="20"/>
        </w:rPr>
        <w:t xml:space="preserve">el Proceso de Contratación.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de ser necesario, la Entidad debe solicitar a los Proponentes durante el proceso de evaluación, y a más tardar en el informe de evaluación, las aclaraciones, precisiones o solicitudes de documentos que puedan ser subsa</w:t>
      </w:r>
      <w:r>
        <w:rPr>
          <w:rFonts w:ascii="Arial" w:eastAsia="Arial" w:hAnsi="Arial" w:cs="Arial"/>
          <w:sz w:val="20"/>
          <w:szCs w:val="20"/>
        </w:rPr>
        <w:t>nables. No obstante, los Proponentes no podrán completar, adicionar o mejorar sus propuestas en los aspectos que otorgan puntaje, ni tampoco en los factores de desempate, los cuales podrán ser objeto de aclaraciones y explicaciones. Los Proponentes deberán</w:t>
      </w:r>
      <w:r>
        <w:rPr>
          <w:rFonts w:ascii="Arial" w:eastAsia="Arial" w:hAnsi="Arial" w:cs="Arial"/>
          <w:sz w:val="20"/>
          <w:szCs w:val="20"/>
        </w:rPr>
        <w:t xml:space="preserve"> allegar las aclaraciones o documentos requeridos en el momento en el que fueron solicitados y a más tardar hasta el término de traslado del informe de evaluación, es decir, dentro de los tres (3) días hábiles posteriores contados a partir del día hábil si</w:t>
      </w:r>
      <w:r>
        <w:rPr>
          <w:rFonts w:ascii="Arial" w:eastAsia="Arial" w:hAnsi="Arial" w:cs="Arial"/>
          <w:sz w:val="20"/>
          <w:szCs w:val="20"/>
        </w:rPr>
        <w:t xml:space="preserve">guiente a la publicación del informe de evaluación.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w:t>
      </w:r>
      <w:r>
        <w:rPr>
          <w:rFonts w:ascii="Arial" w:eastAsia="Arial" w:hAnsi="Arial" w:cs="Arial"/>
          <w:sz w:val="20"/>
          <w:szCs w:val="20"/>
        </w:rPr>
        <w:t xml:space="preserve"> con los requisitos habilitantes o para aclarar aspectos que otorgan puntaje o relativos a los factores de desempate y, por ende, no los haya requerido, podrá hacerlo posteriormente, otorgándole al Proponente un término igual al establecido para el traslad</w:t>
      </w:r>
      <w:r>
        <w:rPr>
          <w:rFonts w:ascii="Arial" w:eastAsia="Arial" w:hAnsi="Arial" w:cs="Arial"/>
          <w:sz w:val="20"/>
          <w:szCs w:val="20"/>
        </w:rPr>
        <w:t>o del informe de evaluación, con el fin de que los allegue. En caso de que sea necesario, la Entidad ajustará el Cronograma. Lo aquí descrito también aplicará cuando la observación a la oferta provenga de otro Proponente y se hubiere realizado en el trasla</w:t>
      </w:r>
      <w:r>
        <w:rPr>
          <w:rFonts w:ascii="Arial" w:eastAsia="Arial" w:hAnsi="Arial" w:cs="Arial"/>
          <w:sz w:val="20"/>
          <w:szCs w:val="20"/>
        </w:rPr>
        <w:t>do del informe de evaluación.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En los procesos adelantados en el SECOP I, las subsanaciones, explicaciones y aclaraciones se presentarán: i) en físico, dentro de las horas de atención al público o ii) por correo electrónico hasta las 11:59 p. m. del día establecido en el Cronograma. Los</w:t>
      </w:r>
      <w:r>
        <w:rPr>
          <w:rFonts w:ascii="Arial" w:eastAsia="Arial" w:hAnsi="Arial" w:cs="Arial"/>
          <w:sz w:val="20"/>
          <w:szCs w:val="20"/>
        </w:rPr>
        <w:t xml:space="preserve"> procesos tramitados a través del SECOP II se subsanarán mediante mensajes, en la forma prevista en la plataforma.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Todos aquellos requisitos de la oferta que afecten la asignación de puntaje, incluyendo los necesarios para acreditar requisitos de desempat</w:t>
      </w:r>
      <w:r>
        <w:rPr>
          <w:rFonts w:ascii="Arial" w:eastAsia="Arial" w:hAnsi="Arial" w:cs="Arial"/>
          <w:sz w:val="20"/>
          <w:szCs w:val="20"/>
        </w:rPr>
        <w:t xml:space="preserve">e, no son subsanables, por lo que los mismos deben ser aportados por los Proponentes desde la presentación de la oferta.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En virtud del principio de buena fe, los Proponentes que presenten observaciones al proceso o a las ofertas y conductas de los demás </w:t>
      </w:r>
      <w:r>
        <w:rPr>
          <w:rFonts w:ascii="Arial" w:eastAsia="Arial" w:hAnsi="Arial" w:cs="Arial"/>
          <w:sz w:val="20"/>
          <w:szCs w:val="20"/>
        </w:rPr>
        <w:t xml:space="preserve">oferentes deberán justificar y demostrar su procedencia. </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9" w:name="_heading=h.nkgr6t7844uu" w:colFirst="0" w:colLast="0"/>
      <w:bookmarkEnd w:id="9"/>
      <w:r>
        <w:rPr>
          <w:rFonts w:ascii="Arial" w:eastAsia="Arial" w:hAnsi="Arial" w:cs="Arial"/>
          <w:b/>
          <w:bCs/>
          <w:color w:val="000000"/>
          <w:sz w:val="20"/>
          <w:szCs w:val="20"/>
        </w:rPr>
        <w:t>CRONOGRAMA DEL PROCESO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Cronograma del Proceso de Contratación es el contenido en el “Anexo 2 – Cronograma”.</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0" w:name="_heading=h.wsl3ecvqbtmv" w:colFirst="0" w:colLast="0"/>
      <w:bookmarkEnd w:id="10"/>
      <w:r>
        <w:rPr>
          <w:rFonts w:ascii="Arial" w:eastAsia="Arial" w:hAnsi="Arial" w:cs="Arial"/>
          <w:b/>
          <w:bCs/>
          <w:color w:val="000000"/>
          <w:sz w:val="20"/>
          <w:szCs w:val="20"/>
        </w:rPr>
        <w:t xml:space="preserve">IDIOMA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Los documentos y las comunicaciones entregadas, enviadas o expedidas por lo</w:t>
      </w:r>
      <w:r>
        <w:rPr>
          <w:rFonts w:ascii="Arial" w:eastAsia="Arial" w:hAnsi="Arial" w:cs="Arial"/>
          <w:sz w:val="20"/>
          <w:szCs w:val="20"/>
        </w:rPr>
        <w:t>s Proponentes o por terceros para efectos del Proceso de Contratación, o para ser tenidos en cuenta en el mismo, deben ser allegados en español. Los documentos y comunicaciones en un idioma distinto deben presentarse en su lengua original junto con la trad</w:t>
      </w:r>
      <w:r>
        <w:rPr>
          <w:rFonts w:ascii="Arial" w:eastAsia="Arial" w:hAnsi="Arial" w:cs="Arial"/>
          <w:sz w:val="20"/>
          <w:szCs w:val="20"/>
        </w:rPr>
        <w:t>ucción oficial al español.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w:t>
      </w:r>
      <w:r>
        <w:rPr>
          <w:rFonts w:ascii="Arial" w:eastAsia="Arial" w:hAnsi="Arial" w:cs="Arial"/>
          <w:sz w:val="20"/>
          <w:szCs w:val="20"/>
        </w:rPr>
        <w:t xml:space="preserve">ado.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Para que la traducción oficial de los documentos en idioma extranjero sea válida, deberá realizarse en los términos del Decreto 382 de 1951 y el artículo 33 de la Ley 962 de 2005, o las normas que los modifiquen, sustituyan o complementen.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c</w:t>
      </w:r>
      <w:r>
        <w:rPr>
          <w:rFonts w:ascii="Arial" w:eastAsia="Arial" w:hAnsi="Arial" w:cs="Arial"/>
          <w:sz w:val="20"/>
          <w:szCs w:val="20"/>
        </w:rPr>
        <w:t>aso de documentos especializados, como, por ejemplo, especificaciones o fichas técnicas, que en el mercado sean de amplia utilización y aceptación en idioma distinto al castellano, las Entidades podrán establecer en los Documentos del Proceso la posibilida</w:t>
      </w:r>
      <w:r>
        <w:rPr>
          <w:rFonts w:ascii="Arial" w:eastAsia="Arial" w:hAnsi="Arial" w:cs="Arial"/>
          <w:sz w:val="20"/>
          <w:szCs w:val="20"/>
        </w:rPr>
        <w:t xml:space="preserve">d de que sean aportados en su lengua original acompañados de una traducción simple al castellano, cuando así lo consideren conveniente, de conformidad con el estudio del sector realizado. </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1" w:name="_heading=h.y0m9146udie" w:colFirst="0" w:colLast="0"/>
      <w:bookmarkEnd w:id="11"/>
      <w:r>
        <w:rPr>
          <w:rFonts w:ascii="Arial" w:eastAsia="Arial" w:hAnsi="Arial" w:cs="Arial"/>
          <w:b/>
          <w:bCs/>
          <w:color w:val="000000"/>
          <w:sz w:val="20"/>
          <w:szCs w:val="20"/>
        </w:rPr>
        <w:t>DOCUMENTOS OTORGADOS EN EL EXTERIOR</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públicos expedidos en el exterior por un país signatario de la Convención de La Haya de 1961 sobre la abolición del requisito de Legalización, deben apostillarse. En cambio, deben legalizarse los documentos públicos expedidos en el exterior </w:t>
      </w:r>
      <w:r>
        <w:rPr>
          <w:rFonts w:ascii="Arial" w:eastAsia="Arial" w:hAnsi="Arial" w:cs="Arial"/>
          <w:sz w:val="20"/>
          <w:szCs w:val="20"/>
        </w:rPr>
        <w:t>por un país signatario de la Convención de Viena de 1963. Los documentos privados otorgados en el extranjero no requieren Apostilla ni Legalización, salvo los que con posterioridad sean intervenidos por un funcionario público, en cuyo caso deben tener Apos</w:t>
      </w:r>
      <w:r>
        <w:rPr>
          <w:rFonts w:ascii="Arial" w:eastAsia="Arial" w:hAnsi="Arial" w:cs="Arial"/>
          <w:sz w:val="20"/>
          <w:szCs w:val="20"/>
        </w:rPr>
        <w:t>tilla o Legalización, en la forma antes indicada.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w:t>
      </w:r>
      <w:r>
        <w:rPr>
          <w:rFonts w:ascii="Arial" w:eastAsia="Arial" w:hAnsi="Arial" w:cs="Arial"/>
          <w:sz w:val="20"/>
          <w:szCs w:val="20"/>
        </w:rPr>
        <w:t>lecidos en las normas que regulen la materia, en especial la Resolución 1959 de 2020 del Ministerio de Relaciones Exteriores, o la norma que la modifique, sustituya o complemente.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2" w:name="_heading=h.cjux80i1qc8r" w:colFirst="0" w:colLast="0"/>
      <w:bookmarkEnd w:id="12"/>
      <w:r>
        <w:rPr>
          <w:rFonts w:ascii="Arial" w:eastAsia="Arial" w:hAnsi="Arial" w:cs="Arial"/>
          <w:b/>
          <w:bCs/>
          <w:color w:val="000000"/>
          <w:sz w:val="20"/>
          <w:szCs w:val="20"/>
        </w:rPr>
        <w:t>GLOSARIO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los fines de este Pliego de Condiciones, a menos que expresa</w:t>
      </w:r>
      <w:r>
        <w:rPr>
          <w:rFonts w:ascii="Arial" w:eastAsia="Arial" w:hAnsi="Arial" w:cs="Arial"/>
          <w:sz w:val="20"/>
          <w:szCs w:val="20"/>
        </w:rPr>
        <w:t>mente se disponga lo contrario, los términos se entenderán de acuerdo con la definición contenida en el artículo 2.2.1.1.1.3.1 del Decreto 1082 de 2015, la Ley 1682 de 2013, o la norma que la modifique, sustituya o complemente, y el “Anexo 3 – Glosario”. L</w:t>
      </w:r>
      <w:r>
        <w:rPr>
          <w:rFonts w:ascii="Arial" w:eastAsia="Arial" w:hAnsi="Arial" w:cs="Arial"/>
          <w:sz w:val="20"/>
          <w:szCs w:val="20"/>
        </w:rPr>
        <w:t>os términos no definidos deben comprenderse de conformidad con su significado natural y en el contexto del proyecto que se pretende adelantar y la interventoría a ejecutarse.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3" w:name="_heading=h.bnj0lqjninds" w:colFirst="0" w:colLast="0"/>
      <w:bookmarkEnd w:id="13"/>
      <w:r>
        <w:rPr>
          <w:rFonts w:ascii="Arial" w:eastAsia="Arial" w:hAnsi="Arial" w:cs="Arial"/>
          <w:b/>
          <w:bCs/>
          <w:color w:val="000000"/>
          <w:sz w:val="20"/>
          <w:szCs w:val="20"/>
        </w:rPr>
        <w:t>INFORMACIÓN INEXACTA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se reserva el derecho de verificar integralment</w:t>
      </w:r>
      <w:r>
        <w:rPr>
          <w:rFonts w:ascii="Arial" w:eastAsia="Arial" w:hAnsi="Arial" w:cs="Arial"/>
          <w:sz w:val="20"/>
          <w:szCs w:val="20"/>
        </w:rPr>
        <w:t xml:space="preserve">e la información aportada por el Proponente. Para esto, puede acudir a las autoridades, personas, empresas o instituciones respectivas.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Cuando exista inconsistencia y/o inexactitud entre la información suministrada por el Proponente y la verificada por l</w:t>
      </w:r>
      <w:r>
        <w:rPr>
          <w:rFonts w:ascii="Arial" w:eastAsia="Arial" w:hAnsi="Arial" w:cs="Arial"/>
          <w:sz w:val="20"/>
          <w:szCs w:val="20"/>
        </w:rPr>
        <w:t xml:space="preserve">a Entidad, la información que se pretende demostrar se entenderá como no acreditada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remitirá copias a las autoridades competentes cuando la información aportada tenga inconsistencias y/o inexactitudes sobre las cuales pueda existir una posible</w:t>
      </w:r>
      <w:r>
        <w:rPr>
          <w:rFonts w:ascii="Arial" w:eastAsia="Arial" w:hAnsi="Arial" w:cs="Arial"/>
          <w:sz w:val="20"/>
          <w:szCs w:val="20"/>
        </w:rPr>
        <w:t xml:space="preserve"> falsedad, sin que el Proponente haya demostrado lo contrario, y rechazará la oferta. </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4" w:name="_heading=h.tusyem1jp8mv" w:colFirst="0" w:colLast="0"/>
      <w:bookmarkEnd w:id="14"/>
      <w:r>
        <w:rPr>
          <w:rFonts w:ascii="Arial" w:eastAsia="Arial" w:hAnsi="Arial" w:cs="Arial"/>
          <w:b/>
          <w:bCs/>
          <w:color w:val="000000"/>
          <w:sz w:val="20"/>
          <w:szCs w:val="20"/>
        </w:rPr>
        <w:t>INFORMACIÓN RESERVADA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Si la propuesta incluye información que conforme con la ley colombiana, tiene carácter de reservada o clasificada, el Proponente debe manifestar </w:t>
      </w:r>
      <w:r>
        <w:rPr>
          <w:rFonts w:ascii="Arial" w:eastAsia="Arial" w:hAnsi="Arial" w:cs="Arial"/>
          <w:sz w:val="20"/>
          <w:szCs w:val="20"/>
        </w:rPr>
        <w:t>esta circunstancia con absoluta claridad y precisión en el “Formato 1- Carta de presentación de la oferta”, identificando el documento o información que considera que goza de reserva, citando expresamente la disposición legal que la ampara. Sin perjuicio d</w:t>
      </w:r>
      <w:r>
        <w:rPr>
          <w:rFonts w:ascii="Arial" w:eastAsia="Arial" w:hAnsi="Arial" w:cs="Arial"/>
          <w:sz w:val="20"/>
          <w:szCs w:val="20"/>
        </w:rPr>
        <w:t>e lo anterior, para evaluar las propuestas la Entidad se reserva el derecho de enseñar esta información a sus funcionarios, empleados, contratistas, agentes o asesores.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5" w:name="_heading=h.3lo27mqqetuw" w:colFirst="0" w:colLast="0"/>
      <w:bookmarkEnd w:id="15"/>
      <w:r>
        <w:rPr>
          <w:rFonts w:ascii="Arial" w:eastAsia="Arial" w:hAnsi="Arial" w:cs="Arial"/>
          <w:b/>
          <w:bCs/>
          <w:color w:val="000000"/>
          <w:sz w:val="20"/>
          <w:szCs w:val="20"/>
        </w:rPr>
        <w:t>MONEDA</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Mon</w:t>
      </w:r>
      <w:r>
        <w:rPr>
          <w:rFonts w:ascii="Arial" w:eastAsia="Arial" w:hAnsi="Arial" w:cs="Arial"/>
          <w:b/>
          <w:bCs/>
          <w:color w:val="000000"/>
          <w:sz w:val="20"/>
          <w:szCs w:val="20"/>
        </w:rPr>
        <w:t xml:space="preserve">edas Extranjeras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Los valores de los documentos aportados en la propuesta deben presentarse en Pesos Colombianos. Cuando un valor se exprese en moneda extranjera tendrá que convertirse a Pesos Colombianos, teniendo en cuenta lo siguiente: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3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w:t>
      </w:r>
      <w:r>
        <w:rPr>
          <w:rFonts w:ascii="Arial" w:eastAsia="Arial" w:hAnsi="Arial" w:cs="Arial"/>
          <w:color w:val="000000"/>
          <w:sz w:val="20"/>
          <w:szCs w:val="20"/>
        </w:rPr>
        <w:t xml:space="preserve">de la fecha de terminación del mismo. Para esto, el Proponente deberá indicar la Tasa Representativa del </w:t>
      </w:r>
      <w:r>
        <w:rPr>
          <w:rFonts w:ascii="Arial" w:eastAsia="Arial" w:hAnsi="Arial" w:cs="Arial"/>
          <w:color w:val="000000"/>
          <w:sz w:val="20"/>
          <w:szCs w:val="20"/>
        </w:rPr>
        <w:lastRenderedPageBreak/>
        <w:t>Mercado empleada para la conversión de cada contrato en el “Formato 3 – Experiencia”. La TRM utilizada será la certificada por la Superintendencia Fina</w:t>
      </w:r>
      <w:r>
        <w:rPr>
          <w:rFonts w:ascii="Arial" w:eastAsia="Arial" w:hAnsi="Arial" w:cs="Arial"/>
          <w:color w:val="000000"/>
          <w:sz w:val="20"/>
          <w:szCs w:val="20"/>
        </w:rPr>
        <w:t xml:space="preserve">nciera de Colombia.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Si los valores del contrato están expresados originalmente en una moneda diferente a Dólares de los Estados Unidos de América, éstos deberán convertirse inicialmente a esta moneda, utilizando para ello el valor correspondiente al prom</w:t>
      </w:r>
      <w:r>
        <w:rPr>
          <w:rFonts w:ascii="Arial" w:eastAsia="Arial" w:hAnsi="Arial" w:cs="Arial"/>
          <w:color w:val="000000"/>
          <w:sz w:val="20"/>
          <w:szCs w:val="20"/>
        </w:rPr>
        <w:t>edio de la tasa de cambio de la fecha de inicio del contrato y la tasa de cambio de la fecha de terminación del mismo. Para tales efectos, puede usar la información certificada por el Banco de la República. Para el cálculo se recomienda acudir a la siguien</w:t>
      </w:r>
      <w:r>
        <w:rPr>
          <w:rFonts w:ascii="Arial" w:eastAsia="Arial" w:hAnsi="Arial" w:cs="Arial"/>
          <w:color w:val="000000"/>
          <w:sz w:val="20"/>
          <w:szCs w:val="20"/>
        </w:rPr>
        <w:t xml:space="preserve">te página web: </w:t>
      </w:r>
      <w:hyperlink r:id="rId14">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anterior.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w:t>
      </w:r>
      <w:r>
        <w:rPr>
          <w:rFonts w:ascii="Arial" w:eastAsia="Arial" w:hAnsi="Arial" w:cs="Arial"/>
          <w:color w:val="000000"/>
          <w:sz w:val="20"/>
          <w:szCs w:val="20"/>
        </w:rPr>
        <w:t>riginalmente en Dólares de los Estados Unidos de América, el Proponente y la Entidad tendrán en cuenta la Tasa Representativa del Mercado vigente certificada por la Superintendencia Financiera de Colombia de la fecha de expedición (fecha de corte) de los E</w:t>
      </w:r>
      <w:r>
        <w:rPr>
          <w:rFonts w:ascii="Arial" w:eastAsia="Arial" w:hAnsi="Arial" w:cs="Arial"/>
          <w:color w:val="000000"/>
          <w:sz w:val="20"/>
          <w:szCs w:val="20"/>
        </w:rPr>
        <w:t>stados Financieros.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1"/>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una moneda diferente a Dólares de los Estados Unidos de América, éstos deberán convertirse inicialmente a Dólares de los Estados Unidos de América utilizando p</w:t>
      </w:r>
      <w:r>
        <w:rPr>
          <w:rFonts w:ascii="Arial" w:eastAsia="Arial" w:hAnsi="Arial" w:cs="Arial"/>
          <w:color w:val="000000"/>
          <w:sz w:val="20"/>
          <w:szCs w:val="20"/>
        </w:rPr>
        <w:t xml:space="preserve">ara ello el valor correspondiente a la fecha de expedición (fecha de corte) de los Estados Financieros. Para verificar la tasa de cambio entre la moneda y el Dólar de los Estados Unidos de América, se recomienda al proponente utilizar la página web </w:t>
      </w:r>
      <w:hyperlink r:id="rId15">
        <w:r>
          <w:rPr>
            <w:rFonts w:ascii="Arial" w:eastAsia="Arial" w:hAnsi="Arial" w:cs="Arial"/>
            <w:color w:val="0563C1"/>
            <w:sz w:val="20"/>
            <w:szCs w:val="20"/>
            <w:u w:val="single"/>
          </w:rPr>
          <w:t>https://www.oanda.com/currency-converter/es/</w:t>
        </w:r>
      </w:hyperlink>
      <w:r>
        <w:rPr>
          <w:color w:val="000000"/>
        </w:rPr>
        <w:t>.</w:t>
      </w:r>
      <w:r>
        <w:rPr>
          <w:rFonts w:ascii="Arial" w:eastAsia="Arial" w:hAnsi="Arial" w:cs="Arial"/>
          <w:color w:val="000000"/>
          <w:sz w:val="20"/>
          <w:szCs w:val="20"/>
        </w:rPr>
        <w:t xml:space="preserve"> Hecho esto, se procederá en la forma señalada en el numeral III.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1"/>
        </w:num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Conversión a Salarios Mínimos Mensuales Legales Vigentes (SMMLV)</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Cuando los Documentos del Proceso de Contratación señalen que un valor debe expresarse en Salarios Mínimos Mensuales Legales Vigentes (SMMLV) se seguirá el siguiente proceso: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Los valores convertidos a Pesos Colombianos, aplicando el procedimiento descrit</w:t>
      </w:r>
      <w:r>
        <w:rPr>
          <w:rFonts w:ascii="Arial" w:eastAsia="Arial" w:hAnsi="Arial" w:cs="Arial"/>
          <w:color w:val="000000"/>
          <w:sz w:val="20"/>
          <w:szCs w:val="20"/>
        </w:rPr>
        <w:t>o en el literal anterior, o cuya moneda de origen sea el Peso Colombiano deben pasarse a SMMLV, para lo cual emplearán los valores históricos de SMMLV señalados por el Banco de la República (</w:t>
      </w:r>
      <w:hyperlink r:id="rId16">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del contrato.</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Los valores convertidos a SMMLV se deben ajustar a la unidad más próxima de la siguiente forma: hacia arriba para valores mayores</w:t>
      </w:r>
      <w:r>
        <w:rPr>
          <w:rFonts w:ascii="Arial" w:eastAsia="Arial" w:hAnsi="Arial" w:cs="Arial"/>
          <w:color w:val="000000"/>
          <w:sz w:val="20"/>
          <w:szCs w:val="20"/>
        </w:rPr>
        <w:t xml:space="preserve"> o iguales a cero punto cinco (0.5) y hacia abajo para valores menores a cero punto cinco (0.5).</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Si el Proponente aporta certificaciones que no indican el día, sino solamente el mes y el año, se procederá así: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Fecha (mes, año) de suscripción y/o inicio </w:t>
      </w:r>
      <w:r>
        <w:rPr>
          <w:rFonts w:ascii="Arial" w:eastAsia="Arial" w:hAnsi="Arial" w:cs="Arial"/>
          <w:sz w:val="20"/>
          <w:szCs w:val="20"/>
        </w:rPr>
        <w:t xml:space="preserve">del contrato: se tendrá en cuenta el último día del mes señalado en la certificación.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Fecha (mes, año) de terminación del contrato: se tendrá en cuenta el primer día del mes señalado en la certificación.</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6" w:name="_heading=h.v6eerrpt1ipr" w:colFirst="0" w:colLast="0"/>
      <w:bookmarkEnd w:id="16"/>
      <w:r>
        <w:rPr>
          <w:rFonts w:ascii="Arial" w:eastAsia="Arial" w:hAnsi="Arial" w:cs="Arial"/>
          <w:b/>
          <w:bCs/>
          <w:color w:val="000000"/>
          <w:sz w:val="20"/>
          <w:szCs w:val="20"/>
        </w:rPr>
        <w:t>CONFLICTO DE INTERÉS DE ORIGEN CONSTITUCIONAL O LEGAL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No podrán participar en el Proceso de Contratación y por tanto no serán objeto de evaluación, ni ser adjudicatarios del contrato, quienes bajo cualquier circunstancia se encuentren en situaciones de Co</w:t>
      </w:r>
      <w:r>
        <w:rPr>
          <w:rFonts w:ascii="Arial" w:eastAsia="Arial" w:hAnsi="Arial" w:cs="Arial"/>
          <w:sz w:val="20"/>
          <w:szCs w:val="20"/>
        </w:rPr>
        <w:t>nflicto de Interés que afecten o pongan en riesgo los principios de la Contratación Pública, de acuerdo con las causales o circunstancias previstas en la Constitución o en la ley.</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Tampoco podrán participar quienes hayan realizado los estudios y diseños de</w:t>
      </w:r>
      <w:r>
        <w:rPr>
          <w:rFonts w:ascii="Arial" w:eastAsia="Arial" w:hAnsi="Arial" w:cs="Arial"/>
          <w:sz w:val="20"/>
          <w:szCs w:val="20"/>
        </w:rPr>
        <w:t xml:space="preserve"> la obra cuya interventoría se va a contratar.</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7" w:name="_heading=h.u414cnxnoxwz" w:colFirst="0" w:colLast="0"/>
      <w:bookmarkEnd w:id="17"/>
      <w:r>
        <w:rPr>
          <w:rFonts w:ascii="Arial" w:eastAsia="Arial" w:hAnsi="Arial" w:cs="Arial"/>
          <w:b/>
          <w:bCs/>
          <w:color w:val="000000"/>
          <w:sz w:val="20"/>
          <w:szCs w:val="20"/>
        </w:rPr>
        <w:t>CAUSALES DE RECHAZO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Son causales de rechazo de las propuestas las siguientes </w:t>
      </w:r>
      <w:r>
        <w:rPr>
          <w:rFonts w:ascii="Arial" w:eastAsia="Arial" w:hAnsi="Arial" w:cs="Arial"/>
          <w:sz w:val="20"/>
          <w:szCs w:val="20"/>
          <w:highlight w:val="lightGray"/>
        </w:rPr>
        <w:t>:</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rsidR="00C0159A" w:rsidRDefault="00C0159A">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 xml:space="preserve">Cuando en un mismo Proceso de Contratación se postulen oferentes en la situación descrita por los literales g) y h) del numeral 1 del artículo 8 de la Ley 80 de 1993, la Entidad </w:t>
      </w:r>
      <w:r>
        <w:rPr>
          <w:rFonts w:ascii="Arial" w:eastAsia="Arial" w:hAnsi="Arial" w:cs="Arial"/>
          <w:sz w:val="20"/>
          <w:szCs w:val="20"/>
        </w:rPr>
        <w:t>sólo</w:t>
      </w:r>
      <w:r>
        <w:rPr>
          <w:rFonts w:ascii="Arial" w:eastAsia="Arial" w:hAnsi="Arial" w:cs="Arial"/>
          <w:color w:val="000000"/>
          <w:sz w:val="20"/>
          <w:szCs w:val="20"/>
        </w:rPr>
        <w:t xml:space="preserve"> admitirá la primera oferta presentada en el tiempo.</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una misma pers</w:t>
      </w:r>
      <w:r>
        <w:rPr>
          <w:rFonts w:ascii="Arial" w:eastAsia="Arial" w:hAnsi="Arial" w:cs="Arial"/>
          <w:color w:val="000000"/>
          <w:sz w:val="20"/>
          <w:szCs w:val="20"/>
        </w:rPr>
        <w:t>ona natural o jurídica, o integrante de un Proponente Plural presente o haga parte en más de una propuesta para el mismo lote o segmento de este Proceso de Contrata</w:t>
      </w:r>
      <w:r>
        <w:rPr>
          <w:rFonts w:ascii="Arial" w:eastAsia="Arial" w:hAnsi="Arial" w:cs="Arial"/>
          <w:sz w:val="20"/>
          <w:szCs w:val="20"/>
        </w:rPr>
        <w:t>ción.</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la persona jurídica Proponente Individual o integrante del Proponente Plural esté </w:t>
      </w:r>
      <w:r>
        <w:rPr>
          <w:rFonts w:ascii="Arial" w:eastAsia="Arial" w:hAnsi="Arial" w:cs="Arial"/>
          <w:color w:val="000000"/>
          <w:sz w:val="20"/>
          <w:szCs w:val="20"/>
        </w:rPr>
        <w:t>incursa en la situación descrita en el numeral 1 del artículo 38 de la Ley 1116 de 2006.</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al Proponente se le haya requerido con el propósito de subsanar o aclarar o aportar un documento de la propuesta y no lo efectúe dentro del plazo indicado o no </w:t>
      </w:r>
      <w:r>
        <w:rPr>
          <w:rFonts w:ascii="Arial" w:eastAsia="Arial" w:hAnsi="Arial" w:cs="Arial"/>
          <w:color w:val="000000"/>
          <w:sz w:val="20"/>
          <w:szCs w:val="20"/>
        </w:rPr>
        <w:t>lo realice correctamente o de acuerdo con lo solicitado, siempre que la subsanación, aclaración o aporte requerido sea necesario para cumplir un requisito habilitante en los términos establecidos en la sección 1.6 del Pliego de Condiciones.</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la inscripc</w:t>
      </w:r>
      <w:r>
        <w:rPr>
          <w:rFonts w:ascii="Arial" w:eastAsia="Arial" w:hAnsi="Arial" w:cs="Arial"/>
          <w:color w:val="000000"/>
          <w:sz w:val="20"/>
          <w:szCs w:val="20"/>
        </w:rPr>
        <w:t>ión en el Registro Único de Proponentes (RUP) que realice el Proponente por primera vez o cuando han cesado los efectos y debe volver a inscribirse, no esté en firme en la fecha prevista para el cierre del Proceso de Contratación.</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no acre</w:t>
      </w:r>
      <w:r>
        <w:rPr>
          <w:rFonts w:ascii="Arial" w:eastAsia="Arial" w:hAnsi="Arial" w:cs="Arial"/>
          <w:color w:val="000000"/>
          <w:sz w:val="20"/>
          <w:szCs w:val="20"/>
        </w:rPr>
        <w:t>dite la presentación de la información para renovar el Registro Único de Proponentes (RUP) dentro del término previsto en la normativa vigente.</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aporte información inexacta sobre la cual pueda existir una posible falsedad en los términos d</w:t>
      </w:r>
      <w:r>
        <w:rPr>
          <w:rFonts w:ascii="Arial" w:eastAsia="Arial" w:hAnsi="Arial" w:cs="Arial"/>
          <w:color w:val="000000"/>
          <w:sz w:val="20"/>
          <w:szCs w:val="20"/>
        </w:rPr>
        <w:t>e la sección 1.11 del Pliego de Condiciones.</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se encuentre inmerso en un Conflicto de Interés previsto en una norma de rango constitucional o legal o en la causal contenida en el numeral 1.14 del Pliego de Condiciones.</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entregar la Garantía de seriedad de la oferta junto con la pro</w:t>
      </w:r>
      <w:r>
        <w:rPr>
          <w:rFonts w:ascii="Arial" w:eastAsia="Arial" w:hAnsi="Arial" w:cs="Arial"/>
          <w:color w:val="000000"/>
          <w:sz w:val="20"/>
          <w:szCs w:val="20"/>
        </w:rPr>
        <w:t>puesta.</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objeto social del Proponente, en caso de que se trate de una persona jurídica, o el de sus integrantes, tratándose de Proponentes Plurales, no le permita ejecutar el objeto del contrato.</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el valor total de la oferta exceda el Presupuesto </w:t>
      </w:r>
      <w:r>
        <w:rPr>
          <w:rFonts w:ascii="Arial" w:eastAsia="Arial" w:hAnsi="Arial" w:cs="Arial"/>
          <w:color w:val="000000"/>
          <w:sz w:val="20"/>
          <w:szCs w:val="20"/>
        </w:rPr>
        <w:t xml:space="preserve">Oficial estimado para el Proceso de Contratación </w:t>
      </w:r>
      <w:r>
        <w:rPr>
          <w:rFonts w:ascii="Arial" w:eastAsia="Arial" w:hAnsi="Arial" w:cs="Arial"/>
          <w:color w:val="000000"/>
          <w:sz w:val="20"/>
          <w:szCs w:val="20"/>
        </w:rPr>
        <w:t>o para el lote o el segmento frente al que presentó oferta</w:t>
      </w:r>
      <w:r>
        <w:rPr>
          <w:rFonts w:ascii="Arial" w:eastAsia="Arial" w:hAnsi="Arial" w:cs="Arial"/>
          <w:color w:val="000000"/>
          <w:sz w:val="20"/>
          <w:szCs w:val="20"/>
        </w:rPr>
        <w:t xml:space="preserve"> y no se subsane ese defecto.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Presentar la oferta con tachaduras o enmendaduras en alguno de los documentos que acreditan los requisitos habilitante</w:t>
      </w:r>
      <w:r>
        <w:rPr>
          <w:rFonts w:ascii="Arial" w:eastAsia="Arial" w:hAnsi="Arial" w:cs="Arial"/>
          <w:color w:val="000000"/>
          <w:sz w:val="20"/>
          <w:szCs w:val="20"/>
        </w:rPr>
        <w:t>s o los factores de evaluación de la oferta y no estén convalidadas en la forma indicada en la sección 2.4 del Pliego de Condiciones, sin perjuicio de la posibilidad de subsanar los primeros en los términos del numeral 1.6 del Pliego de Condiciones.</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lastRenderedPageBreak/>
        <w:t>No pre</w:t>
      </w:r>
      <w:r>
        <w:rPr>
          <w:rFonts w:ascii="Arial" w:eastAsia="Arial" w:hAnsi="Arial" w:cs="Arial"/>
          <w:color w:val="000000"/>
          <w:sz w:val="20"/>
          <w:szCs w:val="20"/>
        </w:rPr>
        <w:t>sentar el “Formato 8 – Aceptación y cumplimiento de la formación y la experiencia del Personal Clave Evaluable” y no subsanar su entrega, en los términos de los numerales “1.6 Reglas de subsanabilidad, explicaciones y aclaraciones” y "3.8.2 Exigencias míni</w:t>
      </w:r>
      <w:r>
        <w:rPr>
          <w:rFonts w:ascii="Arial" w:eastAsia="Arial" w:hAnsi="Arial" w:cs="Arial"/>
          <w:color w:val="000000"/>
          <w:sz w:val="20"/>
          <w:szCs w:val="20"/>
        </w:rPr>
        <w:t xml:space="preserve">mas de experiencia y formación académica del equipo de trabajo – Personal Clave Evaluable” del Pliego de Condiciones.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se presente propuesta condicionada para la adjudicación del contrato.</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presentar oferta económica y no subsanar su entrega, en l</w:t>
      </w:r>
      <w:r>
        <w:rPr>
          <w:rFonts w:ascii="Arial" w:eastAsia="Arial" w:hAnsi="Arial" w:cs="Arial"/>
          <w:color w:val="000000"/>
          <w:sz w:val="20"/>
          <w:szCs w:val="20"/>
        </w:rPr>
        <w:t>os términos del numeral 1.6 del Pliego de Condiciones.</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la propuesta económica (Formulario 1 – Propuesta económica) no se aporte firmada y no se subsane dicha omisión, en los términos del numeral 1.6 del Pliego de Condiciones.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se determine que e</w:t>
      </w:r>
      <w:r>
        <w:rPr>
          <w:rFonts w:ascii="Arial" w:eastAsia="Arial" w:hAnsi="Arial" w:cs="Arial"/>
          <w:color w:val="000000"/>
          <w:sz w:val="20"/>
          <w:szCs w:val="20"/>
        </w:rPr>
        <w:t xml:space="preserve">l valor total de la oferta es artificialmente bajo de acuerdo con lo establecido en la sección 5.2 del Pliego de Condiciones.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el Proponente adicione, suprima, cambie o modifique los ítems, la descripción, las especificaciones, el detalle, las unida</w:t>
      </w:r>
      <w:r>
        <w:rPr>
          <w:rFonts w:ascii="Arial" w:eastAsia="Arial" w:hAnsi="Arial" w:cs="Arial"/>
          <w:color w:val="000000"/>
          <w:sz w:val="20"/>
          <w:szCs w:val="20"/>
        </w:rPr>
        <w:t>des o cantidades señaladas en el Formulario 1 – Formulario de Presupuesto Oficial, de acuerdo con lo exigido por la Entidad.</w:t>
      </w:r>
    </w:p>
    <w:p w:rsidR="00C0159A" w:rsidRDefault="00C0159A">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 xml:space="preserve">Cuando se presenten propuestas parciales de acuerdo con la definición establecida en el Anexo 3 -Glosario.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Ofrecer un plazo superior al señalado por la Entidad en el “Anexo 1 – Anexo Técnico”.</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Ofrecer condiciones particulares del proyecto de inferior cali</w:t>
      </w:r>
      <w:r>
        <w:rPr>
          <w:rFonts w:ascii="Arial" w:eastAsia="Arial" w:hAnsi="Arial" w:cs="Arial"/>
          <w:color w:val="000000"/>
          <w:sz w:val="20"/>
          <w:szCs w:val="20"/>
        </w:rPr>
        <w:t>dad, personal profesional sin los requisitos mínimos, actividades por ejecutar y su alcance, forma de pago, permisos, licencias y autorizaciones, notas técnicas específicas y documentos técnicos adicionales, en condiciones diferentes a las establecidas por</w:t>
      </w:r>
      <w:r>
        <w:rPr>
          <w:rFonts w:ascii="Arial" w:eastAsia="Arial" w:hAnsi="Arial" w:cs="Arial"/>
          <w:color w:val="000000"/>
          <w:sz w:val="20"/>
          <w:szCs w:val="20"/>
        </w:rPr>
        <w:t xml:space="preserve"> la Entidad en el “Anexo 1 – Anexo Técnico”.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Presentar más de una oferta económica con valores distintos dentro del proceso, o para el mismo lote o segmento, según corresponda, cuando esta discrepancia no haya sido subsanada.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la Entidad Estatal ev</w:t>
      </w:r>
      <w:r>
        <w:rPr>
          <w:rFonts w:ascii="Arial" w:eastAsia="Arial" w:hAnsi="Arial" w:cs="Arial"/>
          <w:color w:val="000000"/>
          <w:sz w:val="20"/>
          <w:szCs w:val="20"/>
        </w:rPr>
        <w:t>idencie que la propuesta suscrita por un Proponente Plural sea presentada desde un usuario del SECOP II diferente al de la unión temporal o consorcio, según corresponda.</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la Entidad Estatal encuentre que la propuesta aportada por un Proponente Plural se realice con un usuario del SECOP II diferente al de la unión temporal o consorcio. </w:t>
      </w:r>
    </w:p>
    <w:p w:rsidR="00C0159A" w:rsidRDefault="00244C46">
      <w:pPr>
        <w:numPr>
          <w:ilvl w:val="0"/>
          <w:numId w:val="50"/>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Las demás previstas en la ley</w:t>
      </w:r>
    </w:p>
    <w:p w:rsidR="00C0159A" w:rsidRDefault="00C0159A">
      <w:pPr>
        <w:spacing w:after="0" w:line="240" w:lineRule="auto"/>
        <w:ind w:left="360"/>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8" w:name="_heading=h.ngn4ih5vvd42" w:colFirst="0" w:colLast="0"/>
      <w:bookmarkEnd w:id="18"/>
      <w:r>
        <w:rPr>
          <w:rFonts w:ascii="Arial" w:eastAsia="Arial" w:hAnsi="Arial" w:cs="Arial"/>
          <w:b/>
          <w:bCs/>
          <w:color w:val="000000"/>
          <w:sz w:val="20"/>
          <w:szCs w:val="20"/>
        </w:rPr>
        <w:t>CAUSALES PARA DECLARAR DESIERTO EL PROCESO DE SELECCIÓN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Entidad podrá declarar desierto el Proceso de Contratación cuando: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se presenten ofertas.</w:t>
      </w:r>
    </w:p>
    <w:p w:rsidR="00C0159A" w:rsidRDefault="00244C46">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Ninguna oferta resulte hábil, por no cumplir las exigencias del Pliego de Condiciones.</w:t>
      </w:r>
    </w:p>
    <w:p w:rsidR="00C0159A" w:rsidRDefault="00244C46">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Existan causas </w:t>
      </w:r>
      <w:r>
        <w:rPr>
          <w:rFonts w:ascii="Arial" w:eastAsia="Arial" w:hAnsi="Arial" w:cs="Arial"/>
          <w:color w:val="000000"/>
          <w:sz w:val="20"/>
          <w:szCs w:val="20"/>
        </w:rPr>
        <w:t>o motivos que impidan la escogencia objetiva del Proponente.</w:t>
      </w:r>
    </w:p>
    <w:p w:rsidR="00C0159A" w:rsidRDefault="00244C46">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contemplado en la ley.</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19" w:name="_heading=h.t78e4di08okt" w:colFirst="0" w:colLast="0"/>
      <w:bookmarkEnd w:id="19"/>
      <w:r>
        <w:rPr>
          <w:rFonts w:ascii="Arial" w:eastAsia="Arial" w:hAnsi="Arial" w:cs="Arial"/>
          <w:b/>
          <w:bCs/>
          <w:color w:val="000000"/>
          <w:sz w:val="20"/>
          <w:szCs w:val="20"/>
        </w:rPr>
        <w:t>NORMAS DE INTERPRETACIÓN DEL PLIEGO DE CONDICIONES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Este Pliego de Condiciones debe interpretarse como un todo y sus disposiciones no deben entenderse de manera separad</w:t>
      </w:r>
      <w:r>
        <w:rPr>
          <w:rFonts w:ascii="Arial" w:eastAsia="Arial" w:hAnsi="Arial" w:cs="Arial"/>
          <w:sz w:val="20"/>
          <w:szCs w:val="20"/>
        </w:rPr>
        <w:t>a de lo que indica su contexto general. Por lo tanto, se considera integrada la información incluida en los Documentos del Proceso que lo acompañan y las Adendas que se expidan.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Además, se seguirán los siguientes criterios para interpretar y entender el P</w:t>
      </w:r>
      <w:r>
        <w:rPr>
          <w:rFonts w:ascii="Arial" w:eastAsia="Arial" w:hAnsi="Arial" w:cs="Arial"/>
          <w:sz w:val="20"/>
          <w:szCs w:val="20"/>
        </w:rPr>
        <w:t>liego de Condiciones: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orden de los numerales, capítulos y cláusulas del Pliego de Condiciones no deben interpretarse como un grado de prelación entre los mismos.</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títulos de los numerales y capítulos utilizados en el Pliego solo sirven como referencia y no afectan la inte</w:t>
      </w:r>
      <w:r>
        <w:rPr>
          <w:rFonts w:ascii="Arial" w:eastAsia="Arial" w:hAnsi="Arial" w:cs="Arial"/>
          <w:color w:val="000000"/>
          <w:sz w:val="20"/>
          <w:szCs w:val="20"/>
        </w:rPr>
        <w:t>rpretación de su contenido.</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en singular se entenderán también en plural y viceversa, cuando lo exija el contexto; y las palabras en género femenino, se comprenderán en género masculino y viceversa, cuando el contexto lo requiera.</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plazos en</w:t>
      </w:r>
      <w:r>
        <w:rPr>
          <w:rFonts w:ascii="Arial" w:eastAsia="Arial" w:hAnsi="Arial" w:cs="Arial"/>
          <w:color w:val="000000"/>
          <w:sz w:val="20"/>
          <w:szCs w:val="20"/>
        </w:rPr>
        <w:t xml:space="preserve"> días establecidos en el Pliego de Condiciones se entienden como hábiles, salvo que de manera expresa la Entidad indique que se trata de calendario o de meses. Cuando el vencimiento de un plazo corresponda a un día no hábil o no laboral para la Entidad, es</w:t>
      </w:r>
      <w:r>
        <w:rPr>
          <w:rFonts w:ascii="Arial" w:eastAsia="Arial" w:hAnsi="Arial" w:cs="Arial"/>
          <w:color w:val="000000"/>
          <w:sz w:val="20"/>
          <w:szCs w:val="20"/>
        </w:rPr>
        <w:t>te se trasladará al día hábil siguiente.</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Entidades no podrán incluir o modificar dentro de los Documentos del Proceso, las condiciones habilitantes, factores técnicos y económicos de escogencia y sistemas de ponderación distintos a los señalados en los</w:t>
      </w:r>
      <w:r>
        <w:rPr>
          <w:rFonts w:ascii="Arial" w:eastAsia="Arial" w:hAnsi="Arial" w:cs="Arial"/>
          <w:color w:val="000000"/>
          <w:sz w:val="20"/>
          <w:szCs w:val="20"/>
        </w:rPr>
        <w:t xml:space="preserve"> Documentos Tipo. </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definidas en el Pliego de Condiciones deben entenderse en dicho sentido.</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referencias a normas jurídicas incluyen las disposiciones que las modifiquen, adicionen, sustituyan o complementen.</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Documentos Tipo son inalter</w:t>
      </w:r>
      <w:r>
        <w:rPr>
          <w:rFonts w:ascii="Arial" w:eastAsia="Arial" w:hAnsi="Arial" w:cs="Arial"/>
          <w:color w:val="000000"/>
          <w:sz w:val="20"/>
          <w:szCs w:val="20"/>
        </w:rPr>
        <w:t>ables y no se podrán incluir o modificar los Anexos, Formatos y Formularios, ni exigir soportes o requisitos adicionales; salvo cuando se permita en forma expresa, es decir, en los aspectos incluidos en corchetes y resaltados en gris.</w:t>
      </w:r>
    </w:p>
    <w:p w:rsidR="00C0159A" w:rsidRDefault="00244C46">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pliego se interpre</w:t>
      </w:r>
      <w:r>
        <w:rPr>
          <w:rFonts w:ascii="Arial" w:eastAsia="Arial" w:hAnsi="Arial" w:cs="Arial"/>
          <w:color w:val="000000"/>
          <w:sz w:val="20"/>
          <w:szCs w:val="20"/>
        </w:rPr>
        <w:t>tará, además, en lo pertinente, de conformidad con las reglas del Código Civil establecidas en los artículos 1618 a 1624.</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20" w:name="_heading=h.rrq7bvjaxla4" w:colFirst="0" w:colLast="0"/>
      <w:bookmarkEnd w:id="20"/>
      <w:r>
        <w:rPr>
          <w:rFonts w:ascii="Arial" w:eastAsia="Arial" w:hAnsi="Arial" w:cs="Arial"/>
          <w:b/>
          <w:bCs/>
          <w:color w:val="000000"/>
          <w:sz w:val="20"/>
          <w:szCs w:val="20"/>
        </w:rPr>
        <w:t>RETIRO DE LA PROPUESTA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Si la oferta se presenta mediante el SECOP II, el Proponente debe seguir el proceso indicado en la “Guía rápi</w:t>
      </w:r>
      <w:r>
        <w:rPr>
          <w:rFonts w:ascii="Arial" w:eastAsia="Arial" w:hAnsi="Arial" w:cs="Arial"/>
          <w:sz w:val="20"/>
          <w:szCs w:val="20"/>
        </w:rPr>
        <w:t>da para la presentación de ofertas en SECOP II”. En este sentido, basta el retiro en la oferta por la plataforma, sin necesidad de enviar una solicitud a la Entidad. Una vez se cumpla la fecha y hora de cierre del Proceso de Contratación, la plataforma del</w:t>
      </w:r>
      <w:r>
        <w:rPr>
          <w:rFonts w:ascii="Arial" w:eastAsia="Arial" w:hAnsi="Arial" w:cs="Arial"/>
          <w:sz w:val="20"/>
          <w:szCs w:val="20"/>
        </w:rPr>
        <w:t xml:space="preserve"> SECOP II bloquea a los proveedores la opción del retiro de ofertas.</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11"/>
        </w:numPr>
        <w:pBdr>
          <w:top w:val="nil"/>
          <w:left w:val="nil"/>
          <w:bottom w:val="nil"/>
          <w:right w:val="nil"/>
          <w:between w:val="nil"/>
        </w:pBdr>
        <w:spacing w:after="0" w:line="240" w:lineRule="auto"/>
        <w:ind w:left="567" w:hanging="567"/>
        <w:jc w:val="both"/>
      </w:pPr>
      <w:bookmarkStart w:id="21" w:name="_heading=h.cg71x7klvqex" w:colFirst="0" w:colLast="0"/>
      <w:bookmarkEnd w:id="21"/>
      <w:r>
        <w:rPr>
          <w:rFonts w:ascii="Arial" w:eastAsia="Arial" w:hAnsi="Arial" w:cs="Arial"/>
          <w:b/>
          <w:bCs/>
          <w:color w:val="000000"/>
          <w:sz w:val="20"/>
          <w:szCs w:val="20"/>
        </w:rPr>
        <w:t>CONFIDENCIALIDAD DE LA INFORMACIÓN RELACIONADA CON DATOS SENSIBLES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Que el artículo 15 de la Constitución Política dispone que todas las personas tienen derecho a su intimidad personal y familiar y a su buen nombre, y el Estado debe respetarlos y hacerlos respetar. Que no obstante lo anterior, el artículo 20 y 74 ibid., co</w:t>
      </w:r>
      <w:r>
        <w:rPr>
          <w:rFonts w:ascii="Arial" w:eastAsia="Arial" w:hAnsi="Arial" w:cs="Arial"/>
          <w:sz w:val="20"/>
          <w:szCs w:val="20"/>
        </w:rPr>
        <w:t>ntempla el derecho que tiene la población colombiana de informar y recibir información veraz e imparcial, y en desarrollo de esta garantía constitucional ya que “todas las personas tienen derecho a acceder a los documentos públicos salvo los casos que esta</w:t>
      </w:r>
      <w:r>
        <w:rPr>
          <w:rFonts w:ascii="Arial" w:eastAsia="Arial" w:hAnsi="Arial" w:cs="Arial"/>
          <w:sz w:val="20"/>
          <w:szCs w:val="20"/>
        </w:rPr>
        <w:t>blezca la ley”.</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Que a través de la Ley 1581 de 2012 se expidió el régimen general de protección de datos personales colombiano y según  lo estipulado en el artículo 5 relativo a la protección de la información personal sensible, esta es definida como (…)</w:t>
      </w:r>
      <w:r>
        <w:rPr>
          <w:rFonts w:ascii="Arial" w:eastAsia="Arial" w:hAnsi="Arial" w:cs="Arial"/>
          <w:sz w:val="20"/>
          <w:szCs w:val="20"/>
        </w:rPr>
        <w:t xml:space="preserve"> “aquellos datos que afectan la intimidad del Titular o cuyo uso indebido puede generar su discriminación, tales como aquellos que revelen el origen racial o étnico, la orientación política, las convicciones religiosas o filosóficas, la pertenencia a sindi</w:t>
      </w:r>
      <w:r>
        <w:rPr>
          <w:rFonts w:ascii="Arial" w:eastAsia="Arial" w:hAnsi="Arial" w:cs="Arial"/>
          <w:sz w:val="20"/>
          <w:szCs w:val="20"/>
        </w:rPr>
        <w:t>catos, organizaciones sociales, de derechos humanos o que promueva intereses de cualquier partido político o que garanticen los derechos y garantías de partidos políticos de oposición así como los datos relativos a la salud, a la vida sexual y los datos bi</w:t>
      </w:r>
      <w:r>
        <w:rPr>
          <w:rFonts w:ascii="Arial" w:eastAsia="Arial" w:hAnsi="Arial" w:cs="Arial"/>
          <w:sz w:val="20"/>
          <w:szCs w:val="20"/>
        </w:rPr>
        <w:t xml:space="preserve">ométricos.” (…)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Que la Ley 1712 de 2014, regula el derecho de acceso a la información pública, los procedimientos para el ejercicio y garantía del derecho, así como las excepciones de los artículos 18 y 19 a la publicidad de información clasificada y/o </w:t>
      </w:r>
      <w:r>
        <w:rPr>
          <w:rFonts w:ascii="Arial" w:eastAsia="Arial" w:hAnsi="Arial" w:cs="Arial"/>
          <w:sz w:val="20"/>
          <w:szCs w:val="20"/>
        </w:rPr>
        <w:t xml:space="preserve">reservada.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Que, teniendo en cuenta lo anterior, la Entidad garantizará el derecho a la protección de los datos personales, la intimidad, la vida, la salud, la seguridad, la reserva de los secretos comerciales, industriales o profesionales y toda aquel</w:t>
      </w:r>
      <w:r>
        <w:rPr>
          <w:rFonts w:ascii="Arial" w:eastAsia="Arial" w:hAnsi="Arial" w:cs="Arial"/>
          <w:sz w:val="20"/>
          <w:szCs w:val="20"/>
        </w:rPr>
        <w:t xml:space="preserve">la información que es suministrada por el Proponente para el cumplimiento de los factores de desempate y que goza de excepción legal de acuerdo con la regulación enunciada anteriormente. Esta información será relativa a los siguientes, pero no se limitará </w:t>
      </w:r>
      <w:r>
        <w:rPr>
          <w:rFonts w:ascii="Arial" w:eastAsia="Arial" w:hAnsi="Arial" w:cs="Arial"/>
          <w:sz w:val="20"/>
          <w:szCs w:val="20"/>
        </w:rPr>
        <w:t xml:space="preserve">a: i) mujeres víctimas de violencia intrafamiliar, ii) personas en proceso de reincorporación y/o reintegración y iii) la población indígena, negra, afrocolombiana, raizal, palenquera, Rrom o gitana.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Por tanto, las Entidades deberán validar la informac</w:t>
      </w:r>
      <w:r>
        <w:rPr>
          <w:rFonts w:ascii="Arial" w:eastAsia="Arial" w:hAnsi="Arial" w:cs="Arial"/>
          <w:sz w:val="20"/>
          <w:szCs w:val="20"/>
        </w:rPr>
        <w:t>ión y la documentación, antes de cargar lo correspondiente  en el SECOP, con el fin de evitar  publicar para conocimiento de terceros no autorizados la información relacionada con los factores de desempate de mujeres víctimas de violencia intrafamiliar, pe</w:t>
      </w:r>
      <w:r>
        <w:rPr>
          <w:rFonts w:ascii="Arial" w:eastAsia="Arial" w:hAnsi="Arial" w:cs="Arial"/>
          <w:sz w:val="20"/>
          <w:szCs w:val="20"/>
        </w:rPr>
        <w:t>rsonas en procesos de reincorporación y/o reintegración, población indígena, negra, afrocolombiana, raizal, palenquera, Rrom o gitana o demás datos sensibles, de forma que no se afecte el derecho a la intimidad de los oferentes o de sus trabajadores o soci</w:t>
      </w:r>
      <w:r>
        <w:rPr>
          <w:rFonts w:ascii="Arial" w:eastAsia="Arial" w:hAnsi="Arial" w:cs="Arial"/>
          <w:sz w:val="20"/>
          <w:szCs w:val="20"/>
        </w:rPr>
        <w:t xml:space="preserve">os o accionistas.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Así mismo, la Entidad se encargará de cumplir con lo estipulado en el régimen de protección de datos personales establecido por la Ley 1581 de 2012, incluyendo la recolección de la autorización para el tratamiento de datos personales </w:t>
      </w:r>
      <w:r>
        <w:rPr>
          <w:rFonts w:ascii="Arial" w:eastAsia="Arial" w:hAnsi="Arial" w:cs="Arial"/>
          <w:sz w:val="20"/>
          <w:szCs w:val="20"/>
        </w:rPr>
        <w:t>sensibles. Por lo tanto, se encargará y será responsable de que los Titulares de la información diligencien el “Formato 11- Autorización para el tratamiento de datos personales” que deberá adjuntarse como documento y como requisito para el otorgamiento del</w:t>
      </w:r>
      <w:r>
        <w:rPr>
          <w:rFonts w:ascii="Arial" w:eastAsia="Arial" w:hAnsi="Arial" w:cs="Arial"/>
          <w:sz w:val="20"/>
          <w:szCs w:val="20"/>
        </w:rPr>
        <w:t xml:space="preserve"> criterio de desempate.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b/>
          <w:bCs/>
          <w:sz w:val="20"/>
          <w:szCs w:val="20"/>
        </w:rPr>
      </w:pPr>
      <w:r>
        <w:br w:type="page"/>
      </w:r>
    </w:p>
    <w:p w:rsidR="00C0159A" w:rsidRDefault="00244C46">
      <w:pPr>
        <w:numPr>
          <w:ilvl w:val="0"/>
          <w:numId w:val="1"/>
        </w:numPr>
        <w:pBdr>
          <w:top w:val="nil"/>
          <w:left w:val="nil"/>
          <w:bottom w:val="nil"/>
          <w:right w:val="nil"/>
          <w:between w:val="nil"/>
        </w:pBdr>
        <w:spacing w:after="0" w:line="240" w:lineRule="auto"/>
        <w:jc w:val="center"/>
      </w:pPr>
      <w:bookmarkStart w:id="22" w:name="_heading=h.jdvkalcsfjyg" w:colFirst="0" w:colLast="0"/>
      <w:bookmarkEnd w:id="22"/>
      <w:r>
        <w:rPr>
          <w:rFonts w:ascii="Arial" w:eastAsia="Arial" w:hAnsi="Arial" w:cs="Arial"/>
          <w:b/>
          <w:bCs/>
          <w:color w:val="000000"/>
          <w:sz w:val="20"/>
          <w:szCs w:val="20"/>
        </w:rPr>
        <w:lastRenderedPageBreak/>
        <w:t>ELABORACIÓN Y PRESENTACIÓN DE LA OFERTA</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3" w:name="_heading=h.1z2j6n80zsnj" w:colFirst="0" w:colLast="0"/>
      <w:bookmarkEnd w:id="23"/>
      <w:r>
        <w:rPr>
          <w:rFonts w:ascii="Arial" w:eastAsia="Arial" w:hAnsi="Arial" w:cs="Arial"/>
          <w:sz w:val="20"/>
          <w:szCs w:val="20"/>
        </w:rPr>
        <w:t xml:space="preserve">2.1. </w:t>
      </w:r>
      <w:r>
        <w:rPr>
          <w:rFonts w:ascii="Arial" w:eastAsia="Arial" w:hAnsi="Arial" w:cs="Arial"/>
          <w:b/>
          <w:bCs/>
          <w:color w:val="000000"/>
          <w:sz w:val="20"/>
          <w:szCs w:val="20"/>
        </w:rPr>
        <w:t>CARTA DE PRESENTACIÓN DE LA OFERTA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presentará el “Formato 1 – Carta de presentación de la oferta”, el cual debe estar firmado por la persona natural Proponente o por el representante legal del Proponente individual o por el representante del Proponente Plural o por el apoderad</w:t>
      </w:r>
      <w:r>
        <w:rPr>
          <w:rFonts w:ascii="Arial" w:eastAsia="Arial" w:hAnsi="Arial" w:cs="Arial"/>
          <w:sz w:val="20"/>
          <w:szCs w:val="20"/>
        </w:rPr>
        <w:t xml:space="preserve">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virtud de lo previsto en la Ley 842 de 2003 y con el fin de evitar el ejercicio ilegal de la ingeniería, la persona natural (Proponente individual o integrante de la estructura plural) que pretenda participar en el Proceso de Contratación, debe acr</w:t>
      </w:r>
      <w:r>
        <w:rPr>
          <w:rFonts w:ascii="Arial" w:eastAsia="Arial" w:hAnsi="Arial" w:cs="Arial"/>
          <w:sz w:val="20"/>
          <w:szCs w:val="20"/>
        </w:rPr>
        <w:t>editar que posee título como ingeniero, para lo cual adjuntará el certificado de la vigencia de matrícula profesional expedida por el COPNIA o Consejo Profesional de Ingeniería de Transportes y Vías de Colombia en la respectiva rama de la ingeniería, según</w:t>
      </w:r>
      <w:r>
        <w:rPr>
          <w:rFonts w:ascii="Arial" w:eastAsia="Arial" w:hAnsi="Arial" w:cs="Arial"/>
          <w:sz w:val="20"/>
          <w:szCs w:val="20"/>
        </w:rPr>
        <w:t xml:space="preserve"> corresponda, vigente a la fecha de cierre del Proceso de Contratación.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De acuerdo con el artículo 20 de la Ley 842 de 2003, si el representante legal o apoderado del Proponente individual persona jurídica, o el representante o apoderado del Proponente P</w:t>
      </w:r>
      <w:r>
        <w:rPr>
          <w:rFonts w:ascii="Arial" w:eastAsia="Arial" w:hAnsi="Arial" w:cs="Arial"/>
          <w:sz w:val="20"/>
          <w:szCs w:val="20"/>
        </w:rPr>
        <w:t xml:space="preserve">lural, no posee título de una de las profesiones catalogadas como ejercicio de la ingeniería, la oferta tendrá que ser avalada por un ingeniero, para lo cual adjuntará el certificado de vigencia de matrícula profesional expedida por el COPNIA o el Consejo </w:t>
      </w:r>
      <w:r>
        <w:rPr>
          <w:rFonts w:ascii="Arial" w:eastAsia="Arial" w:hAnsi="Arial" w:cs="Arial"/>
          <w:sz w:val="20"/>
          <w:szCs w:val="20"/>
        </w:rPr>
        <w:t xml:space="preserve">Profesional de Ingeniería de Transportes y Vías de Colombia, en la respectiva rama de la ingeniería, según corresponda, vigente a la fecha de cierre de este Proceso de Contratación.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aval del ingeniero del que trata el artículo 20 de la Ley 842 de 2003</w:t>
      </w:r>
      <w:r>
        <w:rPr>
          <w:rFonts w:ascii="Arial" w:eastAsia="Arial" w:hAnsi="Arial" w:cs="Arial"/>
          <w:sz w:val="20"/>
          <w:szCs w:val="20"/>
        </w:rPr>
        <w:t xml:space="preserve"> hace parte integral del "Formato 1 – Carta de presentación de la oferta” cuando el Proponente deba presentarlo.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carta de presentación debe suscribirse, por lo que con la firma de este documento se entiende que el Proponente conoce y acepta las obliga</w:t>
      </w:r>
      <w:r>
        <w:rPr>
          <w:rFonts w:ascii="Arial" w:eastAsia="Arial" w:hAnsi="Arial" w:cs="Arial"/>
          <w:sz w:val="20"/>
          <w:szCs w:val="20"/>
        </w:rPr>
        <w:t xml:space="preserve">ciones del “Anexo 4 – Pacto de Transparencia” y, por lo tanto, no será necesaria la entrega de este documento al momento de radicar la oferta.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diligenciar los Formatos. Todos los espacios en blanco deben completarse con la información </w:t>
      </w:r>
      <w:r>
        <w:rPr>
          <w:rFonts w:ascii="Arial" w:eastAsia="Arial" w:hAnsi="Arial" w:cs="Arial"/>
          <w:sz w:val="20"/>
          <w:szCs w:val="20"/>
        </w:rPr>
        <w:t>solicitada.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debe indicar en el “Formato 1 – Carta de presentación de la oferta, el lote o segmentos a los cuales presenta oferta, según las posibilidades que otorgue la Entidad.</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4" w:name="_heading=h.3qevwxy3ydp6" w:colFirst="0" w:colLast="0"/>
      <w:bookmarkEnd w:id="24"/>
      <w:r>
        <w:rPr>
          <w:rFonts w:ascii="Arial" w:eastAsia="Arial" w:hAnsi="Arial" w:cs="Arial"/>
          <w:sz w:val="20"/>
          <w:szCs w:val="20"/>
        </w:rPr>
        <w:t xml:space="preserve">2.2. </w:t>
      </w:r>
      <w:r>
        <w:rPr>
          <w:rFonts w:ascii="Arial" w:eastAsia="Arial" w:hAnsi="Arial" w:cs="Arial"/>
          <w:b/>
          <w:bCs/>
          <w:color w:val="000000"/>
          <w:sz w:val="20"/>
          <w:szCs w:val="20"/>
        </w:rPr>
        <w:t>APODERADO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Los Proponentes podrán presentar ofertas directamente o sus</w:t>
      </w:r>
      <w:r>
        <w:rPr>
          <w:rFonts w:ascii="Arial" w:eastAsia="Arial" w:hAnsi="Arial" w:cs="Arial"/>
          <w:sz w:val="20"/>
          <w:szCs w:val="20"/>
        </w:rPr>
        <w:t>critas por intermedio de apoderado, evento en el cual deben anexar el poder otorgado en legal forma (artículo 5 del Decreto – Ley 019 de 2012), en el que se confiere al apoderado de manera clara y expresa facultades amplias y suficientes para actuar, oblig</w:t>
      </w:r>
      <w:r>
        <w:rPr>
          <w:rFonts w:ascii="Arial" w:eastAsia="Arial" w:hAnsi="Arial" w:cs="Arial"/>
          <w:sz w:val="20"/>
          <w:szCs w:val="20"/>
        </w:rPr>
        <w:t>ar y responsabilizar a quien(es) representa en el trámite del proceso y en la suscripción del contrato. No obstante, la simple entrega física o radicación de la oferta en la Entidad puede realizarla cualquier persona sin necesidad de poder o autorización.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apoderado que firme la oferta podrá ser una persona natural o jurídica que en todo caso debe tener domicilio permanente, para efectos de este proceso, en la República de Colombia y debe estar facultado para representar al Proponente y/o a todos los int</w:t>
      </w:r>
      <w:r>
        <w:rPr>
          <w:rFonts w:ascii="Arial" w:eastAsia="Arial" w:hAnsi="Arial" w:cs="Arial"/>
          <w:sz w:val="20"/>
          <w:szCs w:val="20"/>
        </w:rPr>
        <w:t xml:space="preserve">egrantes del Proponente Plural, a efectos de adelantar en su nombre de manera específica las siguientes actividades: (i) presentar oferta para el Proceso de Contratación que trata este Pliego; (ii) responder a los requerimientos y aclaraciones </w:t>
      </w:r>
      <w:r>
        <w:rPr>
          <w:rFonts w:ascii="Arial" w:eastAsia="Arial" w:hAnsi="Arial" w:cs="Arial"/>
          <w:sz w:val="20"/>
          <w:szCs w:val="20"/>
        </w:rPr>
        <w:lastRenderedPageBreak/>
        <w:t xml:space="preserve">solicitados </w:t>
      </w:r>
      <w:r>
        <w:rPr>
          <w:rFonts w:ascii="Arial" w:eastAsia="Arial" w:hAnsi="Arial" w:cs="Arial"/>
          <w:sz w:val="20"/>
          <w:szCs w:val="20"/>
        </w:rPr>
        <w:t>por la Entidad; (iii) recibir las notificaciones a que haya lugar;(iv) suscribir el contrato en nombre y representación del adjudicatario, así como el acta de terminación y liquidación, si a ello hubiere lugar.</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personas extranjeras que participen medi</w:t>
      </w:r>
      <w:r>
        <w:rPr>
          <w:rFonts w:ascii="Arial" w:eastAsia="Arial" w:hAnsi="Arial" w:cs="Arial"/>
          <w:sz w:val="20"/>
          <w:szCs w:val="20"/>
        </w:rPr>
        <w:t xml:space="preserve">ante un Proponente Plural podrán constituir un solo apoderado común y, en tal caso, bastará para todos los efectos la presentación del poder común otorgado por la totalidad de los integrantes con los requisitos de autenticación, Legalización y/o Apostilla </w:t>
      </w:r>
      <w:r>
        <w:rPr>
          <w:rFonts w:ascii="Arial" w:eastAsia="Arial" w:hAnsi="Arial" w:cs="Arial"/>
          <w:sz w:val="20"/>
          <w:szCs w:val="20"/>
        </w:rPr>
        <w:t>y traducción exigidos en el Código de Comercio y en el Código General del Proceso de Colombia, incluyendo los señalados en el Pliego de Condiciones. El poder a que se refiere este párrafo podrá conferirse en el mismo acto de constitución del Proponente Plu</w:t>
      </w:r>
      <w:r>
        <w:rPr>
          <w:rFonts w:ascii="Arial" w:eastAsia="Arial" w:hAnsi="Arial" w:cs="Arial"/>
          <w:sz w:val="20"/>
          <w:szCs w:val="20"/>
        </w:rPr>
        <w:t>ral.</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5" w:name="_heading=h.oh29s4y590sq" w:colFirst="0" w:colLast="0"/>
      <w:bookmarkEnd w:id="25"/>
      <w:r>
        <w:rPr>
          <w:rFonts w:ascii="Arial" w:eastAsia="Arial" w:hAnsi="Arial" w:cs="Arial"/>
          <w:sz w:val="20"/>
          <w:szCs w:val="20"/>
        </w:rPr>
        <w:t xml:space="preserve">2.3. </w:t>
      </w:r>
      <w:r>
        <w:rPr>
          <w:rFonts w:ascii="Arial" w:eastAsia="Arial" w:hAnsi="Arial" w:cs="Arial"/>
          <w:b/>
          <w:bCs/>
          <w:color w:val="000000"/>
          <w:sz w:val="20"/>
          <w:szCs w:val="20"/>
        </w:rPr>
        <w:t>LIMITACIÓN A MIPYME</w:t>
      </w:r>
    </w:p>
    <w:p w:rsidR="00C0159A" w:rsidRDefault="00C0159A">
      <w:pPr>
        <w:spacing w:after="0" w:line="240" w:lineRule="auto"/>
        <w:jc w:val="both"/>
        <w:rPr>
          <w:rFonts w:ascii="Arial" w:eastAsia="Arial" w:hAnsi="Arial" w:cs="Arial"/>
          <w:sz w:val="20"/>
          <w:szCs w:val="20"/>
          <w:highlight w:val="lightGray"/>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presente proceso de selección no es susceptible de limitarse a Mipyme.</w:t>
      </w:r>
    </w:p>
    <w:p w:rsidR="00C0159A" w:rsidRDefault="00C0159A">
      <w:pPr>
        <w:spacing w:after="0" w:line="240" w:lineRule="auto"/>
        <w:jc w:val="both"/>
        <w:rPr>
          <w:rFonts w:ascii="Arial" w:eastAsia="Arial" w:hAnsi="Arial" w:cs="Arial"/>
          <w:sz w:val="20"/>
          <w:szCs w:val="20"/>
          <w:highlight w:val="lightGray"/>
        </w:rPr>
      </w:pPr>
    </w:p>
    <w:p w:rsidR="00C0159A" w:rsidRDefault="00C0159A">
      <w:pPr>
        <w:spacing w:after="0" w:line="240" w:lineRule="auto"/>
        <w:jc w:val="both"/>
        <w:rPr>
          <w:rFonts w:ascii="Arial" w:eastAsia="Arial" w:hAnsi="Arial" w:cs="Arial"/>
          <w:sz w:val="20"/>
          <w:szCs w:val="20"/>
          <w:highlight w:val="lightGray"/>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6" w:name="_heading=h.ulin9oox821u" w:colFirst="0" w:colLast="0"/>
      <w:bookmarkEnd w:id="26"/>
      <w:r>
        <w:rPr>
          <w:rFonts w:ascii="Arial" w:eastAsia="Arial" w:hAnsi="Arial" w:cs="Arial"/>
          <w:sz w:val="20"/>
          <w:szCs w:val="20"/>
        </w:rPr>
        <w:t xml:space="preserve">2.4. </w:t>
      </w:r>
      <w:r>
        <w:rPr>
          <w:rFonts w:ascii="Arial" w:eastAsia="Arial" w:hAnsi="Arial" w:cs="Arial"/>
          <w:b/>
          <w:bCs/>
          <w:color w:val="000000"/>
          <w:sz w:val="20"/>
          <w:szCs w:val="20"/>
        </w:rPr>
        <w:t>ELABORACIÓN Y PRESENTACIÓN DE LA OFERTA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presentación de la oferta deberá adaptarse a las condiciones de la plataforma y no será posible allegar documentos en físico.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los procesos en SECOP II, los documentos se adjuntarán de acuerdo con el orden requerido en el cuestionario por la Entida</w:t>
      </w:r>
      <w:r>
        <w:rPr>
          <w:rFonts w:ascii="Arial" w:eastAsia="Arial" w:hAnsi="Arial" w:cs="Arial"/>
          <w:sz w:val="20"/>
          <w:szCs w:val="20"/>
        </w:rPr>
        <w:t>d, los cuales deben ser legibles y escaneados correctamente.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Entidad solo recibirá una oferta por Proponente, </w:t>
      </w:r>
      <w:r>
        <w:rPr>
          <w:rFonts w:ascii="Arial" w:eastAsia="Arial" w:hAnsi="Arial" w:cs="Arial"/>
          <w:sz w:val="20"/>
          <w:szCs w:val="20"/>
        </w:rPr>
        <w:t>sin perjuicio de lo establecido frente a los procesos estructurados por lotes o por segmentos, cuando la Entidad haya determinado esta posibilidad. En caso de presentarse para varios Procesos de Contratación con la Entidad, el Proponente deberá indicar exp</w:t>
      </w:r>
      <w:r>
        <w:rPr>
          <w:rFonts w:ascii="Arial" w:eastAsia="Arial" w:hAnsi="Arial" w:cs="Arial"/>
          <w:sz w:val="20"/>
          <w:szCs w:val="20"/>
        </w:rPr>
        <w:t xml:space="preserve">resamente para cuál proceso allega su ofrecimiento. La radicación de la propuesta implica la aceptación y conocimiento de la legislación colombiana acerca de los temas objeto del Proceso de Contratación y de todas las condiciones y obligaciones contenidas </w:t>
      </w:r>
      <w:r>
        <w:rPr>
          <w:rFonts w:ascii="Arial" w:eastAsia="Arial" w:hAnsi="Arial" w:cs="Arial"/>
          <w:sz w:val="20"/>
          <w:szCs w:val="20"/>
        </w:rPr>
        <w:t>en el mismo. Adicionalmente, si se hace a través del SECOP II el Proponente deberá cumplir con el Manual de Usos y Condiciones de la plataforma.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Estarán a cargo del Proponente todos los costos asociados a la elaboración y presentación de su oferta y en ni</w:t>
      </w:r>
      <w:r>
        <w:rPr>
          <w:rFonts w:ascii="Arial" w:eastAsia="Arial" w:hAnsi="Arial" w:cs="Arial"/>
          <w:sz w:val="20"/>
          <w:szCs w:val="20"/>
        </w:rPr>
        <w:t>ngún caso la Entidad será responsable de ellos.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tachaduras y/o enmendaduras sobre alguno de los documentos que acreditan los requisitos habilitantes o los factores de evaluación de la oferta, deberán estar salvados con la firma de quien suscribe el co</w:t>
      </w:r>
      <w:r>
        <w:rPr>
          <w:rFonts w:ascii="Arial" w:eastAsia="Arial" w:hAnsi="Arial" w:cs="Arial"/>
          <w:sz w:val="20"/>
          <w:szCs w:val="20"/>
        </w:rPr>
        <w:t>rrespondiente documento al pie de la misma, y con una nota al margen donde manifieste clara y expresamente la corrección realizada.</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7" w:name="_heading=h.pugkho5yjp69" w:colFirst="0" w:colLast="0"/>
      <w:bookmarkEnd w:id="27"/>
      <w:r>
        <w:rPr>
          <w:rFonts w:ascii="Arial" w:eastAsia="Arial" w:hAnsi="Arial" w:cs="Arial"/>
          <w:sz w:val="20"/>
          <w:szCs w:val="20"/>
        </w:rPr>
        <w:t xml:space="preserve">2.5. </w:t>
      </w:r>
      <w:r>
        <w:rPr>
          <w:rFonts w:ascii="Arial" w:eastAsia="Arial" w:hAnsi="Arial" w:cs="Arial"/>
          <w:b/>
          <w:bCs/>
          <w:color w:val="000000"/>
          <w:sz w:val="20"/>
          <w:szCs w:val="20"/>
        </w:rPr>
        <w:t>CIERRE DEL PROCESO Y APERTURA DE OFERTAS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Se entienden recibidas por la Entidad las ofertas que se encuentren en la pl</w:t>
      </w:r>
      <w:r>
        <w:rPr>
          <w:rFonts w:ascii="Arial" w:eastAsia="Arial" w:hAnsi="Arial" w:cs="Arial"/>
          <w:sz w:val="20"/>
          <w:szCs w:val="20"/>
        </w:rPr>
        <w:t>ataforma del SECOP II a la fecha y hora indicada en el Cronograma del proceso, después de este momento el SECOP II no permitirá recibir más propuestas por excederse del tiempo señalado en el Cronograma.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Vencido el término para presentar ofertas, la Entida</w:t>
      </w:r>
      <w:r>
        <w:rPr>
          <w:rFonts w:ascii="Arial" w:eastAsia="Arial" w:hAnsi="Arial" w:cs="Arial"/>
          <w:sz w:val="20"/>
          <w:szCs w:val="20"/>
        </w:rPr>
        <w:t xml:space="preserve">d Estatal debe realizar su apertura y publicar la lista de oferentes. Luego de la apertura, las propuestas deberán ser publicadas y públicas y cualquier persona puede consultarlas, para ello la Entidad dará a conocer las ofertas presentadas en el </w:t>
      </w:r>
      <w:r>
        <w:rPr>
          <w:rFonts w:ascii="Arial" w:eastAsia="Arial" w:hAnsi="Arial" w:cs="Arial"/>
          <w:sz w:val="20"/>
          <w:szCs w:val="20"/>
        </w:rPr>
        <w:lastRenderedPageBreak/>
        <w:t>Proceso d</w:t>
      </w:r>
      <w:r>
        <w:rPr>
          <w:rFonts w:ascii="Arial" w:eastAsia="Arial" w:hAnsi="Arial" w:cs="Arial"/>
          <w:sz w:val="20"/>
          <w:szCs w:val="20"/>
        </w:rPr>
        <w:t>e Contratación haciendo clic en la opción “publicar ofertas”, para que sean visibles a todos los Proponentes y los interesados en el proceso desde el momento que la Entidad dio apertura a las propuestas rechazadas.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Se darán por no presentadas todas las pr</w:t>
      </w:r>
      <w:r>
        <w:rPr>
          <w:rFonts w:ascii="Arial" w:eastAsia="Arial" w:hAnsi="Arial" w:cs="Arial"/>
          <w:sz w:val="20"/>
          <w:szCs w:val="20"/>
        </w:rPr>
        <w:t>opuestas que no hayan sido entregadas en la plataforma y en el plazo previsto para ello en el Pliego de Condiciones. No se tendrán como recibidas las ofertas allegadas por medios distintos al SECOP II, para asegurar la efectiva transmisión de datos y garan</w:t>
      </w:r>
      <w:r>
        <w:rPr>
          <w:rFonts w:ascii="Arial" w:eastAsia="Arial" w:hAnsi="Arial" w:cs="Arial"/>
          <w:sz w:val="20"/>
          <w:szCs w:val="20"/>
        </w:rPr>
        <w:t>tizar el cumplimiento estricto de los términos y condiciones del uso del SECOP II Sin embargo, cuando ocurra una indisponibilidad del SECOP II, que haya sido confirmada por la Agencia Nacional de Contratación Pública - Colombia Compra Eficiente, mediante c</w:t>
      </w:r>
      <w:r>
        <w:rPr>
          <w:rFonts w:ascii="Arial" w:eastAsia="Arial" w:hAnsi="Arial" w:cs="Arial"/>
          <w:sz w:val="20"/>
          <w:szCs w:val="20"/>
        </w:rPr>
        <w:t>ertificado de indisponibilidad, la Entidad podrá recibir ofertas en los términos y condiciones establecidos en el “Protocolo para actuar ante una indisponibilidad del SECOP II” o en el documento que Colombia Compra Eficiente determine para ello. Puede cons</w:t>
      </w:r>
      <w:r>
        <w:rPr>
          <w:rFonts w:ascii="Arial" w:eastAsia="Arial" w:hAnsi="Arial" w:cs="Arial"/>
          <w:sz w:val="20"/>
          <w:szCs w:val="20"/>
        </w:rPr>
        <w:t xml:space="preserve">ultarlo en el siguiente enlace: </w:t>
      </w:r>
      <w:hyperlink r:id="rId17">
        <w:r>
          <w:rPr>
            <w:rFonts w:ascii="Arial" w:eastAsia="Arial" w:hAnsi="Arial" w:cs="Arial"/>
            <w:color w:val="0563C1"/>
            <w:sz w:val="20"/>
            <w:szCs w:val="20"/>
            <w:u w:val="single"/>
          </w:rPr>
          <w:t>https://www.colombiacompra.gov.co/secop-ii/indisponibilidad-en-el-secop-ii</w:t>
        </w:r>
      </w:hyperlink>
      <w:r>
        <w:rPr>
          <w:rFonts w:ascii="Arial" w:eastAsia="Arial" w:hAnsi="Arial" w:cs="Arial"/>
          <w:sz w:val="20"/>
          <w:szCs w:val="20"/>
        </w:rPr>
        <w:t>.</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no será responsable por abrir el Sobre inc</w:t>
      </w:r>
      <w:r>
        <w:rPr>
          <w:rFonts w:ascii="Arial" w:eastAsia="Arial" w:hAnsi="Arial" w:cs="Arial"/>
          <w:sz w:val="20"/>
          <w:szCs w:val="20"/>
        </w:rPr>
        <w:t>orrectamente dirigido o sin la identificación adecuada</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8" w:name="_heading=h.8yjers5536ca" w:colFirst="0" w:colLast="0"/>
      <w:bookmarkEnd w:id="28"/>
      <w:r>
        <w:rPr>
          <w:rFonts w:ascii="Arial" w:eastAsia="Arial" w:hAnsi="Arial" w:cs="Arial"/>
          <w:sz w:val="20"/>
          <w:szCs w:val="20"/>
        </w:rPr>
        <w:t xml:space="preserve">2.6. </w:t>
      </w:r>
      <w:r>
        <w:rPr>
          <w:rFonts w:ascii="Arial" w:eastAsia="Arial" w:hAnsi="Arial" w:cs="Arial"/>
          <w:b/>
          <w:bCs/>
          <w:color w:val="000000"/>
          <w:sz w:val="20"/>
          <w:szCs w:val="20"/>
        </w:rPr>
        <w:t>INFORME DE EVALUACIÓN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publicará el informe de evaluación, el cual debe contener la valoración de las ofertas frente a todos los r</w:t>
      </w:r>
      <w:r>
        <w:rPr>
          <w:rFonts w:ascii="Arial" w:eastAsia="Arial" w:hAnsi="Arial" w:cs="Arial"/>
          <w:sz w:val="20"/>
          <w:szCs w:val="20"/>
        </w:rPr>
        <w:t>equisitos exigidos en el Pliego de Condiciones, incluyendo los requisitos habilitantes y los de asignación de puntaje.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informe de evaluación permanecerá publicado en el SECOP y a disposición de los interesados durante los tres (3) días hábiles siguient</w:t>
      </w:r>
      <w:r>
        <w:rPr>
          <w:rFonts w:ascii="Arial" w:eastAsia="Arial" w:hAnsi="Arial" w:cs="Arial"/>
          <w:sz w:val="20"/>
          <w:szCs w:val="20"/>
        </w:rPr>
        <w:t>es a su publicación, término hasta el cual los Proponentes podrán hacer las observaciones que consideren procedentes y entregar los documentos y la información solicitada por la Entidad en las condiciones señaladas en la sección 1.6. del Pliego de Condicio</w:t>
      </w:r>
      <w:r>
        <w:rPr>
          <w:rFonts w:ascii="Arial" w:eastAsia="Arial" w:hAnsi="Arial" w:cs="Arial"/>
          <w:sz w:val="20"/>
          <w:szCs w:val="20"/>
        </w:rPr>
        <w:t xml:space="preserve">nes.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Con posterioridad al vencimiento del plazo para presentar observaciones y a más tardar el día antes de la adjudicación hasta las 11:59 p.m., de acuerdo con lo señalado en el “Anexo 2 – Cronograma”, la Entidad debe publicar el informe final de evaluación, e</w:t>
      </w:r>
      <w:r>
        <w:rPr>
          <w:rFonts w:ascii="Arial" w:eastAsia="Arial" w:hAnsi="Arial" w:cs="Arial"/>
          <w:sz w:val="20"/>
          <w:szCs w:val="20"/>
        </w:rPr>
        <w:t>n caso de que el inicial haya sufrido variaciones.</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29" w:name="_heading=h.iin1rbuehb6w" w:colFirst="0" w:colLast="0"/>
      <w:bookmarkEnd w:id="29"/>
      <w:r>
        <w:rPr>
          <w:rFonts w:ascii="Arial" w:eastAsia="Arial" w:hAnsi="Arial" w:cs="Arial"/>
          <w:sz w:val="20"/>
          <w:szCs w:val="20"/>
        </w:rPr>
        <w:t xml:space="preserve">2.7. </w:t>
      </w:r>
      <w:r>
        <w:rPr>
          <w:rFonts w:ascii="Arial" w:eastAsia="Arial" w:hAnsi="Arial" w:cs="Arial"/>
          <w:b/>
          <w:bCs/>
          <w:color w:val="000000"/>
          <w:sz w:val="20"/>
          <w:szCs w:val="20"/>
        </w:rPr>
        <w:t xml:space="preserve">ADJUDICACIÓN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mediante acto administrativo adjudicará el proceso al Proponente ubicado en el primer lugar en el orden de elegibilidad</w:t>
      </w:r>
      <w:r>
        <w:rPr>
          <w:rFonts w:ascii="Arial" w:eastAsia="Arial" w:hAnsi="Arial" w:cs="Arial"/>
          <w:sz w:val="20"/>
          <w:szCs w:val="20"/>
        </w:rPr>
        <w:t xml:space="preserve"> y cuya oferta económica esté acorde con el presupuesto del Proceso de Contratación.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procederá a instalar y desarrollar la audiencia para comunicar la respuesta a las observaciones frente al informe de evaluación y establecer el orden de elegi</w:t>
      </w:r>
      <w:r>
        <w:rPr>
          <w:rFonts w:ascii="Arial" w:eastAsia="Arial" w:hAnsi="Arial" w:cs="Arial"/>
          <w:sz w:val="20"/>
          <w:szCs w:val="20"/>
        </w:rPr>
        <w:t xml:space="preserve">bilidad. La Entidad iniciará la audiencia comunicando la respuesta a las observaciones frente al informe de evaluación, sin que ello implique una nueva oportunidad para presentar observaciones. Con posterioridad a ello </w:t>
      </w:r>
      <w:r>
        <w:rPr>
          <w:rFonts w:ascii="Arial" w:eastAsia="Arial" w:hAnsi="Arial" w:cs="Arial"/>
          <w:sz w:val="20"/>
          <w:szCs w:val="20"/>
        </w:rPr>
        <w:lastRenderedPageBreak/>
        <w:t xml:space="preserve">se fijará el orden de elegibilidad a </w:t>
      </w:r>
      <w:r>
        <w:rPr>
          <w:rFonts w:ascii="Arial" w:eastAsia="Arial" w:hAnsi="Arial" w:cs="Arial"/>
          <w:sz w:val="20"/>
          <w:szCs w:val="20"/>
        </w:rPr>
        <w:t>través de la sumatoria de los puntajes obtenidos por las propuestas para cada uno de los criterios contenidos en el CAPÍTULO IV ordenados de mayor a menor.</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orden de adjudicación de los LOTES se establece de acuerdo al número de propuestas hábiles elegi</w:t>
      </w:r>
      <w:r>
        <w:rPr>
          <w:rFonts w:ascii="Arial" w:eastAsia="Arial" w:hAnsi="Arial" w:cs="Arial"/>
          <w:sz w:val="20"/>
          <w:szCs w:val="20"/>
        </w:rPr>
        <w:t>bles en cada uno de ellos. El LOTE con menor número de propuestas habilitadas elegibles será el primero que se adjudique, para luego continuar con el que le siga y así sucesivamente, dejando para el final el LOTE con el mayor número de propuestas habilitad</w:t>
      </w:r>
      <w:r>
        <w:rPr>
          <w:rFonts w:ascii="Arial" w:eastAsia="Arial" w:hAnsi="Arial" w:cs="Arial"/>
          <w:sz w:val="20"/>
          <w:szCs w:val="20"/>
        </w:rPr>
        <w:t>as elegibles.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que dos o más LOTES tengan el mismo número de propuestas hábiles elegibles, es decir, que ocupen el mismo lugar en el orden de adjudicación, se procederá a determinar, entre ellos, el orden de adjudicación de acuerdo al valor del pre</w:t>
      </w:r>
      <w:r>
        <w:rPr>
          <w:rFonts w:ascii="Arial" w:eastAsia="Arial" w:hAnsi="Arial" w:cs="Arial"/>
          <w:sz w:val="20"/>
          <w:szCs w:val="20"/>
        </w:rPr>
        <w:t xml:space="preserve">supuesto oficial total de cada lote, adjudicando entre estos LOTES ubicados en el mismo orden de adjudicación, primero el de mayor valor y así sucesivamente, dejando para el final el lote de menor valor.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Si subsiste aún el empate, por tratarse de LOTES c</w:t>
      </w:r>
      <w:r>
        <w:rPr>
          <w:rFonts w:ascii="Arial" w:eastAsia="Arial" w:hAnsi="Arial" w:cs="Arial"/>
          <w:sz w:val="20"/>
          <w:szCs w:val="20"/>
        </w:rPr>
        <w:t>on el mismo valor de presupuesto oficial total, se procederán a adjudicar, de acuerdo al siguiente orden, adjudicando primero siempre el LOTE que tenga el número menor, de acuerdo al número asignado para cada lote en este proceso de selección.</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1. Grupo 1</w:t>
      </w:r>
    </w:p>
    <w:p w:rsidR="00C0159A" w:rsidRDefault="00244C46">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Lote 2. </w:t>
      </w:r>
      <w:r>
        <w:rPr>
          <w:rFonts w:ascii="Arial" w:eastAsia="Arial" w:hAnsi="Arial" w:cs="Arial"/>
          <w:sz w:val="20"/>
          <w:szCs w:val="20"/>
        </w:rPr>
        <w:t>Grupo 2</w:t>
      </w:r>
    </w:p>
    <w:p w:rsidR="00C0159A" w:rsidRDefault="00244C46">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Lote 3. </w:t>
      </w:r>
      <w:r>
        <w:rPr>
          <w:rFonts w:ascii="Arial" w:eastAsia="Arial" w:hAnsi="Arial" w:cs="Arial"/>
          <w:sz w:val="20"/>
          <w:szCs w:val="20"/>
        </w:rPr>
        <w:t>Grupo 3</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highlight w:val="lightGray"/>
        </w:rPr>
      </w:pPr>
    </w:p>
    <w:p w:rsidR="00C0159A" w:rsidRDefault="00C0159A">
      <w:pPr>
        <w:spacing w:after="0" w:line="240" w:lineRule="auto"/>
        <w:jc w:val="both"/>
        <w:rPr>
          <w:rFonts w:ascii="Arial" w:eastAsia="Arial" w:hAnsi="Arial" w:cs="Arial"/>
          <w:sz w:val="20"/>
          <w:szCs w:val="20"/>
          <w:highlight w:val="lightGray"/>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todo caso el proponente que resultare adjudicatario de más de un LOTE deberá tener el Capital de Trabajo según lo requerido para cada uno de ellos.</w:t>
      </w:r>
    </w:p>
    <w:p w:rsidR="00C0159A" w:rsidRDefault="00C0159A">
      <w:pPr>
        <w:spacing w:after="0" w:line="240" w:lineRule="auto"/>
        <w:jc w:val="both"/>
        <w:rPr>
          <w:rFonts w:ascii="Arial" w:eastAsia="Arial" w:hAnsi="Arial" w:cs="Arial"/>
          <w:sz w:val="20"/>
          <w:szCs w:val="20"/>
          <w:highlight w:val="lightGray"/>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0" w:name="_heading=h.macqonxowek1" w:colFirst="0" w:colLast="0"/>
      <w:bookmarkEnd w:id="30"/>
      <w:r>
        <w:rPr>
          <w:rFonts w:ascii="Arial" w:eastAsia="Arial" w:hAnsi="Arial" w:cs="Arial"/>
          <w:sz w:val="20"/>
          <w:szCs w:val="20"/>
        </w:rPr>
        <w:t xml:space="preserve">2.7.1. </w:t>
      </w:r>
      <w:r>
        <w:rPr>
          <w:rFonts w:ascii="Arial" w:eastAsia="Arial" w:hAnsi="Arial" w:cs="Arial"/>
          <w:b/>
          <w:bCs/>
          <w:color w:val="000000"/>
          <w:sz w:val="20"/>
          <w:szCs w:val="20"/>
        </w:rPr>
        <w:t>CÁLCULO CAPITAL DE TRABAJO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nuevo cálculo del Capital de Trabajo se realizará al interior de la Entidad y se publicará en el acto administrativo cuando un proponente sea adjudicatario de un lote y pueda ser adjudicatario de otros.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Al Capital de Trabajo aportado por el proponente </w:t>
      </w:r>
      <w:r>
        <w:rPr>
          <w:rFonts w:ascii="Arial" w:eastAsia="Arial" w:hAnsi="Arial" w:cs="Arial"/>
          <w:sz w:val="20"/>
          <w:szCs w:val="20"/>
        </w:rPr>
        <w:t>con la propuesta, se le restará el Capital de Trabajo requerido en el lote del cual fue adjudicatario y se verificará que este valor cumpla con el Capital de Trabajo requerido para el nuevo lote y así sucesivamente para otros lotes, en caso de que se requi</w:t>
      </w:r>
      <w:r>
        <w:rPr>
          <w:rFonts w:ascii="Arial" w:eastAsia="Arial" w:hAnsi="Arial" w:cs="Arial"/>
          <w:sz w:val="20"/>
          <w:szCs w:val="20"/>
        </w:rPr>
        <w:t>era.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de presentarse un empate, la Entidad aplicará el numeral 4.8 del presente documento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Establecido el orden de elegibilidad, la Entidad, por medio de acto administrativo motivado, adjudicará el proceso al Proponente ubicado en el primer lugar d</w:t>
      </w:r>
      <w:r>
        <w:rPr>
          <w:rFonts w:ascii="Arial" w:eastAsia="Arial" w:hAnsi="Arial" w:cs="Arial"/>
          <w:sz w:val="20"/>
          <w:szCs w:val="20"/>
        </w:rPr>
        <w:t>el orden de elegibilidad y cuya oferta económica esté acorde con el Presupuesto Oficial del Proceso de Contratación.</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1" w:name="_heading=h.oxqxy8fft9n6" w:colFirst="0" w:colLast="0"/>
      <w:bookmarkEnd w:id="31"/>
      <w:r>
        <w:rPr>
          <w:rFonts w:ascii="Arial" w:eastAsia="Arial" w:hAnsi="Arial" w:cs="Arial"/>
          <w:sz w:val="20"/>
          <w:szCs w:val="20"/>
        </w:rPr>
        <w:t>2.8.</w:t>
      </w:r>
      <w:r>
        <w:rPr>
          <w:rFonts w:ascii="Arial" w:eastAsia="Arial" w:hAnsi="Arial" w:cs="Arial"/>
          <w:b/>
          <w:bCs/>
          <w:sz w:val="20"/>
          <w:szCs w:val="20"/>
        </w:rPr>
        <w:t xml:space="preserve"> </w:t>
      </w:r>
      <w:r>
        <w:rPr>
          <w:rFonts w:ascii="Arial" w:eastAsia="Arial" w:hAnsi="Arial" w:cs="Arial"/>
          <w:b/>
          <w:bCs/>
          <w:color w:val="000000"/>
          <w:sz w:val="20"/>
          <w:szCs w:val="20"/>
        </w:rPr>
        <w:t>PROPUESTAS PARCIALES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No se admitirán las propuestas parciales, esto es, las presentadas para una parte del objeto o del alcance del </w:t>
      </w:r>
      <w:r>
        <w:rPr>
          <w:rFonts w:ascii="Arial" w:eastAsia="Arial" w:hAnsi="Arial" w:cs="Arial"/>
          <w:sz w:val="20"/>
          <w:szCs w:val="20"/>
        </w:rPr>
        <w:t>contrato, a menos que se establezca esta posibilidad en el Pliego de Condiciones.  De igual forma se debe tener en cuenta la definición establecida en el Anexo 3 – Glosario sobre este tema.</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2" w:name="_heading=h.u5u8atrdncbs" w:colFirst="0" w:colLast="0"/>
      <w:bookmarkEnd w:id="32"/>
      <w:r>
        <w:rPr>
          <w:rFonts w:ascii="Arial" w:eastAsia="Arial" w:hAnsi="Arial" w:cs="Arial"/>
          <w:sz w:val="20"/>
          <w:szCs w:val="20"/>
        </w:rPr>
        <w:t xml:space="preserve">2.9. </w:t>
      </w:r>
      <w:r>
        <w:rPr>
          <w:rFonts w:ascii="Arial" w:eastAsia="Arial" w:hAnsi="Arial" w:cs="Arial"/>
          <w:b/>
          <w:bCs/>
          <w:color w:val="000000"/>
          <w:sz w:val="20"/>
          <w:szCs w:val="20"/>
        </w:rPr>
        <w:t>PROPUESTAS ALTERNATIVAS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este procedimiento de selecció</w:t>
      </w:r>
      <w:r>
        <w:rPr>
          <w:rFonts w:ascii="Arial" w:eastAsia="Arial" w:hAnsi="Arial" w:cs="Arial"/>
          <w:sz w:val="20"/>
          <w:szCs w:val="20"/>
        </w:rPr>
        <w:t>n no se admite la presentación de ofertas alternativas</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3" w:name="_heading=h.6jcpho5wy7t3" w:colFirst="0" w:colLast="0"/>
      <w:bookmarkEnd w:id="33"/>
      <w:r>
        <w:rPr>
          <w:rFonts w:ascii="Arial" w:eastAsia="Arial" w:hAnsi="Arial" w:cs="Arial"/>
          <w:sz w:val="20"/>
          <w:szCs w:val="20"/>
        </w:rPr>
        <w:t xml:space="preserve">2.10. </w:t>
      </w:r>
      <w:r>
        <w:rPr>
          <w:rFonts w:ascii="Arial" w:eastAsia="Arial" w:hAnsi="Arial" w:cs="Arial"/>
          <w:b/>
          <w:bCs/>
          <w:color w:val="000000"/>
          <w:sz w:val="20"/>
          <w:szCs w:val="20"/>
        </w:rPr>
        <w:t xml:space="preserve">REGLAS PARA LOS PROCESOS ESTRUCTURADOS POR LOTES O SEGMENTOS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Cuando el Proceso de Contratación se estructure por lotes o por segmentos, se aplicarán las siguientes reglas, además de las previs</w:t>
      </w:r>
      <w:r>
        <w:rPr>
          <w:rFonts w:ascii="Arial" w:eastAsia="Arial" w:hAnsi="Arial" w:cs="Arial"/>
          <w:sz w:val="20"/>
          <w:szCs w:val="20"/>
        </w:rPr>
        <w:t xml:space="preserve">tas en otros numerales del presente documento: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(o integrante de un proponente plural) puede presentar oferta a uno o a varios LOTES, sin embargo, el proponente (o integrante de un proponente plural) que se presente a más de un LOTE, sólo podrá ser adjudicatario de uno de ellos (Esta regla</w:t>
      </w:r>
      <w:r>
        <w:rPr>
          <w:rFonts w:ascii="Arial" w:eastAsia="Arial" w:hAnsi="Arial" w:cs="Arial"/>
          <w:color w:val="000000"/>
          <w:sz w:val="20"/>
          <w:szCs w:val="20"/>
        </w:rPr>
        <w:t xml:space="preserve"> tiene las excepciones que se indican en el literal E. de este mismo numeral).</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los contratos aportados como experiencia se debe acreditar que el valor total de estos es mayor o igual al 100 % del valor total del Presupuesto Oficial establecido para cada</w:t>
      </w:r>
      <w:r>
        <w:rPr>
          <w:rFonts w:ascii="Arial" w:eastAsia="Arial" w:hAnsi="Arial" w:cs="Arial"/>
          <w:color w:val="000000"/>
          <w:sz w:val="20"/>
          <w:szCs w:val="20"/>
        </w:rPr>
        <w:t xml:space="preserve"> lote o segmento.</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que debe acreditar el Proponente será la establecida de forma independiente para cada lote o segmento, de acuerdo con las actividades definidas en la “Matriz 1 – Experiencia”, en el literal A de la sección 10.1.1. del Plieg</w:t>
      </w:r>
      <w:r>
        <w:rPr>
          <w:rFonts w:ascii="Arial" w:eastAsia="Arial" w:hAnsi="Arial" w:cs="Arial"/>
          <w:color w:val="000000"/>
          <w:sz w:val="20"/>
          <w:szCs w:val="20"/>
        </w:rPr>
        <w:t>o de Condiciones.</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parámetros que se seguirá para establecer el orden de elegibilidad de los lotes o segmentos que conforman el Proceso de Contratación será el señalado por la Entidad en el numeral 2.7. del Pliego de Condiciones.</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seleccion</w:t>
      </w:r>
      <w:r>
        <w:rPr>
          <w:rFonts w:ascii="Arial" w:eastAsia="Arial" w:hAnsi="Arial" w:cs="Arial"/>
          <w:color w:val="000000"/>
          <w:sz w:val="20"/>
          <w:szCs w:val="20"/>
        </w:rPr>
        <w:t xml:space="preserve">ado debe incluirse en los demás órdenes de elegibilidad en los cuales se encuentre habilitado y, de resultar ubicado en el primer orden de elegibilidad de estos lotes o segmentos, se adjudicará al Proponente instalado en el segundo orden de elegibilidad y </w:t>
      </w:r>
      <w:r>
        <w:rPr>
          <w:rFonts w:ascii="Arial" w:eastAsia="Arial" w:hAnsi="Arial" w:cs="Arial"/>
          <w:color w:val="000000"/>
          <w:sz w:val="20"/>
          <w:szCs w:val="20"/>
        </w:rPr>
        <w:t>así sucesivamente. En los eventos en los cuales no existan más Proponentes a quienes adjudicar los lotes o los segmentos restantes del Proceso de Contratación, se podrá adjudicar a un mismo Proponente más de un (1) lotes o segmentos, siempre y cuando cumpl</w:t>
      </w:r>
      <w:r>
        <w:rPr>
          <w:rFonts w:ascii="Arial" w:eastAsia="Arial" w:hAnsi="Arial" w:cs="Arial"/>
          <w:color w:val="000000"/>
          <w:sz w:val="20"/>
          <w:szCs w:val="20"/>
        </w:rPr>
        <w:t>a con los requisitos establecidos en el Pliego de Condiciones.</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verificará que el Proponente cumpla con el capital de trabajo para resultar adjudicatario de un lote o segmento adicional. </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indicar en el “Formato 1 – Carta de pre</w:t>
      </w:r>
      <w:r>
        <w:rPr>
          <w:rFonts w:ascii="Arial" w:eastAsia="Arial" w:hAnsi="Arial" w:cs="Arial"/>
          <w:color w:val="000000"/>
          <w:sz w:val="20"/>
          <w:szCs w:val="20"/>
        </w:rPr>
        <w:t>sentación de la oferta” y en el “Formato 2 – Conformación de Proponente Plural”, el lote/segmentos o lotes/segmentos a los cuales allega oferta.</w:t>
      </w:r>
    </w:p>
    <w:p w:rsidR="00C0159A" w:rsidRDefault="00244C46">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definir el método de ponderación de la oferta, se aplicarán las reglas definidas en el numeral 4.1. de est</w:t>
      </w:r>
      <w:r>
        <w:rPr>
          <w:rFonts w:ascii="Arial" w:eastAsia="Arial" w:hAnsi="Arial" w:cs="Arial"/>
          <w:color w:val="000000"/>
          <w:sz w:val="20"/>
          <w:szCs w:val="20"/>
        </w:rPr>
        <w:t>e documento.</w:t>
      </w:r>
    </w:p>
    <w:p w:rsidR="00C0159A" w:rsidRDefault="00C0159A">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C0159A" w:rsidRDefault="00C0159A">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C0159A" w:rsidRDefault="00C0159A">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C0159A" w:rsidRDefault="00244C46">
      <w:pPr>
        <w:spacing w:after="0" w:line="240" w:lineRule="auto"/>
        <w:rPr>
          <w:rFonts w:ascii="Arial" w:eastAsia="Arial" w:hAnsi="Arial" w:cs="Arial"/>
          <w:b/>
          <w:bCs/>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34" w:name="_heading=h.9qa0fb1cv7z" w:colFirst="0" w:colLast="0"/>
      <w:bookmarkEnd w:id="34"/>
      <w:r>
        <w:rPr>
          <w:rFonts w:ascii="Arial" w:eastAsia="Arial" w:hAnsi="Arial" w:cs="Arial"/>
          <w:b/>
          <w:bCs/>
          <w:color w:val="000000"/>
          <w:sz w:val="20"/>
          <w:szCs w:val="20"/>
        </w:rPr>
        <w:lastRenderedPageBreak/>
        <w:t>REQUISITOS HABILITANTES Y SU VERIFICACIÓN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verificará los requisitos habilitantes dentro del término señalado en el Cronograma del Pliego de Condiciones, de acuerdo con los soportes documentales que acompañan la propuesta presentada.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requisitos habilitantes serán objeto de verifica</w:t>
      </w:r>
      <w:r>
        <w:rPr>
          <w:rFonts w:ascii="Arial" w:eastAsia="Arial" w:hAnsi="Arial" w:cs="Arial"/>
          <w:color w:val="000000"/>
          <w:sz w:val="20"/>
          <w:szCs w:val="20"/>
        </w:rPr>
        <w:t xml:space="preserve">ción. Por lo tanto, si la propuesta cumple con todos los aspectos se evaluarán como “cumple”. En caso contrario se evaluará como “no cumple”.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conformidad con la normativa aplicable, la Entidad realizará la verificación de requisitos habilitantes de lo</w:t>
      </w:r>
      <w:r>
        <w:rPr>
          <w:rFonts w:ascii="Arial" w:eastAsia="Arial" w:hAnsi="Arial" w:cs="Arial"/>
          <w:color w:val="000000"/>
          <w:sz w:val="20"/>
          <w:szCs w:val="20"/>
        </w:rPr>
        <w:t>s Proponentes (personas naturales o jurídicas nacionales o extranjeras domiciliadas o con Sucursal en Colombia, Proponentes Plurales) con base en la información contenida en el Registro Único de Proponentes (RUP) y los documentos señalados en los Documento</w:t>
      </w:r>
      <w:r>
        <w:rPr>
          <w:rFonts w:ascii="Arial" w:eastAsia="Arial" w:hAnsi="Arial" w:cs="Arial"/>
          <w:color w:val="000000"/>
          <w:sz w:val="20"/>
          <w:szCs w:val="20"/>
        </w:rPr>
        <w:t xml:space="preserve">s Tipo.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podrá exigir requisitos habilitantes diferentes a los señalados en los Documentos Tipo.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5" w:name="_heading=h.alei3d3u19d0" w:colFirst="0" w:colLast="0"/>
      <w:bookmarkEnd w:id="35"/>
      <w:r>
        <w:rPr>
          <w:rFonts w:ascii="Arial" w:eastAsia="Arial" w:hAnsi="Arial" w:cs="Arial"/>
          <w:sz w:val="20"/>
          <w:szCs w:val="20"/>
        </w:rPr>
        <w:t xml:space="preserve">3.1. </w:t>
      </w:r>
      <w:r>
        <w:rPr>
          <w:rFonts w:ascii="Arial" w:eastAsia="Arial" w:hAnsi="Arial" w:cs="Arial"/>
          <w:b/>
          <w:bCs/>
          <w:color w:val="000000"/>
          <w:sz w:val="20"/>
          <w:szCs w:val="20"/>
        </w:rPr>
        <w:t>GENERALIDADES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Únicamente se considerarán habilitados aquellos Proponentes que cumplan todos los requisitos habilitantes según lo señalado en el Pliego de Condiciones.</w:t>
      </w:r>
    </w:p>
    <w:p w:rsidR="00C0159A" w:rsidRDefault="00244C46">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caso de Proponentes Plurales, los requisitos habilitantes serán acreditados por cada uno de los i</w:t>
      </w:r>
      <w:r>
        <w:rPr>
          <w:rFonts w:ascii="Arial" w:eastAsia="Arial" w:hAnsi="Arial" w:cs="Arial"/>
          <w:color w:val="000000"/>
          <w:sz w:val="20"/>
          <w:szCs w:val="20"/>
        </w:rPr>
        <w:t>ntegrantes de la figura asociativa, salvo que se entienda algo distinto y, en todo caso, de acuerdo con las reglas del Pliego de Condiciones.</w:t>
      </w:r>
    </w:p>
    <w:p w:rsidR="00C0159A" w:rsidRDefault="00244C46">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Todos los Proponentes deben diligenciar el “Formato 3 - Experiencia” y los Proponentes extranjeros sin domicilio o</w:t>
      </w:r>
      <w:r>
        <w:rPr>
          <w:rFonts w:ascii="Arial" w:eastAsia="Arial" w:hAnsi="Arial" w:cs="Arial"/>
          <w:color w:val="000000"/>
          <w:sz w:val="20"/>
          <w:szCs w:val="20"/>
        </w:rPr>
        <w:t xml:space="preserve"> sin Sucursal en Colombia tendrán que diligenciar el “Formato 4 – Capacidad Financiera y organizacional (personas naturales o jurídicas extranjeras sin domicilio o sucursal en Colombia)” y adjuntar los soportes que ahí se definen. </w:t>
      </w:r>
    </w:p>
    <w:p w:rsidR="00C0159A" w:rsidRDefault="00244C46">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obligados a estar inscritos en el Registro Único de Proponentes (RUP), deberán aportar el certificado con fecha de expedición no mayor a treinta (30) días calendario anteriores a la fecha de cierre del Proceso de Contratación. En caso de mo</w:t>
      </w:r>
      <w:r>
        <w:rPr>
          <w:rFonts w:ascii="Arial" w:eastAsia="Arial" w:hAnsi="Arial" w:cs="Arial"/>
          <w:color w:val="000000"/>
          <w:sz w:val="20"/>
          <w:szCs w:val="20"/>
        </w:rPr>
        <w:t>dificarse la fecha de cierre del Proceso de Contratación, se tendrá como referencia para establecer el plazo de vigencia del certificado la fecha originalmente determinada en el Pliego de Condiciones.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6" w:name="_heading=h.4ysmy9xbczwl" w:colFirst="0" w:colLast="0"/>
      <w:bookmarkEnd w:id="36"/>
      <w:r>
        <w:rPr>
          <w:rFonts w:ascii="Arial" w:eastAsia="Arial" w:hAnsi="Arial" w:cs="Arial"/>
          <w:sz w:val="20"/>
          <w:szCs w:val="20"/>
        </w:rPr>
        <w:t xml:space="preserve">3.2. </w:t>
      </w:r>
      <w:r>
        <w:rPr>
          <w:rFonts w:ascii="Arial" w:eastAsia="Arial" w:hAnsi="Arial" w:cs="Arial"/>
          <w:b/>
          <w:bCs/>
          <w:color w:val="000000"/>
          <w:sz w:val="20"/>
          <w:szCs w:val="20"/>
        </w:rPr>
        <w:t>CAPACIDAD JURÍDICA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interesados podrán partic</w:t>
      </w:r>
      <w:r>
        <w:rPr>
          <w:rFonts w:ascii="Arial" w:eastAsia="Arial" w:hAnsi="Arial" w:cs="Arial"/>
          <w:color w:val="000000"/>
          <w:sz w:val="20"/>
          <w:szCs w:val="20"/>
        </w:rPr>
        <w:t>ipar como Proponentes bajo alguna de las siguientes modalidades, siempre y cuando cumplan los requisitos exigidos en el Pliego de Condiciones: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Individualmente, como: a) personas naturales nacionales o extranjeras, b) personas jurídicas nacionales o extranjeras.</w:t>
      </w:r>
    </w:p>
    <w:p w:rsidR="00C0159A" w:rsidRDefault="00244C46">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Conjuntamente, como Proponentes Plurales en cualquiera de las formas de asociación previstas en el artículo 7 de la Ley 80 de 1993.</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w:t>
      </w:r>
      <w:r>
        <w:rPr>
          <w:rFonts w:ascii="Arial" w:eastAsia="Arial" w:hAnsi="Arial" w:cs="Arial"/>
          <w:color w:val="000000"/>
          <w:sz w:val="20"/>
          <w:szCs w:val="20"/>
        </w:rPr>
        <w:t>proponentes deben: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presentar la oferta.</w:t>
      </w: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celebrar y ejecutar el contrato.</w:t>
      </w: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estar incursos en ninguna de las circunstancias de inhabilidad, incompatibilidad, Conflicto de Interés o prohibición pr</w:t>
      </w:r>
      <w:r>
        <w:rPr>
          <w:rFonts w:ascii="Arial" w:eastAsia="Arial" w:hAnsi="Arial" w:cs="Arial"/>
          <w:color w:val="000000"/>
          <w:sz w:val="20"/>
          <w:szCs w:val="20"/>
        </w:rPr>
        <w:t>evistas en la Constitución y en la ley para contratar con el Estado, o en la causal dispuesta en el numeral 1.14 del Pliego de Condiciones.</w:t>
      </w: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No estar reportados en el último boletín de responsables fiscales vigente publicado por la Contraloría General de la</w:t>
      </w:r>
      <w:r>
        <w:rPr>
          <w:rFonts w:ascii="Arial" w:eastAsia="Arial" w:hAnsi="Arial" w:cs="Arial"/>
          <w:color w:val="000000"/>
          <w:sz w:val="20"/>
          <w:szCs w:val="20"/>
        </w:rPr>
        <w:t xml:space="preserve"> República. Esta disposición aplica para el Proponente y los integrantes de un Proponente Plural con domicilio en Colombia. Tratándose de Proponentes Extranjeros sin domicilio o sin Sucursal en Colombia, deberán declarar que no son responsables fiscales po</w:t>
      </w:r>
      <w:r>
        <w:rPr>
          <w:rFonts w:ascii="Arial" w:eastAsia="Arial" w:hAnsi="Arial" w:cs="Arial"/>
          <w:color w:val="000000"/>
          <w:sz w:val="20"/>
          <w:szCs w:val="20"/>
        </w:rPr>
        <w:t>r actividades ejercidas en Colombia en el pasado y que no tienen sanciones vigentes en Colombia que implique inhabilidad para contratar con el Estado.</w:t>
      </w: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el certificado del Registro de Deudores Alimentarios Morosos – REDAM en el cual demuestre no es</w:t>
      </w:r>
      <w:r>
        <w:rPr>
          <w:rFonts w:ascii="Arial" w:eastAsia="Arial" w:hAnsi="Arial" w:cs="Arial"/>
          <w:color w:val="000000"/>
          <w:sz w:val="20"/>
          <w:szCs w:val="20"/>
        </w:rPr>
        <w:t>tar inhabilitado en los términos de la Ley 2097 de 2021.</w:t>
      </w:r>
    </w:p>
    <w:p w:rsidR="00C0159A" w:rsidRDefault="00244C46">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w:t>
      </w:r>
      <w:r>
        <w:rPr>
          <w:rFonts w:ascii="Arial" w:eastAsia="Arial" w:hAnsi="Arial" w:cs="Arial"/>
          <w:color w:val="000000"/>
          <w:sz w:val="20"/>
          <w:szCs w:val="20"/>
        </w:rPr>
        <w:t>olíticas públicas y disposiciones distritales vigentes,  expedidas por la Alcaldía Mayor de Bogotá, relacionadas con la  prevención de la opacidad, el soborno, el fraude, la corrupción administrativa, el Lavado de Activos, la Financiación del Terrorismo, l</w:t>
      </w:r>
      <w:r>
        <w:rPr>
          <w:rFonts w:ascii="Arial" w:eastAsia="Arial" w:hAnsi="Arial" w:cs="Arial"/>
          <w:color w:val="000000"/>
          <w:sz w:val="20"/>
          <w:szCs w:val="20"/>
        </w:rPr>
        <w:t>a Proliferación de Armas de Destrucción Masiva y las faltas a la Ética Púbica.</w:t>
      </w:r>
    </w:p>
    <w:p w:rsidR="00C0159A" w:rsidRDefault="00C0159A">
      <w:pPr>
        <w:pBdr>
          <w:top w:val="nil"/>
          <w:left w:val="nil"/>
          <w:bottom w:val="nil"/>
          <w:right w:val="nil"/>
          <w:between w:val="nil"/>
        </w:pBdr>
        <w:spacing w:after="0" w:line="240" w:lineRule="auto"/>
        <w:ind w:left="720"/>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w:t>
      </w:r>
      <w:r>
        <w:rPr>
          <w:rFonts w:ascii="Arial" w:eastAsia="Arial" w:hAnsi="Arial" w:cs="Arial"/>
          <w:color w:val="000000"/>
          <w:sz w:val="20"/>
          <w:szCs w:val="20"/>
        </w:rPr>
        <w:t>ue le sea suministrada por cualquier ciudadano o por las personas naturales, personas jurídicas y/o estructuras societarias sin personería jurídica, que tengan o llegaren a tener un vínculo contractual, legal, o de cualquier índole con la Entidad. Esta con</w:t>
      </w:r>
      <w:r>
        <w:rPr>
          <w:rFonts w:ascii="Arial" w:eastAsia="Arial" w:hAnsi="Arial" w:cs="Arial"/>
          <w:color w:val="000000"/>
          <w:sz w:val="20"/>
          <w:szCs w:val="20"/>
        </w:rPr>
        <w:t>sulta podrá realizarse de manera potestativa al proponente (persona natural o jurídica), representantes legales, sus accionistas o socios, indicados en el Formato 1 – Carta de Presentación.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la Entidad podrá, en todo momento, requerir do</w:t>
      </w:r>
      <w:r>
        <w:rPr>
          <w:rFonts w:ascii="Arial" w:eastAsia="Arial" w:hAnsi="Arial" w:cs="Arial"/>
          <w:color w:val="000000"/>
          <w:sz w:val="20"/>
          <w:szCs w:val="20"/>
        </w:rPr>
        <w:t>cumentación, información, revelaciones o declaraciones adicionales, que le permitan el conocimiento de la parte relacionada, un adecuado proceso de debida diligencia, gestión de alertas y monitoreo; así como un reporte a las autoridades de Inspección, cont</w:t>
      </w:r>
      <w:r>
        <w:rPr>
          <w:rFonts w:ascii="Arial" w:eastAsia="Arial" w:hAnsi="Arial" w:cs="Arial"/>
          <w:color w:val="000000"/>
          <w:sz w:val="20"/>
          <w:szCs w:val="20"/>
        </w:rPr>
        <w:t>rol y vigilancia competentes, en caso de que se requiera.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Finalmente, el proponente, acepta que atenderá las solicitudes de información que eleve la entidad, a través del Comité de Evaluación o el Equipo Operativo SARLAFT o del Oficial de Cumplimiento, o </w:t>
      </w:r>
      <w:r>
        <w:rPr>
          <w:rFonts w:ascii="Arial" w:eastAsia="Arial" w:hAnsi="Arial" w:cs="Arial"/>
          <w:color w:val="000000"/>
          <w:sz w:val="20"/>
          <w:szCs w:val="20"/>
        </w:rPr>
        <w:t>de la instancia que corresponda de resultar ser el contratista seleccionado, y que conoce y acepta las consecuencias de suministrar información inconsistente, parcial o que no responda con la realidad en el trámite del proceso de selección o en la ejecució</w:t>
      </w:r>
      <w:r>
        <w:rPr>
          <w:rFonts w:ascii="Arial" w:eastAsia="Arial" w:hAnsi="Arial" w:cs="Arial"/>
          <w:color w:val="000000"/>
          <w:sz w:val="20"/>
          <w:szCs w:val="20"/>
        </w:rPr>
        <w:t>n del contrato.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debe consultar los Antecedentes Judiciales en línea en los registros de las bases de datos, al igual que los Antecedentes Fiscales, acorde con el artículo 60 de la Ley 610 de 2000, los Antecedentes Disciplinarios, según el artículo 1 de la Ley 1</w:t>
      </w:r>
      <w:r>
        <w:rPr>
          <w:rFonts w:ascii="Arial" w:eastAsia="Arial" w:hAnsi="Arial" w:cs="Arial"/>
          <w:color w:val="000000"/>
          <w:sz w:val="20"/>
          <w:szCs w:val="20"/>
        </w:rPr>
        <w:t>238 de 2008 y el Registro Nacional de Medidas Correctivas del Ministerio de Defensa Nacional – Policía Nacional, de acuerdo con lo dispuesto en el artículo 183 de la Ley 1801 de 2016 –Código Nacional de Seguridad y Convivencia-.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7" w:name="_heading=h.lce5zzraly9m" w:colFirst="0" w:colLast="0"/>
      <w:bookmarkEnd w:id="37"/>
      <w:r>
        <w:rPr>
          <w:rFonts w:ascii="Arial" w:eastAsia="Arial" w:hAnsi="Arial" w:cs="Arial"/>
          <w:sz w:val="20"/>
          <w:szCs w:val="20"/>
        </w:rPr>
        <w:t xml:space="preserve">3.3. </w:t>
      </w:r>
      <w:r>
        <w:rPr>
          <w:rFonts w:ascii="Arial" w:eastAsia="Arial" w:hAnsi="Arial" w:cs="Arial"/>
          <w:b/>
          <w:bCs/>
          <w:color w:val="000000"/>
          <w:sz w:val="20"/>
          <w:szCs w:val="20"/>
        </w:rPr>
        <w:t>EXISTENCIA Y REPRESEN</w:t>
      </w:r>
      <w:r>
        <w:rPr>
          <w:rFonts w:ascii="Arial" w:eastAsia="Arial" w:hAnsi="Arial" w:cs="Arial"/>
          <w:b/>
          <w:bCs/>
          <w:color w:val="000000"/>
          <w:sz w:val="20"/>
          <w:szCs w:val="20"/>
        </w:rPr>
        <w:t>TACIÓN LEGAL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existencia y representación legal de los Proponentes individuales o integrantes de los Proponentes Plurales se acreditará de acuerdo con las siguientes reglas: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8" w:name="_heading=h.jvhdjjonept3" w:colFirst="0" w:colLast="0"/>
      <w:bookmarkEnd w:id="38"/>
      <w:r>
        <w:rPr>
          <w:rFonts w:ascii="Arial" w:eastAsia="Arial" w:hAnsi="Arial" w:cs="Arial"/>
          <w:sz w:val="20"/>
          <w:szCs w:val="20"/>
        </w:rPr>
        <w:t xml:space="preserve">3.3.1 </w:t>
      </w:r>
      <w:r>
        <w:rPr>
          <w:rFonts w:ascii="Arial" w:eastAsia="Arial" w:hAnsi="Arial" w:cs="Arial"/>
          <w:b/>
          <w:bCs/>
          <w:color w:val="000000"/>
          <w:sz w:val="20"/>
          <w:szCs w:val="20"/>
        </w:rPr>
        <w:t>PERSONAS NATURALES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Deben presentar los siguientes documentos en copia s</w:t>
      </w:r>
      <w:r>
        <w:rPr>
          <w:rFonts w:ascii="Arial" w:eastAsia="Arial" w:hAnsi="Arial" w:cs="Arial"/>
          <w:color w:val="000000"/>
          <w:sz w:val="20"/>
          <w:szCs w:val="20"/>
        </w:rPr>
        <w:t xml:space="preserve">imple: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de nacionalidad colombiana: cédula de ciudadanía.</w:t>
      </w:r>
    </w:p>
    <w:p w:rsidR="00C0159A" w:rsidRDefault="00244C46">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con residencia en Colombia: cédula de extranjería vigente expedida por la autoridad competente. </w:t>
      </w:r>
    </w:p>
    <w:p w:rsidR="00C0159A" w:rsidRDefault="00244C46">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sin domicilio en Colombia: pasaporte.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39" w:name="_heading=h.c8553hlkr6j6" w:colFirst="0" w:colLast="0"/>
      <w:bookmarkEnd w:id="39"/>
      <w:r>
        <w:rPr>
          <w:rFonts w:ascii="Arial" w:eastAsia="Arial" w:hAnsi="Arial" w:cs="Arial"/>
          <w:sz w:val="20"/>
          <w:szCs w:val="20"/>
        </w:rPr>
        <w:t>3.3.2.</w:t>
      </w:r>
      <w:r>
        <w:rPr>
          <w:rFonts w:ascii="Arial" w:eastAsia="Arial" w:hAnsi="Arial" w:cs="Arial"/>
          <w:b/>
          <w:bCs/>
          <w:sz w:val="20"/>
          <w:szCs w:val="20"/>
        </w:rPr>
        <w:t xml:space="preserve"> </w:t>
      </w:r>
      <w:r>
        <w:rPr>
          <w:rFonts w:ascii="Arial" w:eastAsia="Arial" w:hAnsi="Arial" w:cs="Arial"/>
          <w:b/>
          <w:bCs/>
          <w:color w:val="000000"/>
          <w:sz w:val="20"/>
          <w:szCs w:val="20"/>
        </w:rPr>
        <w:t>PERSONAS JURÍDICAS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nacional o extranjera con Sucursal en Colombia:</w:t>
      </w:r>
    </w:p>
    <w:p w:rsidR="00C0159A" w:rsidRDefault="00244C46">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Certificado de existencia y representación legal expedido por la cámara de comercio o autoridad competente en el que se verificará:</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de Contratación, se tendrá como referencia para establecer el pla</w:t>
      </w:r>
      <w:r>
        <w:rPr>
          <w:rFonts w:ascii="Arial" w:eastAsia="Arial" w:hAnsi="Arial" w:cs="Arial"/>
          <w:color w:val="000000"/>
          <w:sz w:val="20"/>
          <w:szCs w:val="20"/>
        </w:rPr>
        <w:t>zo de vigencia del certificado de existencia y representación legal la fecha originalmente contemplada en el Pliego de Condiciones.</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Que el objeto de la sociedad permita ejecutar las actividades descritas en el objeto del Proceso de Contratación. </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Las perso</w:t>
      </w:r>
      <w:r>
        <w:rPr>
          <w:rFonts w:ascii="Arial" w:eastAsia="Arial" w:hAnsi="Arial" w:cs="Arial"/>
          <w:color w:val="000000"/>
          <w:sz w:val="20"/>
          <w:szCs w:val="20"/>
        </w:rPr>
        <w:t xml:space="preserve">nas jurídicas nacionales y extranjeras deberán acreditar que su duración no será inferior a la del plazo del contrato y un año más. </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Si el representante legal tiene restricciones para contraer obligaciones en nombre de la sociedad, deberá acreditar su capa</w:t>
      </w:r>
      <w:r>
        <w:rPr>
          <w:rFonts w:ascii="Arial" w:eastAsia="Arial" w:hAnsi="Arial" w:cs="Arial"/>
          <w:color w:val="000000"/>
          <w:sz w:val="20"/>
          <w:szCs w:val="20"/>
        </w:rPr>
        <w:t xml:space="preserve">cidad mediante una autorización suficiente otorgada por el órgano social competente respectivo. </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deba contar con uno.</w:t>
      </w:r>
    </w:p>
    <w:p w:rsidR="00C0159A" w:rsidRDefault="00244C46">
      <w:pPr>
        <w:numPr>
          <w:ilvl w:val="1"/>
          <w:numId w:val="58"/>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Que las personas jurídicas extranjeras con actividades permanentes en la República de Co</w:t>
      </w:r>
      <w:r>
        <w:rPr>
          <w:rFonts w:ascii="Arial" w:eastAsia="Arial" w:hAnsi="Arial" w:cs="Arial"/>
          <w:color w:val="000000"/>
          <w:sz w:val="20"/>
          <w:szCs w:val="20"/>
        </w:rPr>
        <w:t>lombia (contratos de obra o de servicios) deberán estar legalmente establecidas en el territorio nacional de acuerdo con los artículos 471 y 474 del Código de Comercio.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Certificación del revisor fiscal, en caso de ser sociedad anónima colombiana, en la qu</w:t>
      </w:r>
      <w:r>
        <w:rPr>
          <w:rFonts w:ascii="Arial" w:eastAsia="Arial" w:hAnsi="Arial" w:cs="Arial"/>
          <w:color w:val="000000"/>
          <w:sz w:val="20"/>
          <w:szCs w:val="20"/>
        </w:rPr>
        <w:t>e conste si es abierta o cerrada.</w:t>
      </w:r>
    </w:p>
    <w:p w:rsidR="00C0159A" w:rsidRDefault="00244C46">
      <w:pPr>
        <w:numPr>
          <w:ilvl w:val="0"/>
          <w:numId w:val="8"/>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Fotocopia del documento de identificación del representante legal.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rsidR="00C0159A" w:rsidRDefault="00C0159A">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la oferta es suscrita por una p</w:t>
      </w:r>
      <w:r>
        <w:rPr>
          <w:rFonts w:ascii="Arial" w:eastAsia="Arial" w:hAnsi="Arial" w:cs="Arial"/>
          <w:color w:val="000000"/>
          <w:sz w:val="20"/>
          <w:szCs w:val="20"/>
        </w:rPr>
        <w:t>ersona jurídica extranjera a través de la Sucursal que está debidamente constituida en Colombia, se deberá acreditar la capacidad legal de la Sucursal y de su representante o mandatario mediante la presentación del Registro Único de Proponentes (RUP) de la</w:t>
      </w:r>
      <w:r>
        <w:rPr>
          <w:rFonts w:ascii="Arial" w:eastAsia="Arial" w:hAnsi="Arial" w:cs="Arial"/>
          <w:color w:val="000000"/>
          <w:sz w:val="20"/>
          <w:szCs w:val="20"/>
        </w:rPr>
        <w:t xml:space="preserve"> Sucursal y del certificado de existencia y representación legal entregado por la cámara de comercio respectiva, el cual debe tener una fecha de expedición de máximo de treinta (30) días calendario anteriores a la fecha de cierre del Proceso de Contratació</w:t>
      </w:r>
      <w:r>
        <w:rPr>
          <w:rFonts w:ascii="Arial" w:eastAsia="Arial" w:hAnsi="Arial" w:cs="Arial"/>
          <w:color w:val="000000"/>
          <w:sz w:val="20"/>
          <w:szCs w:val="20"/>
        </w:rPr>
        <w:t>n. En caso de modificarse la fecha de cierre del proceso, se tendrá como referencia para establecer el plazo de vigencia del certificado la fecha originalmente señalada en el Pliego de Condiciones.</w:t>
      </w:r>
    </w:p>
    <w:p w:rsidR="00C0159A" w:rsidRDefault="00C0159A">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Cuando el representante legal de la Sucursal tenga restri</w:t>
      </w:r>
      <w:r>
        <w:rPr>
          <w:rFonts w:ascii="Arial" w:eastAsia="Arial" w:hAnsi="Arial" w:cs="Arial"/>
          <w:color w:val="000000"/>
          <w:sz w:val="20"/>
          <w:szCs w:val="20"/>
        </w:rPr>
        <w:t>cciones para contraer obligaciones, deberá acreditar autorización suficiente del órgano social respectivo para contraer obligaciones en nombre de la sociedad. La ausencia definitiva de autorización suficiente o no aportar dicho documento, una vez solicitad</w:t>
      </w:r>
      <w:r>
        <w:rPr>
          <w:rFonts w:ascii="Arial" w:eastAsia="Arial" w:hAnsi="Arial" w:cs="Arial"/>
          <w:color w:val="000000"/>
          <w:sz w:val="20"/>
          <w:szCs w:val="20"/>
        </w:rPr>
        <w:t>o por la Entidad, determinará la falta de capacidad jurídica para presentar la oferta.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extranjera sin Sucursal o domicilio en Colombia: Documentos que acrediten la existencia y representación legal de la sociedad extranjera, legalizados d</w:t>
      </w:r>
      <w:r>
        <w:rPr>
          <w:rFonts w:ascii="Arial" w:eastAsia="Arial" w:hAnsi="Arial" w:cs="Arial"/>
          <w:color w:val="000000"/>
          <w:sz w:val="20"/>
          <w:szCs w:val="20"/>
        </w:rPr>
        <w:t>e conformidad con lo establecido en el presente Pliego de Condiciones, en los que deben constar como mínimo los siguientes aspectos: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o razón social completa.</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del representante legal o de la persona facultada para comprometer a la persona jurídica.</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Que el objeto de la sociedad permita ejecutar las actividades descritas en el objeto del Proceso de Contratación.</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Facultades del representante legal o de la persona designada para comprometer a la persona jurídica, en la que se señale expresamente que el r</w:t>
      </w:r>
      <w:r>
        <w:rPr>
          <w:rFonts w:ascii="Arial" w:eastAsia="Arial" w:hAnsi="Arial" w:cs="Arial"/>
          <w:color w:val="000000"/>
          <w:sz w:val="20"/>
          <w:szCs w:val="20"/>
        </w:rPr>
        <w:t xml:space="preserve">epresentante no tiene limitaciones para contraer obligaciones en nombre de la misma o aportando la autorización o documento correspondiente del órgano social para cada caso. </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Tipo, número y fecha del documento de constitución o creación. </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Fecha y clase de </w:t>
      </w:r>
      <w:r>
        <w:rPr>
          <w:rFonts w:ascii="Arial" w:eastAsia="Arial" w:hAnsi="Arial" w:cs="Arial"/>
          <w:color w:val="000000"/>
          <w:sz w:val="20"/>
          <w:szCs w:val="20"/>
        </w:rPr>
        <w:t>documento por el cual se reconoce la personería jurídica.</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Acreditar que su duración no será inferior a la del plazo del contrato y un año más. </w:t>
      </w:r>
    </w:p>
    <w:p w:rsidR="00C0159A" w:rsidRDefault="00244C46">
      <w:pPr>
        <w:numPr>
          <w:ilvl w:val="0"/>
          <w:numId w:val="9"/>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Fotocopia del documento de identificación del representante legal.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no existiera ninguna autoridad o Entidad que certifique la totalidad de la información de existencia y representación legal, el Proponente o integrante extranjero del Proponente Plural debe presentar una declaración juramentada de una persona con capaci</w:t>
      </w:r>
      <w:r>
        <w:rPr>
          <w:rFonts w:ascii="Arial" w:eastAsia="Arial" w:hAnsi="Arial" w:cs="Arial"/>
          <w:color w:val="000000"/>
          <w:sz w:val="20"/>
          <w:szCs w:val="20"/>
        </w:rPr>
        <w:t>dad jurídica para vincular y representar a la sociedad en la que conste que: i) no existe autoridad u organismo que certifique lo solicitado en este literal; ii) la información requerida en el presente numeral y iii) la capacidad jurídica para vincular y r</w:t>
      </w:r>
      <w:r>
        <w:rPr>
          <w:rFonts w:ascii="Arial" w:eastAsia="Arial" w:hAnsi="Arial" w:cs="Arial"/>
          <w:color w:val="000000"/>
          <w:sz w:val="20"/>
          <w:szCs w:val="20"/>
        </w:rPr>
        <w:t>epresentar a la sociedad de la persona que efectúa la declaración, así como de las demás personas que puedan representar y vincular a la sociedad, si las hay.</w:t>
      </w:r>
    </w:p>
    <w:p w:rsidR="00C0159A" w:rsidRDefault="00C0159A">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En caso de que la persona jurídica sin sucursal o domicilio en Colombia resulte adjudicata</w:t>
      </w:r>
      <w:r>
        <w:rPr>
          <w:rFonts w:ascii="Arial" w:eastAsia="Arial" w:hAnsi="Arial" w:cs="Arial"/>
          <w:color w:val="000000"/>
          <w:sz w:val="20"/>
          <w:szCs w:val="20"/>
        </w:rPr>
        <w:t>rio del proceso, tanto de forma individual o como integrante de una estructura plural, deberá constituir una sucursal con domicilio en el territorio nacional, lo anterior de acuerdo a lo dispuesto en el artículo 471 y ss. del Código de Comercio.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Entid</w:t>
      </w:r>
      <w:r>
        <w:rPr>
          <w:rFonts w:ascii="Arial" w:eastAsia="Arial" w:hAnsi="Arial" w:cs="Arial"/>
          <w:color w:val="000000"/>
          <w:sz w:val="20"/>
          <w:szCs w:val="20"/>
        </w:rPr>
        <w:t>ades Estatales: Deben presentar los siguientes documentos para acreditar su existencia: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Acto de creación de la Entidad. Este puede ser ley, decreto, ordenanza, acuerdo o certificado de existencia y representación legal (este último no mayor a treinta (30) días calendario anteriores a la fecha de cierre del Proceso de Contratación) o documento</w:t>
      </w:r>
      <w:r>
        <w:rPr>
          <w:rFonts w:ascii="Arial" w:eastAsia="Arial" w:hAnsi="Arial" w:cs="Arial"/>
          <w:color w:val="000000"/>
          <w:sz w:val="20"/>
          <w:szCs w:val="20"/>
        </w:rPr>
        <w:t xml:space="preserve"> equivalente que permita conocer la naturaleza jurídica, funciones, órganos de dirección o régimen jurídico de contratación de la Entidad.</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lastRenderedPageBreak/>
        <w:t>Nota:</w:t>
      </w:r>
      <w:r>
        <w:rPr>
          <w:rFonts w:ascii="Arial" w:eastAsia="Arial" w:hAnsi="Arial" w:cs="Arial"/>
          <w:color w:val="000000"/>
          <w:sz w:val="20"/>
          <w:szCs w:val="20"/>
        </w:rPr>
        <w:t xml:space="preserve"> En el evento de personas jurídicas no obligadas a aportar el certificado de existencia y representación legal,</w:t>
      </w:r>
      <w:r>
        <w:rPr>
          <w:rFonts w:ascii="Arial" w:eastAsia="Arial" w:hAnsi="Arial" w:cs="Arial"/>
          <w:color w:val="000000"/>
          <w:sz w:val="20"/>
          <w:szCs w:val="20"/>
        </w:rPr>
        <w:t xml:space="preserve"> deberán allegar un documento equivalente que acredite su existencia, junto con los documentos que demuestren la capacidad del representante legal de la Entidad o sociedad a contratar, en el cual se verificará: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Fecha de expedición del documento equivalen</w:t>
      </w:r>
      <w:r>
        <w:rPr>
          <w:rFonts w:ascii="Arial" w:eastAsia="Arial" w:hAnsi="Arial" w:cs="Arial"/>
          <w:color w:val="000000"/>
          <w:sz w:val="20"/>
          <w:szCs w:val="20"/>
        </w:rPr>
        <w:t>te que acredite su existencia, con una fecha de expedición no mayor a treinta (30) días calendario anteriores a la fecha de cierre del Proceso de Contratación. En caso de modificarse la fecha de cierre del proceso, se tendrá como referencia para establecer</w:t>
      </w:r>
      <w:r>
        <w:rPr>
          <w:rFonts w:ascii="Arial" w:eastAsia="Arial" w:hAnsi="Arial" w:cs="Arial"/>
          <w:color w:val="000000"/>
          <w:sz w:val="20"/>
          <w:szCs w:val="20"/>
        </w:rPr>
        <w:t xml:space="preserve"> el plazo de vigencia del certificado la fecha originalmente definida en el Pliego de Condiciones.</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incluya todas las actividades principales objeto del proceso. </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duración deberá ser por lo menos igual al plazo estimado del contrato y un (1</w:t>
      </w:r>
      <w:r>
        <w:rPr>
          <w:rFonts w:ascii="Arial" w:eastAsia="Arial" w:hAnsi="Arial" w:cs="Arial"/>
          <w:color w:val="000000"/>
          <w:sz w:val="20"/>
          <w:szCs w:val="20"/>
        </w:rPr>
        <w:t>) año más.</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del Pliego de Condiciones, el plazo de ejecución del contrato será el indicado en el numeral “1.1 Objeto, Presupuesto Oficial, plazo y ubicación”. </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representante legal tiene restricciones para contraer obligaciones en nombre d</w:t>
      </w:r>
      <w:r>
        <w:rPr>
          <w:rFonts w:ascii="Arial" w:eastAsia="Arial" w:hAnsi="Arial" w:cs="Arial"/>
          <w:color w:val="000000"/>
          <w:sz w:val="20"/>
          <w:szCs w:val="20"/>
        </w:rPr>
        <w:t xml:space="preserve">e la misma, deberá acreditar autorización suficiente del órgano social para contraer obligaciones en nombre de la sociedad o de la Entidad. </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ausencia definitiva de autorización suficiente o el no aporte de dicho documento una vez solicitado por la Entid</w:t>
      </w:r>
      <w:r>
        <w:rPr>
          <w:rFonts w:ascii="Arial" w:eastAsia="Arial" w:hAnsi="Arial" w:cs="Arial"/>
          <w:color w:val="000000"/>
          <w:sz w:val="20"/>
          <w:szCs w:val="20"/>
        </w:rPr>
        <w:t xml:space="preserve">ad, determinará la falta de capacidad jurídica para presentar la oferta y, por tanto, su rechazo. </w:t>
      </w:r>
    </w:p>
    <w:p w:rsidR="00C0159A" w:rsidRDefault="00244C46">
      <w:pPr>
        <w:numPr>
          <w:ilvl w:val="0"/>
          <w:numId w:val="1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esté obligado a tenerlo.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0" w:name="_heading=h.4odau6u5ie83" w:colFirst="0" w:colLast="0"/>
      <w:bookmarkEnd w:id="40"/>
      <w:r>
        <w:rPr>
          <w:rFonts w:ascii="Arial" w:eastAsia="Arial" w:hAnsi="Arial" w:cs="Arial"/>
          <w:sz w:val="20"/>
          <w:szCs w:val="20"/>
        </w:rPr>
        <w:t xml:space="preserve">3.3.3. </w:t>
      </w:r>
      <w:r>
        <w:rPr>
          <w:rFonts w:ascii="Arial" w:eastAsia="Arial" w:hAnsi="Arial" w:cs="Arial"/>
          <w:b/>
          <w:bCs/>
          <w:color w:val="000000"/>
          <w:sz w:val="20"/>
          <w:szCs w:val="20"/>
        </w:rPr>
        <w:t>PROPONENTES PLURALES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documento de conformación de Proponentes Plurales debe: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la existencia del Proponente Plural y clasificarlo de forma clara en Unión Temporal o en Consorcio. En este documento los integrantes deben expresar su intención de conformar el Propone</w:t>
      </w:r>
      <w:r>
        <w:rPr>
          <w:rFonts w:ascii="Arial" w:eastAsia="Arial" w:hAnsi="Arial" w:cs="Arial"/>
          <w:color w:val="000000"/>
          <w:sz w:val="20"/>
          <w:szCs w:val="20"/>
        </w:rPr>
        <w:t>nte Plural. En caso de que no exista precisión sobre el tipo de asociación se solicitará aclaración. Los Proponentes deben incluir como mínimo la información requerida en el “Formato 2 – Conformación de Proponente Plural” (“Formato 2A- Documento de conform</w:t>
      </w:r>
      <w:r>
        <w:rPr>
          <w:rFonts w:ascii="Arial" w:eastAsia="Arial" w:hAnsi="Arial" w:cs="Arial"/>
          <w:color w:val="000000"/>
          <w:sz w:val="20"/>
          <w:szCs w:val="20"/>
        </w:rPr>
        <w:t>ación de Consorcio”) (“Formato 2B – Documento de conformación de Unión Temporal). Los Proponentes pueden introducir datos adicionales que no contradigan lo dispuesto en los documentos del Proceso de Contratación.</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el nombramiento de un representan</w:t>
      </w:r>
      <w:r>
        <w:rPr>
          <w:rFonts w:ascii="Arial" w:eastAsia="Arial" w:hAnsi="Arial" w:cs="Arial"/>
          <w:color w:val="000000"/>
          <w:sz w:val="20"/>
          <w:szCs w:val="20"/>
        </w:rPr>
        <w:t>te y un suplente, este último en caso de considerarlo conveniente, cuya designación deberá constar en el “Formato 2 – Conformación de Proponente Plural” (“Formato 2A – Documento de conformación de Consorcio”) (Formato 2B – Documento de conformación de Unió</w:t>
      </w:r>
      <w:r>
        <w:rPr>
          <w:rFonts w:ascii="Arial" w:eastAsia="Arial" w:hAnsi="Arial" w:cs="Arial"/>
          <w:color w:val="000000"/>
          <w:sz w:val="20"/>
          <w:szCs w:val="20"/>
        </w:rPr>
        <w:t>n Temporal), quien representará a todas las personas naturales y/o jurídicas asociadas, con facultades suficientes para la representación sin limitaciones de cada uno de los integrantes, en todos los aspectos que se requieran para la presentación de la ofe</w:t>
      </w:r>
      <w:r>
        <w:rPr>
          <w:rFonts w:ascii="Arial" w:eastAsia="Arial" w:hAnsi="Arial" w:cs="Arial"/>
          <w:color w:val="000000"/>
          <w:sz w:val="20"/>
          <w:szCs w:val="20"/>
        </w:rPr>
        <w:t>rta, para la suscripción y ejecución del contrato, así como también la potestad para firmar el acta de terminación y liquidación o cualquier otra acta o documento.</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Aportar copia del documento de identificación del representante principal y, en caso de que se haya nombrado, del suplente del Proponente Plural.</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que la vigencia del Proponente Plural no sea inferior a la del plazo del contrato y un (1) año adici</w:t>
      </w:r>
      <w:r>
        <w:rPr>
          <w:rFonts w:ascii="Arial" w:eastAsia="Arial" w:hAnsi="Arial" w:cs="Arial"/>
          <w:color w:val="000000"/>
          <w:sz w:val="20"/>
          <w:szCs w:val="20"/>
        </w:rPr>
        <w:t xml:space="preserve">onal. Para efectos de la evaluación, este plazo será contado a partir de la fecha del cierre del Proceso de Contratación. En caso de modificarse la fecha de cierre del proceso, se tendrá como referencia para establecer el plazo de vigencia del certificado </w:t>
      </w:r>
      <w:r>
        <w:rPr>
          <w:rFonts w:ascii="Arial" w:eastAsia="Arial" w:hAnsi="Arial" w:cs="Arial"/>
          <w:color w:val="000000"/>
          <w:sz w:val="20"/>
          <w:szCs w:val="20"/>
        </w:rPr>
        <w:t>la fecha originalmente señalada en el Pliego de Condiciones.</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El Proponente Plural debe señalar expresamente cuál es el porcentaje de participación de cada uno de sus integrantes. La sumatoria de este porcentaje no podrá ser diferente al cien por ciento (10</w:t>
      </w:r>
      <w:r>
        <w:rPr>
          <w:rFonts w:ascii="Arial" w:eastAsia="Arial" w:hAnsi="Arial" w:cs="Arial"/>
          <w:color w:val="000000"/>
          <w:sz w:val="20"/>
          <w:szCs w:val="20"/>
        </w:rPr>
        <w:t>0 %).</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w:t>
      </w:r>
      <w:r>
        <w:rPr>
          <w:rFonts w:ascii="Arial" w:eastAsia="Arial" w:hAnsi="Arial" w:cs="Arial"/>
          <w:color w:val="000000"/>
          <w:sz w:val="20"/>
          <w:szCs w:val="20"/>
        </w:rPr>
        <w:t>pués de la fecha del cierre del Proceso de Contratación. Cualquier modificación en los porcentajes de los integrantes será ineficaz y por tanto carecerá de efecto.</w:t>
      </w:r>
    </w:p>
    <w:p w:rsidR="00C0159A" w:rsidRDefault="00244C46">
      <w:pPr>
        <w:numPr>
          <w:ilvl w:val="0"/>
          <w:numId w:val="1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Indicar el lote/segmentos o lotes/segmentos a los cuales presenta oferta.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Dicho documento </w:t>
      </w:r>
      <w:r>
        <w:rPr>
          <w:rFonts w:ascii="Arial" w:eastAsia="Arial" w:hAnsi="Arial" w:cs="Arial"/>
          <w:color w:val="000000"/>
          <w:sz w:val="20"/>
          <w:szCs w:val="20"/>
        </w:rPr>
        <w:t>debe estar firmado por todos los integrantes del Proponente Plural y en el caso de que un integrante sea una persona jurídica, por el representante legal de dicha persona, o por el apoderado de cualquiera de los anteriores.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Proponente Plural debe</w:t>
      </w:r>
      <w:r>
        <w:rPr>
          <w:rFonts w:ascii="Arial" w:eastAsia="Arial" w:hAnsi="Arial" w:cs="Arial"/>
          <w:color w:val="000000"/>
          <w:sz w:val="20"/>
          <w:szCs w:val="20"/>
        </w:rPr>
        <w:t>rá tener en cuenta la "Guía rápida para la creación de proponentes plurales en el SECOP II", expedida por la Agencia Nacional de Contratación Pública - Colombia Compra Eficiente. El Proponente Plural debe estar registrado en el SECOP II, por tanto, la Enti</w:t>
      </w:r>
      <w:r>
        <w:rPr>
          <w:rFonts w:ascii="Arial" w:eastAsia="Arial" w:hAnsi="Arial" w:cs="Arial"/>
          <w:color w:val="000000"/>
          <w:sz w:val="20"/>
          <w:szCs w:val="20"/>
        </w:rPr>
        <w:t>dad Estatal rechazará la oferta que se presente desde una cuenta diferente.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1" w:name="_heading=h.9iyivl9y2j3p" w:colFirst="0" w:colLast="0"/>
      <w:bookmarkEnd w:id="41"/>
      <w:r>
        <w:rPr>
          <w:rFonts w:ascii="Arial" w:eastAsia="Arial" w:hAnsi="Arial" w:cs="Arial"/>
          <w:sz w:val="20"/>
          <w:szCs w:val="20"/>
        </w:rPr>
        <w:t xml:space="preserve">3.4. </w:t>
      </w:r>
      <w:r>
        <w:rPr>
          <w:rFonts w:ascii="Arial" w:eastAsia="Arial" w:hAnsi="Arial" w:cs="Arial"/>
          <w:b/>
          <w:bCs/>
          <w:color w:val="000000"/>
          <w:sz w:val="20"/>
          <w:szCs w:val="20"/>
        </w:rPr>
        <w:t>CERTIFICACIÓN DE PAGOS AL SISTEMA DE SEGURIDAD SOCIAL Y APORTES LEGALES</w:t>
      </w:r>
    </w:p>
    <w:p w:rsidR="00C0159A" w:rsidRDefault="00C0159A">
      <w:pPr>
        <w:pBdr>
          <w:top w:val="nil"/>
          <w:left w:val="nil"/>
          <w:bottom w:val="nil"/>
          <w:right w:val="nil"/>
          <w:between w:val="nil"/>
        </w:pBdr>
        <w:spacing w:after="0" w:line="240" w:lineRule="auto"/>
        <w:jc w:val="both"/>
        <w:rPr>
          <w:rFonts w:ascii="Arial" w:eastAsia="Arial" w:hAnsi="Arial" w:cs="Arial"/>
          <w:b/>
          <w:bCs/>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2" w:name="_heading=h.ffnan58mfwc" w:colFirst="0" w:colLast="0"/>
      <w:bookmarkEnd w:id="42"/>
      <w:r>
        <w:rPr>
          <w:rFonts w:ascii="Arial" w:eastAsia="Arial" w:hAnsi="Arial" w:cs="Arial"/>
          <w:sz w:val="20"/>
          <w:szCs w:val="20"/>
        </w:rPr>
        <w:t>3.4.1.</w:t>
      </w:r>
      <w:r>
        <w:rPr>
          <w:rFonts w:ascii="Arial" w:eastAsia="Arial" w:hAnsi="Arial" w:cs="Arial"/>
          <w:b/>
          <w:bCs/>
          <w:sz w:val="20"/>
          <w:szCs w:val="20"/>
        </w:rPr>
        <w:t xml:space="preserve"> </w:t>
      </w:r>
      <w:r>
        <w:rPr>
          <w:rFonts w:ascii="Arial" w:eastAsia="Arial" w:hAnsi="Arial" w:cs="Arial"/>
          <w:b/>
          <w:bCs/>
          <w:color w:val="000000"/>
          <w:sz w:val="20"/>
          <w:szCs w:val="20"/>
        </w:rPr>
        <w:t>PERSONAS JURÍDICAS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persona jurídica debe diligenciar el “Formato 5 – Pagos al Sistema de Seguridad Social y Aportes Legales” suscrito por el revisor fiscal, de acuerdo con los requerimientos de ley, o por el representante legal, bajo la gravedad del juramento, </w:t>
      </w:r>
      <w:r>
        <w:rPr>
          <w:rFonts w:ascii="Arial" w:eastAsia="Arial" w:hAnsi="Arial" w:cs="Arial"/>
          <w:color w:val="000000"/>
          <w:sz w:val="20"/>
          <w:szCs w:val="20"/>
        </w:rPr>
        <w:t>cuando no se requiera revisor fiscal, en el que conste el pago de los aportes de sus empleados a los sistemas de salud, riesgos laborales, pensiones, aportes a las Cajas de Compensación Familiar, al Instituto Colombiano de Bienestar Familiar (ICBF) y al Se</w:t>
      </w:r>
      <w:r>
        <w:rPr>
          <w:rFonts w:ascii="Arial" w:eastAsia="Arial" w:hAnsi="Arial" w:cs="Arial"/>
          <w:color w:val="000000"/>
          <w:sz w:val="20"/>
          <w:szCs w:val="20"/>
        </w:rPr>
        <w:t>rvicio Nacional de Aprendizaje (SENA), cuando a ello haya lugar.</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exigirá las planillas de pago. Bastará el certificado suscrito por el revisor fiscal, en los casos requeridos por la ley, o por el representante legal que así lo acredite.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w:t>
      </w:r>
      <w:r>
        <w:rPr>
          <w:rFonts w:ascii="Arial" w:eastAsia="Arial" w:hAnsi="Arial" w:cs="Arial"/>
          <w:color w:val="000000"/>
          <w:sz w:val="20"/>
          <w:szCs w:val="20"/>
        </w:rPr>
        <w:t>ndo la persona jurídica está exonerada de estas obligaciones en los términos previstos en el artículo 65 de la Ley 1819 de 2016, debe indicarlo en el " Formato 5 – Pagos al Sistema de Seguridad Social y Aportes Legales”.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w:t>
      </w:r>
      <w:r>
        <w:rPr>
          <w:rFonts w:ascii="Arial" w:eastAsia="Arial" w:hAnsi="Arial" w:cs="Arial"/>
          <w:color w:val="000000"/>
          <w:sz w:val="20"/>
          <w:szCs w:val="20"/>
        </w:rPr>
        <w:t>as personas jurídicas extranjeras con domicilio o Sucursal en Colombia, las cuales deben acreditar este requisito respecto del personal vinculado en Colombia.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3" w:name="_heading=h.97y9u415s88o" w:colFirst="0" w:colLast="0"/>
      <w:bookmarkEnd w:id="43"/>
      <w:r>
        <w:rPr>
          <w:rFonts w:ascii="Arial" w:eastAsia="Arial" w:hAnsi="Arial" w:cs="Arial"/>
          <w:sz w:val="20"/>
          <w:szCs w:val="20"/>
        </w:rPr>
        <w:t xml:space="preserve">3.4.2. </w:t>
      </w:r>
      <w:r>
        <w:rPr>
          <w:rFonts w:ascii="Arial" w:eastAsia="Arial" w:hAnsi="Arial" w:cs="Arial"/>
          <w:b/>
          <w:bCs/>
          <w:color w:val="000000"/>
          <w:sz w:val="20"/>
          <w:szCs w:val="20"/>
        </w:rPr>
        <w:t>PERSONAS NATURALES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persona natural debe acreditar la afiliación a los sist</w:t>
      </w:r>
      <w:r>
        <w:rPr>
          <w:rFonts w:ascii="Arial" w:eastAsia="Arial" w:hAnsi="Arial" w:cs="Arial"/>
          <w:color w:val="000000"/>
          <w:sz w:val="20"/>
          <w:szCs w:val="20"/>
        </w:rPr>
        <w:t>emas de seguridad social en salud y pensiones, aportando los certificados de afiliación respectivos o con el certificado de pago de la correspondiente planilla con fecha de expedición no mayor a treinta (30) días calendario, anteriores a la fecha de cierre</w:t>
      </w:r>
      <w:r>
        <w:rPr>
          <w:rFonts w:ascii="Arial" w:eastAsia="Arial" w:hAnsi="Arial" w:cs="Arial"/>
          <w:color w:val="000000"/>
          <w:sz w:val="20"/>
          <w:szCs w:val="20"/>
        </w:rPr>
        <w:t xml:space="preserve"> del Proceso de Contratación o copia de la planilla de seguridad social paga.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modificarse la fecha de cierre del proceso, se tendrá como referencia para establecer el plazo de vigencia de los certificados de afiliación la fecha originalmente e</w:t>
      </w:r>
      <w:r>
        <w:rPr>
          <w:rFonts w:ascii="Arial" w:eastAsia="Arial" w:hAnsi="Arial" w:cs="Arial"/>
          <w:color w:val="000000"/>
          <w:sz w:val="20"/>
          <w:szCs w:val="20"/>
        </w:rPr>
        <w:t>stablecida en el pliego de condiciones definitivo.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persona natural que reúna los requisitos para acceder a la pensión de vejez, o cuente con acto administrativo de reconocimiento de pensión de vejez o invalidez, tendrá que presentar el certificado que </w:t>
      </w:r>
      <w:r>
        <w:rPr>
          <w:rFonts w:ascii="Arial" w:eastAsia="Arial" w:hAnsi="Arial" w:cs="Arial"/>
          <w:color w:val="000000"/>
          <w:sz w:val="20"/>
          <w:szCs w:val="20"/>
        </w:rPr>
        <w:t>lo acredite y, además, la afiliación al sistema de salud.</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igual forma, quienes se encuentren en condición legal de no estar obligados a realizar cotización de pensión tendrán que presentar el certificado que así lo acredite y, adicionalmente, el certificado de afiliación al sistema de salud.</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w:t>
      </w:r>
      <w:r>
        <w:rPr>
          <w:rFonts w:ascii="Arial" w:eastAsia="Arial" w:hAnsi="Arial" w:cs="Arial"/>
          <w:color w:val="000000"/>
          <w:sz w:val="20"/>
          <w:szCs w:val="20"/>
        </w:rPr>
        <w:t>ión aplica para las personas naturales extranjeras con domicilio en Colombia las cuales deberán acreditar este requisito respecto del personal vinculado en Colombia.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4" w:name="_heading=h.7l652dwxdhmd" w:colFirst="0" w:colLast="0"/>
      <w:bookmarkEnd w:id="44"/>
      <w:r>
        <w:rPr>
          <w:rFonts w:ascii="Arial" w:eastAsia="Arial" w:hAnsi="Arial" w:cs="Arial"/>
          <w:sz w:val="20"/>
          <w:szCs w:val="20"/>
        </w:rPr>
        <w:t xml:space="preserve">3.4.3. </w:t>
      </w:r>
      <w:r>
        <w:rPr>
          <w:rFonts w:ascii="Arial" w:eastAsia="Arial" w:hAnsi="Arial" w:cs="Arial"/>
          <w:b/>
          <w:bCs/>
          <w:color w:val="000000"/>
          <w:sz w:val="20"/>
          <w:szCs w:val="20"/>
        </w:rPr>
        <w:t>PROPONENTES PLURALES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Cada uno de los integrantes del Proponente Plural debe suscribir por separado la declaración de la que tratan los numerales anteriores.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5" w:name="_heading=h.gk3o3sib3efk" w:colFirst="0" w:colLast="0"/>
      <w:bookmarkEnd w:id="45"/>
      <w:r>
        <w:rPr>
          <w:rFonts w:ascii="Arial" w:eastAsia="Arial" w:hAnsi="Arial" w:cs="Arial"/>
          <w:sz w:val="20"/>
          <w:szCs w:val="20"/>
        </w:rPr>
        <w:t xml:space="preserve">3.4.4. </w:t>
      </w:r>
      <w:r>
        <w:rPr>
          <w:rFonts w:ascii="Arial" w:eastAsia="Arial" w:hAnsi="Arial" w:cs="Arial"/>
          <w:b/>
          <w:bCs/>
          <w:color w:val="000000"/>
          <w:sz w:val="20"/>
          <w:szCs w:val="20"/>
        </w:rPr>
        <w:t>SEGURIDAD SOCIAL PARA LA SUSCRIPCIÓN DEL CONTRATO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adjudicatario debe presentar, para la suscripción del resp</w:t>
      </w:r>
      <w:r>
        <w:rPr>
          <w:rFonts w:ascii="Arial" w:eastAsia="Arial" w:hAnsi="Arial" w:cs="Arial"/>
          <w:color w:val="000000"/>
          <w:sz w:val="20"/>
          <w:szCs w:val="20"/>
        </w:rPr>
        <w:t xml:space="preserve">ectivo contrato ante la dependencia respectiva, la declaración donde acredite el pago correspondiente al Sistema de Seguridad Social y Aportes Legales cuando a ello haya lugar.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de que el adjudicatario, persona natural o jurídica, no tenga o haya </w:t>
      </w:r>
      <w:r>
        <w:rPr>
          <w:rFonts w:ascii="Arial" w:eastAsia="Arial" w:hAnsi="Arial" w:cs="Arial"/>
          <w:color w:val="000000"/>
          <w:sz w:val="20"/>
          <w:szCs w:val="20"/>
        </w:rPr>
        <w:t xml:space="preserve">tenido dentro de los seis (6) meses anteriores a la fecha de firma del contrato personal a cargo y, por ende, no esté obligado a efectuar el pago de Aportes Legales y Seguridad Social debe indicar esta circunstancia en la mencionada certificación, bajo la </w:t>
      </w:r>
      <w:r>
        <w:rPr>
          <w:rFonts w:ascii="Arial" w:eastAsia="Arial" w:hAnsi="Arial" w:cs="Arial"/>
          <w:color w:val="000000"/>
          <w:sz w:val="20"/>
          <w:szCs w:val="20"/>
        </w:rPr>
        <w:t>gravedad del juramento.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6" w:name="_heading=h.udk60b1l31tn" w:colFirst="0" w:colLast="0"/>
      <w:bookmarkEnd w:id="46"/>
      <w:r>
        <w:rPr>
          <w:rFonts w:ascii="Arial" w:eastAsia="Arial" w:hAnsi="Arial" w:cs="Arial"/>
          <w:sz w:val="20"/>
          <w:szCs w:val="20"/>
        </w:rPr>
        <w:t xml:space="preserve">3.5. </w:t>
      </w:r>
      <w:r>
        <w:rPr>
          <w:rFonts w:ascii="Arial" w:eastAsia="Arial" w:hAnsi="Arial" w:cs="Arial"/>
          <w:b/>
          <w:bCs/>
          <w:color w:val="000000"/>
          <w:sz w:val="20"/>
          <w:szCs w:val="20"/>
        </w:rPr>
        <w:t>CAPACIDAD FINANCIERA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3.7.1 de</w:t>
      </w:r>
      <w:r>
        <w:rPr>
          <w:rFonts w:ascii="Arial" w:eastAsia="Arial" w:hAnsi="Arial" w:cs="Arial"/>
          <w:color w:val="000000"/>
          <w:sz w:val="20"/>
          <w:szCs w:val="20"/>
        </w:rPr>
        <w:t>l Pliego de Condiciones: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3"/>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C0159A">
        <w:trPr>
          <w:trHeight w:val="283"/>
          <w:tblHeader/>
          <w:jc w:val="center"/>
        </w:trPr>
        <w:tc>
          <w:tcPr>
            <w:tcW w:w="2013"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C0159A">
        <w:trPr>
          <w:trHeight w:val="680"/>
          <w:jc w:val="center"/>
        </w:trPr>
        <w:tc>
          <w:tcPr>
            <w:tcW w:w="201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Liquidez</w:t>
            </w:r>
          </w:p>
        </w:tc>
        <w:tc>
          <w:tcPr>
            <w:tcW w:w="3090" w:type="dxa"/>
            <w:vAlign w:val="center"/>
          </w:tcPr>
          <w:p w:rsidR="00C0159A" w:rsidRDefault="00244C46">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Activo</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Corriente</m:t>
                    </m:r>
                  </m:num>
                  <m:den>
                    <m:r>
                      <m:rPr>
                        <m:sty m:val="bi"/>
                      </m:rPr>
                      <w:rPr>
                        <w:rFonts w:ascii="Cambria Math" w:eastAsia="Cambria Math" w:hAnsi="Cambria Math" w:cs="Cambria Math"/>
                        <w:color w:val="000000"/>
                        <w:sz w:val="20"/>
                        <w:szCs w:val="20"/>
                      </w:rPr>
                      <m:t>Pasivo</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Corriente</m:t>
                    </m:r>
                  </m:den>
                </m:f>
              </m:oMath>
            </m:oMathPara>
          </w:p>
        </w:tc>
      </w:tr>
      <w:tr w:rsidR="00C0159A">
        <w:trPr>
          <w:trHeight w:val="680"/>
          <w:jc w:val="center"/>
        </w:trPr>
        <w:tc>
          <w:tcPr>
            <w:tcW w:w="201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Nivel de Endeudamiento</w:t>
            </w:r>
          </w:p>
        </w:tc>
        <w:tc>
          <w:tcPr>
            <w:tcW w:w="3090" w:type="dxa"/>
            <w:vAlign w:val="center"/>
          </w:tcPr>
          <w:p w:rsidR="00C0159A" w:rsidRDefault="00244C46">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Pasivo</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Total</m:t>
                    </m:r>
                  </m:num>
                  <m:den>
                    <m:r>
                      <m:rPr>
                        <m:sty m:val="bi"/>
                      </m:rPr>
                      <w:rPr>
                        <w:rFonts w:ascii="Cambria Math" w:eastAsia="Cambria Math" w:hAnsi="Cambria Math" w:cs="Cambria Math"/>
                        <w:color w:val="000000"/>
                        <w:sz w:val="20"/>
                        <w:szCs w:val="20"/>
                      </w:rPr>
                      <m:t>Activo</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Total</m:t>
                    </m:r>
                  </m:den>
                </m:f>
              </m:oMath>
            </m:oMathPara>
          </w:p>
        </w:tc>
      </w:tr>
      <w:tr w:rsidR="00C0159A">
        <w:trPr>
          <w:trHeight w:val="680"/>
          <w:jc w:val="center"/>
        </w:trPr>
        <w:tc>
          <w:tcPr>
            <w:tcW w:w="201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3090" w:type="dxa"/>
            <w:vAlign w:val="center"/>
          </w:tcPr>
          <w:p w:rsidR="00C0159A" w:rsidRDefault="00244C46">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Operacional</m:t>
                    </m:r>
                  </m:num>
                  <m:den>
                    <m:r>
                      <m:rPr>
                        <m:sty m:val="bi"/>
                      </m:rPr>
                      <w:rPr>
                        <w:rFonts w:ascii="Cambria Math" w:eastAsia="Cambria Math" w:hAnsi="Cambria Math" w:cs="Cambria Math"/>
                        <w:color w:val="000000"/>
                        <w:sz w:val="20"/>
                        <w:szCs w:val="20"/>
                      </w:rPr>
                      <m:t>Gastos</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Interes</m:t>
                    </m:r>
                  </m:den>
                </m:f>
              </m:oMath>
            </m:oMathPara>
          </w:p>
        </w:tc>
      </w:tr>
    </w:tbl>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Indicador</m:t>
          </m:r>
          <m:r>
            <m:rPr>
              <m:sty m:val="bi"/>
            </m:rPr>
            <w:rPr>
              <w:rFonts w:ascii="Cambria Math" w:eastAsia="Cambria Math" w:hAnsi="Cambria Math" w:cs="Cambria Math"/>
              <w:color w:val="000000"/>
              <w:sz w:val="20"/>
              <w:szCs w:val="20"/>
            </w:rPr>
            <m:t>=</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m:t>
                      </m:r>
                      <m:r>
                        <m:rPr>
                          <m:sty m:val="bi"/>
                        </m:rPr>
                        <w:rPr>
                          <w:rFonts w:ascii="Cambria Math" w:eastAsia="Cambria Math" w:hAnsi="Cambria Math" w:cs="Cambria Math"/>
                          <w:color w:val="000000"/>
                          <w:sz w:val="20"/>
                          <w:szCs w:val="20"/>
                        </w:rPr>
                        <m:t>=1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m:t>
                      </m:r>
                      <m:r>
                        <m:rPr>
                          <m:sty m:val="bi"/>
                        </m:rPr>
                        <w:rPr>
                          <w:rFonts w:ascii="Cambria Math" w:eastAsia="Cambria Math" w:hAnsi="Cambria Math" w:cs="Cambria Math"/>
                          <w:color w:val="000000"/>
                          <w:sz w:val="20"/>
                          <w:szCs w:val="20"/>
                        </w:rPr>
                        <m:t xml:space="preserve"> 1 </m:t>
                      </m:r>
                      <m:r>
                        <m:rPr>
                          <m:sty m:val="bi"/>
                        </m:rPr>
                        <w:rPr>
                          <w:rFonts w:ascii="Cambria Math" w:eastAsia="Cambria Math" w:hAnsi="Cambria Math" w:cs="Cambria Math"/>
                          <w:color w:val="000000"/>
                          <w:sz w:val="20"/>
                          <w:szCs w:val="20"/>
                        </w:rPr>
                        <m:t>del</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m:t>
                      </m:r>
                      <m:r>
                        <m:rPr>
                          <m:sty m:val="bi"/>
                        </m:rPr>
                        <w:rPr>
                          <w:rFonts w:ascii="Cambria Math" w:eastAsia="Cambria Math" w:hAnsi="Cambria Math" w:cs="Cambria Math"/>
                          <w:color w:val="000000"/>
                          <w:sz w:val="20"/>
                          <w:szCs w:val="20"/>
                        </w:rPr>
                        <m:t>=1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m:t>
                      </m:r>
                      <m:r>
                        <m:rPr>
                          <m:sty m:val="bi"/>
                        </m:rPr>
                        <w:rPr>
                          <w:rFonts w:ascii="Cambria Math" w:eastAsia="Cambria Math" w:hAnsi="Cambria Math" w:cs="Cambria Math"/>
                          <w:color w:val="000000"/>
                          <w:sz w:val="20"/>
                          <w:szCs w:val="20"/>
                        </w:rPr>
                        <m:t xml:space="preserve"> 2 </m:t>
                      </m:r>
                      <m:r>
                        <m:rPr>
                          <m:sty m:val="bi"/>
                        </m:rPr>
                        <w:rPr>
                          <w:rFonts w:ascii="Cambria Math" w:eastAsia="Cambria Math" w:hAnsi="Cambria Math" w:cs="Cambria Math"/>
                          <w:color w:val="000000"/>
                          <w:sz w:val="20"/>
                          <w:szCs w:val="20"/>
                        </w:rPr>
                        <m:t>del</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indicador</m:t>
                      </m:r>
                    </m:e>
                    <m:sub>
                      <m:r>
                        <m:rPr>
                          <m:sty m:val="bi"/>
                        </m:rPr>
                        <w:rPr>
                          <w:rFonts w:ascii="Cambria Math" w:eastAsia="Cambria Math" w:hAnsi="Cambria Math" w:cs="Cambria Math"/>
                          <w:color w:val="000000"/>
                          <w:sz w:val="20"/>
                          <w:szCs w:val="20"/>
                        </w:rPr>
                        <m:t>i</m:t>
                      </m:r>
                    </m:sub>
                  </m:sSub>
                </m:e>
              </m:d>
            </m:den>
          </m:f>
        </m:oMath>
      </m:oMathPara>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pasivos corrientes está habilitado respecto del índice de liquidez.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que demuestre la condición de Mipyme domiciliada en Colomb</w:t>
      </w:r>
      <w:r>
        <w:rPr>
          <w:rFonts w:ascii="Arial" w:eastAsia="Arial" w:hAnsi="Arial" w:cs="Arial"/>
          <w:color w:val="000000"/>
          <w:sz w:val="20"/>
          <w:szCs w:val="20"/>
        </w:rPr>
        <w:t>ia acreditará la Capacidad Financiera de acuerdo con los indicadores señalados en la “Matriz 2 – Indicadores financieros y organizacionales”. El Proponente acreditará la calidad de Mipyme con copia del certificado del Registro Único de Proponentes (RUP), e</w:t>
      </w:r>
      <w:r>
        <w:rPr>
          <w:rFonts w:ascii="Arial" w:eastAsia="Arial" w:hAnsi="Arial" w:cs="Arial"/>
          <w:color w:val="000000"/>
          <w:sz w:val="20"/>
          <w:szCs w:val="20"/>
        </w:rPr>
        <w:t>l cual deberá encontrarse vigente y en firme al momento de su presentación.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7" w:name="_heading=h.ncfclrn8ywhe" w:colFirst="0" w:colLast="0"/>
      <w:bookmarkEnd w:id="47"/>
      <w:r>
        <w:rPr>
          <w:rFonts w:ascii="Arial" w:eastAsia="Arial" w:hAnsi="Arial" w:cs="Arial"/>
          <w:sz w:val="20"/>
          <w:szCs w:val="20"/>
        </w:rPr>
        <w:t>3.6.</w:t>
      </w:r>
      <w:r>
        <w:rPr>
          <w:rFonts w:ascii="Arial" w:eastAsia="Arial" w:hAnsi="Arial" w:cs="Arial"/>
          <w:b/>
          <w:bCs/>
          <w:color w:val="000000"/>
          <w:sz w:val="20"/>
          <w:szCs w:val="20"/>
        </w:rPr>
        <w:t>CAPITAL DE TRABAJO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Proceso de Contratación los Proponentes deberán acreditar:</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m:t>
          </m:r>
          <m:r>
            <m:rPr>
              <m:sty m:val="bi"/>
            </m:rPr>
            <w:rPr>
              <w:rFonts w:ascii="Cambria Math" w:eastAsia="Cambria Math" w:hAnsi="Cambria Math" w:cs="Cambria Math"/>
              <w:color w:val="000000"/>
              <w:sz w:val="20"/>
              <w:szCs w:val="20"/>
            </w:rPr>
            <m:t>=</m:t>
          </m:r>
          <m:r>
            <m:rPr>
              <m:sty m:val="bi"/>
            </m:rPr>
            <w:rPr>
              <w:rFonts w:ascii="Cambria Math" w:eastAsia="Cambria Math" w:hAnsi="Cambria Math" w:cs="Cambria Math"/>
              <w:color w:val="000000"/>
              <w:sz w:val="20"/>
              <w:szCs w:val="20"/>
            </w:rPr>
            <m:t>AC</m:t>
          </m:r>
          <m:r>
            <m:rPr>
              <m:sty m:val="bi"/>
            </m:rPr>
            <w:rPr>
              <w:rFonts w:ascii="Cambria Math" w:eastAsia="Cambria Math" w:hAnsi="Cambria Math" w:cs="Cambria Math"/>
              <w:color w:val="000000"/>
              <w:sz w:val="20"/>
              <w:szCs w:val="20"/>
            </w:rPr>
            <m:t>-</m:t>
          </m:r>
          <m:r>
            <m:rPr>
              <m:sty m:val="bi"/>
            </m:rPr>
            <w:rPr>
              <w:rFonts w:ascii="Cambria Math" w:eastAsia="Cambria Math" w:hAnsi="Cambria Math" w:cs="Cambria Math"/>
              <w:color w:val="000000"/>
              <w:sz w:val="20"/>
              <w:szCs w:val="20"/>
            </w:rPr>
            <m:t>PC</m:t>
          </m:r>
          <m:r>
            <m:rPr>
              <m:sty m:val="bi"/>
            </m:rPr>
            <w:rPr>
              <w:rFonts w:ascii="Cambria Math" w:eastAsia="Cambria Math" w:hAnsi="Cambria Math" w:cs="Cambria Math"/>
              <w:color w:val="000000"/>
              <w:sz w:val="20"/>
              <w:szCs w:val="20"/>
            </w:rPr>
            <m:t>≥</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Capital de trabajo.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 = Activo corriente.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PC = Pasivo corriente.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CTd = Capital de Trabajo demandado (requerido) para el proceso que presenta la propuesta.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capital de trabajo (CT) del oferente deberá ser mayor o igual al capital de trabajo demandado (requerido) (CTd):</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m:t>
          </m:r>
          <m:r>
            <m:rPr>
              <m:sty m:val="bi"/>
            </m:rPr>
            <w:rPr>
              <w:rFonts w:ascii="Cambria Math" w:eastAsia="Cambria Math" w:hAnsi="Cambria Math" w:cs="Cambria Math"/>
              <w:color w:val="000000"/>
              <w:sz w:val="20"/>
              <w:szCs w:val="20"/>
            </w:rPr>
            <m:t>≥</m:t>
          </m:r>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d</m:t>
              </m:r>
            </m:sub>
          </m:sSub>
        </m:oMath>
      </m:oMathPara>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CTProponente</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plural</m:t>
          </m:r>
          <m:r>
            <m:rPr>
              <m:sty m:val="bi"/>
            </m:rPr>
            <w:rPr>
              <w:rFonts w:ascii="Cambria Math" w:eastAsia="Cambria Math" w:hAnsi="Cambria Math" w:cs="Cambria Math"/>
              <w:color w:val="000000"/>
              <w:sz w:val="20"/>
              <w:szCs w:val="20"/>
            </w:rPr>
            <m:t>=</m:t>
          </m:r>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m:t>
              </m:r>
              <m:r>
                <m:rPr>
                  <m:sty m:val="bi"/>
                </m:rPr>
                <w:rPr>
                  <w:rFonts w:ascii="Cambria Math" w:eastAsia="Cambria Math" w:hAnsi="Cambria Math" w:cs="Cambria Math"/>
                  <w:color w:val="000000"/>
                  <w:sz w:val="20"/>
                  <w:szCs w:val="20"/>
                </w:rPr>
                <m:t>=1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CT</m:t>
              </m:r>
            </m:e>
            <m:sub>
              <m:r>
                <m:rPr>
                  <m:sty m:val="bi"/>
                </m:rPr>
                <w:rPr>
                  <w:rFonts w:ascii="Cambria Math" w:eastAsia="Cambria Math" w:hAnsi="Cambria Math" w:cs="Cambria Math"/>
                  <w:color w:val="000000"/>
                  <w:sz w:val="20"/>
                  <w:szCs w:val="20"/>
                </w:rPr>
                <m:t>i</m:t>
              </m:r>
            </m:sub>
          </m:sSub>
        </m:oMath>
      </m:oMathPara>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Capital de trabajo demandado (requerido</w:t>
      </w:r>
      <w:r>
        <w:rPr>
          <w:rFonts w:ascii="Arial" w:eastAsia="Arial" w:hAnsi="Arial" w:cs="Arial"/>
          <w:b/>
          <w:bCs/>
          <w:color w:val="000000"/>
          <w:sz w:val="20"/>
          <w:szCs w:val="20"/>
          <w:u w:val="single"/>
        </w:rPr>
        <w:t>):</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procesos de selección cuyo plazo estimado de ejecución del contrato sea menor a doce (12) meses, el cálculo del capital de trabajo demandado, se hará de acuerdo con la siguiente fórmula:</w:t>
      </w:r>
    </w:p>
    <w:p w:rsidR="00C0159A" w:rsidRDefault="00C0159A">
      <w:pPr>
        <w:spacing w:after="0" w:line="240" w:lineRule="auto"/>
        <w:jc w:val="both"/>
        <w:rPr>
          <w:rFonts w:ascii="Arial" w:eastAsia="Arial" w:hAnsi="Arial" w:cs="Arial"/>
          <w:sz w:val="20"/>
          <w:szCs w:val="20"/>
        </w:rPr>
      </w:pPr>
    </w:p>
    <w:tbl>
      <w:tblPr>
        <w:tblStyle w:val="a4"/>
        <w:tblW w:w="58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6"/>
      </w:tblGrid>
      <w:tr w:rsidR="00C0159A">
        <w:trPr>
          <w:trHeight w:val="283"/>
          <w:jc w:val="center"/>
        </w:trPr>
        <w:tc>
          <w:tcPr>
            <w:tcW w:w="5896" w:type="dxa"/>
            <w:shd w:val="clear" w:color="auto" w:fill="404040"/>
            <w:vAlign w:val="center"/>
          </w:tcPr>
          <w:p w:rsidR="00C0159A" w:rsidRDefault="00244C46">
            <w:pPr>
              <w:jc w:val="center"/>
              <w:rPr>
                <w:rFonts w:ascii="Arial" w:eastAsia="Arial" w:hAnsi="Arial" w:cs="Arial"/>
                <w:b/>
                <w:bCs/>
                <w:sz w:val="20"/>
                <w:szCs w:val="20"/>
              </w:rPr>
            </w:pPr>
            <w:r>
              <w:rPr>
                <w:rFonts w:ascii="Arial" w:eastAsia="Arial" w:hAnsi="Arial" w:cs="Arial"/>
                <w:b/>
                <w:bCs/>
                <w:sz w:val="20"/>
                <w:szCs w:val="20"/>
              </w:rPr>
              <w:t>Fórmula</w:t>
            </w:r>
          </w:p>
        </w:tc>
      </w:tr>
      <w:tr w:rsidR="00C0159A">
        <w:trPr>
          <w:trHeight w:val="283"/>
          <w:jc w:val="center"/>
        </w:trPr>
        <w:tc>
          <w:tcPr>
            <w:tcW w:w="5896" w:type="dxa"/>
            <w:vAlign w:val="center"/>
          </w:tcPr>
          <w:p w:rsidR="00C0159A" w:rsidRDefault="00244C46">
            <w:pPr>
              <w:jc w:val="center"/>
              <w:rPr>
                <w:rFonts w:ascii="Cambria Math" w:eastAsia="Cambria Math" w:hAnsi="Cambria Math" w:cs="Cambria Math"/>
                <w:b/>
                <w:bCs/>
                <w:sz w:val="20"/>
                <w:szCs w:val="20"/>
              </w:rPr>
            </w:pPr>
            <m:oMathPara>
              <m:oMath>
                <m:sSub>
                  <m:sSubPr>
                    <m:ctrlPr>
                      <w:rPr>
                        <w:rFonts w:ascii="Cambria Math" w:eastAsia="Cambria Math" w:hAnsi="Cambria Math" w:cs="Cambria Math"/>
                        <w:b/>
                        <w:bCs/>
                        <w:sz w:val="20"/>
                        <w:szCs w:val="20"/>
                      </w:rPr>
                    </m:ctrlPr>
                  </m:sSubPr>
                  <m:e>
                    <m:r>
                      <m:rPr>
                        <m:sty m:val="bi"/>
                      </m:rPr>
                      <w:rPr>
                        <w:rFonts w:ascii="Cambria Math" w:eastAsia="Cambria Math" w:hAnsi="Cambria Math" w:cs="Cambria Math"/>
                        <w:sz w:val="20"/>
                        <w:szCs w:val="20"/>
                      </w:rPr>
                      <m:t>CT</m:t>
                    </m:r>
                  </m:e>
                  <m:sub>
                    <m:r>
                      <m:rPr>
                        <m:sty m:val="bi"/>
                      </m:rPr>
                      <w:rPr>
                        <w:rFonts w:ascii="Cambria Math" w:eastAsia="Cambria Math" w:hAnsi="Cambria Math" w:cs="Cambria Math"/>
                        <w:sz w:val="20"/>
                        <w:szCs w:val="20"/>
                      </w:rPr>
                      <m:t>d</m:t>
                    </m:r>
                  </m:sub>
                </m:sSub>
                <m:r>
                  <m:rPr>
                    <m:sty m:val="bi"/>
                  </m:rPr>
                  <w:rPr>
                    <w:rFonts w:ascii="Cambria Math" w:eastAsia="Cambria Math" w:hAnsi="Cambria Math" w:cs="Cambria Math"/>
                    <w:sz w:val="20"/>
                    <w:szCs w:val="20"/>
                  </w:rPr>
                  <m:t>=</m:t>
                </m:r>
                <m:d>
                  <m:dPr>
                    <m:ctrlPr>
                      <w:rPr>
                        <w:rFonts w:ascii="Cambria Math" w:eastAsia="Cambria Math" w:hAnsi="Cambria Math" w:cs="Cambria Math"/>
                        <w:b/>
                        <w:bCs/>
                        <w:sz w:val="20"/>
                        <w:szCs w:val="20"/>
                      </w:rPr>
                    </m:ctrlPr>
                  </m:dPr>
                  <m:e>
                    <m:r>
                      <m:rPr>
                        <m:sty m:val="bi"/>
                      </m:rPr>
                      <w:rPr>
                        <w:rFonts w:ascii="Cambria Math" w:eastAsia="Cambria Math" w:hAnsi="Cambria Math" w:cs="Cambria Math"/>
                        <w:sz w:val="20"/>
                        <w:szCs w:val="20"/>
                      </w:rPr>
                      <m:t>POE</m:t>
                    </m:r>
                    <m:r>
                      <m:rPr>
                        <m:sty m:val="bi"/>
                      </m:rPr>
                      <w:rPr>
                        <w:rFonts w:ascii="Cambria Math" w:eastAsia="Cambria Math" w:hAnsi="Cambria Math" w:cs="Cambria Math"/>
                        <w:sz w:val="20"/>
                        <w:szCs w:val="20"/>
                      </w:rPr>
                      <m:t>-</m:t>
                    </m:r>
                    <m:r>
                      <m:rPr>
                        <m:sty m:val="bi"/>
                      </m:rPr>
                      <w:rPr>
                        <w:rFonts w:ascii="Cambria Math" w:eastAsia="Cambria Math" w:hAnsi="Cambria Math" w:cs="Cambria Math"/>
                        <w:sz w:val="20"/>
                        <w:szCs w:val="20"/>
                      </w:rPr>
                      <m:t>Anticipio</m:t>
                    </m:r>
                    <m:r>
                      <m:rPr>
                        <m:sty m:val="bi"/>
                      </m:rPr>
                      <w:rPr>
                        <w:rFonts w:ascii="Cambria Math" w:eastAsia="Cambria Math" w:hAnsi="Cambria Math" w:cs="Cambria Math"/>
                        <w:sz w:val="20"/>
                        <w:szCs w:val="20"/>
                      </w:rPr>
                      <m:t xml:space="preserve"> </m:t>
                    </m:r>
                    <m:r>
                      <m:rPr>
                        <m:sty m:val="bi"/>
                      </m:rPr>
                      <w:rPr>
                        <w:rFonts w:ascii="Cambria Math" w:eastAsia="Cambria Math" w:hAnsi="Cambria Math" w:cs="Cambria Math"/>
                        <w:sz w:val="20"/>
                        <w:szCs w:val="20"/>
                      </w:rPr>
                      <m:t>o</m:t>
                    </m:r>
                    <m:r>
                      <m:rPr>
                        <m:sty m:val="bi"/>
                      </m:rPr>
                      <w:rPr>
                        <w:rFonts w:ascii="Cambria Math" w:eastAsia="Cambria Math" w:hAnsi="Cambria Math" w:cs="Cambria Math"/>
                        <w:sz w:val="20"/>
                        <w:szCs w:val="20"/>
                      </w:rPr>
                      <m:t xml:space="preserve"> </m:t>
                    </m:r>
                    <m:r>
                      <m:rPr>
                        <m:sty m:val="bi"/>
                      </m:rPr>
                      <w:rPr>
                        <w:rFonts w:ascii="Cambria Math" w:eastAsia="Cambria Math" w:hAnsi="Cambria Math" w:cs="Cambria Math"/>
                        <w:sz w:val="20"/>
                        <w:szCs w:val="20"/>
                      </w:rPr>
                      <m:t>Pago</m:t>
                    </m:r>
                    <m:r>
                      <m:rPr>
                        <m:sty m:val="bi"/>
                      </m:rPr>
                      <w:rPr>
                        <w:rFonts w:ascii="Cambria Math" w:eastAsia="Cambria Math" w:hAnsi="Cambria Math" w:cs="Cambria Math"/>
                        <w:sz w:val="20"/>
                        <w:szCs w:val="20"/>
                      </w:rPr>
                      <m:t xml:space="preserve"> </m:t>
                    </m:r>
                    <m:r>
                      <m:rPr>
                        <m:sty m:val="bi"/>
                      </m:rPr>
                      <w:rPr>
                        <w:rFonts w:ascii="Cambria Math" w:eastAsia="Cambria Math" w:hAnsi="Cambria Math" w:cs="Cambria Math"/>
                        <w:sz w:val="20"/>
                        <w:szCs w:val="20"/>
                      </w:rPr>
                      <m:t>Anticipado</m:t>
                    </m:r>
                  </m:e>
                </m:d>
                <m:r>
                  <m:rPr>
                    <m:sty m:val="bi"/>
                  </m:rPr>
                  <w:rPr>
                    <w:rFonts w:ascii="Cambria Math" w:eastAsia="Cambria Math" w:hAnsi="Cambria Math" w:cs="Cambria Math"/>
                    <w:sz w:val="20"/>
                    <w:szCs w:val="20"/>
                  </w:rPr>
                  <m:t xml:space="preserve"> </m:t>
                </m:r>
                <m:r>
                  <m:rPr>
                    <m:sty m:val="bi"/>
                  </m:rPr>
                  <w:rPr>
                    <w:rFonts w:ascii="Cambria Math" w:eastAsia="Cambria Math" w:hAnsi="Cambria Math" w:cs="Cambria Math"/>
                    <w:sz w:val="20"/>
                    <w:szCs w:val="20"/>
                  </w:rPr>
                  <m:t>x</m:t>
                </m:r>
                <m:r>
                  <m:rPr>
                    <m:sty m:val="bi"/>
                  </m:rPr>
                  <w:rPr>
                    <w:rFonts w:ascii="Cambria Math" w:eastAsia="Cambria Math" w:hAnsi="Cambria Math" w:cs="Cambria Math"/>
                    <w:sz w:val="20"/>
                    <w:szCs w:val="20"/>
                  </w:rPr>
                  <m:t xml:space="preserve"> 25%</m:t>
                </m:r>
              </m:oMath>
            </m:oMathPara>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CTd = Capital de Trabajo demandado para el proceso que presenta propuesta.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POE = Presupuesto oficial estimado.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ningún caso el capital de trabajo requerido excederá el valor del</w:t>
      </w:r>
      <w:r>
        <w:rPr>
          <w:rFonts w:ascii="Arial" w:eastAsia="Arial" w:hAnsi="Arial" w:cs="Arial"/>
          <w:sz w:val="20"/>
          <w:szCs w:val="20"/>
        </w:rPr>
        <w:t xml:space="preserve"> Presupuesto Oficial. </w:t>
      </w:r>
    </w:p>
    <w:p w:rsidR="00C0159A" w:rsidRDefault="00C0159A">
      <w:pPr>
        <w:spacing w:after="0" w:line="240" w:lineRule="auto"/>
        <w:jc w:val="both"/>
        <w:rPr>
          <w:rFonts w:ascii="Arial" w:eastAsia="Arial" w:hAnsi="Arial" w:cs="Arial"/>
          <w:sz w:val="20"/>
          <w:szCs w:val="20"/>
        </w:rPr>
      </w:pPr>
    </w:p>
    <w:tbl>
      <w:tblPr>
        <w:tblStyle w:val="a5"/>
        <w:tblW w:w="54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
        <w:gridCol w:w="3977"/>
      </w:tblGrid>
      <w:tr w:rsidR="00C0159A">
        <w:trPr>
          <w:trHeight w:val="340"/>
          <w:tblHeader/>
          <w:jc w:val="center"/>
        </w:trPr>
        <w:tc>
          <w:tcPr>
            <w:tcW w:w="1474"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Lote No.</w:t>
            </w:r>
          </w:p>
        </w:tc>
        <w:tc>
          <w:tcPr>
            <w:tcW w:w="3977"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Capital de trabajo Demandado</w:t>
            </w:r>
          </w:p>
        </w:tc>
      </w:tr>
      <w:tr w:rsidR="00C0159A">
        <w:trPr>
          <w:trHeight w:val="340"/>
          <w:jc w:val="center"/>
        </w:trPr>
        <w:tc>
          <w:tcPr>
            <w:tcW w:w="147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w:t>
            </w:r>
          </w:p>
        </w:tc>
        <w:tc>
          <w:tcPr>
            <w:tcW w:w="397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$ 874.913.657</w:t>
            </w:r>
          </w:p>
        </w:tc>
      </w:tr>
      <w:tr w:rsidR="00C0159A">
        <w:trPr>
          <w:trHeight w:val="340"/>
          <w:jc w:val="center"/>
        </w:trPr>
        <w:tc>
          <w:tcPr>
            <w:tcW w:w="147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2</w:t>
            </w:r>
          </w:p>
        </w:tc>
        <w:tc>
          <w:tcPr>
            <w:tcW w:w="397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$ 874.913.657</w:t>
            </w:r>
          </w:p>
        </w:tc>
      </w:tr>
      <w:tr w:rsidR="00C0159A">
        <w:trPr>
          <w:trHeight w:val="340"/>
          <w:jc w:val="center"/>
        </w:trPr>
        <w:tc>
          <w:tcPr>
            <w:tcW w:w="147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3</w:t>
            </w:r>
          </w:p>
        </w:tc>
        <w:tc>
          <w:tcPr>
            <w:tcW w:w="397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$ 874.913.657</w:t>
            </w:r>
          </w:p>
        </w:tc>
      </w:tr>
    </w:tbl>
    <w:p w:rsidR="00C0159A" w:rsidRDefault="00C0159A">
      <w:pPr>
        <w:pBdr>
          <w:top w:val="nil"/>
          <w:left w:val="nil"/>
          <w:bottom w:val="nil"/>
          <w:right w:val="nil"/>
          <w:between w:val="nil"/>
        </w:pBd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8" w:name="_heading=h.3qeaao7kl5jz" w:colFirst="0" w:colLast="0"/>
      <w:bookmarkEnd w:id="48"/>
      <w:r>
        <w:rPr>
          <w:rFonts w:ascii="Arial" w:eastAsia="Arial" w:hAnsi="Arial" w:cs="Arial"/>
          <w:sz w:val="20"/>
          <w:szCs w:val="20"/>
        </w:rPr>
        <w:t xml:space="preserve">3.7. </w:t>
      </w:r>
      <w:r>
        <w:rPr>
          <w:rFonts w:ascii="Arial" w:eastAsia="Arial" w:hAnsi="Arial" w:cs="Arial"/>
          <w:b/>
          <w:bCs/>
          <w:color w:val="000000"/>
          <w:sz w:val="20"/>
          <w:szCs w:val="20"/>
        </w:rPr>
        <w:t>CAPACIDAD ORGANIZACIONAL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6"/>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C0159A">
        <w:trPr>
          <w:trHeight w:val="283"/>
          <w:tblHeader/>
          <w:jc w:val="center"/>
        </w:trPr>
        <w:tc>
          <w:tcPr>
            <w:tcW w:w="2013"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Indicador</w:t>
            </w:r>
          </w:p>
        </w:tc>
        <w:tc>
          <w:tcPr>
            <w:tcW w:w="3090"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Fórmula</w:t>
            </w:r>
          </w:p>
        </w:tc>
      </w:tr>
      <w:tr w:rsidR="00C0159A">
        <w:trPr>
          <w:trHeight w:val="680"/>
          <w:jc w:val="center"/>
        </w:trPr>
        <w:tc>
          <w:tcPr>
            <w:tcW w:w="201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sobre Patrimonio (Roe)</w:t>
            </w:r>
          </w:p>
        </w:tc>
        <w:tc>
          <w:tcPr>
            <w:tcW w:w="3090" w:type="dxa"/>
            <w:vAlign w:val="center"/>
          </w:tcPr>
          <w:p w:rsidR="00C0159A" w:rsidRDefault="00244C46">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Operacional</m:t>
                    </m:r>
                  </m:num>
                  <m:den>
                    <m:r>
                      <m:rPr>
                        <m:sty m:val="bi"/>
                      </m:rPr>
                      <w:rPr>
                        <w:rFonts w:ascii="Cambria Math" w:eastAsia="Cambria Math" w:hAnsi="Cambria Math" w:cs="Cambria Math"/>
                        <w:color w:val="000000"/>
                        <w:sz w:val="20"/>
                        <w:szCs w:val="20"/>
                      </w:rPr>
                      <m:t>Patrimonio</m:t>
                    </m:r>
                  </m:den>
                </m:f>
              </m:oMath>
            </m:oMathPara>
          </w:p>
        </w:tc>
      </w:tr>
      <w:tr w:rsidR="00C0159A">
        <w:trPr>
          <w:trHeight w:val="680"/>
          <w:jc w:val="center"/>
        </w:trPr>
        <w:tc>
          <w:tcPr>
            <w:tcW w:w="201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del Activo (Roa)</w:t>
            </w:r>
          </w:p>
        </w:tc>
        <w:tc>
          <w:tcPr>
            <w:tcW w:w="3090" w:type="dxa"/>
            <w:vAlign w:val="center"/>
          </w:tcPr>
          <w:p w:rsidR="00C0159A" w:rsidRDefault="00244C46">
            <w:pPr>
              <w:jc w:val="center"/>
              <w:rPr>
                <w:rFonts w:ascii="Cambria Math" w:eastAsia="Cambria Math" w:hAnsi="Cambria Math" w:cs="Cambria Math"/>
                <w:b/>
                <w:bCs/>
                <w:color w:val="000000"/>
                <w:sz w:val="20"/>
                <w:szCs w:val="20"/>
              </w:rPr>
            </w:pPr>
            <m:oMathPara>
              <m:oMath>
                <m:f>
                  <m:fPr>
                    <m:ctrlPr>
                      <w:rPr>
                        <w:rFonts w:ascii="Cambria Math" w:eastAsia="Cambria Math" w:hAnsi="Cambria Math" w:cs="Cambria Math"/>
                        <w:b/>
                        <w:bCs/>
                        <w:color w:val="000000"/>
                        <w:sz w:val="20"/>
                        <w:szCs w:val="20"/>
                      </w:rPr>
                    </m:ctrlPr>
                  </m:fPr>
                  <m:num>
                    <m:r>
                      <m:rPr>
                        <m:sty m:val="bi"/>
                      </m:rPr>
                      <w:rPr>
                        <w:rFonts w:ascii="Cambria Math" w:eastAsia="Cambria Math" w:hAnsi="Cambria Math" w:cs="Cambria Math"/>
                        <w:color w:val="000000"/>
                        <w:sz w:val="20"/>
                        <w:szCs w:val="20"/>
                      </w:rPr>
                      <m:t>Utilidad</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Operacional</m:t>
                    </m:r>
                  </m:num>
                  <m:den>
                    <m:r>
                      <m:rPr>
                        <m:sty m:val="bi"/>
                      </m:rPr>
                      <w:rPr>
                        <w:rFonts w:ascii="Cambria Math" w:eastAsia="Cambria Math" w:hAnsi="Cambria Math" w:cs="Cambria Math"/>
                        <w:color w:val="000000"/>
                        <w:sz w:val="20"/>
                        <w:szCs w:val="20"/>
                      </w:rPr>
                      <m:t>Activo</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Total</m:t>
                    </m:r>
                  </m:den>
                </m:f>
              </m:oMath>
            </m:oMathPara>
          </w:p>
        </w:tc>
      </w:tr>
    </w:tbl>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jc w:val="center"/>
        <w:rPr>
          <w:rFonts w:ascii="Cambria Math" w:eastAsia="Cambria Math" w:hAnsi="Cambria Math" w:cs="Cambria Math"/>
          <w:b/>
          <w:bCs/>
          <w:color w:val="000000"/>
          <w:sz w:val="20"/>
          <w:szCs w:val="20"/>
        </w:rPr>
      </w:pPr>
      <m:oMathPara>
        <m:oMath>
          <m:r>
            <m:rPr>
              <m:sty m:val="bi"/>
            </m:rPr>
            <w:rPr>
              <w:rFonts w:ascii="Cambria Math" w:eastAsia="Cambria Math" w:hAnsi="Cambria Math" w:cs="Cambria Math"/>
              <w:color w:val="000000"/>
              <w:sz w:val="20"/>
              <w:szCs w:val="20"/>
            </w:rPr>
            <m:t>Indicador</m:t>
          </m:r>
          <m:r>
            <m:rPr>
              <m:sty m:val="bi"/>
            </m:rPr>
            <w:rPr>
              <w:rFonts w:ascii="Cambria Math" w:eastAsia="Cambria Math" w:hAnsi="Cambria Math" w:cs="Cambria Math"/>
              <w:color w:val="000000"/>
              <w:sz w:val="20"/>
              <w:szCs w:val="20"/>
            </w:rPr>
            <m:t>=</m:t>
          </m:r>
          <m:f>
            <m:fPr>
              <m:ctrlPr>
                <w:rPr>
                  <w:rFonts w:ascii="Cambria Math" w:eastAsia="Cambria Math" w:hAnsi="Cambria Math" w:cs="Cambria Math"/>
                  <w:b/>
                  <w:bCs/>
                  <w:color w:val="000000"/>
                  <w:sz w:val="20"/>
                  <w:szCs w:val="20"/>
                </w:rPr>
              </m:ctrlPr>
            </m:fPr>
            <m:num>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m:t>
                      </m:r>
                      <m:r>
                        <m:rPr>
                          <m:sty m:val="bi"/>
                        </m:rPr>
                        <w:rPr>
                          <w:rFonts w:ascii="Cambria Math" w:eastAsia="Cambria Math" w:hAnsi="Cambria Math" w:cs="Cambria Math"/>
                          <w:color w:val="000000"/>
                          <w:sz w:val="20"/>
                          <w:szCs w:val="20"/>
                        </w:rPr>
                        <m:t>=1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m:t>
                      </m:r>
                      <m:r>
                        <m:rPr>
                          <m:sty m:val="bi"/>
                        </m:rPr>
                        <w:rPr>
                          <w:rFonts w:ascii="Cambria Math" w:eastAsia="Cambria Math" w:hAnsi="Cambria Math" w:cs="Cambria Math"/>
                          <w:color w:val="000000"/>
                          <w:sz w:val="20"/>
                          <w:szCs w:val="20"/>
                        </w:rPr>
                        <m:t xml:space="preserve"> 1 </m:t>
                      </m:r>
                      <m:r>
                        <m:rPr>
                          <m:sty m:val="bi"/>
                        </m:rPr>
                        <w:rPr>
                          <w:rFonts w:ascii="Cambria Math" w:eastAsia="Cambria Math" w:hAnsi="Cambria Math" w:cs="Cambria Math"/>
                          <w:color w:val="000000"/>
                          <w:sz w:val="20"/>
                          <w:szCs w:val="20"/>
                        </w:rPr>
                        <m:t>del</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indicador</m:t>
                      </m:r>
                    </m:e>
                    <m:sub>
                      <m:r>
                        <m:rPr>
                          <m:sty m:val="bi"/>
                        </m:rP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b/>
                      <w:bCs/>
                      <w:color w:val="000000"/>
                      <w:sz w:val="20"/>
                      <w:szCs w:val="20"/>
                    </w:rPr>
                  </m:ctrlPr>
                </m:dPr>
                <m:e>
                  <m:nary>
                    <m:naryPr>
                      <m:chr m:val="∑"/>
                      <m:ctrlPr>
                        <w:rPr>
                          <w:rFonts w:ascii="Cambria Math" w:eastAsia="Cambria Math" w:hAnsi="Cambria Math" w:cs="Cambria Math"/>
                          <w:b/>
                          <w:bCs/>
                          <w:color w:val="000000"/>
                          <w:sz w:val="20"/>
                          <w:szCs w:val="20"/>
                        </w:rPr>
                      </m:ctrlPr>
                    </m:naryPr>
                    <m:sub>
                      <m:r>
                        <m:rPr>
                          <m:sty m:val="bi"/>
                        </m:rPr>
                        <w:rPr>
                          <w:rFonts w:ascii="Cambria Math" w:eastAsia="Cambria Math" w:hAnsi="Cambria Math" w:cs="Cambria Math"/>
                          <w:color w:val="000000"/>
                          <w:sz w:val="20"/>
                          <w:szCs w:val="20"/>
                        </w:rPr>
                        <m:t>i</m:t>
                      </m:r>
                      <m:r>
                        <m:rPr>
                          <m:sty m:val="bi"/>
                        </m:rPr>
                        <w:rPr>
                          <w:rFonts w:ascii="Cambria Math" w:eastAsia="Cambria Math" w:hAnsi="Cambria Math" w:cs="Cambria Math"/>
                          <w:color w:val="000000"/>
                          <w:sz w:val="20"/>
                          <w:szCs w:val="20"/>
                        </w:rPr>
                        <m:t>=1</m:t>
                      </m:r>
                    </m:sub>
                    <m:sup>
                      <m:r>
                        <m:rPr>
                          <m:sty m:val="bi"/>
                        </m:rPr>
                        <w:rPr>
                          <w:rFonts w:ascii="Cambria Math" w:eastAsia="Cambria Math" w:hAnsi="Cambria Math" w:cs="Cambria Math"/>
                          <w:color w:val="000000"/>
                          <w:sz w:val="20"/>
                          <w:szCs w:val="20"/>
                        </w:rPr>
                        <m:t>n</m:t>
                      </m:r>
                    </m:sup>
                    <m:e/>
                  </m:nary>
                  <m:sSub>
                    <m:sSubPr>
                      <m:ctrlPr>
                        <w:rPr>
                          <w:rFonts w:ascii="Cambria Math" w:eastAsia="Cambria Math" w:hAnsi="Cambria Math" w:cs="Cambria Math"/>
                          <w:b/>
                          <w:bCs/>
                          <w:color w:val="000000"/>
                          <w:sz w:val="20"/>
                          <w:szCs w:val="20"/>
                        </w:rPr>
                      </m:ctrlPr>
                    </m:sSubPr>
                    <m:e>
                      <m:r>
                        <m:rPr>
                          <m:sty m:val="bi"/>
                        </m:rPr>
                        <w:rPr>
                          <w:rFonts w:ascii="Cambria Math" w:eastAsia="Cambria Math" w:hAnsi="Cambria Math" w:cs="Cambria Math"/>
                          <w:color w:val="000000"/>
                          <w:sz w:val="20"/>
                          <w:szCs w:val="20"/>
                        </w:rPr>
                        <m:t>Componente</m:t>
                      </m:r>
                      <m:r>
                        <m:rPr>
                          <m:sty m:val="bi"/>
                        </m:rPr>
                        <w:rPr>
                          <w:rFonts w:ascii="Cambria Math" w:eastAsia="Cambria Math" w:hAnsi="Cambria Math" w:cs="Cambria Math"/>
                          <w:color w:val="000000"/>
                          <w:sz w:val="20"/>
                          <w:szCs w:val="20"/>
                        </w:rPr>
                        <m:t xml:space="preserve"> 2 </m:t>
                      </m:r>
                      <m:r>
                        <m:rPr>
                          <m:sty m:val="bi"/>
                        </m:rPr>
                        <w:rPr>
                          <w:rFonts w:ascii="Cambria Math" w:eastAsia="Cambria Math" w:hAnsi="Cambria Math" w:cs="Cambria Math"/>
                          <w:color w:val="000000"/>
                          <w:sz w:val="20"/>
                          <w:szCs w:val="20"/>
                        </w:rPr>
                        <m:t>del</m:t>
                      </m:r>
                      <m:r>
                        <m:rPr>
                          <m:sty m:val="bi"/>
                        </m:rPr>
                        <w:rPr>
                          <w:rFonts w:ascii="Cambria Math" w:eastAsia="Cambria Math" w:hAnsi="Cambria Math" w:cs="Cambria Math"/>
                          <w:color w:val="000000"/>
                          <w:sz w:val="20"/>
                          <w:szCs w:val="20"/>
                        </w:rPr>
                        <m:t xml:space="preserve"> </m:t>
                      </m:r>
                      <m:r>
                        <m:rPr>
                          <m:sty m:val="bi"/>
                        </m:rPr>
                        <w:rPr>
                          <w:rFonts w:ascii="Cambria Math" w:eastAsia="Cambria Math" w:hAnsi="Cambria Math" w:cs="Cambria Math"/>
                          <w:color w:val="000000"/>
                          <w:sz w:val="20"/>
                          <w:szCs w:val="20"/>
                        </w:rPr>
                        <m:t>indicador</m:t>
                      </m:r>
                    </m:e>
                    <m:sub>
                      <m:r>
                        <m:rPr>
                          <m:sty m:val="bi"/>
                        </m:rPr>
                        <w:rPr>
                          <w:rFonts w:ascii="Cambria Math" w:eastAsia="Cambria Math" w:hAnsi="Cambria Math" w:cs="Cambria Math"/>
                          <w:color w:val="000000"/>
                          <w:sz w:val="20"/>
                          <w:szCs w:val="20"/>
                        </w:rPr>
                        <m:t>i</m:t>
                      </m:r>
                    </m:sub>
                  </m:sSub>
                </m:e>
              </m:d>
            </m:den>
          </m:f>
        </m:oMath>
      </m:oMathPara>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que demuestre la condición de Mipyme domiciliada en Colombia acreditará la Capacidad Organizacional de acuerdo con los indicadores señalados en la “Matri</w:t>
      </w:r>
      <w:r>
        <w:rPr>
          <w:rFonts w:ascii="Arial" w:eastAsia="Arial" w:hAnsi="Arial" w:cs="Arial"/>
          <w:color w:val="000000"/>
          <w:sz w:val="20"/>
          <w:szCs w:val="20"/>
        </w:rPr>
        <w:t>z 2 – Indicadores financieros y organizacionales”. El Proponente probará la calidad de Mipyme con la copia del certificado del Registro Único de Proponentes (RUP), el cual deberá encontrarse vigente y en firme al momento de su presentación.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49" w:name="_heading=h.ynrxblpqhsv3" w:colFirst="0" w:colLast="0"/>
      <w:bookmarkEnd w:id="49"/>
      <w:r>
        <w:rPr>
          <w:rFonts w:ascii="Arial" w:eastAsia="Arial" w:hAnsi="Arial" w:cs="Arial"/>
          <w:sz w:val="20"/>
          <w:szCs w:val="20"/>
        </w:rPr>
        <w:t xml:space="preserve">3.7.1. </w:t>
      </w:r>
      <w:r>
        <w:rPr>
          <w:rFonts w:ascii="Arial" w:eastAsia="Arial" w:hAnsi="Arial" w:cs="Arial"/>
          <w:b/>
          <w:bCs/>
          <w:color w:val="000000"/>
          <w:sz w:val="20"/>
          <w:szCs w:val="20"/>
        </w:rPr>
        <w:t>ACREDIT</w:t>
      </w:r>
      <w:r>
        <w:rPr>
          <w:rFonts w:ascii="Arial" w:eastAsia="Arial" w:hAnsi="Arial" w:cs="Arial"/>
          <w:b/>
          <w:bCs/>
          <w:color w:val="000000"/>
          <w:sz w:val="20"/>
          <w:szCs w:val="20"/>
        </w:rPr>
        <w:t>ACIÓN DE LA CAPACIDAD FINANCIERA Y ORGANIZACIONAL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sz w:val="20"/>
          <w:szCs w:val="20"/>
        </w:rPr>
        <w:t xml:space="preserve">3.7.1.1. </w:t>
      </w:r>
      <w:r>
        <w:rPr>
          <w:rFonts w:ascii="Arial" w:eastAsia="Arial" w:hAnsi="Arial" w:cs="Arial"/>
          <w:b/>
          <w:bCs/>
          <w:color w:val="000000"/>
          <w:sz w:val="20"/>
          <w:szCs w:val="20"/>
        </w:rPr>
        <w:t>PERSONAS NATURALES O JURÍDICAS NACIONALES Y EXTRANJERAS CON DOMICILIO O SUCURSAL EN COLOMBIA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w:t>
      </w:r>
      <w:r>
        <w:rPr>
          <w:rFonts w:ascii="Arial" w:eastAsia="Arial" w:hAnsi="Arial" w:cs="Arial"/>
          <w:color w:val="000000"/>
          <w:sz w:val="20"/>
          <w:szCs w:val="20"/>
        </w:rPr>
        <w:t>realizará de acuerdo con la información reportada en el RUP, conforme con las disposiciones establecidas en las Subsecciones 5 y 6, de la Sección 1, del Capítulo 1, del Título 1, de la Parte 2 del Decreto 1082 de 2015 o las normas que las modifiquen, adici</w:t>
      </w:r>
      <w:r>
        <w:rPr>
          <w:rFonts w:ascii="Arial" w:eastAsia="Arial" w:hAnsi="Arial" w:cs="Arial"/>
          <w:color w:val="000000"/>
          <w:sz w:val="20"/>
          <w:szCs w:val="20"/>
        </w:rPr>
        <w:t>onen o sustituyan.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sz w:val="20"/>
          <w:szCs w:val="20"/>
        </w:rPr>
        <w:t xml:space="preserve">3.7.1.2. </w:t>
      </w:r>
      <w:r>
        <w:rPr>
          <w:rFonts w:ascii="Arial" w:eastAsia="Arial" w:hAnsi="Arial" w:cs="Arial"/>
          <w:b/>
          <w:bCs/>
          <w:color w:val="000000"/>
          <w:sz w:val="20"/>
          <w:szCs w:val="20"/>
        </w:rPr>
        <w:t xml:space="preserve">PERSONAS NATURALES O JURÍDICAS EXTRANJERAS SIN DOMICILIO O SUCURSAL EN COLOMBIA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deberán allegar la siguiente información financiera de conformidad con la legislación propia del p</w:t>
      </w:r>
      <w:r>
        <w:rPr>
          <w:rFonts w:ascii="Arial" w:eastAsia="Arial" w:hAnsi="Arial" w:cs="Arial"/>
          <w:color w:val="000000"/>
          <w:sz w:val="20"/>
          <w:szCs w:val="20"/>
        </w:rPr>
        <w:t>aís de origen. Los valores deben: (i) presentarse en Pesos Colombianos; (ii) convertirse a la tasa de cambio de la fecha de corte de los mismos y (iii) estar avalados con la firma de quien se encuentre en obligación de hacerlo de acuerdo con la normativa d</w:t>
      </w:r>
      <w:r>
        <w:rPr>
          <w:rFonts w:ascii="Arial" w:eastAsia="Arial" w:hAnsi="Arial" w:cs="Arial"/>
          <w:color w:val="000000"/>
          <w:sz w:val="20"/>
          <w:szCs w:val="20"/>
        </w:rPr>
        <w:t xml:space="preserve">el país de origen.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estado de situación financiera (balance general) y estado de resultado integral (estado de resultados), acompañados por el informe de auditoría (sí aplica de acuerdo con la legislación de origen) con traducción simple al español de acuerdo con las norma</w:t>
      </w:r>
      <w:r>
        <w:rPr>
          <w:rFonts w:ascii="Arial" w:eastAsia="Arial" w:hAnsi="Arial" w:cs="Arial"/>
          <w:color w:val="000000"/>
          <w:sz w:val="20"/>
          <w:szCs w:val="20"/>
        </w:rPr>
        <w:t xml:space="preserve">s NIIF.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del contador público o del revisor fiscal y certificado de antecedentes disciplinarios vigente expedido por la Junta Central de Contadores de quien realiza la conversión.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“Formato 4 – Capacidad financiera y o</w:t>
      </w:r>
      <w:r>
        <w:rPr>
          <w:rFonts w:ascii="Arial" w:eastAsia="Arial" w:hAnsi="Arial" w:cs="Arial"/>
          <w:color w:val="000000"/>
          <w:sz w:val="20"/>
          <w:szCs w:val="20"/>
        </w:rPr>
        <w:t>rganizacional (Personas naturales o jurídicas extranjeras sin domicilio o sucursal en Colombia)” diligenciado. En caso de presentarse discrepancias entre la información consignada en el “Formato 4 – Capacidad financiera y organizacional (Personas naturales</w:t>
      </w:r>
      <w:r>
        <w:rPr>
          <w:rFonts w:ascii="Arial" w:eastAsia="Arial" w:hAnsi="Arial" w:cs="Arial"/>
          <w:color w:val="000000"/>
          <w:sz w:val="20"/>
          <w:szCs w:val="20"/>
        </w:rPr>
        <w:t xml:space="preserve"> o jurídicas extranjeras sin domicilio o sucursal en Colombia)” y los documentos señalados en el Literal A, prevalecerá la información que se encuentre en los Estados Financieros incluidos en la oferta.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 fechas de corte de los documentos señalados en e</w:t>
      </w:r>
      <w:r>
        <w:rPr>
          <w:rFonts w:ascii="Arial" w:eastAsia="Arial" w:hAnsi="Arial" w:cs="Arial"/>
          <w:color w:val="000000"/>
          <w:sz w:val="20"/>
          <w:szCs w:val="20"/>
        </w:rPr>
        <w:t>l literal A será a 31 de diciembre del último año fiscal del proponente, acompañado del informe de auditoría, salvo que se acredite en debida forma que la legislación propia del país de origen fija una fecha de corte diferente a la prevista en este pliego.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del juramento en el “Formato 4 – Capacidad financiera y organizacio</w:t>
      </w:r>
      <w:r>
        <w:rPr>
          <w:rFonts w:ascii="Arial" w:eastAsia="Arial" w:hAnsi="Arial" w:cs="Arial"/>
          <w:color w:val="000000"/>
          <w:sz w:val="20"/>
          <w:szCs w:val="20"/>
        </w:rPr>
        <w:t>nal (Personas naturales o jurídicas extranjeras sin domicilio o sucursal en Colombia)”. El Proponente podrá acreditar este requisito con un documento que así lo certifique emitido por una firma de auditoría externa.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una moneda diferente a Dólares de los Estados Unidos de América, estos deberán convertirse a Pesos Colombianos en los términos definidos en la sección 1.13. del Pliego de Condicion</w:t>
      </w:r>
      <w:r>
        <w:rPr>
          <w:rFonts w:ascii="Arial" w:eastAsia="Arial" w:hAnsi="Arial" w:cs="Arial"/>
          <w:color w:val="000000"/>
          <w:sz w:val="20"/>
          <w:szCs w:val="20"/>
        </w:rPr>
        <w:t>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0" w:name="_heading=h.mo2sqtvbypd0" w:colFirst="0" w:colLast="0"/>
      <w:bookmarkEnd w:id="50"/>
      <w:r>
        <w:rPr>
          <w:rFonts w:ascii="Arial" w:eastAsia="Arial" w:hAnsi="Arial" w:cs="Arial"/>
          <w:sz w:val="20"/>
          <w:szCs w:val="20"/>
        </w:rPr>
        <w:t>3.8.</w:t>
      </w:r>
      <w:r>
        <w:rPr>
          <w:rFonts w:ascii="Arial" w:eastAsia="Arial" w:hAnsi="Arial" w:cs="Arial"/>
          <w:b/>
          <w:bCs/>
          <w:color w:val="000000"/>
          <w:sz w:val="20"/>
          <w:szCs w:val="20"/>
        </w:rPr>
        <w:t xml:space="preserve">EXIGENCIAS MÍNIMAS DE LA EXPERIENCIA DEL PROPONENTE, Y LA EXPERIENCIA Y FORMACIÓN ACADÉMICA DEL EQUIPO DE TRABAJO (Personal Clave Evaluable)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1" w:name="_heading=h.qcedi8krv9xp" w:colFirst="0" w:colLast="0"/>
      <w:bookmarkEnd w:id="51"/>
      <w:r>
        <w:rPr>
          <w:rFonts w:ascii="Arial" w:eastAsia="Arial" w:hAnsi="Arial" w:cs="Arial"/>
          <w:sz w:val="20"/>
          <w:szCs w:val="20"/>
        </w:rPr>
        <w:t xml:space="preserve">3.8.1. </w:t>
      </w:r>
      <w:r>
        <w:rPr>
          <w:rFonts w:ascii="Arial" w:eastAsia="Arial" w:hAnsi="Arial" w:cs="Arial"/>
          <w:b/>
          <w:bCs/>
          <w:color w:val="000000"/>
          <w:sz w:val="20"/>
          <w:szCs w:val="20"/>
        </w:rPr>
        <w:t>EXIGENCIA MÍNIMA DE LA EXPERIENCIA DEL PROPONENTE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habilitarse en el Proceso de Contratación</w:t>
      </w:r>
      <w:r>
        <w:rPr>
          <w:rFonts w:ascii="Arial" w:eastAsia="Arial" w:hAnsi="Arial" w:cs="Arial"/>
          <w:color w:val="000000"/>
          <w:sz w:val="20"/>
          <w:szCs w:val="20"/>
        </w:rPr>
        <w:t>, el Proponente acreditará que la sumatoria de los contratos aportados como experiencia es mayor o igual al cien por ciento (100 %) respecto del valor total del Presupuesto Oficial establecido para el Proceso de Contratación expresado en SMMLV. Estos contr</w:t>
      </w:r>
      <w:r>
        <w:rPr>
          <w:rFonts w:ascii="Arial" w:eastAsia="Arial" w:hAnsi="Arial" w:cs="Arial"/>
          <w:color w:val="000000"/>
          <w:sz w:val="20"/>
          <w:szCs w:val="20"/>
        </w:rPr>
        <w:t>atos serán verificados en el Registro Único de Proponentes (RUP) y en el “Formato 3 – Experiencia”, para los Proponentes que no están obligados a estar inscritos en el RUP, cumpliendo con los requisitos de experiencia previstos en el numeral “10.1 Acredita</w:t>
      </w:r>
      <w:r>
        <w:rPr>
          <w:rFonts w:ascii="Arial" w:eastAsia="Arial" w:hAnsi="Arial" w:cs="Arial"/>
          <w:color w:val="000000"/>
          <w:sz w:val="20"/>
          <w:szCs w:val="20"/>
        </w:rPr>
        <w:t>ción de la experiencia del Proponente” del Pliego de Condiciones.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Sin embargo, este</w:t>
      </w:r>
      <w:r>
        <w:rPr>
          <w:rFonts w:ascii="Arial" w:eastAsia="Arial" w:hAnsi="Arial" w:cs="Arial"/>
          <w:color w:val="000000"/>
          <w:sz w:val="20"/>
          <w:szCs w:val="20"/>
        </w:rPr>
        <w:t xml:space="preserve"> documento no otorga puntaje y tampoco exime a los proponentes de no presentarlo, en tal sentido el formato será de carácter habilitante y no será tenido en cuenta para efectos de ponderación de la experiencia de las ofertas.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Además, para habilitarse en e</w:t>
      </w:r>
      <w:r>
        <w:rPr>
          <w:rFonts w:ascii="Arial" w:eastAsia="Arial" w:hAnsi="Arial" w:cs="Arial"/>
          <w:color w:val="000000"/>
          <w:sz w:val="20"/>
          <w:szCs w:val="20"/>
        </w:rPr>
        <w:t xml:space="preserve">l Proceso de Contratación mediante los contratos aportados, en caso de ser procedente, deberá acreditarse la experiencia solicitada frente a la actividad principal; al igual que la experiencia en las actividades secundarias en el evento de que se solicite </w:t>
      </w:r>
      <w:r>
        <w:rPr>
          <w:rFonts w:ascii="Arial" w:eastAsia="Arial" w:hAnsi="Arial" w:cs="Arial"/>
          <w:color w:val="000000"/>
          <w:sz w:val="20"/>
          <w:szCs w:val="20"/>
        </w:rPr>
        <w:t>combinación de experiencia de la “Matriz 1 – Experiencia”. Igualmente, deberá demostrarse la experiencia adicional cuando el proyecto a ejecutar incluya servicios adicionales a la interventoría de obra pública de infraestructura de transporte. Lo anterior,</w:t>
      </w:r>
      <w:r>
        <w:rPr>
          <w:rFonts w:ascii="Arial" w:eastAsia="Arial" w:hAnsi="Arial" w:cs="Arial"/>
          <w:color w:val="000000"/>
          <w:sz w:val="20"/>
          <w:szCs w:val="20"/>
        </w:rPr>
        <w:t xml:space="preserve"> de conformidad con lo exigido en el numeral 10.1.1 del Pliego de Condiciones.</w:t>
      </w: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con los contratos aportados no se acrediten los requisitos exigidos en los dos párrafos anteriores, la Entidad solicitará al Proponente que subsane su oferta en</w:t>
      </w:r>
      <w:r>
        <w:rPr>
          <w:rFonts w:ascii="Arial" w:eastAsia="Arial" w:hAnsi="Arial" w:cs="Arial"/>
          <w:color w:val="000000"/>
          <w:sz w:val="20"/>
          <w:szCs w:val="20"/>
        </w:rPr>
        <w:t xml:space="preserve"> los términos del numeral 1.6 del Pliego de Condiciones. Si el Proponente subsana el requisito mínimo de experiencia se habilitará en el Proceso de Contratación, pero no se tendrán en cuenta estos contratos para la asignación del puntaje. En otras palabras</w:t>
      </w:r>
      <w:r>
        <w:rPr>
          <w:rFonts w:ascii="Arial" w:eastAsia="Arial" w:hAnsi="Arial" w:cs="Arial"/>
          <w:color w:val="000000"/>
          <w:sz w:val="20"/>
          <w:szCs w:val="20"/>
        </w:rPr>
        <w:t>, el otorgamiento de puntaje se realizará con los contratos válidos allegados en su oferta y que no fueron objeto de subsanación por parte del Proponente.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los procesos estructurados por lotes o por segmentos, el Proponente para habilitarse en el Proces</w:t>
      </w:r>
      <w:r>
        <w:rPr>
          <w:rFonts w:ascii="Arial" w:eastAsia="Arial" w:hAnsi="Arial" w:cs="Arial"/>
          <w:color w:val="000000"/>
          <w:sz w:val="20"/>
          <w:szCs w:val="20"/>
        </w:rPr>
        <w:t xml:space="preserve">o de Contratación acreditará que la experiencia es mayor o igual al cien por ciento (100 %) respecto del valor total del Presupuesto Oficial expresado en SMMLV del lote o segmentos al cual presenta la oferta.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Asimismo, el Proponente demostrará para cada </w:t>
      </w:r>
      <w:r>
        <w:rPr>
          <w:rFonts w:ascii="Arial" w:eastAsia="Arial" w:hAnsi="Arial" w:cs="Arial"/>
          <w:color w:val="000000"/>
          <w:sz w:val="20"/>
          <w:szCs w:val="20"/>
        </w:rPr>
        <w:t>lote o segmentos la experiencia solicitada frente a la actividad principal; al igual que la experiencia respecto de las actividades secundarias, en caso de que se exija combinación de experiencia de la “Matriz 1 – Experiencia”. Igualmente, deberá acreditar</w:t>
      </w:r>
      <w:r>
        <w:rPr>
          <w:rFonts w:ascii="Arial" w:eastAsia="Arial" w:hAnsi="Arial" w:cs="Arial"/>
          <w:color w:val="000000"/>
          <w:sz w:val="20"/>
          <w:szCs w:val="20"/>
        </w:rPr>
        <w:t xml:space="preserve">se la experiencia adicional cuando el proyecto a ejecutar incluya servicios adicionales a la interventoría de obra pública de infraestructura de transporte. En consecuencia, si el Proponente se presenta a varios lotes o segmentos, la experiencia mínima se </w:t>
      </w:r>
      <w:r>
        <w:rPr>
          <w:rFonts w:ascii="Arial" w:eastAsia="Arial" w:hAnsi="Arial" w:cs="Arial"/>
          <w:color w:val="000000"/>
          <w:sz w:val="20"/>
          <w:szCs w:val="20"/>
        </w:rPr>
        <w:t xml:space="preserve">evaluará de manera independiente para cada uno de ellos.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todo caso, un Proponente podrá probar la experiencia solicitada en uno o más lotes o segmentos con un mismo contrato o mediante contratos distintos.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52" w:name="_heading=h.vtju6e4itf0k" w:colFirst="0" w:colLast="0"/>
      <w:bookmarkEnd w:id="52"/>
      <w:r>
        <w:rPr>
          <w:rFonts w:ascii="Arial" w:eastAsia="Arial" w:hAnsi="Arial" w:cs="Arial"/>
          <w:sz w:val="20"/>
          <w:szCs w:val="20"/>
        </w:rPr>
        <w:t xml:space="preserve">3.8.2. </w:t>
      </w:r>
      <w:r>
        <w:rPr>
          <w:rFonts w:ascii="Arial" w:eastAsia="Arial" w:hAnsi="Arial" w:cs="Arial"/>
          <w:b/>
          <w:bCs/>
          <w:color w:val="000000"/>
          <w:sz w:val="20"/>
          <w:szCs w:val="20"/>
        </w:rPr>
        <w:t>EXIGENCIAS MÍNIMAS DE EXPERIENCIA Y FORMACIÓN ACADÉMICA DEL EQUIPO DE TRABAJO (Personal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Durante el desarrollo del Proceso de Contratación NO se evaluarán los soportes de los perfiles requeridos, por lo que no serán exigidos como parte de </w:t>
      </w:r>
      <w:r>
        <w:rPr>
          <w:rFonts w:ascii="Arial" w:eastAsia="Arial" w:hAnsi="Arial" w:cs="Arial"/>
          <w:color w:val="000000"/>
          <w:sz w:val="20"/>
          <w:szCs w:val="20"/>
        </w:rPr>
        <w:t>los documentos que conformen la propuesta. En tal sentido, para habilitarse en el Proceso de Contratación, el Proponente deberá cumplir las siguientes reglas: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Aportar y diligenciar en forma clara, completa, correcta y legible el </w:t>
      </w:r>
      <w:r>
        <w:rPr>
          <w:rFonts w:ascii="Arial" w:eastAsia="Arial" w:hAnsi="Arial" w:cs="Arial"/>
          <w:b/>
          <w:bCs/>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de acuerdo con los requisitos y condiciones que allí se indican y demás s</w:t>
      </w:r>
      <w:r>
        <w:rPr>
          <w:rFonts w:ascii="Arial" w:eastAsia="Arial" w:hAnsi="Arial" w:cs="Arial"/>
          <w:color w:val="000000"/>
          <w:sz w:val="20"/>
          <w:szCs w:val="20"/>
        </w:rPr>
        <w:t xml:space="preserve">eñaladas en el Pliego de Condiciones y sus documentos anexos.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w:t>
      </w:r>
      <w:r>
        <w:rPr>
          <w:rFonts w:ascii="Arial" w:eastAsia="Arial" w:hAnsi="Arial" w:cs="Arial"/>
          <w:b/>
          <w:bCs/>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xml:space="preserve"> debe suscribirlo el Proponente persona natural, representante legal de la per</w:t>
      </w:r>
      <w:r>
        <w:rPr>
          <w:rFonts w:ascii="Arial" w:eastAsia="Arial" w:hAnsi="Arial" w:cs="Arial"/>
          <w:color w:val="000000"/>
          <w:sz w:val="20"/>
          <w:szCs w:val="20"/>
        </w:rPr>
        <w:t>sona jurídica o representante del Proponente Plural.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los fines de este numeral se entiende por Personal Clave Evaluable los siguientes perfiles: </w:t>
      </w:r>
      <w:r>
        <w:rPr>
          <w:rFonts w:ascii="Arial" w:eastAsia="Arial" w:hAnsi="Arial" w:cs="Arial"/>
          <w:color w:val="000000"/>
          <w:sz w:val="20"/>
          <w:szCs w:val="20"/>
        </w:rPr>
        <w:t>i</w:t>
      </w:r>
      <w:r>
        <w:rPr>
          <w:rFonts w:ascii="Arial" w:eastAsia="Arial" w:hAnsi="Arial" w:cs="Arial"/>
          <w:sz w:val="20"/>
          <w:szCs w:val="20"/>
        </w:rPr>
        <w:t>) Director de interventoría, ii) Residente de interventoría, iii) Especialista en pavimentos</w:t>
      </w:r>
      <w:r>
        <w:rPr>
          <w:rFonts w:ascii="Arial" w:eastAsia="Arial" w:hAnsi="Arial" w:cs="Arial"/>
          <w:color w:val="000000"/>
          <w:sz w:val="20"/>
          <w:szCs w:val="20"/>
        </w:rPr>
        <w:t>.</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condi</w:t>
      </w:r>
      <w:r>
        <w:rPr>
          <w:rFonts w:ascii="Arial" w:eastAsia="Arial" w:hAnsi="Arial" w:cs="Arial"/>
          <w:color w:val="000000"/>
          <w:sz w:val="20"/>
          <w:szCs w:val="20"/>
        </w:rPr>
        <w:t xml:space="preserve">ciones de formación académica y experiencia de los perfiles del personal integrante del equipo de trabajo denominado Personal Clave Evaluable se encuentran en el </w:t>
      </w:r>
      <w:r>
        <w:rPr>
          <w:rFonts w:ascii="Arial" w:eastAsia="Arial" w:hAnsi="Arial" w:cs="Arial"/>
          <w:color w:val="000000"/>
          <w:sz w:val="20"/>
          <w:szCs w:val="20"/>
        </w:rPr>
        <w:t>“</w:t>
      </w:r>
      <w:r>
        <w:rPr>
          <w:rFonts w:ascii="Arial" w:eastAsia="Arial" w:hAnsi="Arial" w:cs="Arial"/>
          <w:sz w:val="20"/>
          <w:szCs w:val="20"/>
        </w:rPr>
        <w:t>Anexo de Requerimientos de Personal Mínimo del Proyecto</w:t>
      </w:r>
      <w:r>
        <w:rPr>
          <w:rFonts w:ascii="Arial" w:eastAsia="Arial" w:hAnsi="Arial" w:cs="Arial"/>
          <w:color w:val="000000"/>
          <w:sz w:val="20"/>
          <w:szCs w:val="20"/>
        </w:rPr>
        <w:t xml:space="preserve">” </w:t>
      </w:r>
      <w:r>
        <w:rPr>
          <w:rFonts w:ascii="Arial" w:eastAsia="Arial" w:hAnsi="Arial" w:cs="Arial"/>
          <w:color w:val="000000"/>
          <w:sz w:val="20"/>
          <w:szCs w:val="20"/>
        </w:rPr>
        <w:t>del Proceso de Contratación, las cua</w:t>
      </w:r>
      <w:r>
        <w:rPr>
          <w:rFonts w:ascii="Arial" w:eastAsia="Arial" w:hAnsi="Arial" w:cs="Arial"/>
          <w:color w:val="000000"/>
          <w:sz w:val="20"/>
          <w:szCs w:val="20"/>
        </w:rPr>
        <w:t>les serán verificadas</w:t>
      </w:r>
      <w:r>
        <w:rPr>
          <w:rFonts w:ascii="Arial" w:eastAsia="Arial" w:hAnsi="Arial" w:cs="Arial"/>
          <w:color w:val="000000"/>
          <w:sz w:val="20"/>
          <w:szCs w:val="20"/>
        </w:rPr>
        <w:t xml:space="preserve"> </w:t>
      </w:r>
      <w:r>
        <w:rPr>
          <w:rFonts w:ascii="Arial" w:eastAsia="Arial" w:hAnsi="Arial" w:cs="Arial"/>
          <w:sz w:val="20"/>
          <w:szCs w:val="20"/>
        </w:rPr>
        <w:t>posterioridad a la suscripción del contrato</w:t>
      </w:r>
      <w:r>
        <w:rPr>
          <w:rFonts w:ascii="Arial" w:eastAsia="Arial" w:hAnsi="Arial" w:cs="Arial"/>
          <w:color w:val="000000"/>
          <w:sz w:val="20"/>
          <w:szCs w:val="20"/>
        </w:rPr>
        <w:t>,</w:t>
      </w:r>
      <w:r>
        <w:rPr>
          <w:rFonts w:ascii="Arial" w:eastAsia="Arial" w:hAnsi="Arial" w:cs="Arial"/>
          <w:color w:val="000000"/>
          <w:sz w:val="20"/>
          <w:szCs w:val="20"/>
        </w:rPr>
        <w:t xml:space="preserve"> de acuerdo con las reglas establecidas en el Pliego de Condiciones, particularmente, en el numeral “10.2. Acreditación de experiencia y formación académica del equipo de trabajo y del Perso</w:t>
      </w:r>
      <w:r>
        <w:rPr>
          <w:rFonts w:ascii="Arial" w:eastAsia="Arial" w:hAnsi="Arial" w:cs="Arial"/>
          <w:color w:val="000000"/>
          <w:sz w:val="20"/>
          <w:szCs w:val="20"/>
        </w:rPr>
        <w:t>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El Proponente en la etapa de selección </w:t>
      </w:r>
      <w:r>
        <w:rPr>
          <w:rFonts w:ascii="Arial" w:eastAsia="Arial" w:hAnsi="Arial" w:cs="Arial"/>
          <w:b/>
          <w:bCs/>
          <w:color w:val="000000"/>
          <w:sz w:val="20"/>
          <w:szCs w:val="20"/>
          <w:u w:val="single"/>
        </w:rPr>
        <w:t>no</w:t>
      </w:r>
      <w:r>
        <w:rPr>
          <w:rFonts w:ascii="Arial" w:eastAsia="Arial" w:hAnsi="Arial" w:cs="Arial"/>
          <w:color w:val="000000"/>
          <w:sz w:val="20"/>
          <w:szCs w:val="20"/>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w:t>
      </w:r>
      <w:r>
        <w:rPr>
          <w:rFonts w:ascii="Arial" w:eastAsia="Arial" w:hAnsi="Arial" w:cs="Arial"/>
          <w:color w:val="000000"/>
          <w:sz w:val="20"/>
          <w:szCs w:val="20"/>
        </w:rPr>
        <w:t>Los documentos aportados en el presente acápite podrán tenerse en cuenta para demostrar el cumplimiento de los criterios de evaluación y asignación de puntaje, sin perjuicio de las reglas de subsanación dispuestas en el numeral 1.6. del Pliego de Condicion</w:t>
      </w:r>
      <w:r>
        <w:rPr>
          <w:rFonts w:ascii="Arial" w:eastAsia="Arial" w:hAnsi="Arial" w:cs="Arial"/>
          <w:color w:val="000000"/>
          <w:sz w:val="20"/>
          <w:szCs w:val="20"/>
        </w:rPr>
        <w:t>es</w:t>
      </w: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53" w:name="_heading=h.mh5u68iql217" w:colFirst="0" w:colLast="0"/>
      <w:bookmarkEnd w:id="53"/>
      <w:r>
        <w:rPr>
          <w:rFonts w:ascii="Arial" w:eastAsia="Arial" w:hAnsi="Arial" w:cs="Arial"/>
          <w:b/>
          <w:bCs/>
          <w:color w:val="000000"/>
          <w:sz w:val="20"/>
          <w:szCs w:val="20"/>
        </w:rPr>
        <w:lastRenderedPageBreak/>
        <w:t>CRITERIOS DE EVALUACIÓN, ASIGNACIÓN DE PUNTAJE Y CRITERIOS DE DESEMPATE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calificará las ofertas que hayan cumplido los requisitos habilitantes con los siguientes criterios de evaluación y puntaje:</w:t>
      </w:r>
    </w:p>
    <w:p w:rsidR="00C0159A" w:rsidRDefault="00C0159A">
      <w:pPr>
        <w:spacing w:after="0" w:line="240" w:lineRule="auto"/>
        <w:jc w:val="both"/>
        <w:rPr>
          <w:rFonts w:ascii="Arial" w:eastAsia="Arial" w:hAnsi="Arial" w:cs="Arial"/>
          <w:sz w:val="20"/>
          <w:szCs w:val="20"/>
        </w:rPr>
      </w:pPr>
    </w:p>
    <w:tbl>
      <w:tblPr>
        <w:tblStyle w:val="a7"/>
        <w:tblW w:w="62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7"/>
        <w:gridCol w:w="1696"/>
      </w:tblGrid>
      <w:tr w:rsidR="00C0159A">
        <w:trPr>
          <w:trHeight w:val="567"/>
          <w:tblHeader/>
          <w:jc w:val="center"/>
        </w:trPr>
        <w:tc>
          <w:tcPr>
            <w:tcW w:w="4547"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696"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Puntaje máximo</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Experiencia del Proponente</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67,50</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Equipo de trabajo (Personal Clave Evaluable)</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10</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Factor de sostenibilidad</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1</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Apoyo a la industria nacional</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20</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Vinculación de personas con discapacidad</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1</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Emprendimientos y empresas de mujeres</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0,25</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Mipyme</w:t>
            </w:r>
          </w:p>
        </w:tc>
        <w:tc>
          <w:tcPr>
            <w:tcW w:w="1696" w:type="dxa"/>
            <w:shd w:val="clear" w:color="auto" w:fill="auto"/>
            <w:vAlign w:val="center"/>
          </w:tcPr>
          <w:p w:rsidR="00C0159A" w:rsidRDefault="00244C46">
            <w:pPr>
              <w:jc w:val="center"/>
              <w:rPr>
                <w:rFonts w:ascii="Arial" w:eastAsia="Arial" w:hAnsi="Arial" w:cs="Arial"/>
                <w:sz w:val="20"/>
                <w:szCs w:val="20"/>
              </w:rPr>
            </w:pPr>
            <w:r>
              <w:rPr>
                <w:rFonts w:ascii="Arial" w:eastAsia="Arial" w:hAnsi="Arial" w:cs="Arial"/>
                <w:sz w:val="20"/>
                <w:szCs w:val="20"/>
              </w:rPr>
              <w:t>0,25</w:t>
            </w:r>
          </w:p>
        </w:tc>
      </w:tr>
      <w:tr w:rsidR="00C0159A">
        <w:trPr>
          <w:trHeight w:val="283"/>
          <w:jc w:val="center"/>
        </w:trPr>
        <w:tc>
          <w:tcPr>
            <w:tcW w:w="454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Total</w:t>
            </w:r>
          </w:p>
        </w:tc>
        <w:tc>
          <w:tcPr>
            <w:tcW w:w="1696"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100</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w:t>
      </w:r>
      <w:r>
        <w:rPr>
          <w:rFonts w:ascii="Arial" w:eastAsia="Arial" w:hAnsi="Arial" w:cs="Arial"/>
          <w:sz w:val="20"/>
          <w:szCs w:val="20"/>
        </w:rPr>
        <w:t xml:space="preserve">o con Sucursal en Colombia, o integrantes de Proponentes Plurales, cuenten con alguna anotación vigente de obra civil inconclusa en el mencionado registro, se descontará un (1) punto de la sumatoria obtenida en relación con los criterios de evaluación.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A</w:t>
      </w:r>
      <w:r>
        <w:rPr>
          <w:rFonts w:ascii="Arial" w:eastAsia="Arial" w:hAnsi="Arial" w:cs="Arial"/>
          <w:sz w:val="20"/>
          <w:szCs w:val="20"/>
        </w:rPr>
        <w:t>simismo, las Entidades deberán reducir durante la evaluación de las ofertas dos (2) puntos a los Proponentes que se les haya impuesto una o más multas o cláusulas penales durante el último año, contado a partir de la fecha prevista para el cierre del proce</w:t>
      </w:r>
      <w:r>
        <w:rPr>
          <w:rFonts w:ascii="Arial" w:eastAsia="Arial" w:hAnsi="Arial" w:cs="Arial"/>
          <w:sz w:val="20"/>
          <w:szCs w:val="20"/>
        </w:rPr>
        <w:t xml:space="preserve">so, sin importar la cuantía y sin perjuicio de las demás consecuencias derivadas del incumplimiento. Esta reducción también afecta a los Consorcios y a las Uniones Temporales si alguno de sus integrantes se encuentra en la situación anterior.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reducció</w:t>
      </w:r>
      <w:r>
        <w:rPr>
          <w:rFonts w:ascii="Arial" w:eastAsia="Arial" w:hAnsi="Arial" w:cs="Arial"/>
          <w:sz w:val="20"/>
          <w:szCs w:val="20"/>
        </w:rPr>
        <w:t>n del puntaje antes señalada no se materializará en caso de que los actos administrativos que hayan impuesto las multas sean objeto de control jurisdiccional previstos en la Ley 1437 de 2011 o las normas que la modifiquen, adicionen o sustituyan. Además, s</w:t>
      </w:r>
      <w:r>
        <w:rPr>
          <w:rFonts w:ascii="Arial" w:eastAsia="Arial" w:hAnsi="Arial" w:cs="Arial"/>
          <w:sz w:val="20"/>
          <w:szCs w:val="20"/>
        </w:rPr>
        <w:t>e aplicará sin perjuicio de lo dispuesto en el artículo 6 de la Ley 2020 de 2020. Lo anterior, de conformidad con el artículo 58 de la Ley 2195 de 2022 y las normas que lo modifiquen, sustituyan, adicionen o reglamenten.</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54" w:name="_heading=h.jnnm125ieu6s" w:colFirst="0" w:colLast="0"/>
      <w:bookmarkEnd w:id="54"/>
      <w:r>
        <w:rPr>
          <w:rFonts w:ascii="Arial" w:eastAsia="Arial" w:hAnsi="Arial" w:cs="Arial"/>
          <w:b/>
          <w:bCs/>
          <w:color w:val="000000"/>
          <w:sz w:val="20"/>
          <w:szCs w:val="20"/>
        </w:rPr>
        <w:t>FORMA VERIFICACIÓN Y ASIGNACIÓN DE</w:t>
      </w:r>
      <w:r>
        <w:rPr>
          <w:rFonts w:ascii="Arial" w:eastAsia="Arial" w:hAnsi="Arial" w:cs="Arial"/>
          <w:b/>
          <w:bCs/>
          <w:color w:val="000000"/>
          <w:sz w:val="20"/>
          <w:szCs w:val="20"/>
        </w:rPr>
        <w:t xml:space="preserve"> PUNTAJE POR LA EXPERIENCIA DEL PROPONENTE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Entidad evaluará la experiencia del Proponente de acuerdo con los siguientes pasos.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cumplirá con la exigencia mínima de experiencia prevista en el numeral 3.8.1. del Pliego de Condiciones. De acuerdo con lo anterior, si el Proponente debió subsanar el cumplimiento de la experiencia mínima, para la asignación de puntaje no se</w:t>
      </w:r>
      <w:r>
        <w:rPr>
          <w:rFonts w:ascii="Arial" w:eastAsia="Arial" w:hAnsi="Arial" w:cs="Arial"/>
          <w:color w:val="000000"/>
          <w:sz w:val="20"/>
          <w:szCs w:val="20"/>
        </w:rPr>
        <w:t xml:space="preserve"> tendrán en cuenta los contratos que hayan sido objeto de subsanación para definir el promedio de los contratos válidos aportados que se refiere el literal B) de este numeral.</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Cuando un Proponente haya subsanado la totalidad de los contratos aportados, su oferta no será tenida en cuenta para aplicar las fórmulas para la ponderación de la experiencia del Proponente, por lo que, además, por este criterio de asignación de puntaje o</w:t>
      </w:r>
      <w:r>
        <w:rPr>
          <w:rFonts w:ascii="Arial" w:eastAsia="Arial" w:hAnsi="Arial" w:cs="Arial"/>
          <w:color w:val="000000"/>
          <w:sz w:val="20"/>
          <w:szCs w:val="20"/>
        </w:rPr>
        <w:t>btendrá cero (0) puntos.</w:t>
      </w:r>
    </w:p>
    <w:p w:rsidR="00C0159A" w:rsidRDefault="00C0159A">
      <w:pPr>
        <w:spacing w:after="0" w:line="240" w:lineRule="auto"/>
        <w:ind w:firstLine="708"/>
        <w:jc w:val="both"/>
        <w:rPr>
          <w:rFonts w:ascii="Arial" w:eastAsia="Arial" w:hAnsi="Arial" w:cs="Arial"/>
          <w:sz w:val="20"/>
          <w:szCs w:val="20"/>
        </w:rPr>
      </w:pPr>
    </w:p>
    <w:p w:rsidR="00C0159A" w:rsidRDefault="00244C46">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la asignación de puntaje, se tomará el promedio de los contratos válidos aportados de cada propuesta hábil expresados en SMMLV registrados en el Registro Único de Proponentes (RUP) o en alguno de los documentos válidos señala</w:t>
      </w:r>
      <w:r>
        <w:rPr>
          <w:rFonts w:ascii="Arial" w:eastAsia="Arial" w:hAnsi="Arial" w:cs="Arial"/>
          <w:color w:val="000000"/>
          <w:sz w:val="20"/>
          <w:szCs w:val="20"/>
        </w:rPr>
        <w:t>dos en el numeral 10.1.5, que acredite su experiencia relacionada en el RUP, y que en total hayan cumplido con lo mencionado en el literal A de esta sección. Dicho promedio será el valor que lo hará participar para la asignación del puntaje, según se detal</w:t>
      </w:r>
      <w:r>
        <w:rPr>
          <w:rFonts w:ascii="Arial" w:eastAsia="Arial" w:hAnsi="Arial" w:cs="Arial"/>
          <w:color w:val="000000"/>
          <w:sz w:val="20"/>
          <w:szCs w:val="20"/>
        </w:rPr>
        <w:t xml:space="preserve">la en esta sección.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Posteriormente, se seleccionará un método aleatorio en función de la Tasa Representativa del Mercado (TRM) certificada por la Superintendencia Financiera de Colombia en su sitio web: </w:t>
      </w:r>
      <w:hyperlink r:id="rId18">
        <w:r>
          <w:rPr>
            <w:rFonts w:ascii="Arial" w:eastAsia="Arial" w:hAnsi="Arial" w:cs="Arial"/>
            <w:color w:val="0563C1"/>
            <w:sz w:val="20"/>
            <w:szCs w:val="20"/>
            <w:u w:val="single"/>
          </w:rPr>
          <w:t>https://www.superfinanciera.gov.co/publicacion/60819</w:t>
        </w:r>
      </w:hyperlink>
      <w:r>
        <w:rPr>
          <w:rFonts w:ascii="Arial" w:eastAsia="Arial" w:hAnsi="Arial" w:cs="Arial"/>
          <w:color w:val="000000"/>
          <w:sz w:val="20"/>
          <w:szCs w:val="20"/>
        </w:rPr>
        <w:t>.</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TRM que la Entidad utilizará para determinar el método de ponderación será la que </w:t>
      </w:r>
      <w:r>
        <w:rPr>
          <w:rFonts w:ascii="Arial" w:eastAsia="Arial" w:hAnsi="Arial" w:cs="Arial"/>
          <w:i/>
          <w:iCs/>
          <w:color w:val="000000"/>
          <w:sz w:val="20"/>
          <w:szCs w:val="20"/>
        </w:rPr>
        <w:t>rija el segundo día hábil después de finalizado el periodo de traslado del informe de evaluació</w:t>
      </w:r>
      <w:r>
        <w:rPr>
          <w:rFonts w:ascii="Arial" w:eastAsia="Arial" w:hAnsi="Arial" w:cs="Arial"/>
          <w:i/>
          <w:iCs/>
          <w:color w:val="000000"/>
          <w:sz w:val="20"/>
          <w:szCs w:val="20"/>
        </w:rPr>
        <w:t>n</w:t>
      </w:r>
      <w:r>
        <w:rPr>
          <w:rFonts w:ascii="Arial" w:eastAsia="Arial" w:hAnsi="Arial" w:cs="Arial"/>
          <w:color w:val="000000"/>
          <w:sz w:val="20"/>
          <w:szCs w:val="20"/>
        </w:rPr>
        <w:t>. Esto es, la que la Superintendencia publique en horas de la tarde del día hábil siguiente a la fecha efectiva de finalizado el periodo de traslado del informe de evaluación. Por ejemplo, si el termino de traslado del informe de evaluación finaliza el 10</w:t>
      </w:r>
      <w:r>
        <w:rPr>
          <w:rFonts w:ascii="Arial" w:eastAsia="Arial" w:hAnsi="Arial" w:cs="Arial"/>
          <w:color w:val="000000"/>
          <w:sz w:val="20"/>
          <w:szCs w:val="20"/>
        </w:rPr>
        <w:t xml:space="preserve"> de febrero, la TRM que se usará para determinar el método de evaluación será la del 12 de febrero, que se publica en la tarde del 11 de febrero.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evento excepcional establecido en el numeral 1.6, cuando la Entidad no hubiese advertido durante el proceso de evaluación la ausencia de requisitos o la falta de documentos referentes a la futura contratación o al Proponente, ya sea en relación con l</w:t>
      </w:r>
      <w:r>
        <w:rPr>
          <w:rFonts w:ascii="Arial" w:eastAsia="Arial" w:hAnsi="Arial" w:cs="Arial"/>
          <w:color w:val="000000"/>
          <w:sz w:val="20"/>
          <w:szCs w:val="20"/>
        </w:rPr>
        <w:t xml:space="preserve">os requisitos habilitantes o para aclarar aspectos que otorgan puntaje o relativos a los factores de desempate, y por ende, deba requerir a algún proponente, </w:t>
      </w:r>
      <w:r>
        <w:rPr>
          <w:rFonts w:ascii="Arial" w:eastAsia="Arial" w:hAnsi="Arial" w:cs="Arial"/>
          <w:i/>
          <w:iCs/>
          <w:color w:val="000000"/>
          <w:sz w:val="20"/>
          <w:szCs w:val="20"/>
          <w:u w:val="single"/>
        </w:rPr>
        <w:t>la TRM que la Entidad utilizará para determinar el método de ponderación será la que rija el segun</w:t>
      </w:r>
      <w:r>
        <w:rPr>
          <w:rFonts w:ascii="Arial" w:eastAsia="Arial" w:hAnsi="Arial" w:cs="Arial"/>
          <w:i/>
          <w:iCs/>
          <w:color w:val="000000"/>
          <w:sz w:val="20"/>
          <w:szCs w:val="20"/>
          <w:u w:val="single"/>
        </w:rPr>
        <w:t>do día hábil después de finalizado el periodo concedido al proponente requerido para allegar la subsanación y/o aclaración solicitada.</w:t>
      </w:r>
      <w:r>
        <w:rPr>
          <w:rFonts w:ascii="Arial" w:eastAsia="Arial" w:hAnsi="Arial" w:cs="Arial"/>
          <w:color w:val="000000"/>
          <w:sz w:val="20"/>
          <w:szCs w:val="20"/>
        </w:rPr>
        <w:t xml:space="preserve"> </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Al momento de definir o modificar el cronograma del Proceso de Contratación la entidad deberá verificar que el día hábil</w:t>
      </w:r>
      <w:r>
        <w:rPr>
          <w:rFonts w:ascii="Arial" w:eastAsia="Arial" w:hAnsi="Arial" w:cs="Arial"/>
          <w:color w:val="000000"/>
          <w:sz w:val="20"/>
          <w:szCs w:val="20"/>
        </w:rPr>
        <w:t xml:space="preserve"> siguiente a la finalización del periodo de traslado del informe de evaluación, no corresponda a un día festivo en Estados Unidos, con el objetivo de no afectar el proceso de definición del método de ponderación de las propuestas.</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método de ponderación se determinará de acuerdo con los rangos del siguiente cuadro, en función de la parte decimal -centavos- de la TRM:</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tbl>
      <w:tblPr>
        <w:tblStyle w:val="a8"/>
        <w:tblW w:w="5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992"/>
        <w:gridCol w:w="3114"/>
      </w:tblGrid>
      <w:tr w:rsidR="00C0159A">
        <w:trPr>
          <w:trHeight w:val="283"/>
          <w:tblHeader/>
          <w:jc w:val="center"/>
        </w:trPr>
        <w:tc>
          <w:tcPr>
            <w:tcW w:w="184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Rango</w:t>
            </w:r>
          </w:p>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(inclusive)</w:t>
            </w:r>
          </w:p>
        </w:tc>
        <w:tc>
          <w:tcPr>
            <w:tcW w:w="992"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Número</w:t>
            </w:r>
          </w:p>
        </w:tc>
        <w:tc>
          <w:tcPr>
            <w:tcW w:w="3114"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Método</w:t>
            </w:r>
          </w:p>
        </w:tc>
      </w:tr>
      <w:tr w:rsidR="00C0159A">
        <w:trPr>
          <w:trHeight w:val="283"/>
          <w:jc w:val="center"/>
        </w:trPr>
        <w:tc>
          <w:tcPr>
            <w:tcW w:w="184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 0.00 a 0.24</w:t>
            </w:r>
          </w:p>
        </w:tc>
        <w:tc>
          <w:tcPr>
            <w:tcW w:w="992"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w:t>
            </w:r>
          </w:p>
        </w:tc>
        <w:tc>
          <w:tcPr>
            <w:tcW w:w="311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Mediana con valor absoluto</w:t>
            </w:r>
          </w:p>
        </w:tc>
      </w:tr>
      <w:tr w:rsidR="00C0159A">
        <w:trPr>
          <w:trHeight w:val="283"/>
          <w:jc w:val="center"/>
        </w:trPr>
        <w:tc>
          <w:tcPr>
            <w:tcW w:w="184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 0.25 a 0.49</w:t>
            </w:r>
          </w:p>
        </w:tc>
        <w:tc>
          <w:tcPr>
            <w:tcW w:w="992"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2</w:t>
            </w:r>
          </w:p>
        </w:tc>
        <w:tc>
          <w:tcPr>
            <w:tcW w:w="311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Media geométrica</w:t>
            </w:r>
          </w:p>
        </w:tc>
      </w:tr>
      <w:tr w:rsidR="00C0159A">
        <w:trPr>
          <w:trHeight w:val="283"/>
          <w:jc w:val="center"/>
        </w:trPr>
        <w:tc>
          <w:tcPr>
            <w:tcW w:w="184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 0.50 a 0.74</w:t>
            </w:r>
          </w:p>
        </w:tc>
        <w:tc>
          <w:tcPr>
            <w:tcW w:w="992"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3</w:t>
            </w:r>
          </w:p>
        </w:tc>
        <w:tc>
          <w:tcPr>
            <w:tcW w:w="311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Media aritmética alta</w:t>
            </w:r>
          </w:p>
        </w:tc>
      </w:tr>
      <w:tr w:rsidR="00C0159A">
        <w:trPr>
          <w:trHeight w:val="283"/>
          <w:jc w:val="center"/>
        </w:trPr>
        <w:tc>
          <w:tcPr>
            <w:tcW w:w="184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 0.75 a 0.99</w:t>
            </w:r>
          </w:p>
        </w:tc>
        <w:tc>
          <w:tcPr>
            <w:tcW w:w="992"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4</w:t>
            </w:r>
          </w:p>
        </w:tc>
        <w:tc>
          <w:tcPr>
            <w:tcW w:w="311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Media aritmética baja</w:t>
            </w:r>
          </w:p>
        </w:tc>
      </w:tr>
    </w:tbl>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todos los casos se tendrá en cuenta hasta el séptimo (7°) decimal del valor obtenido como puntaje y las fórmulas se aplicarán con las propuestas que no han sido rechazadas y se encuentren válidas.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sz w:val="20"/>
          <w:szCs w:val="20"/>
        </w:rPr>
        <w:t>E</w:t>
      </w:r>
      <w:r>
        <w:rPr>
          <w:rFonts w:ascii="Arial" w:eastAsia="Arial" w:hAnsi="Arial" w:cs="Arial"/>
          <w:color w:val="000000"/>
          <w:sz w:val="20"/>
          <w:szCs w:val="20"/>
        </w:rPr>
        <w:t>n los Procesos de Contratación estructurados por lotes</w:t>
      </w:r>
      <w:r>
        <w:rPr>
          <w:rFonts w:ascii="Arial" w:eastAsia="Arial" w:hAnsi="Arial" w:cs="Arial"/>
          <w:color w:val="000000"/>
          <w:sz w:val="20"/>
          <w:szCs w:val="20"/>
        </w:rPr>
        <w:t xml:space="preserve"> o por segmentos, la TRM definirá el método con el cual se asignará el puntaje para el primer lote o segmento a adjudicar, según el orden definido por la Entidad. Para la adjudicación del segundo lote o segmento se tomará el siguiente método de acuerdo con</w:t>
      </w:r>
      <w:r>
        <w:rPr>
          <w:rFonts w:ascii="Arial" w:eastAsia="Arial" w:hAnsi="Arial" w:cs="Arial"/>
          <w:color w:val="000000"/>
          <w:sz w:val="20"/>
          <w:szCs w:val="20"/>
        </w:rPr>
        <w:t xml:space="preserve"> la tabla anterior, en orden ascendente de acuerdo con la numeración definida para los rangos, y así sucesivamente; teniendo en cuenta que se reiniciará desde el primer método en caso de agotarse el último método.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Dependiendo del método aleatorio establecido según la TRM, cada uno de los Proponentes habilitados participarán con el valor del promedio de los contratos válidos aportados, que no fueron objeto de subsanación, según la metodología descrita para cada alter</w:t>
      </w:r>
      <w:r>
        <w:rPr>
          <w:rFonts w:ascii="Arial" w:eastAsia="Arial" w:hAnsi="Arial" w:cs="Arial"/>
          <w:color w:val="000000"/>
          <w:sz w:val="20"/>
          <w:szCs w:val="20"/>
        </w:rPr>
        <w:t xml:space="preserve">nativa. </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Las alternativas de evaluación son detalladas a continuación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alternativas de evaluación son detalladas a continuación:</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Mediana con valor absoluto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calculará el valor de la mediana con el promedio de los SMMLV de los contratos válidos aportados de las propuestas hábiles y que no fueron objeto de subsanación. En esta alternativa se entenderá por mediana de un grupo de valores el resultado de</w:t>
      </w:r>
      <w:r>
        <w:rPr>
          <w:rFonts w:ascii="Arial" w:eastAsia="Arial" w:hAnsi="Arial" w:cs="Arial"/>
          <w:sz w:val="20"/>
          <w:szCs w:val="20"/>
        </w:rPr>
        <w:t>l cálculo que se obtiene a través de la aplicación del siguiente proceso.</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ordena los valores de los contratos válidos aportados de las propuestas hábiles de manera descendente. </w:t>
      </w:r>
    </w:p>
    <w:p w:rsidR="00C0159A" w:rsidRDefault="00244C46">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impar</w:t>
      </w:r>
      <w:r>
        <w:rPr>
          <w:rFonts w:ascii="Arial" w:eastAsia="Arial" w:hAnsi="Arial" w:cs="Arial"/>
          <w:color w:val="000000"/>
          <w:sz w:val="20"/>
          <w:szCs w:val="20"/>
        </w:rPr>
        <w:t xml:space="preserve">, la mediana corresponde al valor </w:t>
      </w:r>
      <w:r>
        <w:rPr>
          <w:rFonts w:ascii="Arial" w:eastAsia="Arial" w:hAnsi="Arial" w:cs="Arial"/>
          <w:color w:val="000000"/>
          <w:sz w:val="20"/>
          <w:szCs w:val="20"/>
        </w:rPr>
        <w:t xml:space="preserve">central. </w:t>
      </w:r>
    </w:p>
    <w:p w:rsidR="00C0159A" w:rsidRDefault="00244C46">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par</w:t>
      </w:r>
      <w:r>
        <w:rPr>
          <w:rFonts w:ascii="Arial" w:eastAsia="Arial" w:hAnsi="Arial" w:cs="Arial"/>
          <w:color w:val="000000"/>
          <w:sz w:val="20"/>
          <w:szCs w:val="20"/>
        </w:rPr>
        <w:t xml:space="preserve">, la mediana corresponde al promedio de los dos valores centrales.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Bajo este método la Entidad asignará el puntaje así: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impar, el máximo puntaje será asignado a la propuesta que se encuentre en el valor de la mediana de SMMLV de los contratos válidos de los Proponentes habilitados y que no fueron objeto de subsanación. Pa</w:t>
      </w:r>
      <w:r>
        <w:rPr>
          <w:rFonts w:ascii="Arial" w:eastAsia="Arial" w:hAnsi="Arial" w:cs="Arial"/>
          <w:color w:val="000000"/>
          <w:sz w:val="20"/>
          <w:szCs w:val="20"/>
        </w:rPr>
        <w:t>ra las otras propuestas, se utiliza la siguiente fórmula de asignación de puntaje:</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Me</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r>
                            <w:rPr>
                              <w:rFonts w:ascii="Cambria Math" w:eastAsia="Cambria Math" w:hAnsi="Cambria Math" w:cs="Cambria Math"/>
                              <w:sz w:val="20"/>
                              <w:szCs w:val="20"/>
                            </w:rPr>
                            <m:t>Me</m:t>
                          </m:r>
                        </m:den>
                      </m:f>
                    </m:e>
                  </m:d>
                </m:e>
              </m:d>
              <m:r>
                <w:rPr>
                  <w:rFonts w:ascii="Cambria Math" w:eastAsia="Cambria Math" w:hAnsi="Cambria Math" w:cs="Cambria Math"/>
                  <w:sz w:val="20"/>
                  <w:szCs w:val="20"/>
                </w:rPr>
                <m:t>*</m:t>
              </m:r>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e>
          </m:d>
        </m:oMath>
      </m:oMathPara>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rsidR="00C0159A" w:rsidRDefault="00244C46">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Me: Es la mediana calculada con los promedios de los contratos válidos y que no fueron objet</w:t>
      </w:r>
      <w:r>
        <w:rPr>
          <w:rFonts w:ascii="Arial" w:eastAsia="Arial" w:hAnsi="Arial" w:cs="Arial"/>
          <w:color w:val="000000"/>
          <w:sz w:val="20"/>
          <w:szCs w:val="20"/>
        </w:rPr>
        <w:t>o de subsanación de los Proponentes habilitados.</w:t>
      </w:r>
    </w:p>
    <w:p w:rsidR="00C0159A" w:rsidRDefault="00244C46">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del promedio de los contratos válidos aportados en SMMLV de la propuesta “i” y que no fueron objeto de subsanación.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par, se asignará el máximo puntaje a la propuesta que se encuentre inmediatamente por debajo de la mediana. Para las otras propuestas, se aplica la siguiente fórmula:</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m:t>
                              </m:r>
                              <m:r>
                                <w:rPr>
                                  <w:rFonts w:ascii="Cambria Math" w:eastAsia="Cambria Math" w:hAnsi="Cambria Math" w:cs="Cambria Math"/>
                                  <w:sz w:val="20"/>
                                  <w:szCs w:val="20"/>
                                </w:rPr>
                                <m:t>e</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den>
                      </m:f>
                    </m:e>
                  </m:d>
                </m:e>
              </m:d>
              <m:r>
                <w:rPr>
                  <w:rFonts w:ascii="Cambria Math" w:eastAsia="Cambria Math" w:hAnsi="Cambria Math" w:cs="Cambria Math"/>
                  <w:sz w:val="20"/>
                  <w:szCs w:val="20"/>
                </w:rPr>
                <m:t>*</m:t>
              </m:r>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e>
          </m:d>
        </m:oMath>
      </m:oMathPara>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rsidR="00C0159A" w:rsidRDefault="00244C46">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Me</w:t>
      </w:r>
      <w:r>
        <w:rPr>
          <w:rFonts w:ascii="Arial" w:eastAsia="Arial" w:hAnsi="Arial" w:cs="Arial"/>
          <w:color w:val="000000"/>
          <w:sz w:val="20"/>
          <w:szCs w:val="20"/>
        </w:rPr>
        <w:t>: Es el valor promedio de los SMMLV de los contratos válidos y que no fueron objeto de subsanación de la propuesta válida inmediatamente por debajo de la mediana.</w:t>
      </w:r>
    </w:p>
    <w:p w:rsidR="00C0159A" w:rsidRDefault="00244C46">
      <w:pPr>
        <w:numPr>
          <w:ilvl w:val="0"/>
          <w:numId w:val="22"/>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Vi: Es el valor del promedio de los contratos válidos aportados en SMMLV y que no fueron objeto de subsanación de la propuesta “i”.</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Geométrica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Para calcular la Media Geométrica se tomará el valor promedio de los SMMLV de los contratos válidos aportados de las propuestas hábiles y que no fueron objeto de subsanación para el factor de ponderación para la asignación del puntaje de </w:t>
      </w:r>
      <w:r>
        <w:rPr>
          <w:rFonts w:ascii="Arial" w:eastAsia="Arial" w:hAnsi="Arial" w:cs="Arial"/>
          <w:sz w:val="20"/>
          <w:szCs w:val="20"/>
        </w:rPr>
        <w:t>conformidad con el siguiente procedimiento:</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MG</m:t>
          </m:r>
          <m:r>
            <w:rPr>
              <w:rFonts w:ascii="Cambria Math" w:eastAsia="Cambria Math" w:hAnsi="Cambria Math" w:cs="Cambria Math"/>
              <w:sz w:val="20"/>
              <w:szCs w:val="20"/>
            </w:rPr>
            <m:t>=</m:t>
          </m:r>
          <m:rad>
            <m:radPr>
              <m:ctrlPr>
                <w:rPr>
                  <w:rFonts w:ascii="Cambria Math" w:eastAsia="Cambria Math" w:hAnsi="Cambria Math" w:cs="Cambria Math"/>
                  <w:sz w:val="20"/>
                  <w:szCs w:val="20"/>
                </w:rPr>
              </m:ctrlPr>
            </m:radPr>
            <m:deg>
              <m:r>
                <w:rPr>
                  <w:rFonts w:ascii="Cambria Math" w:eastAsia="Cambria Math" w:hAnsi="Cambria Math" w:cs="Cambria Math"/>
                  <w:sz w:val="20"/>
                  <w:szCs w:val="20"/>
                </w:rPr>
                <m:t>n</m:t>
              </m:r>
            </m:deg>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3</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n</m:t>
                  </m:r>
                </m:sub>
              </m:sSub>
            </m:e>
          </m:rad>
        </m:oMath>
      </m:oMathPara>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Donde: </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MG: Es la media geométrica del promedio de los SMMLV de los contratos válidos y que no fueron objeto de subsanación de las propuestas hábiles. </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V1: Es el valor promedio de los SMMLV de los contratos válidos de una propuesta habilitada y que no fueron objet</w:t>
      </w:r>
      <w:r>
        <w:rPr>
          <w:rFonts w:ascii="Arial" w:eastAsia="Arial" w:hAnsi="Arial" w:cs="Arial"/>
          <w:color w:val="000000"/>
          <w:sz w:val="20"/>
          <w:szCs w:val="20"/>
        </w:rPr>
        <w:t xml:space="preserve">o de subsanación.  </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Vn: Es el valor promedio de los SMMLV de los contratos válidos de la propuesta “n” habilitada y que no fueron objeto de subsanación. </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La cantidad total de propuestas habilitadas.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efectos de la asignación de puntaje se tendrá en</w:t>
      </w:r>
      <w:r>
        <w:rPr>
          <w:rFonts w:ascii="Arial" w:eastAsia="Arial" w:hAnsi="Arial" w:cs="Arial"/>
          <w:sz w:val="20"/>
          <w:szCs w:val="20"/>
        </w:rPr>
        <w:t xml:space="preserve"> cuenta lo siguiente: se asignará el máximo puntaje al promedio de los SMMLV de los contratos válidos y que no fueron objeto de subsanación de la propuesta que se encuentre más cerca (por exceso o por defecto) al valor de la media geométrica calculada para</w:t>
      </w:r>
      <w:r>
        <w:rPr>
          <w:rFonts w:ascii="Arial" w:eastAsia="Arial" w:hAnsi="Arial" w:cs="Arial"/>
          <w:sz w:val="20"/>
          <w:szCs w:val="20"/>
        </w:rPr>
        <w:t xml:space="preserve"> el factor correspondiente.</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demás propuestas recibirán puntaje de acuerdo con la siguiente ecuación:</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MG</m:t>
                          </m: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r>
                        <w:rPr>
                          <w:rFonts w:ascii="Cambria Math" w:eastAsia="Cambria Math" w:hAnsi="Cambria Math" w:cs="Cambria Math"/>
                          <w:sz w:val="20"/>
                          <w:szCs w:val="20"/>
                        </w:rPr>
                        <m:t>MG</m:t>
                      </m:r>
                    </m:den>
                  </m:f>
                </m:e>
              </m:d>
            </m:e>
          </m:d>
          <m:r>
            <w:rPr>
              <w:rFonts w:ascii="Cambria Math" w:eastAsia="Cambria Math" w:hAnsi="Cambria Math" w:cs="Cambria Math"/>
              <w:sz w:val="20"/>
              <w:szCs w:val="20"/>
            </w:rPr>
            <m:t>*</m:t>
          </m:r>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oMath>
      </m:oMathPara>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MG: Es la media geométrica de todas las ofertas habilitadas.</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Se tomará el valor absoluto de la diferencia entre la media geométrica y el valor total corre</w:t>
      </w:r>
      <w:r>
        <w:rPr>
          <w:rFonts w:ascii="Arial" w:eastAsia="Arial" w:hAnsi="Arial" w:cs="Arial"/>
          <w:sz w:val="20"/>
          <w:szCs w:val="20"/>
        </w:rPr>
        <w:t>gido de cada una de las propuestas.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Alta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Consiste en la determinación de la media aritmética entre el valor del promedio de los contratos válidos aportados y que no fueron objeto de subsanación expresados en SMMLV de la propuesta válida </w:t>
      </w:r>
      <w:r>
        <w:rPr>
          <w:rFonts w:ascii="Arial" w:eastAsia="Arial" w:hAnsi="Arial" w:cs="Arial"/>
          <w:sz w:val="20"/>
          <w:szCs w:val="20"/>
        </w:rPr>
        <w:t>más alta, y el promedio aritmético de los contratos válidos que no fueron objeto de subsanación de las otras propuestas hábiles excluyendo el promedio de la propuesta más alta, para esto se aplicará la siguiente fórmula.</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max</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i/>
          <w:iCs/>
          <w:color w:val="000000"/>
          <w:sz w:val="20"/>
          <w:szCs w:val="20"/>
          <w:vertAlign w:val="subscript"/>
        </w:rPr>
        <w:t>max</w:t>
      </w:r>
      <w:r>
        <w:rPr>
          <w:rFonts w:ascii="Arial" w:eastAsia="Arial" w:hAnsi="Arial" w:cs="Arial"/>
          <w:color w:val="000000"/>
          <w:sz w:val="20"/>
          <w:szCs w:val="20"/>
        </w:rPr>
        <w:t>: Es el valor total corregido del promedio aritmético de los SMMLV de los contratos válidos de la propuesta más alta y que no fueron objeto de subsanación.</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Pr>
          <w:rFonts w:ascii="Arial" w:eastAsia="Arial" w:hAnsi="Arial" w:cs="Arial"/>
          <w:color w:val="000000"/>
          <w:sz w:val="20"/>
          <w:szCs w:val="20"/>
        </w:rPr>
        <w:t>: Es el promedio aritmético de los promedios de los SMMLV de los contratos válidos de las otras pr</w:t>
      </w:r>
      <w:r>
        <w:rPr>
          <w:rFonts w:ascii="Arial" w:eastAsia="Arial" w:hAnsi="Arial" w:cs="Arial"/>
          <w:color w:val="000000"/>
          <w:sz w:val="20"/>
          <w:szCs w:val="20"/>
        </w:rPr>
        <w:t>opuestas habilitadas y que no fueron objeto de subsanación, excluyendo de este promedio el V</w:t>
      </w:r>
      <w:r>
        <w:rPr>
          <w:rFonts w:ascii="Arial" w:eastAsia="Arial" w:hAnsi="Arial" w:cs="Arial"/>
          <w:color w:val="000000"/>
          <w:sz w:val="20"/>
          <w:szCs w:val="20"/>
          <w:vertAlign w:val="subscript"/>
        </w:rPr>
        <w:t>max</w:t>
      </w:r>
      <w:r>
        <w:rPr>
          <w:rFonts w:ascii="Arial" w:eastAsia="Arial" w:hAnsi="Arial" w:cs="Arial"/>
          <w:color w:val="000000"/>
          <w:sz w:val="20"/>
          <w:szCs w:val="20"/>
        </w:rPr>
        <w:t>.</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Pr>
          <w:rFonts w:ascii="Arial" w:eastAsia="Arial" w:hAnsi="Arial" w:cs="Arial"/>
          <w:color w:val="000000"/>
          <w:sz w:val="20"/>
          <w:szCs w:val="20"/>
        </w:rPr>
        <w:t>: Es la media aritmética alta.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Obtenida la media aritmética alta se procederá a ponderar las propuestas habilitadas de acuerdo con la siguiente fórmula</w:t>
      </w:r>
    </w:p>
    <w:p w:rsidR="00C0159A" w:rsidRDefault="00C0159A">
      <w:pPr>
        <w:spacing w:after="0" w:line="240" w:lineRule="auto"/>
        <w:jc w:val="both"/>
        <w:rPr>
          <w:rFonts w:ascii="Arial" w:eastAsia="Arial" w:hAnsi="Arial" w:cs="Arial"/>
          <w:sz w:val="20"/>
          <w:szCs w:val="20"/>
        </w:rPr>
      </w:pPr>
    </w:p>
    <w:p w:rsidR="00C0159A" w:rsidRDefault="00244C46">
      <w:pPr>
        <w:jc w:val="center"/>
      </w:pPr>
      <m:oMathPara>
        <m:oMath>
          <m:r>
            <w:rPr>
              <w:rFonts w:ascii="Cambria Math" w:eastAsia="Cambria Math" w:hAnsi="Cambria Math" w:cs="Cambria Math"/>
              <w:sz w:val="20"/>
              <w:szCs w:val="20"/>
            </w:rPr>
            <m:t>Puntaje</m:t>
          </m:r>
          <m:r>
            <w:rPr>
              <w:rFonts w:ascii="Cambria Math" w:eastAsia="Cambria Math" w:hAnsi="Cambria Math" w:cs="Cambria Math"/>
              <w:sz w:val="20"/>
              <w:szCs w:val="20"/>
            </w:rPr>
            <m:t>=</m:t>
          </m:r>
          <m:d>
            <m:dPr>
              <m:begChr m:val="{"/>
              <m:endChr m:val="}"/>
              <m:ctrlPr>
                <w:rPr>
                  <w:rFonts w:ascii="Cambria Math" w:hAnsi="Cambria Math"/>
                </w:rPr>
              </m:ctrlPr>
            </m:dPr>
            <m:e>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m:t>
              </m:r>
              <m:r>
                <w:rPr>
                  <w:rFonts w:ascii="Cambria Math" w:eastAsia="Cambria Math" w:hAnsi="Cambria Math" w:cs="Cambria Math"/>
                  <w:sz w:val="20"/>
                  <w:szCs w:val="20"/>
                </w:rPr>
                <m:t>Para</m:t>
              </m:r>
              <m:r>
                <w:rPr>
                  <w:rFonts w:ascii="Cambria Math" w:eastAsia="Cambria Math" w:hAnsi="Cambria Math" w:cs="Cambria Math"/>
                  <w:sz w:val="20"/>
                  <w:szCs w:val="20"/>
                </w:rPr>
                <m:t xml:space="preserve"> </m:t>
              </m:r>
              <m:r>
                <w:rPr>
                  <w:rFonts w:ascii="Cambria Math" w:eastAsia="Cambria Math" w:hAnsi="Cambria Math" w:cs="Cambria Math"/>
                  <w:sz w:val="20"/>
                  <w:szCs w:val="20"/>
                </w:rPr>
                <m:t>valores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menores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o</m:t>
              </m:r>
              <m:r>
                <w:rPr>
                  <w:rFonts w:ascii="Cambria Math" w:eastAsia="Cambria Math" w:hAnsi="Cambria Math" w:cs="Cambria Math"/>
                  <w:sz w:val="20"/>
                  <w:szCs w:val="20"/>
                </w:rPr>
                <m:t xml:space="preserve"> </m:t>
              </m:r>
              <m:r>
                <w:rPr>
                  <w:rFonts w:ascii="Cambria Math" w:eastAsia="Cambria Math" w:hAnsi="Cambria Math" w:cs="Cambria Math"/>
                  <w:sz w:val="20"/>
                  <w:szCs w:val="20"/>
                </w:rPr>
                <m:t>iguales</m:t>
              </m:r>
              <m:r>
                <w:rPr>
                  <w:rFonts w:ascii="Cambria Math" w:eastAsia="Cambria Math" w:hAnsi="Cambria Math" w:cs="Cambria Math"/>
                  <w:sz w:val="20"/>
                  <w:szCs w:val="20"/>
                </w:rPr>
                <m:t xml:space="preserve"> </m:t>
              </m:r>
              <m:r>
                <w:rPr>
                  <w:rFonts w:ascii="Cambria Math" w:eastAsia="Cambria Math" w:hAnsi="Cambria Math" w:cs="Cambria Math"/>
                  <w:sz w:val="20"/>
                  <w:szCs w:val="20"/>
                </w:rPr>
                <m:t>a</m:t>
              </m:r>
              <m:r>
                <w:rPr>
                  <w:rFonts w:ascii="Cambria Math" w:eastAsia="Cambria Math" w:hAnsi="Cambria Math" w:cs="Cambria Math"/>
                  <w:sz w:val="20"/>
                  <w:szCs w:val="20"/>
                </w:rPr>
                <m:t xml:space="preserve">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hAnsi="Cambria Math"/>
                </w:rPr>
                <m:t xml:space="preserve"> </m:t>
              </m:r>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m:t>
              </m:r>
              <m:r>
                <w:rPr>
                  <w:rFonts w:ascii="Cambria Math" w:eastAsia="Cambria Math" w:hAnsi="Cambria Math" w:cs="Cambria Math"/>
                  <w:sz w:val="20"/>
                  <w:szCs w:val="20"/>
                </w:rPr>
                <m:t>Para</m:t>
              </m:r>
              <m:r>
                <w:rPr>
                  <w:rFonts w:ascii="Cambria Math" w:eastAsia="Cambria Math" w:hAnsi="Cambria Math" w:cs="Cambria Math"/>
                  <w:sz w:val="20"/>
                  <w:szCs w:val="20"/>
                </w:rPr>
                <m:t xml:space="preserve"> </m:t>
              </m:r>
              <m:r>
                <w:rPr>
                  <w:rFonts w:ascii="Cambria Math" w:eastAsia="Cambria Math" w:hAnsi="Cambria Math" w:cs="Cambria Math"/>
                  <w:sz w:val="20"/>
                  <w:szCs w:val="20"/>
                </w:rPr>
                <m:t>valores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mayores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a</m:t>
              </m:r>
              <m:r>
                <w:rPr>
                  <w:rFonts w:ascii="Cambria Math" w:eastAsia="Cambria Math" w:hAnsi="Cambria Math" w:cs="Cambria Math"/>
                  <w:sz w:val="20"/>
                  <w:szCs w:val="20"/>
                </w:rPr>
                <m:t xml:space="preserve">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hAnsi="Cambria Math"/>
                </w:rPr>
                <m:t xml:space="preserve"> </m:t>
              </m:r>
            </m:e>
          </m:d>
        </m:oMath>
      </m:oMathPara>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Pr>
          <w:rFonts w:ascii="Arial" w:eastAsia="Arial" w:hAnsi="Arial" w:cs="Arial"/>
          <w:color w:val="000000"/>
          <w:sz w:val="20"/>
          <w:szCs w:val="20"/>
        </w:rPr>
        <w:t>:</w:t>
      </w:r>
      <w:r>
        <w:rPr>
          <w:color w:val="000000"/>
        </w:rPr>
        <w:t xml:space="preserve"> </w:t>
      </w:r>
      <w:r>
        <w:rPr>
          <w:rFonts w:ascii="Arial" w:eastAsia="Arial" w:hAnsi="Arial" w:cs="Arial"/>
          <w:color w:val="000000"/>
          <w:sz w:val="20"/>
          <w:szCs w:val="20"/>
        </w:rPr>
        <w:t>Es la media aritmética alta.</w:t>
      </w:r>
    </w:p>
    <w:p w:rsidR="00C0159A" w:rsidRDefault="00244C46">
      <w:pPr>
        <w:numPr>
          <w:ilvl w:val="0"/>
          <w:numId w:val="22"/>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oMath>
      <w:r>
        <w:rPr>
          <w:rFonts w:ascii="Arial" w:eastAsia="Arial" w:hAnsi="Arial" w:cs="Arial"/>
          <w:sz w:val="20"/>
          <w:szCs w:val="20"/>
        </w:rPr>
        <w:t>, se tomará el valor absoluto de la diferencia entre la media aritmética baja y el valor total correg</w:t>
      </w:r>
      <w:r>
        <w:rPr>
          <w:rFonts w:ascii="Arial" w:eastAsia="Arial" w:hAnsi="Arial" w:cs="Arial"/>
          <w:sz w:val="20"/>
          <w:szCs w:val="20"/>
        </w:rPr>
        <w:t>ido de cada una de las propuestas.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3"/>
        </w:numPr>
        <w:pBdr>
          <w:top w:val="nil"/>
          <w:left w:val="nil"/>
          <w:bottom w:val="nil"/>
          <w:right w:val="nil"/>
          <w:between w:val="nil"/>
        </w:pBdr>
        <w:spacing w:after="0" w:line="240" w:lineRule="auto"/>
        <w:jc w:val="both"/>
      </w:pPr>
      <w:r>
        <w:rPr>
          <w:rFonts w:ascii="Arial" w:eastAsia="Arial" w:hAnsi="Arial" w:cs="Arial"/>
          <w:b/>
          <w:bCs/>
          <w:color w:val="000000"/>
          <w:sz w:val="20"/>
          <w:szCs w:val="20"/>
        </w:rPr>
        <w:t>Media Aritmética Baja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Consiste en la determinación de la media aritmética entre el valor de los promedios de los contratos válidos aportados y que no fueron objeto de subsanación expresados en SMMLV de la propuesta válida más baja, y el promedio aritmético de los contratos váli</w:t>
      </w:r>
      <w:r>
        <w:rPr>
          <w:rFonts w:ascii="Arial" w:eastAsia="Arial" w:hAnsi="Arial" w:cs="Arial"/>
          <w:sz w:val="20"/>
          <w:szCs w:val="20"/>
        </w:rPr>
        <w:t>dos que no fueron objeto de subsanación de las otras propuestas hábiles excluyendo el promedio de la propuesta más baja, para esto se aplicará la siguiente fórmula:</w:t>
      </w:r>
    </w:p>
    <w:p w:rsidR="00C0159A" w:rsidRDefault="00C0159A">
      <w:pPr>
        <w:spacing w:after="0" w:line="240" w:lineRule="auto"/>
        <w:jc w:val="both"/>
        <w:rPr>
          <w:rFonts w:ascii="Arial" w:eastAsia="Arial" w:hAnsi="Arial" w:cs="Arial"/>
          <w:sz w:val="20"/>
          <w:szCs w:val="20"/>
        </w:rPr>
      </w:pPr>
    </w:p>
    <w:p w:rsidR="00C0159A" w:rsidRDefault="00244C46">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min</w:t>
      </w:r>
      <w:r>
        <w:rPr>
          <w:rFonts w:ascii="Arial" w:eastAsia="Arial" w:hAnsi="Arial" w:cs="Arial"/>
          <w:color w:val="000000"/>
          <w:sz w:val="20"/>
          <w:szCs w:val="20"/>
        </w:rPr>
        <w:t>: Es el valor total corregido del promedio aritmético de los SMMLV de los contratos válidos de la propuesta más baja y que no fueron objeto de subsanación.</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Pr>
          <w:rFonts w:ascii="Arial" w:eastAsia="Arial" w:hAnsi="Arial" w:cs="Arial"/>
          <w:color w:val="000000"/>
          <w:sz w:val="20"/>
          <w:szCs w:val="20"/>
        </w:rPr>
        <w:t>: Es el promedio aritmético de los promedios de los SMMLV de los contratos válidos de las otras pr</w:t>
      </w:r>
      <w:r>
        <w:rPr>
          <w:rFonts w:ascii="Arial" w:eastAsia="Arial" w:hAnsi="Arial" w:cs="Arial"/>
          <w:color w:val="000000"/>
          <w:sz w:val="20"/>
          <w:szCs w:val="20"/>
        </w:rPr>
        <w:t>opuestas habilitadas y que no fueron objeto de subsanación, excluyendo de este promedio el V</w:t>
      </w:r>
      <w:r>
        <w:rPr>
          <w:rFonts w:ascii="Arial" w:eastAsia="Arial" w:hAnsi="Arial" w:cs="Arial"/>
          <w:color w:val="000000"/>
          <w:sz w:val="20"/>
          <w:szCs w:val="20"/>
          <w:vertAlign w:val="subscript"/>
        </w:rPr>
        <w:t>min</w:t>
      </w:r>
      <w:r>
        <w:rPr>
          <w:rFonts w:ascii="Arial" w:eastAsia="Arial" w:hAnsi="Arial" w:cs="Arial"/>
          <w:color w:val="000000"/>
          <w:sz w:val="20"/>
          <w:szCs w:val="20"/>
        </w:rPr>
        <w:t>.</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Pr>
          <w:rFonts w:ascii="Arial" w:eastAsia="Arial" w:hAnsi="Arial" w:cs="Arial"/>
          <w:color w:val="000000"/>
          <w:sz w:val="20"/>
          <w:szCs w:val="20"/>
        </w:rPr>
        <w:t>: Es la media aritmética baja.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formula:</w:t>
      </w:r>
    </w:p>
    <w:p w:rsidR="00C0159A" w:rsidRDefault="00C0159A">
      <w:pPr>
        <w:spacing w:after="0" w:line="240" w:lineRule="auto"/>
        <w:jc w:val="both"/>
        <w:rPr>
          <w:rFonts w:ascii="Arial" w:eastAsia="Arial" w:hAnsi="Arial" w:cs="Arial"/>
          <w:sz w:val="20"/>
          <w:szCs w:val="20"/>
        </w:rPr>
      </w:pPr>
    </w:p>
    <w:p w:rsidR="00C0159A" w:rsidRDefault="00244C46">
      <w:pPr>
        <w:jc w:val="center"/>
      </w:pPr>
      <m:oMathPara>
        <m:oMath>
          <m:r>
            <w:rPr>
              <w:rFonts w:ascii="Cambria Math" w:eastAsia="Cambria Math" w:hAnsi="Cambria Math" w:cs="Cambria Math"/>
              <w:sz w:val="20"/>
              <w:szCs w:val="20"/>
            </w:rPr>
            <m:t>Puntaje</m:t>
          </m:r>
          <m:r>
            <w:rPr>
              <w:rFonts w:ascii="Cambria Math" w:eastAsia="Cambria Math" w:hAnsi="Cambria Math" w:cs="Cambria Math"/>
              <w:sz w:val="20"/>
              <w:szCs w:val="20"/>
            </w:rPr>
            <m:t>=</m:t>
          </m:r>
          <m:d>
            <m:dPr>
              <m:begChr m:val="{"/>
              <m:endChr m:val="}"/>
              <m:ctrlPr>
                <w:rPr>
                  <w:rFonts w:ascii="Cambria Math" w:hAnsi="Cambria Math"/>
                </w:rPr>
              </m:ctrlPr>
            </m:dPr>
            <m:e>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t>
              </m:r>
              <m:r>
                <w:rPr>
                  <w:rFonts w:ascii="Cambria Math" w:eastAsia="Cambria Math" w:hAnsi="Cambria Math" w:cs="Cambria Math"/>
                  <w:sz w:val="20"/>
                  <w:szCs w:val="20"/>
                </w:rPr>
                <m:t>m</m:t>
              </m:r>
              <m:r>
                <w:rPr>
                  <w:rFonts w:ascii="Cambria Math" w:eastAsia="Cambria Math" w:hAnsi="Cambria Math" w:cs="Cambria Math"/>
                  <w:sz w:val="20"/>
                  <w:szCs w:val="20"/>
                </w:rPr>
                <m:t>o</m:t>
              </m:r>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m:t>
              </m:r>
              <m:r>
                <w:rPr>
                  <w:rFonts w:ascii="Cambria Math" w:eastAsia="Cambria Math" w:hAnsi="Cambria Math" w:cs="Cambria Math"/>
                  <w:sz w:val="20"/>
                  <w:szCs w:val="20"/>
                </w:rPr>
                <m:t>Para</m:t>
              </m:r>
              <m:r>
                <w:rPr>
                  <w:rFonts w:ascii="Cambria Math" w:eastAsia="Cambria Math" w:hAnsi="Cambria Math" w:cs="Cambria Math"/>
                  <w:sz w:val="20"/>
                  <w:szCs w:val="20"/>
                </w:rPr>
                <m:t xml:space="preserve"> </m:t>
              </m:r>
              <m:r>
                <w:rPr>
                  <w:rFonts w:ascii="Cambria Math" w:eastAsia="Cambria Math" w:hAnsi="Cambria Math" w:cs="Cambria Math"/>
                  <w:sz w:val="20"/>
                  <w:szCs w:val="20"/>
                </w:rPr>
                <m:t>valores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menores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o</m:t>
              </m:r>
              <m:r>
                <w:rPr>
                  <w:rFonts w:ascii="Cambria Math" w:eastAsia="Cambria Math" w:hAnsi="Cambria Math" w:cs="Cambria Math"/>
                  <w:sz w:val="20"/>
                  <w:szCs w:val="20"/>
                </w:rPr>
                <m:t xml:space="preserve"> </m:t>
              </m:r>
              <m:r>
                <w:rPr>
                  <w:rFonts w:ascii="Cambria Math" w:eastAsia="Cambria Math" w:hAnsi="Cambria Math" w:cs="Cambria Math"/>
                  <w:sz w:val="20"/>
                  <w:szCs w:val="20"/>
                </w:rPr>
                <m:t>iguales</m:t>
              </m:r>
              <m:r>
                <w:rPr>
                  <w:rFonts w:ascii="Cambria Math" w:eastAsia="Cambria Math" w:hAnsi="Cambria Math" w:cs="Cambria Math"/>
                  <w:sz w:val="20"/>
                  <w:szCs w:val="20"/>
                </w:rPr>
                <m:t xml:space="preserve"> </m:t>
              </m:r>
              <m:r>
                <w:rPr>
                  <w:rFonts w:ascii="Cambria Math" w:eastAsia="Cambria Math" w:hAnsi="Cambria Math" w:cs="Cambria Math"/>
                  <w:sz w:val="20"/>
                  <w:szCs w:val="20"/>
                </w:rPr>
                <m:t>a</m:t>
              </m:r>
              <m:r>
                <w:rPr>
                  <w:rFonts w:ascii="Cambria Math" w:eastAsia="Cambria Math" w:hAnsi="Cambria Math" w:cs="Cambria Math"/>
                  <w:sz w:val="20"/>
                  <w:szCs w:val="20"/>
                </w:rPr>
                <m:t xml:space="preserve">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r>
                <w:rPr>
                  <w:rFonts w:ascii="Cambria Math" w:eastAsia="Cambria Math" w:hAnsi="Cambria Math" w:cs="Cambria Math"/>
                  <w:sz w:val="20"/>
                  <w:szCs w:val="20"/>
                </w:rPr>
                <m:t>Puntaje</m:t>
              </m:r>
              <m:r>
                <w:rPr>
                  <w:rFonts w:ascii="Cambria Math" w:eastAsia="Cambria Math" w:hAnsi="Cambria Math" w:cs="Cambria Math"/>
                  <w:sz w:val="20"/>
                  <w:szCs w:val="20"/>
                </w:rPr>
                <m:t xml:space="preserve"> </m:t>
              </m:r>
              <m:r>
                <w:rPr>
                  <w:rFonts w:ascii="Cambria Math" w:eastAsia="Cambria Math" w:hAnsi="Cambria Math" w:cs="Cambria Math"/>
                  <w:sz w:val="20"/>
                  <w:szCs w:val="20"/>
                </w:rPr>
                <m:t>m</m:t>
              </m:r>
              <m:r>
                <w:rPr>
                  <w:rFonts w:ascii="Cambria Math" w:eastAsia="Cambria Math" w:hAnsi="Cambria Math" w:cs="Cambria Math"/>
                  <w:sz w:val="20"/>
                  <w:szCs w:val="20"/>
                </w:rPr>
                <m:t>á</m:t>
              </m:r>
              <m:r>
                <w:rPr>
                  <w:rFonts w:ascii="Cambria Math" w:eastAsia="Cambria Math" w:hAnsi="Cambria Math" w:cs="Cambria Math"/>
                  <w:sz w:val="20"/>
                  <w:szCs w:val="20"/>
                </w:rPr>
                <m:t>ximo</m:t>
              </m:r>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m:t>
              </m:r>
              <m:r>
                <w:rPr>
                  <w:rFonts w:ascii="Cambria Math" w:eastAsia="Cambria Math" w:hAnsi="Cambria Math" w:cs="Cambria Math"/>
                  <w:sz w:val="20"/>
                  <w:szCs w:val="20"/>
                </w:rPr>
                <m:t>Para</m:t>
              </m:r>
              <m:r>
                <w:rPr>
                  <w:rFonts w:ascii="Cambria Math" w:eastAsia="Cambria Math" w:hAnsi="Cambria Math" w:cs="Cambria Math"/>
                  <w:sz w:val="20"/>
                  <w:szCs w:val="20"/>
                </w:rPr>
                <m:t xml:space="preserve"> </m:t>
              </m:r>
              <m:r>
                <w:rPr>
                  <w:rFonts w:ascii="Cambria Math" w:eastAsia="Cambria Math" w:hAnsi="Cambria Math" w:cs="Cambria Math"/>
                  <w:sz w:val="20"/>
                  <w:szCs w:val="20"/>
                </w:rPr>
                <m:t>valores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mayores</m:t>
              </m:r>
              <m:r>
                <w:rPr>
                  <w:rFonts w:ascii="Cambria Math" w:eastAsia="Cambria Math" w:hAnsi="Cambria Math" w:cs="Cambria Math"/>
                  <w:sz w:val="20"/>
                  <w:szCs w:val="20"/>
                </w:rPr>
                <m:t xml:space="preserve"> </m:t>
              </m:r>
              <m:r>
                <w:rPr>
                  <w:rFonts w:ascii="Cambria Math" w:eastAsia="Cambria Math" w:hAnsi="Cambria Math" w:cs="Cambria Math"/>
                  <w:sz w:val="20"/>
                  <w:szCs w:val="20"/>
                </w:rPr>
                <m:t>a</m:t>
              </m:r>
              <m:r>
                <w:rPr>
                  <w:rFonts w:ascii="Cambria Math" w:eastAsia="Cambria Math" w:hAnsi="Cambria Math" w:cs="Cambria Math"/>
                  <w:sz w:val="20"/>
                  <w:szCs w:val="20"/>
                </w:rPr>
                <m:t xml:space="preserve">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hAnsi="Cambria Math"/>
                </w:rPr>
                <m:t xml:space="preserve"> </m:t>
              </m:r>
            </m:e>
          </m:d>
        </m:oMath>
      </m:oMathPara>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Donde:</w:t>
      </w:r>
    </w:p>
    <w:p w:rsidR="00C0159A" w:rsidRDefault="00244C46">
      <w:pPr>
        <w:numPr>
          <w:ilvl w:val="0"/>
          <w:numId w:val="22"/>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Pr>
          <w:rFonts w:ascii="Arial" w:eastAsia="Arial" w:hAnsi="Arial" w:cs="Arial"/>
          <w:color w:val="000000"/>
          <w:sz w:val="20"/>
          <w:szCs w:val="20"/>
        </w:rPr>
        <w:t>: Es la media aritmética baja.</w:t>
      </w:r>
    </w:p>
    <w:p w:rsidR="00C0159A" w:rsidRDefault="00244C46">
      <w:pPr>
        <w:numPr>
          <w:ilvl w:val="0"/>
          <w:numId w:val="22"/>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rsidR="00C0159A" w:rsidRDefault="00C0159A">
      <w:pPr>
        <w:spacing w:after="0" w:line="240" w:lineRule="auto"/>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Cuando el resultado de la fórmula anterior sea un número negativo, se asignará 0,0 puntos. Para efectos de ponderar</w:t>
      </w:r>
      <w:r>
        <w:rPr>
          <w:rFonts w:ascii="Arial" w:eastAsia="Arial" w:hAnsi="Arial" w:cs="Arial"/>
          <w:sz w:val="20"/>
          <w:szCs w:val="20"/>
        </w:rPr>
        <w:t xml:space="preserve">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oMath>
      <w:r>
        <w:rPr>
          <w:rFonts w:ascii="Arial" w:eastAsia="Arial" w:hAnsi="Arial" w:cs="Arial"/>
          <w:sz w:val="20"/>
          <w:szCs w:val="20"/>
        </w:rPr>
        <w:t>, se tomará el valor absoluto de la diferencia entre la media aritmética baja y el valor total corregido de cada una de las propuestas.</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55" w:name="_heading=h.e5k60ea01m8q" w:colFirst="0" w:colLast="0"/>
      <w:bookmarkEnd w:id="55"/>
      <w:r>
        <w:rPr>
          <w:rFonts w:ascii="Arial" w:eastAsia="Arial" w:hAnsi="Arial" w:cs="Arial"/>
          <w:b/>
          <w:bCs/>
          <w:color w:val="000000"/>
          <w:sz w:val="20"/>
          <w:szCs w:val="20"/>
        </w:rPr>
        <w:t>EQUIPO DE TRABAJO (Personal Clave Evaluable)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asignación de puntaje relacionada con el “Equipo de trabajo (Personal Clave Evaluable)” se realizará de la siguiente manera:</w:t>
      </w:r>
    </w:p>
    <w:p w:rsidR="00C0159A" w:rsidRDefault="00C0159A">
      <w:pPr>
        <w:spacing w:after="0" w:line="240" w:lineRule="auto"/>
        <w:jc w:val="both"/>
        <w:rPr>
          <w:rFonts w:ascii="Arial" w:eastAsia="Arial" w:hAnsi="Arial" w:cs="Arial"/>
          <w:sz w:val="20"/>
          <w:szCs w:val="20"/>
        </w:rPr>
      </w:pPr>
    </w:p>
    <w:tbl>
      <w:tblPr>
        <w:tblStyle w:val="a9"/>
        <w:tblW w:w="79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1701"/>
      </w:tblGrid>
      <w:tr w:rsidR="00C0159A">
        <w:trPr>
          <w:trHeight w:val="283"/>
          <w:tblHeader/>
          <w:jc w:val="center"/>
        </w:trPr>
        <w:tc>
          <w:tcPr>
            <w:tcW w:w="6237"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Criterio de evaluación</w:t>
            </w:r>
          </w:p>
        </w:tc>
        <w:tc>
          <w:tcPr>
            <w:tcW w:w="1701"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C0159A">
        <w:trPr>
          <w:trHeight w:val="283"/>
          <w:jc w:val="center"/>
        </w:trPr>
        <w:tc>
          <w:tcPr>
            <w:tcW w:w="623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Experiencia adicional del Personal Clave Evaluable</w:t>
            </w:r>
          </w:p>
        </w:tc>
        <w:tc>
          <w:tcPr>
            <w:tcW w:w="1701"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5</w:t>
            </w:r>
          </w:p>
        </w:tc>
      </w:tr>
      <w:tr w:rsidR="00C0159A">
        <w:trPr>
          <w:trHeight w:val="283"/>
          <w:jc w:val="center"/>
        </w:trPr>
        <w:tc>
          <w:tcPr>
            <w:tcW w:w="623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lastRenderedPageBreak/>
              <w:t>Formación académica adicional del Personal Clave Evaluable</w:t>
            </w:r>
          </w:p>
        </w:tc>
        <w:tc>
          <w:tcPr>
            <w:tcW w:w="1701"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5</w:t>
            </w:r>
          </w:p>
        </w:tc>
      </w:tr>
      <w:tr w:rsidR="00C0159A">
        <w:trPr>
          <w:trHeight w:val="283"/>
          <w:jc w:val="center"/>
        </w:trPr>
        <w:tc>
          <w:tcPr>
            <w:tcW w:w="6237" w:type="dxa"/>
            <w:vAlign w:val="center"/>
          </w:tcPr>
          <w:p w:rsidR="00C0159A" w:rsidRDefault="00244C46">
            <w:pPr>
              <w:jc w:val="center"/>
              <w:rPr>
                <w:rFonts w:ascii="Arial" w:eastAsia="Arial" w:hAnsi="Arial" w:cs="Arial"/>
                <w:b/>
                <w:bCs/>
                <w:sz w:val="20"/>
                <w:szCs w:val="20"/>
              </w:rPr>
            </w:pPr>
            <w:r>
              <w:rPr>
                <w:rFonts w:ascii="Arial" w:eastAsia="Arial" w:hAnsi="Arial" w:cs="Arial"/>
                <w:b/>
                <w:bCs/>
                <w:sz w:val="20"/>
                <w:szCs w:val="20"/>
              </w:rPr>
              <w:t>Total</w:t>
            </w:r>
          </w:p>
        </w:tc>
        <w:tc>
          <w:tcPr>
            <w:tcW w:w="1701" w:type="dxa"/>
            <w:vAlign w:val="center"/>
          </w:tcPr>
          <w:p w:rsidR="00C0159A" w:rsidRDefault="00244C46">
            <w:pPr>
              <w:jc w:val="center"/>
              <w:rPr>
                <w:rFonts w:ascii="Arial" w:eastAsia="Arial" w:hAnsi="Arial" w:cs="Arial"/>
                <w:b/>
                <w:bCs/>
                <w:sz w:val="20"/>
                <w:szCs w:val="20"/>
              </w:rPr>
            </w:pPr>
            <w:r>
              <w:rPr>
                <w:rFonts w:ascii="Arial" w:eastAsia="Arial" w:hAnsi="Arial" w:cs="Arial"/>
                <w:b/>
                <w:bCs/>
                <w:sz w:val="20"/>
                <w:szCs w:val="20"/>
              </w:rPr>
              <w:t>10</w:t>
            </w:r>
          </w:p>
        </w:tc>
      </w:tr>
    </w:tbl>
    <w:p w:rsidR="00C0159A" w:rsidRDefault="00C0159A">
      <w:pPr>
        <w:spacing w:after="0" w:line="240" w:lineRule="auto"/>
        <w:jc w:val="both"/>
        <w:rPr>
          <w:rFonts w:ascii="Arial" w:eastAsia="Arial" w:hAnsi="Arial" w:cs="Arial"/>
          <w:sz w:val="20"/>
          <w:szCs w:val="20"/>
        </w:rPr>
      </w:pPr>
    </w:p>
    <w:p w:rsidR="00C0159A" w:rsidRDefault="00244C46">
      <w:pPr>
        <w:numPr>
          <w:ilvl w:val="2"/>
          <w:numId w:val="20"/>
        </w:numPr>
        <w:pBdr>
          <w:top w:val="nil"/>
          <w:left w:val="nil"/>
          <w:bottom w:val="nil"/>
          <w:right w:val="nil"/>
          <w:between w:val="nil"/>
        </w:pBdr>
        <w:spacing w:after="0" w:line="240" w:lineRule="auto"/>
        <w:ind w:left="1077"/>
        <w:jc w:val="both"/>
      </w:pPr>
      <w:bookmarkStart w:id="56" w:name="_heading=h.dnek462qqar1" w:colFirst="0" w:colLast="0"/>
      <w:bookmarkEnd w:id="56"/>
      <w:r>
        <w:rPr>
          <w:rFonts w:ascii="Arial" w:eastAsia="Arial" w:hAnsi="Arial" w:cs="Arial"/>
          <w:b/>
          <w:bCs/>
          <w:color w:val="000000"/>
          <w:sz w:val="20"/>
          <w:szCs w:val="20"/>
        </w:rPr>
        <w:t xml:space="preserve">EXPERIENCIA ESPECÍFICA ADICIONAL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cinco (5) puntos al Proponente que se comprometa con el diligenciamiento del “Formato 9 - Experiencia y formación académica adicional del Personal Clave Evaluable” a acreditar que cada uno de los integrantes que conforman el Personal Cl</w:t>
      </w:r>
      <w:r>
        <w:rPr>
          <w:rFonts w:ascii="Arial" w:eastAsia="Arial" w:hAnsi="Arial" w:cs="Arial"/>
          <w:sz w:val="20"/>
          <w:szCs w:val="20"/>
        </w:rPr>
        <w:t>ave Evaluable: i) Director de interventoría, ii) Residente de interventoría, iii) Especialista en pavimentos tienen un (1) año de experiencia específica adicional a la definida en la “Matriz 4 – Lineamientos de requisitos del Personal”. Es decir, si el req</w:t>
      </w:r>
      <w:r>
        <w:rPr>
          <w:rFonts w:ascii="Arial" w:eastAsia="Arial" w:hAnsi="Arial" w:cs="Arial"/>
          <w:sz w:val="20"/>
          <w:szCs w:val="20"/>
        </w:rPr>
        <w:t>uisito mínimo de experiencia específica es de dos (2) años, se otorgará puntaje por una experiencia adicional de un (1) año, para un total de tres (3) años.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otorgar el puntaje basta con diligenciar el “Formato 9 - Experiencia y formación académica ad</w:t>
      </w:r>
      <w:r>
        <w:rPr>
          <w:rFonts w:ascii="Arial" w:eastAsia="Arial" w:hAnsi="Arial" w:cs="Arial"/>
          <w:sz w:val="20"/>
          <w:szCs w:val="20"/>
        </w:rPr>
        <w:t xml:space="preserve">icional del Personal Clave Evaluable”. Por tanto, </w:t>
      </w:r>
      <w:r>
        <w:rPr>
          <w:rFonts w:ascii="Arial" w:eastAsia="Arial" w:hAnsi="Arial" w:cs="Arial"/>
          <w:sz w:val="20"/>
          <w:szCs w:val="20"/>
          <w:u w:val="single"/>
        </w:rPr>
        <w:t>no se revisarán los soportes de experiencia del Personal Clave Evaluable durante la evaluación de las ofertas</w:t>
      </w:r>
      <w:r>
        <w:rPr>
          <w:rFonts w:ascii="Arial" w:eastAsia="Arial" w:hAnsi="Arial" w:cs="Arial"/>
          <w:sz w:val="20"/>
          <w:szCs w:val="20"/>
        </w:rPr>
        <w:t>. La verificación de los documentos relacionados con el Personal Clave Evaluable se hará de acuer</w:t>
      </w:r>
      <w:r>
        <w:rPr>
          <w:rFonts w:ascii="Arial" w:eastAsia="Arial" w:hAnsi="Arial" w:cs="Arial"/>
          <w:sz w:val="20"/>
          <w:szCs w:val="20"/>
        </w:rPr>
        <w:t>do con lo señalado en el numeral 9.1 “Información para el control de la ejecución de la obra” del Pliego de Condiciones.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entiende por “Experiencia específica adicional” la experiencia directamente relacionada con el cargo a desempeñar. </w:t>
      </w:r>
    </w:p>
    <w:p w:rsidR="00C0159A" w:rsidRDefault="00244C46">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contabilización total de la experiencia se realizará en años. En caso de ser necesario se hará la conversión de meses o días a años pa</w:t>
      </w:r>
      <w:r>
        <w:rPr>
          <w:rFonts w:ascii="Arial" w:eastAsia="Arial" w:hAnsi="Arial" w:cs="Arial"/>
          <w:color w:val="000000"/>
          <w:sz w:val="20"/>
          <w:szCs w:val="20"/>
        </w:rPr>
        <w:t xml:space="preserve">ra la contabilización. </w:t>
      </w:r>
    </w:p>
    <w:p w:rsidR="00C0159A" w:rsidRDefault="00244C46">
      <w:pPr>
        <w:numPr>
          <w:ilvl w:val="0"/>
          <w:numId w:val="4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reglas de equivalencias descritas en la “Matriz 4 – Lineamientos de Requisitos del Personal” no aplican para el otorgamiento de puntaje, solamente para verificar que el profesional cumple con la experiencia mínima requerida por </w:t>
      </w:r>
      <w:r>
        <w:rPr>
          <w:rFonts w:ascii="Arial" w:eastAsia="Arial" w:hAnsi="Arial" w:cs="Arial"/>
          <w:color w:val="000000"/>
          <w:sz w:val="20"/>
          <w:szCs w:val="20"/>
        </w:rPr>
        <w:t xml:space="preserve">la Entidad.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w:t>
      </w:r>
      <w:r>
        <w:rPr>
          <w:rFonts w:ascii="Arial" w:eastAsia="Arial" w:hAnsi="Arial" w:cs="Arial"/>
          <w:sz w:val="20"/>
          <w:szCs w:val="20"/>
        </w:rPr>
        <w:t>ales, para que el oferente sea acreedor de dicho puntaje debe cumplir con el requisito adicional en relación con los dos (2) especialistas principales.</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20"/>
        </w:numPr>
        <w:pBdr>
          <w:top w:val="nil"/>
          <w:left w:val="nil"/>
          <w:bottom w:val="nil"/>
          <w:right w:val="nil"/>
          <w:between w:val="nil"/>
        </w:pBdr>
        <w:spacing w:after="0" w:line="240" w:lineRule="auto"/>
        <w:ind w:left="1077"/>
        <w:jc w:val="both"/>
      </w:pPr>
      <w:bookmarkStart w:id="57" w:name="_heading=h.8gv0hd1z8mrt" w:colFirst="0" w:colLast="0"/>
      <w:bookmarkEnd w:id="57"/>
      <w:r>
        <w:rPr>
          <w:rFonts w:ascii="Arial" w:eastAsia="Arial" w:hAnsi="Arial" w:cs="Arial"/>
          <w:b/>
          <w:bCs/>
          <w:color w:val="000000"/>
          <w:sz w:val="20"/>
          <w:szCs w:val="20"/>
        </w:rPr>
        <w:t xml:space="preserve">FORMACIÓN ACADÉMICA ADICIONAL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cinco (5) puntos al Proponente que se comprometa c</w:t>
      </w:r>
      <w:r>
        <w:rPr>
          <w:rFonts w:ascii="Arial" w:eastAsia="Arial" w:hAnsi="Arial" w:cs="Arial"/>
          <w:sz w:val="20"/>
          <w:szCs w:val="20"/>
        </w:rPr>
        <w:t>on el diligenciamiento del “Formato 9 – Experiencia y formación académica adicional del Personal Clave Evaluable” cada uno de los integrantes que conforman el Personal Clave Evaluable: i) Director de interventoría, ii) Residente de interventoría, iii) Espe</w:t>
      </w:r>
      <w:r>
        <w:rPr>
          <w:rFonts w:ascii="Arial" w:eastAsia="Arial" w:hAnsi="Arial" w:cs="Arial"/>
          <w:sz w:val="20"/>
          <w:szCs w:val="20"/>
        </w:rPr>
        <w:t>cialista en pavimentos a acreditar que tienen una formación académica adicional a la definida en la “Matriz 4 – Lineamientos de requisitos del Personal”. Es decir, si el requisito mínimo de formación académica es contar con un título profesional, se otorga</w:t>
      </w:r>
      <w:r>
        <w:rPr>
          <w:rFonts w:ascii="Arial" w:eastAsia="Arial" w:hAnsi="Arial" w:cs="Arial"/>
          <w:sz w:val="20"/>
          <w:szCs w:val="20"/>
        </w:rPr>
        <w:t>rá el puntaje a quien se obligue a presentar un título de posgrado, o si el requisito mínimo de formación académica es contar con un título de posgrado, se otorgará el puntaje a quien acredite un título de posgrado adicional.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otorgar el puntaje basta</w:t>
      </w:r>
      <w:r>
        <w:rPr>
          <w:rFonts w:ascii="Arial" w:eastAsia="Arial" w:hAnsi="Arial" w:cs="Arial"/>
          <w:sz w:val="20"/>
          <w:szCs w:val="20"/>
        </w:rPr>
        <w:t xml:space="preserve">rá con diligenciar el “Formato 9 - Experiencia y formación académica adicional del Personal Clave Evaluable”. Por tanto, </w:t>
      </w:r>
      <w:r>
        <w:rPr>
          <w:rFonts w:ascii="Arial" w:eastAsia="Arial" w:hAnsi="Arial" w:cs="Arial"/>
          <w:sz w:val="20"/>
          <w:szCs w:val="20"/>
          <w:u w:val="single"/>
        </w:rPr>
        <w:t>no se revisarán los soportes académicos del Personal Clave Evaluable durante la evaluación de las ofertas</w:t>
      </w:r>
      <w:r>
        <w:rPr>
          <w:rFonts w:ascii="Arial" w:eastAsia="Arial" w:hAnsi="Arial" w:cs="Arial"/>
          <w:sz w:val="20"/>
          <w:szCs w:val="20"/>
        </w:rPr>
        <w:t>. La verificación de los docum</w:t>
      </w:r>
      <w:r>
        <w:rPr>
          <w:rFonts w:ascii="Arial" w:eastAsia="Arial" w:hAnsi="Arial" w:cs="Arial"/>
          <w:sz w:val="20"/>
          <w:szCs w:val="20"/>
        </w:rPr>
        <w:t xml:space="preserve">entos </w:t>
      </w:r>
      <w:r>
        <w:rPr>
          <w:rFonts w:ascii="Arial" w:eastAsia="Arial" w:hAnsi="Arial" w:cs="Arial"/>
          <w:sz w:val="20"/>
          <w:szCs w:val="20"/>
        </w:rPr>
        <w:lastRenderedPageBreak/>
        <w:t>relacionados con el Personal Clave Evaluable se hará de acuerdo con lo señalado en el numeral 9.1 “Información para el control de la ejecución de la obra” de este Pliego de Condiciones.</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Entidades no podrán solicitar títulos de posgrado particulares, es decir, que el Personal Clave Evaluable tenga una especialización, una maestría o un doctorado, sino que se exigirá que el título de posgrado esté enfocado en un área de conocimiento par</w:t>
      </w:r>
      <w:r>
        <w:rPr>
          <w:rFonts w:ascii="Arial" w:eastAsia="Arial" w:hAnsi="Arial" w:cs="Arial"/>
          <w:color w:val="000000"/>
          <w:sz w:val="20"/>
          <w:szCs w:val="20"/>
        </w:rPr>
        <w:t xml:space="preserve">a verificar las condiciones mínimas requeridas (p.ej. título de posgrado en pavimentos o geotecnia). </w:t>
      </w:r>
    </w:p>
    <w:p w:rsidR="00C0159A" w:rsidRDefault="00244C46">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reglas de equivalencias descritas en la “Matriz 4 – Lineamientos de Requisitos del Personal” no aplican para el otorgamiento de puntaje, solamente par</w:t>
      </w:r>
      <w:r>
        <w:rPr>
          <w:rFonts w:ascii="Arial" w:eastAsia="Arial" w:hAnsi="Arial" w:cs="Arial"/>
          <w:color w:val="000000"/>
          <w:sz w:val="20"/>
          <w:szCs w:val="20"/>
        </w:rPr>
        <w:t xml:space="preserve">a verificar que el profesional cumple con la formación académica mínima requerida por la Entidad. </w:t>
      </w:r>
    </w:p>
    <w:p w:rsidR="00C0159A" w:rsidRDefault="00244C46">
      <w:pPr>
        <w:numPr>
          <w:ilvl w:val="0"/>
          <w:numId w:val="4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entiende por “Formación académica adicional” aquella relacionada directamente con el cargo a desempeñar.</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caso que la Entidad establezca más de un p</w:t>
      </w:r>
      <w:r>
        <w:rPr>
          <w:rFonts w:ascii="Arial" w:eastAsia="Arial" w:hAnsi="Arial" w:cs="Arial"/>
          <w:sz w:val="20"/>
          <w:szCs w:val="20"/>
        </w:rPr>
        <w:t>rofesional por cargo, cada uno de ellos deberá cumplir con la formación académica adicional. Es decir, si la Entidad considera que el proyecto necesita dos (2) especialistas principales, para que el oferente sea acreedor de dicho puntaje debe cumplir con e</w:t>
      </w:r>
      <w:r>
        <w:rPr>
          <w:rFonts w:ascii="Arial" w:eastAsia="Arial" w:hAnsi="Arial" w:cs="Arial"/>
          <w:sz w:val="20"/>
          <w:szCs w:val="20"/>
        </w:rPr>
        <w:t>l requisito adicional en relación con los dos (2) especialistas principales.</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20"/>
        </w:numPr>
        <w:pBdr>
          <w:top w:val="nil"/>
          <w:left w:val="nil"/>
          <w:bottom w:val="nil"/>
          <w:right w:val="nil"/>
          <w:between w:val="nil"/>
        </w:pBdr>
        <w:spacing w:after="0" w:line="240" w:lineRule="auto"/>
        <w:ind w:left="1077"/>
        <w:jc w:val="both"/>
      </w:pPr>
      <w:bookmarkStart w:id="58" w:name="_heading=h.5168xoxpwc56" w:colFirst="0" w:colLast="0"/>
      <w:bookmarkEnd w:id="58"/>
      <w:r>
        <w:rPr>
          <w:rFonts w:ascii="Arial" w:eastAsia="Arial" w:hAnsi="Arial" w:cs="Arial"/>
          <w:b/>
          <w:bCs/>
          <w:color w:val="000000"/>
          <w:sz w:val="20"/>
          <w:szCs w:val="20"/>
        </w:rPr>
        <w:t>CAMBIO DEL PERSONAL CLAVE EVALUABLE</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Personal Clave Evaluable ofrecido inicialmente será quien debe ejecutar el contrato. Excepcionalmente, en caso de requerir el cambio de p</w:t>
      </w:r>
      <w:r>
        <w:rPr>
          <w:rFonts w:ascii="Arial" w:eastAsia="Arial" w:hAnsi="Arial" w:cs="Arial"/>
          <w:sz w:val="20"/>
          <w:szCs w:val="20"/>
        </w:rPr>
        <w:t>ersonal, por razones que deben quedar sustentadas en el expediente del contrato, el Interventor presentará las hojas de vida del aspirante con sus respectivos soportes para evaluación y consideración de la Entidad en un plazo no mayor a lo establecido en e</w:t>
      </w:r>
      <w:r>
        <w:rPr>
          <w:rFonts w:ascii="Arial" w:eastAsia="Arial" w:hAnsi="Arial" w:cs="Arial"/>
          <w:sz w:val="20"/>
          <w:szCs w:val="20"/>
        </w:rPr>
        <w:t xml:space="preserve">l Anexo 5 – Minuta contados a partir de que el Contratista solicite el cambio del personal.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persona que reemplazará al profesional del Personal Clave Evaluable debe cumplir con los requisitos mínimos descritos en la “Matriz 4- Lineamientos de requisit</w:t>
      </w:r>
      <w:r>
        <w:rPr>
          <w:rFonts w:ascii="Arial" w:eastAsia="Arial" w:hAnsi="Arial" w:cs="Arial"/>
          <w:sz w:val="20"/>
          <w:szCs w:val="20"/>
        </w:rPr>
        <w:t>os del personal”, tener el año de experiencia específica adicional y el título de formación académica adicional, si se trata de un profesional por el cual se asignó puntaje. En todo caso, la Entidad se reserva el derecho de aceptarlos o no, sin perjuicio d</w:t>
      </w:r>
      <w:r>
        <w:rPr>
          <w:rFonts w:ascii="Arial" w:eastAsia="Arial" w:hAnsi="Arial" w:cs="Arial"/>
          <w:sz w:val="20"/>
          <w:szCs w:val="20"/>
        </w:rPr>
        <w:t>e que, en el evento de rechazarlo, deba motivar las razones objetivas y suficientes relacionadas directamente con alguna o algunas de las condiciones exigidas.</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59" w:name="_heading=h.48ynpvjmr9uy" w:colFirst="0" w:colLast="0"/>
      <w:bookmarkEnd w:id="59"/>
      <w:r>
        <w:rPr>
          <w:rFonts w:ascii="Arial" w:eastAsia="Arial" w:hAnsi="Arial" w:cs="Arial"/>
          <w:b/>
          <w:bCs/>
          <w:color w:val="000000"/>
          <w:sz w:val="20"/>
          <w:szCs w:val="20"/>
        </w:rPr>
        <w:t>FACTOR DE SOSTENIBILIDAD</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un (1) punto al Proponente que se comprometa con el diligenciamiento del “Formato 12 – Factor de sostenibilidad”, y se comprometa con los siguientes aspectos: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sus entregables (comunicaciones, informes, memorias de cálculo, diseños por componentes, entre otros), siempre que aplique, en impresión a doble cara, así mismo utilizando papel que cuente con (i) el certificado del Sello Ambiental Colombiano y/o</w:t>
      </w:r>
      <w:r>
        <w:rPr>
          <w:rFonts w:ascii="Arial" w:eastAsia="Arial" w:hAnsi="Arial" w:cs="Arial"/>
          <w:color w:val="000000"/>
          <w:sz w:val="20"/>
          <w:szCs w:val="20"/>
        </w:rPr>
        <w:t xml:space="preserve"> cualquier otra etiqueta ambiental o (ii) sea papel con contenido reciclado o procedente de fuentes forestales sostenibles o naturales y estar libre de cloro elemental.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el documento lo permita, se reutilizarán hojas ya usadas por una cara, por eje</w:t>
      </w:r>
      <w:r>
        <w:rPr>
          <w:rFonts w:ascii="Arial" w:eastAsia="Arial" w:hAnsi="Arial" w:cs="Arial"/>
          <w:color w:val="000000"/>
          <w:sz w:val="20"/>
          <w:szCs w:val="20"/>
        </w:rPr>
        <w:t>mplo, para evidencias de trabajo de campo, y en el evento en que sus entregables no se requieran en medio físico, garantizar que los documentos sean digitalizados y establecer una política de archivo digital.</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Durante la ejecución del contrato, el futuro contratista adjuntará la ficha técnica del papel a utilizar.</w:t>
      </w: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de reciclaje y gestión integral de residuos (ordinarios, aprovechables, orgánicos, residuos de aparatos eléctricos y electrónic</w:t>
      </w:r>
      <w:r>
        <w:rPr>
          <w:rFonts w:ascii="Arial" w:eastAsia="Arial" w:hAnsi="Arial" w:cs="Arial"/>
          <w:color w:val="000000"/>
          <w:sz w:val="20"/>
          <w:szCs w:val="20"/>
        </w:rPr>
        <w:t>os-RAEES), donde se establezcan de manera evidenciable a través de metas e indicadores, las medidas implementadas de reciclaje y/o reutilización de residuos y su adecuada gestión. Durante la ejecución del proyecto tendrá que presentar el documento “Program</w:t>
      </w:r>
      <w:r>
        <w:rPr>
          <w:rFonts w:ascii="Arial" w:eastAsia="Arial" w:hAnsi="Arial" w:cs="Arial"/>
          <w:color w:val="000000"/>
          <w:sz w:val="20"/>
          <w:szCs w:val="20"/>
        </w:rPr>
        <w:t>a de reciclaje y gestión integral de residuos”, donde se evidencien las metas e indicadores, principalmente de reciclaje.</w:t>
      </w: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Capacitar al personal (puede ser el equipo interno de la interventoría o al personal del contratista), en temas de sostenibilidad en e</w:t>
      </w:r>
      <w:r>
        <w:rPr>
          <w:rFonts w:ascii="Arial" w:eastAsia="Arial" w:hAnsi="Arial" w:cs="Arial"/>
          <w:color w:val="000000"/>
          <w:sz w:val="20"/>
          <w:szCs w:val="20"/>
        </w:rPr>
        <w:t>l ejercicio de la labor de interventoría, por ejemplo, gestión de residuos, reciclaje y aprovechamiento de residuos, ahorro de agua, ahorro de energía, estilos de vida sostenibles, consumo responsable, transporte sostenible, entre otros. Así mismo, se debe</w:t>
      </w:r>
      <w:r>
        <w:rPr>
          <w:rFonts w:ascii="Arial" w:eastAsia="Arial" w:hAnsi="Arial" w:cs="Arial"/>
          <w:color w:val="000000"/>
          <w:sz w:val="20"/>
          <w:szCs w:val="20"/>
        </w:rPr>
        <w:t xml:space="preserve"> capacitar al personal sobre temas ambientales relacionados con los proyectos sujetos a interventoría, por ejemplo, gestión de residuos de construcción y demolición, uso y manejo adecuado del suelo, conflictos socio ambientales y medidas de manejo, reglame</w:t>
      </w:r>
      <w:r>
        <w:rPr>
          <w:rFonts w:ascii="Arial" w:eastAsia="Arial" w:hAnsi="Arial" w:cs="Arial"/>
          <w:color w:val="000000"/>
          <w:sz w:val="20"/>
          <w:szCs w:val="20"/>
        </w:rPr>
        <w:t>ntación ambiental, atención de emergencias ambientales, gestión de residuos peligrosos, manejo de sustancias químicas, entre otros. Durante la ejecución del proyecto tendrá que presentar soporte de las capacitaciones, que incluya evaluación y registro foto</w:t>
      </w:r>
      <w:r>
        <w:rPr>
          <w:rFonts w:ascii="Arial" w:eastAsia="Arial" w:hAnsi="Arial" w:cs="Arial"/>
          <w:color w:val="000000"/>
          <w:sz w:val="20"/>
          <w:szCs w:val="20"/>
        </w:rPr>
        <w:t>gráfico.</w:t>
      </w: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de transporte sostenible, donde se establezcan de manera evidenciable, a través de metas e indicadores, medidas que contengan entre otros, algunos aspectos relacionados con diversificación de modos de transporte como por eje</w:t>
      </w:r>
      <w:r>
        <w:rPr>
          <w:rFonts w:ascii="Arial" w:eastAsia="Arial" w:hAnsi="Arial" w:cs="Arial"/>
          <w:color w:val="000000"/>
          <w:sz w:val="20"/>
          <w:szCs w:val="20"/>
        </w:rPr>
        <w:t>mplo: combinación con el sistema público, vehículos compartidos, sistemas de movilidad activa puede ser uso de bicicletas, patinetas o incluso caminar, de ser posible uso de tecnologías limpias y vehículos de bajas emisiones o uso compartido de vehículos y</w:t>
      </w:r>
      <w:r>
        <w:rPr>
          <w:rFonts w:ascii="Arial" w:eastAsia="Arial" w:hAnsi="Arial" w:cs="Arial"/>
          <w:color w:val="000000"/>
          <w:sz w:val="20"/>
          <w:szCs w:val="20"/>
        </w:rPr>
        <w:t xml:space="preserve"> promover opciones de transporte seguro y aspectos de conducción eficiente, entre otros.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Durante la ejecución del proyecto tendrá que adjuntar el documento “Programa de transporte sostenible”, donde se evidencien las metas e indicadores. El contratista ad</w:t>
      </w:r>
      <w:r>
        <w:rPr>
          <w:rFonts w:ascii="Arial" w:eastAsia="Arial" w:hAnsi="Arial" w:cs="Arial"/>
          <w:color w:val="000000"/>
          <w:sz w:val="20"/>
          <w:szCs w:val="20"/>
        </w:rPr>
        <w:t>judicatario podrá acreditar este requisito con uno o con varios de los factores que se enuncian a modo de ejemplo u otros que cumplan con la misma finalidad.</w:t>
      </w: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que asegure que los equipos tecnológicos a utilizar, por ejemplo, computado</w:t>
      </w:r>
      <w:r>
        <w:rPr>
          <w:rFonts w:ascii="Arial" w:eastAsia="Arial" w:hAnsi="Arial" w:cs="Arial"/>
          <w:color w:val="000000"/>
          <w:sz w:val="20"/>
          <w:szCs w:val="20"/>
        </w:rPr>
        <w:t xml:space="preserve">res, impresoras, tabletas, entre otros, cumplan con norma técnica de bajo consumo energético. Durante la ejecución del proyecto tendrá que entregar la ficha técnica de los equipos en donde se evidencie el cumplimiento de estos aspectos. </w:t>
      </w:r>
    </w:p>
    <w:p w:rsidR="00C0159A" w:rsidRDefault="00244C46">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Asegurar la gestió</w:t>
      </w:r>
      <w:r>
        <w:rPr>
          <w:rFonts w:ascii="Arial" w:eastAsia="Arial" w:hAnsi="Arial" w:cs="Arial"/>
          <w:color w:val="000000"/>
          <w:sz w:val="20"/>
          <w:szCs w:val="20"/>
        </w:rPr>
        <w:t>n adecuada de los residuos (ordinarios, aprovechables, residuos de aparatos eléctricos y electrónicos-RAEES) generados durante la prestación del servicio de consultoría en el marco de la normatividad vigente y aplicable, así como toda aquella que la modifi</w:t>
      </w:r>
      <w:r>
        <w:rPr>
          <w:rFonts w:ascii="Arial" w:eastAsia="Arial" w:hAnsi="Arial" w:cs="Arial"/>
          <w:color w:val="000000"/>
          <w:sz w:val="20"/>
          <w:szCs w:val="20"/>
        </w:rPr>
        <w:t>que o la sustituya. Durante la ejecución del proyecto tendrá que entregar actas o documentos que evidencien la gestión de residuos efectuada durante la ejecución del contrato.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interventor o supervisor verificará el cumplimiento de este criterio y, adem</w:t>
      </w:r>
      <w:r>
        <w:rPr>
          <w:rFonts w:ascii="Arial" w:eastAsia="Arial" w:hAnsi="Arial" w:cs="Arial"/>
          <w:sz w:val="20"/>
          <w:szCs w:val="20"/>
        </w:rPr>
        <w:t>ás, comprobará, para el inicio de la ejecución del Contrato, que el futuro contratista que cumpla con las consideraciones indicadas para el Factor de Sostenibilidad “9.1 Información para el control de la ejecución de la consultoría”</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60" w:name="_heading=h.600734qq3bwy" w:colFirst="0" w:colLast="0"/>
      <w:bookmarkEnd w:id="60"/>
      <w:r>
        <w:rPr>
          <w:rFonts w:ascii="Arial" w:eastAsia="Arial" w:hAnsi="Arial" w:cs="Arial"/>
          <w:b/>
          <w:bCs/>
          <w:color w:val="000000"/>
          <w:sz w:val="20"/>
          <w:szCs w:val="20"/>
        </w:rPr>
        <w:t>APOYO A LA INDUSTRIA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Los Proponentes pueden obtener puntaje de apoyo a la industria nacional por: i) Servicios Nacionales o con Trato Nacional o por ii) la incorporación de componente nacional en servicios extranjeros. La Entidad en ningún caso o</w:t>
      </w:r>
      <w:r>
        <w:rPr>
          <w:rFonts w:ascii="Arial" w:eastAsia="Arial" w:hAnsi="Arial" w:cs="Arial"/>
          <w:sz w:val="20"/>
          <w:szCs w:val="20"/>
        </w:rPr>
        <w:t>torgará simultáneamente el puntaje por ambos aspectos.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Los puntajes para estimular a la industria nacional se relacionan en la siguiente tabla:</w:t>
      </w:r>
    </w:p>
    <w:p w:rsidR="00C0159A" w:rsidRDefault="00C0159A">
      <w:pPr>
        <w:spacing w:after="0" w:line="240" w:lineRule="auto"/>
        <w:jc w:val="both"/>
        <w:rPr>
          <w:rFonts w:ascii="Arial" w:eastAsia="Arial" w:hAnsi="Arial" w:cs="Arial"/>
          <w:sz w:val="20"/>
          <w:szCs w:val="20"/>
        </w:rPr>
      </w:pPr>
    </w:p>
    <w:tbl>
      <w:tblPr>
        <w:tblStyle w:val="aa"/>
        <w:tblW w:w="5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413"/>
      </w:tblGrid>
      <w:tr w:rsidR="00C0159A">
        <w:trPr>
          <w:trHeight w:val="283"/>
          <w:tblHeader/>
          <w:jc w:val="center"/>
        </w:trPr>
        <w:tc>
          <w:tcPr>
            <w:tcW w:w="3969"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Concepto</w:t>
            </w:r>
          </w:p>
        </w:tc>
        <w:tc>
          <w:tcPr>
            <w:tcW w:w="141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Puntaje</w:t>
            </w:r>
          </w:p>
        </w:tc>
      </w:tr>
      <w:tr w:rsidR="00C0159A">
        <w:trPr>
          <w:trHeight w:val="283"/>
          <w:jc w:val="center"/>
        </w:trPr>
        <w:tc>
          <w:tcPr>
            <w:tcW w:w="3969"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Promoción de Servicios Nacionales o con Trato Nacional</w:t>
            </w:r>
          </w:p>
        </w:tc>
        <w:tc>
          <w:tcPr>
            <w:tcW w:w="141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20</w:t>
            </w:r>
          </w:p>
        </w:tc>
      </w:tr>
      <w:tr w:rsidR="00C0159A">
        <w:trPr>
          <w:trHeight w:val="283"/>
          <w:jc w:val="center"/>
        </w:trPr>
        <w:tc>
          <w:tcPr>
            <w:tcW w:w="3969"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Incorporación de componente nacional en servicios extranjeros</w:t>
            </w:r>
          </w:p>
        </w:tc>
        <w:tc>
          <w:tcPr>
            <w:tcW w:w="141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5</w:t>
            </w:r>
          </w:p>
        </w:tc>
      </w:tr>
    </w:tbl>
    <w:p w:rsidR="00C0159A" w:rsidRDefault="00C0159A">
      <w:pPr>
        <w:spacing w:after="0" w:line="240" w:lineRule="auto"/>
        <w:jc w:val="both"/>
        <w:rPr>
          <w:rFonts w:ascii="Arial" w:eastAsia="Arial" w:hAnsi="Arial" w:cs="Arial"/>
          <w:sz w:val="20"/>
          <w:szCs w:val="20"/>
        </w:rPr>
      </w:pPr>
    </w:p>
    <w:p w:rsidR="00C0159A" w:rsidRDefault="00244C46">
      <w:pPr>
        <w:numPr>
          <w:ilvl w:val="2"/>
          <w:numId w:val="20"/>
        </w:numPr>
        <w:pBdr>
          <w:top w:val="nil"/>
          <w:left w:val="nil"/>
          <w:bottom w:val="nil"/>
          <w:right w:val="nil"/>
          <w:between w:val="nil"/>
        </w:pBdr>
        <w:spacing w:after="0" w:line="240" w:lineRule="auto"/>
        <w:ind w:left="1077"/>
        <w:jc w:val="both"/>
      </w:pPr>
      <w:bookmarkStart w:id="61" w:name="_heading=h.l8dsggjmz859" w:colFirst="0" w:colLast="0"/>
      <w:bookmarkEnd w:id="61"/>
      <w:r>
        <w:rPr>
          <w:rFonts w:ascii="Arial" w:eastAsia="Arial" w:hAnsi="Arial" w:cs="Arial"/>
          <w:b/>
          <w:bCs/>
          <w:color w:val="000000"/>
          <w:sz w:val="20"/>
          <w:szCs w:val="20"/>
        </w:rPr>
        <w:t>PROMOCIÓN DE SERVICIOS NACIONALES O CON TRATO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ofertarse por una persona natural colombiana o por un residente en Colombia, por una persona jurídica constituida de conformidad con la legislación colombiana o por un Proponente Plural integrado por estos o por estos y un extranjero con Trato Nacional se </w:t>
      </w:r>
      <w:r>
        <w:rPr>
          <w:rFonts w:ascii="Arial" w:eastAsia="Arial" w:hAnsi="Arial" w:cs="Arial"/>
          <w:sz w:val="20"/>
          <w:szCs w:val="20"/>
        </w:rPr>
        <w:t>compromete a vincular el porcentaje mínimo de personal colombiano, que se desarrolla a continuación.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los contratos que no deban cumplirse en Colombia, que sean prestados en el extranjero y estén sometidos a la legislación colombiana, un servicio es col</w:t>
      </w:r>
      <w:r>
        <w:rPr>
          <w:rFonts w:ascii="Arial" w:eastAsia="Arial" w:hAnsi="Arial" w:cs="Arial"/>
          <w:sz w:val="20"/>
          <w:szCs w:val="20"/>
        </w:rPr>
        <w:t xml:space="preserve">ombiano si es prestado por una persona natural colombiana o por un residente en Colombia, por una persona jurídica constituida de conformidad con la legislación colombiana o un Proponente Plural integrado por estos, sin que sea necesaria la vinculación de </w:t>
      </w:r>
      <w:r>
        <w:rPr>
          <w:rFonts w:ascii="Arial" w:eastAsia="Arial" w:hAnsi="Arial" w:cs="Arial"/>
          <w:sz w:val="20"/>
          <w:szCs w:val="20"/>
        </w:rPr>
        <w:t>un porcentaje mínimo de personal colombiano.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caso de los Proponentes extranjeros con Trato Nacional que participen en el Proceso de Contratación de manera singular o mediante la conformación de un Proponente Plural podrán determinar si aplican las reglas previstas en este numeral o si, por el c</w:t>
      </w:r>
      <w:r>
        <w:rPr>
          <w:rFonts w:ascii="Arial" w:eastAsia="Arial" w:hAnsi="Arial" w:cs="Arial"/>
          <w:sz w:val="20"/>
          <w:szCs w:val="20"/>
        </w:rPr>
        <w:t>ontrario, deciden acogerse a la regla de origen de su país. Para definir la regla aplicable al proceso, el Proponente extranjero con Trato Nacional así lo manifestará con el diligenciamiento de la opción 2 del “Formato 7A – Promoción de Servicios Nacionale</w:t>
      </w:r>
      <w:r>
        <w:rPr>
          <w:rFonts w:ascii="Arial" w:eastAsia="Arial" w:hAnsi="Arial" w:cs="Arial"/>
          <w:sz w:val="20"/>
          <w:szCs w:val="20"/>
        </w:rPr>
        <w:t xml:space="preserve">s o con Trato Nacional”. En el caso que no se escoja la opción 2 del “Formato 7A – Promoción de Servicios Nacionales o con Trato Nacional”, la Entidad deberá evaluar la oferta de acuerdo con las reglas previstas en este numeral.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Debido a la especialidad </w:t>
      </w:r>
      <w:r>
        <w:rPr>
          <w:rFonts w:ascii="Arial" w:eastAsia="Arial" w:hAnsi="Arial" w:cs="Arial"/>
          <w:sz w:val="20"/>
          <w:szCs w:val="20"/>
        </w:rPr>
        <w:t xml:space="preserve">del contrato, en este Proceso de Contratación para el otorgamiento de puntaje no habrá bienes nacionales relevantes y, por tanto, se otorgará el puntaje de apoyo a la industria nacional a los Proponentes que se comprometan a vincular durante el desarrollo </w:t>
      </w:r>
      <w:r>
        <w:rPr>
          <w:rFonts w:ascii="Arial" w:eastAsia="Arial" w:hAnsi="Arial" w:cs="Arial"/>
          <w:sz w:val="20"/>
          <w:szCs w:val="20"/>
        </w:rPr>
        <w:t>del objeto contractual un porcentaje de empleados o contratistas por prestación de servicios colombianos, de al menos el cuarenta por ciento (40 %), sin perjuicio de incluir uno superior del personal requerido para el cumplimiento del contrato.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Además de </w:t>
      </w:r>
      <w:r>
        <w:rPr>
          <w:rFonts w:ascii="Arial" w:eastAsia="Arial" w:hAnsi="Arial" w:cs="Arial"/>
          <w:sz w:val="20"/>
          <w:szCs w:val="20"/>
        </w:rPr>
        <w:t xml:space="preserve">la incorporación de personal colombiano requerido para la ejecución del contrato, tratándose de Proponentes Plurales, su composición deberá estar acorde con lo exigido por la noción de Servicios Nacionales prevista en el artículo 2.2.1.1.1.3.1 del Decreto </w:t>
      </w:r>
      <w:r>
        <w:rPr>
          <w:rFonts w:ascii="Arial" w:eastAsia="Arial" w:hAnsi="Arial" w:cs="Arial"/>
          <w:sz w:val="20"/>
          <w:szCs w:val="20"/>
        </w:rPr>
        <w:t>1082 de 2015, o la norma que la modifique, sustituya o complemente, de lo que dependerá la franja del puntaje aplicable en lo referente al apoyo de la industria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tales efectos, en la siguiente tabla se indican las posibles composiciones de Pr</w:t>
      </w:r>
      <w:r>
        <w:rPr>
          <w:rFonts w:ascii="Arial" w:eastAsia="Arial" w:hAnsi="Arial" w:cs="Arial"/>
          <w:sz w:val="20"/>
          <w:szCs w:val="20"/>
        </w:rPr>
        <w:t>oponentes Plurales, la regla de origen que les aplica en virtud de dicha conformación, así como la franja de puntaje correspondiente:</w:t>
      </w:r>
    </w:p>
    <w:p w:rsidR="00C0159A" w:rsidRDefault="00C0159A">
      <w:pPr>
        <w:spacing w:after="0" w:line="240" w:lineRule="auto"/>
        <w:jc w:val="both"/>
        <w:rPr>
          <w:rFonts w:ascii="Arial" w:eastAsia="Arial" w:hAnsi="Arial" w:cs="Arial"/>
          <w:sz w:val="20"/>
          <w:szCs w:val="20"/>
        </w:rPr>
      </w:pPr>
    </w:p>
    <w:tbl>
      <w:tblPr>
        <w:tblStyle w:val="ab"/>
        <w:tblW w:w="86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2207"/>
        <w:gridCol w:w="2664"/>
        <w:gridCol w:w="2693"/>
      </w:tblGrid>
      <w:tr w:rsidR="00C0159A">
        <w:trPr>
          <w:trHeight w:val="283"/>
          <w:tblHeader/>
          <w:jc w:val="center"/>
        </w:trPr>
        <w:tc>
          <w:tcPr>
            <w:tcW w:w="1078"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No.</w:t>
            </w:r>
          </w:p>
        </w:tc>
        <w:tc>
          <w:tcPr>
            <w:tcW w:w="2207"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Composición del Proponente Plural</w:t>
            </w:r>
          </w:p>
        </w:tc>
        <w:tc>
          <w:tcPr>
            <w:tcW w:w="2664"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Regla de origen aplicable</w:t>
            </w:r>
          </w:p>
        </w:tc>
        <w:tc>
          <w:tcPr>
            <w:tcW w:w="269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Puntaje aplicable</w:t>
            </w:r>
          </w:p>
        </w:tc>
      </w:tr>
      <w:tr w:rsidR="00C0159A">
        <w:trPr>
          <w:trHeight w:val="283"/>
          <w:jc w:val="center"/>
        </w:trPr>
        <w:tc>
          <w:tcPr>
            <w:tcW w:w="1078"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w:t>
            </w:r>
          </w:p>
        </w:tc>
        <w:tc>
          <w:tcPr>
            <w:tcW w:w="220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Únicamente integrantes colombianos</w:t>
            </w:r>
          </w:p>
        </w:tc>
        <w:tc>
          <w:tcPr>
            <w:tcW w:w="266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C0159A">
        <w:trPr>
          <w:trHeight w:val="283"/>
          <w:jc w:val="center"/>
        </w:trPr>
        <w:tc>
          <w:tcPr>
            <w:tcW w:w="1078"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2.</w:t>
            </w:r>
          </w:p>
        </w:tc>
        <w:tc>
          <w:tcPr>
            <w:tcW w:w="220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Colombianos en asocio con extranjeros con Trato Nacional</w:t>
            </w:r>
          </w:p>
        </w:tc>
        <w:tc>
          <w:tcPr>
            <w:tcW w:w="266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C0159A">
        <w:trPr>
          <w:trHeight w:val="283"/>
          <w:jc w:val="center"/>
        </w:trPr>
        <w:tc>
          <w:tcPr>
            <w:tcW w:w="1078"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3.</w:t>
            </w:r>
          </w:p>
        </w:tc>
        <w:tc>
          <w:tcPr>
            <w:tcW w:w="220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Únicamente integrado por extranjeros con Trato Nacional</w:t>
            </w:r>
          </w:p>
        </w:tc>
        <w:tc>
          <w:tcPr>
            <w:tcW w:w="266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Pr</w:t>
            </w:r>
            <w:r>
              <w:rPr>
                <w:rFonts w:ascii="Arial" w:eastAsia="Arial" w:hAnsi="Arial" w:cs="Arial"/>
                <w:sz w:val="20"/>
                <w:szCs w:val="20"/>
              </w:rPr>
              <w:t>omoción de Servicios Nacionales o con Trato Nacional (4.4.1)</w:t>
            </w:r>
          </w:p>
        </w:tc>
      </w:tr>
      <w:tr w:rsidR="00C0159A">
        <w:trPr>
          <w:trHeight w:val="283"/>
          <w:jc w:val="center"/>
        </w:trPr>
        <w:tc>
          <w:tcPr>
            <w:tcW w:w="1078"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4.</w:t>
            </w:r>
          </w:p>
        </w:tc>
        <w:tc>
          <w:tcPr>
            <w:tcW w:w="2207"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Proponente Plural en el que al menos uno de los integrantes es extranjero sin Trato Nacional.</w:t>
            </w:r>
          </w:p>
        </w:tc>
        <w:tc>
          <w:tcPr>
            <w:tcW w:w="2664"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 aplica la regla de origen del Decreto 1082 de 2015, ni la de los países de origen.</w:t>
            </w:r>
          </w:p>
        </w:tc>
        <w:tc>
          <w:tcPr>
            <w:tcW w:w="2693"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Incorporaci</w:t>
            </w:r>
            <w:r>
              <w:rPr>
                <w:rFonts w:ascii="Arial" w:eastAsia="Arial" w:hAnsi="Arial" w:cs="Arial"/>
                <w:sz w:val="20"/>
                <w:szCs w:val="20"/>
              </w:rPr>
              <w:t>ón de componente nacional en servicios extranjeros (4.4.2)</w:t>
            </w:r>
          </w:p>
        </w:tc>
      </w:tr>
    </w:tbl>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sz w:val="20"/>
          <w:szCs w:val="20"/>
        </w:rPr>
        <w:t xml:space="preserve">4.4.1.1. </w:t>
      </w:r>
      <w:r>
        <w:rPr>
          <w:rFonts w:ascii="Arial" w:eastAsia="Arial" w:hAnsi="Arial" w:cs="Arial"/>
          <w:b/>
          <w:bCs/>
          <w:color w:val="000000"/>
          <w:sz w:val="20"/>
          <w:szCs w:val="20"/>
        </w:rPr>
        <w:t>ACREDITACIÓN DEL PUNTAJE POR SERVICIOS NACIONALES O CON TRATO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hasta veinte (20) puntos a la oferta de: i) Servicios Nacionales o ii) con Trato Nacional.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nacional obtenga puntaje por Servicios Nacionales debe diligenciar el “Formato 7A – Promoción de Servicios Nacionales o </w:t>
      </w:r>
      <w:r>
        <w:rPr>
          <w:rFonts w:ascii="Arial" w:eastAsia="Arial" w:hAnsi="Arial" w:cs="Arial"/>
          <w:sz w:val="20"/>
          <w:szCs w:val="20"/>
        </w:rPr>
        <w:t xml:space="preserve">con Trato Nacional” y, además, aportar alguno de los siguientes documentos, según corresponda: </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colombiana: La cédula de ciudadanía del Proponente.</w:t>
      </w:r>
    </w:p>
    <w:p w:rsidR="00C0159A" w:rsidRDefault="00244C46">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residente en Colombia: La visa de residencia que le permita la e</w:t>
      </w:r>
      <w:r>
        <w:rPr>
          <w:rFonts w:ascii="Arial" w:eastAsia="Arial" w:hAnsi="Arial" w:cs="Arial"/>
          <w:color w:val="000000"/>
          <w:sz w:val="20"/>
          <w:szCs w:val="20"/>
        </w:rPr>
        <w:t xml:space="preserve">jecución del objeto contractual de conformidad con la ley. </w:t>
      </w:r>
    </w:p>
    <w:p w:rsidR="00C0159A" w:rsidRDefault="00244C46">
      <w:pPr>
        <w:numPr>
          <w:ilvl w:val="0"/>
          <w:numId w:val="2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jurídica constituida en Colombia: El certificado de existencia y representación legal emitido por alguna de las cámaras de comercio del país.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w:t>
      </w:r>
      <w:r>
        <w:rPr>
          <w:rFonts w:ascii="Arial" w:eastAsia="Arial" w:hAnsi="Arial" w:cs="Arial"/>
          <w:sz w:val="20"/>
          <w:szCs w:val="20"/>
        </w:rPr>
        <w:t xml:space="preserve">Nacional obtenga el puntaje por apoyo a la industria nacional por promoción de Servicios Nacionales o con Trato Nacional solo deberá diligenciar el “Formato 7A – Promoción de Servicios Nacionales o con Trato Nacional”.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que el Proponente extranjero con Trato Nacional que diligencie la opción 2 del “Formato 7A – Promoción de Servicios Nacionales o con Trato Nacional” obtenga el puntaje por Trato Nacional, deberá acreditar que los servicios son originarios de: a) los E</w:t>
      </w:r>
      <w:r>
        <w:rPr>
          <w:rFonts w:ascii="Arial" w:eastAsia="Arial" w:hAnsi="Arial" w:cs="Arial"/>
          <w:sz w:val="20"/>
          <w:szCs w:val="20"/>
        </w:rPr>
        <w:t>stados mencionados en la sección de Acuerdos Comerciales aplicables al Proceso de Contratación; b) los Estados en los cuales si bien no existe Acuerdo Comercial, el Gobierno Nacional ha certificado que los oferentes colombianos gozan de Trato Nacional en l</w:t>
      </w:r>
      <w:r>
        <w:rPr>
          <w:rFonts w:ascii="Arial" w:eastAsia="Arial" w:hAnsi="Arial" w:cs="Arial"/>
          <w:sz w:val="20"/>
          <w:szCs w:val="20"/>
        </w:rPr>
        <w:t xml:space="preserve">os términos del artículo 2.2.1.2.4.1.3. del Decreto 1082 de 2015; o c) </w:t>
      </w:r>
      <w:r>
        <w:rPr>
          <w:rFonts w:ascii="Arial" w:eastAsia="Arial" w:hAnsi="Arial" w:cs="Arial"/>
          <w:sz w:val="20"/>
          <w:szCs w:val="20"/>
        </w:rPr>
        <w:lastRenderedPageBreak/>
        <w:t>los Estados miembros de la Comunidad Andina de Naciones. Para esto, deberá demostrar que cumple con la regla de origen contemplada para los Servicios Nacionales del respectivo país, all</w:t>
      </w:r>
      <w:r>
        <w:rPr>
          <w:rFonts w:ascii="Arial" w:eastAsia="Arial" w:hAnsi="Arial" w:cs="Arial"/>
          <w:sz w:val="20"/>
          <w:szCs w:val="20"/>
        </w:rPr>
        <w:t xml:space="preserve">egando la información y/o documentación que sea requerida.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nacional tiene la facultad de subsanar la falta de presentación de la cédula de ciudadanía o del certificado de existencia y representación legal para acreditar el requisito habilitante de capacidad jurídica. No obstante, no podrá subsanar es</w:t>
      </w:r>
      <w:r>
        <w:rPr>
          <w:rFonts w:ascii="Arial" w:eastAsia="Arial" w:hAnsi="Arial" w:cs="Arial"/>
          <w:sz w:val="20"/>
          <w:szCs w:val="20"/>
        </w:rPr>
        <w:t xml:space="preserve">ta circunstancia para la asignación del puntaje por Promoción de Servicios Nacionales o con Trato Nacional.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el puntaje por apoyo a la industria nacional por promoción de Servicios Nacionales o con Trato Nacional al Proponente Plural c</w:t>
      </w:r>
      <w:r>
        <w:rPr>
          <w:rFonts w:ascii="Arial" w:eastAsia="Arial" w:hAnsi="Arial" w:cs="Arial"/>
          <w:sz w:val="20"/>
          <w:szCs w:val="20"/>
        </w:rPr>
        <w:t>onformado por nacionales cuando cada uno de sus integrantes presente alguno de los documentos indicados en este numeral, según corresponda. A su vez, el representante del Proponente Plural deberá diligenciar el “Formato 7A – Promoción de Servicios Nacional</w:t>
      </w:r>
      <w:r>
        <w:rPr>
          <w:rFonts w:ascii="Arial" w:eastAsia="Arial" w:hAnsi="Arial" w:cs="Arial"/>
          <w:sz w:val="20"/>
          <w:szCs w:val="20"/>
        </w:rPr>
        <w:t>es o con Trato Nacional”. Cuando uno o varios de sus integrantes no cumplan con las condiciones descritas el Proponente Plural no obtendrá puntaje por Promoción de Servicios Nacionales o Trato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caso de que la subsanación del CERTIFICA</w:t>
      </w:r>
      <w:r>
        <w:rPr>
          <w:rFonts w:ascii="Arial" w:eastAsia="Arial" w:hAnsi="Arial" w:cs="Arial"/>
          <w:sz w:val="20"/>
          <w:szCs w:val="20"/>
        </w:rPr>
        <w:t>DO DE EXISTENCIA Y REPRESENTACIÓN LEGAL se realice con ocasión al requisito habilitante relacionado con la fecha de expedición del certificado, es decir, no superar los treinta (30) días de expedición del certificado, no se afectara la asignación del punta</w:t>
      </w:r>
      <w:r>
        <w:rPr>
          <w:rFonts w:ascii="Arial" w:eastAsia="Arial" w:hAnsi="Arial" w:cs="Arial"/>
          <w:sz w:val="20"/>
          <w:szCs w:val="20"/>
        </w:rPr>
        <w:t>je por este criterio</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evaluará la información proporcionada por el proponente para determinar si se trata exclusivamente de una actualización de la fecha de expedición del CER</w:t>
      </w:r>
      <w:r>
        <w:rPr>
          <w:rFonts w:ascii="Arial" w:eastAsia="Arial" w:hAnsi="Arial" w:cs="Arial"/>
          <w:sz w:val="20"/>
          <w:szCs w:val="20"/>
        </w:rPr>
        <w:t>TIFICADO DE EXISTENCIA Y REPRESENTACIÓN LEGAL, sin que ello implique una mejora en la oferta inicialmente presentada. En caso afirmativo, se podrá otorgar al proponente el puntaje correspondiente por este criterio.</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20"/>
        </w:numPr>
        <w:pBdr>
          <w:top w:val="nil"/>
          <w:left w:val="nil"/>
          <w:bottom w:val="nil"/>
          <w:right w:val="nil"/>
          <w:between w:val="nil"/>
        </w:pBdr>
        <w:spacing w:after="0" w:line="240" w:lineRule="auto"/>
        <w:ind w:left="1077"/>
        <w:jc w:val="both"/>
      </w:pPr>
      <w:bookmarkStart w:id="62" w:name="_heading=h.725ka542pq6e" w:colFirst="0" w:colLast="0"/>
      <w:bookmarkEnd w:id="62"/>
      <w:r>
        <w:rPr>
          <w:rFonts w:ascii="Arial" w:eastAsia="Arial" w:hAnsi="Arial" w:cs="Arial"/>
          <w:b/>
          <w:bCs/>
          <w:color w:val="000000"/>
          <w:sz w:val="20"/>
          <w:szCs w:val="20"/>
        </w:rPr>
        <w:t xml:space="preserve">INCORPORACIÓN DE COMPONENTE NACIONAL EN </w:t>
      </w:r>
      <w:r>
        <w:rPr>
          <w:rFonts w:ascii="Arial" w:eastAsia="Arial" w:hAnsi="Arial" w:cs="Arial"/>
          <w:b/>
          <w:bCs/>
          <w:color w:val="000000"/>
          <w:sz w:val="20"/>
          <w:szCs w:val="20"/>
        </w:rPr>
        <w:t>SERVICIOS EXTRANJEROS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cinco (5) puntos a los Proponentes extranjeros sin derecho a Trato Nacional o a los Proponentes Plurales en los que al menos uno de sus integrantes sea un extranjero sin derecho a Trato Nacional, que se comprometa</w:t>
      </w:r>
      <w:r>
        <w:rPr>
          <w:rFonts w:ascii="Arial" w:eastAsia="Arial" w:hAnsi="Arial" w:cs="Arial"/>
          <w:sz w:val="20"/>
          <w:szCs w:val="20"/>
        </w:rPr>
        <w:t>n a incorporar a la ejecución del contrato más del noventa por ciento (90 %) del personal técnico, operativo y profesional de origen colombiano.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Por otro lado, el Proponente que ofrezca personal colombiano con títulos académicos otorgados en el exterior d</w:t>
      </w:r>
      <w:r>
        <w:rPr>
          <w:rFonts w:ascii="Arial" w:eastAsia="Arial" w:hAnsi="Arial" w:cs="Arial"/>
          <w:sz w:val="20"/>
          <w:szCs w:val="20"/>
        </w:rPr>
        <w:t>eberá demostrar la convalidación de estos títulos en Colombia ante el Ministerio de Educación Nacional. En este sentido, para acreditar los títulos académicos concedidos en el exterior se requiere presentar la Resolución expedida por el Ministerio de Educa</w:t>
      </w:r>
      <w:r>
        <w:rPr>
          <w:rFonts w:ascii="Arial" w:eastAsia="Arial" w:hAnsi="Arial" w:cs="Arial"/>
          <w:sz w:val="20"/>
          <w:szCs w:val="20"/>
        </w:rPr>
        <w:t>ción Nacional que reconoce el título obtenido en el exterior.</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recibir el puntaje por incorporación de componente colombiano, el representante legal o el apoderado del Proponente deberá diligenciar el “Formato 7B – Incorporación de Componente Nacional</w:t>
      </w:r>
      <w:r>
        <w:rPr>
          <w:rFonts w:ascii="Arial" w:eastAsia="Arial" w:hAnsi="Arial" w:cs="Arial"/>
          <w:sz w:val="20"/>
          <w:szCs w:val="20"/>
        </w:rPr>
        <w:t xml:space="preserve"> en Servicios Extranjeros”, en el cual manifieste bajo la gravedad del juramento que incorporará en la ejecución del contrato más del noventa por ciento (90 %) de personal técnico, operativo y profesional de origen colombiano, en caso de resultar adjudicat</w:t>
      </w:r>
      <w:r>
        <w:rPr>
          <w:rFonts w:ascii="Arial" w:eastAsia="Arial" w:hAnsi="Arial" w:cs="Arial"/>
          <w:sz w:val="20"/>
          <w:szCs w:val="20"/>
        </w:rPr>
        <w:t>ario del Proceso de Contratación.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La Entidad únicamente otorgará el puntaje por promoción de la incorporación de componente nacional cuando el Proponente que diligencie el “Formato 7B – Incorporación de Componente Nacional en Servicios Extranjeros” no hay</w:t>
      </w:r>
      <w:r>
        <w:rPr>
          <w:rFonts w:ascii="Arial" w:eastAsia="Arial" w:hAnsi="Arial" w:cs="Arial"/>
          <w:sz w:val="20"/>
          <w:szCs w:val="20"/>
        </w:rPr>
        <w:t>a recibido puntaje alguno por promoción de Servicios Nacionales o con Trato Nacional.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“Formato 7B – Incorporación de Componente Nacional en Servicios Extranjeros” solo debe ser aportado por los Proponentes extranjeros sin derecho a Trato Nacional que o</w:t>
      </w:r>
      <w:r>
        <w:rPr>
          <w:rFonts w:ascii="Arial" w:eastAsia="Arial" w:hAnsi="Arial" w:cs="Arial"/>
          <w:sz w:val="20"/>
          <w:szCs w:val="20"/>
        </w:rPr>
        <w:t>pten por incorporar personal colombiano. En el evento que un Proponente extranjero sin derecho a Trato a Nacional o un Proponente Plural en el que al menos uno de sus integrantes sea un extranjero sin Trato Nacional, en lugar del “Formato 7B – Incorporació</w:t>
      </w:r>
      <w:r>
        <w:rPr>
          <w:rFonts w:ascii="Arial" w:eastAsia="Arial" w:hAnsi="Arial" w:cs="Arial"/>
          <w:sz w:val="20"/>
          <w:szCs w:val="20"/>
        </w:rPr>
        <w:t xml:space="preserve">n de Componente Nacional en Servicios Extranjeros”, diligencie el “Formato 7A – Promoción de Servicios Nacionales o con Trato Nacional”, no habrá lugar a otorgar puntaje por el factor del numeral 4.4.1. del Pliego de Condiciones ni por el regulado en este </w:t>
      </w:r>
      <w:r>
        <w:rPr>
          <w:rFonts w:ascii="Arial" w:eastAsia="Arial" w:hAnsi="Arial" w:cs="Arial"/>
          <w:sz w:val="20"/>
          <w:szCs w:val="20"/>
        </w:rPr>
        <w:t xml:space="preserve">numeral.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de no efectuar ningún ofrecimiento, el puntaje por este factor será de cero (0).</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63" w:name="_heading=h.5nertm8vc960" w:colFirst="0" w:colLast="0"/>
      <w:bookmarkEnd w:id="63"/>
      <w:r>
        <w:rPr>
          <w:rFonts w:ascii="Arial" w:eastAsia="Arial" w:hAnsi="Arial" w:cs="Arial"/>
          <w:b/>
          <w:bCs/>
          <w:color w:val="000000"/>
          <w:sz w:val="20"/>
          <w:szCs w:val="20"/>
        </w:rPr>
        <w:t>VINCULACIÓN DE PERSONAS CON DISCAPACIDAD</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asignará un (1) punto al Proponente que acredite el número mínimo de personas en condición de discapacidad, de acuerdo con el número total de trabajadores de la planta de su personal, en los términos señalados en el artículo 2.2.1.2.4.2.6. del D</w:t>
      </w:r>
      <w:r>
        <w:rPr>
          <w:rFonts w:ascii="Arial" w:eastAsia="Arial" w:hAnsi="Arial" w:cs="Arial"/>
          <w:sz w:val="20"/>
          <w:szCs w:val="20"/>
        </w:rPr>
        <w:t xml:space="preserve">ecreto 1082 de 2015.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esto debe: i) diligenciar el “Formato 6 – Vinculación de personas en condición de discapacidad suscrito por la persona natural, el representante legal o el revisor fiscal, según corresponda, en el cual certifique el número total</w:t>
      </w:r>
      <w:r>
        <w:rPr>
          <w:rFonts w:ascii="Arial" w:eastAsia="Arial" w:hAnsi="Arial" w:cs="Arial"/>
          <w:sz w:val="20"/>
          <w:szCs w:val="20"/>
        </w:rPr>
        <w:t xml:space="preserve"> de trabajadores vinculados a la planta de personal del Proponente, o el integrante del Proponente Plural, a la fecha de cierre del Proceso de Contratación, ii) acreditar el número mínimo de personas en condición de  discapacidad en su planta de personal, </w:t>
      </w:r>
      <w:r>
        <w:rPr>
          <w:rFonts w:ascii="Arial" w:eastAsia="Arial" w:hAnsi="Arial" w:cs="Arial"/>
          <w:sz w:val="20"/>
          <w:szCs w:val="20"/>
        </w:rPr>
        <w:t>de conformidad con lo señalado en el certificado expedido por el Ministerio de Trabajo, el cual deberá estar vigente a la fecha de cierre del Proceso de Contratación.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los Proponentes Plurales, la Entidad tendrá en cuenta la planta de personal del int</w:t>
      </w:r>
      <w:r>
        <w:rPr>
          <w:rFonts w:ascii="Arial" w:eastAsia="Arial" w:hAnsi="Arial" w:cs="Arial"/>
          <w:sz w:val="20"/>
          <w:szCs w:val="20"/>
        </w:rPr>
        <w:t>egrante del Proponente Plural que aporte como mínimo el cuarenta por ciento (40 %) de la experiencia requerida para el Proceso de Contratación. Este porcentaje de experiencia se tomará sobre el “Valor mínimo a certificar (como % del Presupuesto Oficial exp</w:t>
      </w:r>
      <w:r>
        <w:rPr>
          <w:rFonts w:ascii="Arial" w:eastAsia="Arial" w:hAnsi="Arial" w:cs="Arial"/>
          <w:sz w:val="20"/>
          <w:szCs w:val="20"/>
        </w:rPr>
        <w:t>resado en SMMLV)” de conformidad con el numeral 3.8.1 del Pliego de Condiciones, sin importar si la experiencia es general o específica.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Tratándose de los Proponentes Plurales, el “Formato 6 – Vinculación de personas en condición de discapacidad” debe sus</w:t>
      </w:r>
      <w:r>
        <w:rPr>
          <w:rFonts w:ascii="Arial" w:eastAsia="Arial" w:hAnsi="Arial" w:cs="Arial"/>
          <w:sz w:val="20"/>
          <w:szCs w:val="20"/>
        </w:rPr>
        <w:t>cribirlo el integrante del Proponente Plural, ya sea el representante legal o revisor fiscal, según corresponda, de la persona jurídica o la persona natural, siempre que dicho integrante aporte como mínimo el cuarenta por ciento (40 %) de la experiencia re</w:t>
      </w:r>
      <w:r>
        <w:rPr>
          <w:rFonts w:ascii="Arial" w:eastAsia="Arial" w:hAnsi="Arial" w:cs="Arial"/>
          <w:sz w:val="20"/>
          <w:szCs w:val="20"/>
        </w:rPr>
        <w:t xml:space="preserve">querida para el Proceso de Contratación, y que además vincule el mínimo de trabajadores con discapacidad exigido en el Decreto 1082 de 2015. </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64" w:name="_heading=h.77t18qvkpshy" w:colFirst="0" w:colLast="0"/>
      <w:bookmarkEnd w:id="64"/>
      <w:r>
        <w:rPr>
          <w:rFonts w:ascii="Arial" w:eastAsia="Arial" w:hAnsi="Arial" w:cs="Arial"/>
          <w:b/>
          <w:bCs/>
          <w:color w:val="000000"/>
          <w:sz w:val="20"/>
          <w:szCs w:val="20"/>
        </w:rPr>
        <w:t>EMPRENDIMIENTOS Y EMPRESAS DE MUJERES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puntaje de cero punto veinticinco (0.25) puntos al </w:t>
      </w:r>
      <w:r>
        <w:rPr>
          <w:rFonts w:ascii="Arial" w:eastAsia="Arial" w:hAnsi="Arial" w:cs="Arial"/>
          <w:sz w:val="20"/>
          <w:szCs w:val="20"/>
        </w:rPr>
        <w:t>Proponente que acredite la calidad de emprendimientos y empresas de mujeres con domicilio en el territorio nacional de conformidad con lo previsto en el artículo 2.2.1.2.4.2.14. del Decreto 1082 de 2015 o la norma que lo modifique, sustituya o complemente.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lastRenderedPageBreak/>
        <w:t>Para que el Proponente obtenga este puntaje debe diligenciar el “Formato 13 – Acreditación de emprendimientos y empresas de mujeres” y aportar la documentación requerida. Si el Proponente debió subsanar la entrega de dicho formato y/o los documentos exig</w:t>
      </w:r>
      <w:r>
        <w:rPr>
          <w:rFonts w:ascii="Arial" w:eastAsia="Arial" w:hAnsi="Arial" w:cs="Arial"/>
          <w:sz w:val="20"/>
          <w:szCs w:val="20"/>
        </w:rPr>
        <w:t>idos para probar esta condición será válido para el criterio diferencial en cuanto al requisito habilitante relacionado con el número de contratos aportados para demostrar la experiencia solicitada. Sin embargo, no se tendrán en cuenta para la asignación d</w:t>
      </w:r>
      <w:r>
        <w:rPr>
          <w:rFonts w:ascii="Arial" w:eastAsia="Arial" w:hAnsi="Arial" w:cs="Arial"/>
          <w:sz w:val="20"/>
          <w:szCs w:val="20"/>
        </w:rPr>
        <w:t xml:space="preserve">e puntaje, por lo que obtendrá cero (0) puntos por este factor de evaluación.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solo se otorgará si por lo menos uno de los integrantes acredita la calidad de emprendimientos y empresas de mujeres y tiene un</w:t>
      </w:r>
      <w:r>
        <w:rPr>
          <w:rFonts w:ascii="Arial" w:eastAsia="Arial" w:hAnsi="Arial" w:cs="Arial"/>
          <w:sz w:val="20"/>
          <w:szCs w:val="20"/>
        </w:rPr>
        <w:t>a participación igual o superior al diez por ciento (10 %) en el Consorcio o en la Unión Temporal.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asignación de este puntaje no excluye la aplicación del puntaje para Mipyme.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65" w:name="_heading=h.p0ovgl3l3r0i" w:colFirst="0" w:colLast="0"/>
      <w:bookmarkEnd w:id="65"/>
      <w:r>
        <w:rPr>
          <w:rFonts w:ascii="Arial" w:eastAsia="Arial" w:hAnsi="Arial" w:cs="Arial"/>
          <w:b/>
          <w:bCs/>
          <w:color w:val="000000"/>
          <w:sz w:val="20"/>
          <w:szCs w:val="20"/>
        </w:rPr>
        <w:t>MIPYME DOMICILIADA EN COLOMBIA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otorgará un puntaje de cero punto veinticinco (0.25) puntos al Proponente que acredite la calidad de Mipyme domiciliada en Colombia, de conformidad con el artículo 2.2.1.2.4.2.4 del Decreto 1082 de 2015, en concordancia con el parágrafo del artí</w:t>
      </w:r>
      <w:r>
        <w:rPr>
          <w:rFonts w:ascii="Arial" w:eastAsia="Arial" w:hAnsi="Arial" w:cs="Arial"/>
          <w:sz w:val="20"/>
          <w:szCs w:val="20"/>
        </w:rPr>
        <w:t>culo 2.2.1.13.2.4 del Decreto 1074 de 2015, o la norma que lo modifique, complemente o sustituya.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Así las cosas, para obtener el puntaje, el Proponente entregará copia del certificado del Registro Único de Proponentes (RUP), el cual deberá encontrarse vig</w:t>
      </w:r>
      <w:r>
        <w:rPr>
          <w:rFonts w:ascii="Arial" w:eastAsia="Arial" w:hAnsi="Arial" w:cs="Arial"/>
          <w:sz w:val="20"/>
          <w:szCs w:val="20"/>
        </w:rPr>
        <w:t>ente y en firme al momento de su presentación. Si el Proponente debió subsanar la entrega del RUP, este será válido para los criterios diferenciales en cuanto a los requisitos habilitantes relacionados con el número de contratos aportados para demostrar la</w:t>
      </w:r>
      <w:r>
        <w:rPr>
          <w:rFonts w:ascii="Arial" w:eastAsia="Arial" w:hAnsi="Arial" w:cs="Arial"/>
          <w:sz w:val="20"/>
          <w:szCs w:val="20"/>
        </w:rPr>
        <w:t xml:space="preserve"> experiencia solicitada y los índices de la Capacidad Financiera y Organizacional. Sin embargo, el certificado no se tendrá en cuenta para la asignación del puntaje adicional, por lo que obtendrá cero (0) puntos por este factor de evaluación.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Tratándose </w:t>
      </w:r>
      <w:r>
        <w:rPr>
          <w:rFonts w:ascii="Arial" w:eastAsia="Arial" w:hAnsi="Arial" w:cs="Arial"/>
          <w:sz w:val="20"/>
          <w:szCs w:val="20"/>
        </w:rPr>
        <w:t xml:space="preserve">de Proponentes Plurales este puntaje se otorgará si por lo menos uno (1) de los integrantes acredita la calidad de Mipyme y tiene una participación igual o superior al diez por ciento (10 %) en el Consorcio o en la Unión Temporal.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b/>
          <w:bCs/>
          <w:sz w:val="20"/>
          <w:szCs w:val="20"/>
        </w:rPr>
        <w:t>NOTA:</w:t>
      </w:r>
      <w:r>
        <w:rPr>
          <w:rFonts w:ascii="Arial" w:eastAsia="Arial" w:hAnsi="Arial" w:cs="Arial"/>
          <w:sz w:val="20"/>
          <w:szCs w:val="20"/>
        </w:rPr>
        <w:t xml:space="preserve"> En el caso de que</w:t>
      </w:r>
      <w:r>
        <w:rPr>
          <w:rFonts w:ascii="Arial" w:eastAsia="Arial" w:hAnsi="Arial" w:cs="Arial"/>
          <w:sz w:val="20"/>
          <w:szCs w:val="20"/>
        </w:rPr>
        <w:t xml:space="preserve"> la subsanación del RUP se realice con ocasión al requisito habilitante relacionado con la fecha de expedición del certificado, es decir, no superar los treinta (30) días de expedición del certificado, no se aplicará lo dispuesto en la parte final del inci</w:t>
      </w:r>
      <w:r>
        <w:rPr>
          <w:rFonts w:ascii="Arial" w:eastAsia="Arial" w:hAnsi="Arial" w:cs="Arial"/>
          <w:sz w:val="20"/>
          <w:szCs w:val="20"/>
        </w:rPr>
        <w:t xml:space="preserve">so segundo de este numeral.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Por lo tanto, una vez presentada la subsanación, la Entidad Estatal analizará y evaluará la información proporcionada por el proponente para determinar si se trata exclusivamente de una actualización de la fecha de expedición </w:t>
      </w:r>
      <w:r>
        <w:rPr>
          <w:rFonts w:ascii="Arial" w:eastAsia="Arial" w:hAnsi="Arial" w:cs="Arial"/>
          <w:sz w:val="20"/>
          <w:szCs w:val="20"/>
        </w:rPr>
        <w:t>del RUP, sin que ello implique una mejora en la oferta inicialmente presentada. En caso afirmativo, se podrá otorgar al proponente el puntaje correspondiente por este criterio.</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0"/>
        </w:numPr>
        <w:pBdr>
          <w:top w:val="nil"/>
          <w:left w:val="nil"/>
          <w:bottom w:val="nil"/>
          <w:right w:val="nil"/>
          <w:between w:val="nil"/>
        </w:pBdr>
        <w:spacing w:after="0" w:line="240" w:lineRule="auto"/>
        <w:ind w:left="567" w:hanging="567"/>
        <w:jc w:val="both"/>
      </w:pPr>
      <w:bookmarkStart w:id="66" w:name="_heading=h.7olxgo1e63vz" w:colFirst="0" w:colLast="0"/>
      <w:bookmarkEnd w:id="66"/>
      <w:r>
        <w:rPr>
          <w:rFonts w:ascii="Arial" w:eastAsia="Arial" w:hAnsi="Arial" w:cs="Arial"/>
          <w:b/>
          <w:bCs/>
          <w:color w:val="000000"/>
          <w:sz w:val="20"/>
          <w:szCs w:val="20"/>
        </w:rPr>
        <w:t>CRITERIOS DE DESEMPATE</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w:t>
      </w:r>
      <w:r>
        <w:rPr>
          <w:rFonts w:ascii="Arial" w:eastAsia="Arial" w:hAnsi="Arial" w:cs="Arial"/>
          <w:sz w:val="20"/>
          <w:szCs w:val="20"/>
        </w:rPr>
        <w:t>s contenidas en los Acuerdos Comerciales vigentes, especialmente en materia de Trato Nacional:</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Preferir la oferta de bienes o Servicios Nacionales frente a la oferta de bienes o servicios extranjeros. El Proponente acreditará este factor de desempate de acuerdo con las reglas definidas en el numeral 4.4.1 y con los documentos señalados en la sección</w:t>
      </w:r>
      <w:r>
        <w:rPr>
          <w:rFonts w:ascii="Arial" w:eastAsia="Arial" w:hAnsi="Arial" w:cs="Arial"/>
          <w:color w:val="000000"/>
          <w:sz w:val="20"/>
          <w:szCs w:val="20"/>
        </w:rPr>
        <w:t xml:space="preserve"> 4.4.1.1 del Pliego de Condiciones. Por tanto, este criterio de desempate se probará con los mismos documentos que se presentan para el puntaje de apoyo a la industria nacional. Para el caso de los Proponentes Plurales, todos los integrantes deberán demost</w:t>
      </w:r>
      <w:r>
        <w:rPr>
          <w:rFonts w:ascii="Arial" w:eastAsia="Arial" w:hAnsi="Arial" w:cs="Arial"/>
          <w:color w:val="000000"/>
          <w:sz w:val="20"/>
          <w:szCs w:val="20"/>
        </w:rPr>
        <w:t xml:space="preserve">rar el origen nacional de la oferta en las condiciones indicadas en los numerales anteriormente citados.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de la mujer cabeza de familia. Su acreditación se realizará en los términos del parágrafo del artículo 2 de la Ley 82 de 1993, </w:t>
      </w:r>
      <w:r>
        <w:rPr>
          <w:rFonts w:ascii="Arial" w:eastAsia="Arial" w:hAnsi="Arial" w:cs="Arial"/>
          <w:color w:val="000000"/>
          <w:sz w:val="20"/>
          <w:szCs w:val="20"/>
        </w:rPr>
        <w:t>modificado por el artículo 1 de la Ley 1232 de 2008 o la norma que lo modifique, aclare, adicione o sustituya, es decir, la condición de mujer cabeza de familia y la cesación de esta se otorgará desde el momento en que ocurra el respectivo evento y se decl</w:t>
      </w:r>
      <w:r>
        <w:rPr>
          <w:rFonts w:ascii="Arial" w:eastAsia="Arial" w:hAnsi="Arial" w:cs="Arial"/>
          <w:color w:val="000000"/>
          <w:sz w:val="20"/>
          <w:szCs w:val="20"/>
        </w:rPr>
        <w:t>are ante un notario. Esta certificación debe tener una fecha de expedición no mayor a treinta (30) días calendario anteriores a la fecha del cierre del Proceso de Contratación y en esta deberá verificarse el cumplimiento de los requisitos indicados en el a</w:t>
      </w:r>
      <w:r>
        <w:rPr>
          <w:rFonts w:ascii="Arial" w:eastAsia="Arial" w:hAnsi="Arial" w:cs="Arial"/>
          <w:color w:val="000000"/>
          <w:sz w:val="20"/>
          <w:szCs w:val="20"/>
        </w:rPr>
        <w:t>rtículo 1 de la Ley 1232 de 2008. En caso de modificarse la fecha de cierre del proceso, se tendrá como referencia para establecer el plazo de vigencia del certificado la fecha originalmente contemplada en el Pliego de Condiciones definitivo.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w:t>
      </w:r>
      <w:r>
        <w:rPr>
          <w:rFonts w:ascii="Arial" w:eastAsia="Arial" w:hAnsi="Arial" w:cs="Arial"/>
          <w:color w:val="000000"/>
          <w:sz w:val="20"/>
          <w:szCs w:val="20"/>
        </w:rPr>
        <w:t xml:space="preserve">se preferirá la propuesta de la mujer víctima de violencia intrafamiliar, la cual acreditará esta condición de conformidad con el artículo 21 de la Ley 1257 de 2008 o la norma que lo modifique, aclare, adicione o sustituya, esto es, cuando se profiera una </w:t>
      </w:r>
      <w:r>
        <w:rPr>
          <w:rFonts w:ascii="Arial" w:eastAsia="Arial" w:hAnsi="Arial" w:cs="Arial"/>
          <w:color w:val="000000"/>
          <w:sz w:val="20"/>
          <w:szCs w:val="20"/>
        </w:rPr>
        <w:t>medida de protección expedida por la autoridad competente. En virtud del artículo 16 de la Ley 1257 de 2008 o la norma que lo modifique, aclare, adicione o sustituya, la medida de protección la debe impartir el comisario de familia del lugar donde ocurrier</w:t>
      </w:r>
      <w:r>
        <w:rPr>
          <w:rFonts w:ascii="Arial" w:eastAsia="Arial" w:hAnsi="Arial" w:cs="Arial"/>
          <w:color w:val="000000"/>
          <w:sz w:val="20"/>
          <w:szCs w:val="20"/>
        </w:rPr>
        <w:t xml:space="preserve">on los hechos y, a falta de este, del juez civil municipal o promiscuo municipal, o la autoridad indígena en los casos de violencia intrafamiliar en las comunidades de esa naturaleza.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se preferirá a aquellas en las qu</w:t>
      </w:r>
      <w:r>
        <w:rPr>
          <w:rFonts w:ascii="Arial" w:eastAsia="Arial" w:hAnsi="Arial" w:cs="Arial"/>
          <w:color w:val="000000"/>
          <w:sz w:val="20"/>
          <w:szCs w:val="20"/>
        </w:rPr>
        <w:t xml:space="preserve">e participen mayoritariamente mujeres cabeza de familia y/o mujeres víctimas de violencia intrafamiliar, para lo cual el representante legal o el revisor fiscal, según corresponda, diligenciará el “Formato 10A – Participación mayoritaria de mujeres cabeza </w:t>
      </w:r>
      <w:r>
        <w:rPr>
          <w:rFonts w:ascii="Arial" w:eastAsia="Arial" w:hAnsi="Arial" w:cs="Arial"/>
          <w:color w:val="000000"/>
          <w:sz w:val="20"/>
          <w:szCs w:val="20"/>
        </w:rPr>
        <w:t>de familia y/o mujeres víctimas de violencia intrafamiliar (persona jurídica)”, mediante el cual acreditará, bajo la gravedad del juramento, que más del cincuenta por ciento (50 %) de la composición accionaria o cuota parte de la persona jurídica está cons</w:t>
      </w:r>
      <w:r>
        <w:rPr>
          <w:rFonts w:ascii="Arial" w:eastAsia="Arial" w:hAnsi="Arial" w:cs="Arial"/>
          <w:color w:val="000000"/>
          <w:sz w:val="20"/>
          <w:szCs w:val="20"/>
        </w:rPr>
        <w:t>tituida por mujeres cabeza de familia y/o mujeres víctimas de violencia intrafamiliar. Además, deberá probar la condición indicada de cada una de las mujeres que participen en la sociedad, aportando los documentos que avalen el cumplimiento de los requisit</w:t>
      </w:r>
      <w:r>
        <w:rPr>
          <w:rFonts w:ascii="Arial" w:eastAsia="Arial" w:hAnsi="Arial" w:cs="Arial"/>
          <w:color w:val="000000"/>
          <w:sz w:val="20"/>
          <w:szCs w:val="20"/>
        </w:rPr>
        <w:t xml:space="preserve">os, de acuerdo con los dos incisos anteriores.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w:t>
      </w:r>
      <w:r>
        <w:rPr>
          <w:rFonts w:ascii="Arial" w:eastAsia="Arial" w:hAnsi="Arial" w:cs="Arial"/>
          <w:color w:val="000000"/>
          <w:sz w:val="20"/>
          <w:szCs w:val="20"/>
        </w:rPr>
        <w:t xml:space="preserve"> que para el otorgamiento de este criterio de desempate se entregan certificados que contienen datos sensibles, de acuerdo con el artículo 5 de la Ley 1581 de 2012 o la norma que lo modifique, aclare, adicione o sustituya, se requiere que el titular de la </w:t>
      </w:r>
      <w:r>
        <w:rPr>
          <w:rFonts w:ascii="Arial" w:eastAsia="Arial" w:hAnsi="Arial" w:cs="Arial"/>
          <w:color w:val="000000"/>
          <w:sz w:val="20"/>
          <w:szCs w:val="20"/>
        </w:rPr>
        <w:t>información, como son las mujeres víctimas de violencia intrafamiliar, en los términos del literal a) del artículo 6 de la Ley 1581 de 2012, diligencien el “Formato 11 – Autorización para el tratamiento de datos personales” mediante el cual autoricen de ma</w:t>
      </w:r>
      <w:r>
        <w:rPr>
          <w:rFonts w:ascii="Arial" w:eastAsia="Arial" w:hAnsi="Arial" w:cs="Arial"/>
          <w:color w:val="000000"/>
          <w:sz w:val="20"/>
          <w:szCs w:val="20"/>
        </w:rPr>
        <w:t xml:space="preserve">nera previa y expresa </w:t>
      </w:r>
      <w:r>
        <w:rPr>
          <w:rFonts w:ascii="Arial" w:eastAsia="Arial" w:hAnsi="Arial" w:cs="Arial"/>
          <w:color w:val="000000"/>
          <w:sz w:val="20"/>
          <w:szCs w:val="20"/>
        </w:rPr>
        <w:lastRenderedPageBreak/>
        <w:t>el tratamiento de esta información, como requisito para el otorgamiento del criterio de desempate..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Proponente que acredite, en las circunstancias establecidas en la ley, que por lo menos el di</w:t>
      </w:r>
      <w:r>
        <w:rPr>
          <w:rFonts w:ascii="Arial" w:eastAsia="Arial" w:hAnsi="Arial" w:cs="Arial"/>
          <w:color w:val="000000"/>
          <w:sz w:val="20"/>
          <w:szCs w:val="20"/>
        </w:rPr>
        <w:t>ez por ciento (10 %) de las personas que conforman su nómina están en condición de discapacidad, de acuerdo con el artículo 24 de la Ley 361 de 1997 o la norma que lo modifique, aclare, adicione o sustituya, debidamente certificadas por la oficina del Mini</w:t>
      </w:r>
      <w:r>
        <w:rPr>
          <w:rFonts w:ascii="Arial" w:eastAsia="Arial" w:hAnsi="Arial" w:cs="Arial"/>
          <w:color w:val="000000"/>
          <w:sz w:val="20"/>
          <w:szCs w:val="20"/>
        </w:rPr>
        <w:t xml:space="preserve">sterio del Trabajo de la respectiva zona, que hayan sido contratados con por lo menos un (1) año de anterioridad a la fecha de cierre del Proceso de Contratación o desde el momento de la constitución de la persona jurídica cuando esta es inferior a un (1) </w:t>
      </w:r>
      <w:r>
        <w:rPr>
          <w:rFonts w:ascii="Arial" w:eastAsia="Arial" w:hAnsi="Arial" w:cs="Arial"/>
          <w:color w:val="000000"/>
          <w:sz w:val="20"/>
          <w:szCs w:val="20"/>
        </w:rPr>
        <w:t>año y que manifieste adicionalmente que mantendrá dicho personal por un lapso igual al término de ejecución del contrato, para lo cual deberá diligenciar el “Formato 10B – Vinculación de personas en condición de discapacidad”. En caso de modificarse la fec</w:t>
      </w:r>
      <w:r>
        <w:rPr>
          <w:rFonts w:ascii="Arial" w:eastAsia="Arial" w:hAnsi="Arial" w:cs="Arial"/>
          <w:color w:val="000000"/>
          <w:sz w:val="20"/>
          <w:szCs w:val="20"/>
        </w:rPr>
        <w:t>ha de cierre del proceso, se tendrá como referencia para establecer el plazo de vigencia del certificado la fecha originalmente contemplada en el Pliego de Condiciones definitivo.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la oferta es presentada por un Proponente Plural, el integrante que acre</w:t>
      </w:r>
      <w:r>
        <w:rPr>
          <w:rFonts w:ascii="Arial" w:eastAsia="Arial" w:hAnsi="Arial" w:cs="Arial"/>
          <w:color w:val="000000"/>
          <w:sz w:val="20"/>
          <w:szCs w:val="20"/>
        </w:rPr>
        <w:t>dite que el diez por ciento (10 %) de su nómina está en condición de discapacidad, en los términos del presente numeral, debe tener una participación de por lo menos el veinticinco por ciento (25 %) en la estructura plural y aportar como mínimo el veintici</w:t>
      </w:r>
      <w:r>
        <w:rPr>
          <w:rFonts w:ascii="Arial" w:eastAsia="Arial" w:hAnsi="Arial" w:cs="Arial"/>
          <w:color w:val="000000"/>
          <w:sz w:val="20"/>
          <w:szCs w:val="20"/>
        </w:rPr>
        <w:t>nco por ciento (25 %) de la experiencia acreditada en la oferta.</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tiempo de vinculación en la planta referida de que trata este numeral se acreditará con el certificado de aportes al Sistema de Seguridad Social del último año o del tiempo de su constitución cuando su conformación sea inferior a un (1) año, en el que s</w:t>
      </w:r>
      <w:r>
        <w:rPr>
          <w:rFonts w:ascii="Arial" w:eastAsia="Arial" w:hAnsi="Arial" w:cs="Arial"/>
          <w:color w:val="000000"/>
          <w:sz w:val="20"/>
          <w:szCs w:val="20"/>
        </w:rPr>
        <w:t xml:space="preserve">e demuestren los pagos realizados por el empleador.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la vinculación en mayor proporción de personas que no sean beneficiarias de la pensión de vejez, familiar o de sobrevivencia y que hayan cum</w:t>
      </w:r>
      <w:r>
        <w:rPr>
          <w:rFonts w:ascii="Arial" w:eastAsia="Arial" w:hAnsi="Arial" w:cs="Arial"/>
          <w:color w:val="000000"/>
          <w:sz w:val="20"/>
          <w:szCs w:val="20"/>
        </w:rPr>
        <w:t xml:space="preserve">plido el requisito de edad de pensión establecido en la ley. Para ello la persona natural, el representante legal de la persona jurídica o el revisor fiscal, según corresponda, diligenciará el “Formato 10C – Vinculación de personas  no beneficiarias de la </w:t>
      </w:r>
      <w:r>
        <w:rPr>
          <w:rFonts w:ascii="Arial" w:eastAsia="Arial" w:hAnsi="Arial" w:cs="Arial"/>
          <w:color w:val="000000"/>
          <w:sz w:val="20"/>
          <w:szCs w:val="20"/>
        </w:rPr>
        <w:t>pensión de vejez, familiar o sobrevivencia – (Empleador – Proponente)”, mediante la cual certificará bajo la gravedad del juramento las personas vinculadas en su nómina y el número de trabajadores que no son beneficiarios de la pensión de vejez, familiar o</w:t>
      </w:r>
      <w:r>
        <w:rPr>
          <w:rFonts w:ascii="Arial" w:eastAsia="Arial" w:hAnsi="Arial" w:cs="Arial"/>
          <w:color w:val="000000"/>
          <w:sz w:val="20"/>
          <w:szCs w:val="20"/>
        </w:rPr>
        <w:t xml:space="preserve"> de sobrevivencia  y que cumplieron el requisito de edad de pensión. Solo se valdrá la vinculación de aquellas personas que se encuentren en las condiciones descritas y que hayan estado vinculadas con una anterioridad igual o mayor a un (1) año contado a p</w:t>
      </w:r>
      <w:r>
        <w:rPr>
          <w:rFonts w:ascii="Arial" w:eastAsia="Arial" w:hAnsi="Arial" w:cs="Arial"/>
          <w:color w:val="000000"/>
          <w:sz w:val="20"/>
          <w:szCs w:val="20"/>
        </w:rPr>
        <w:t>artir de la fecha del cierre del Proceso de Contratación. Para los casos de constitución inferior a un (1) año, se tendrá en cuenta a aquellos que hayan estado vinculados desde el momento de la constitución de la persona jurídica. En caso de modificarse la</w:t>
      </w:r>
      <w:r>
        <w:rPr>
          <w:rFonts w:ascii="Arial" w:eastAsia="Arial" w:hAnsi="Arial" w:cs="Arial"/>
          <w:color w:val="000000"/>
          <w:sz w:val="20"/>
          <w:szCs w:val="20"/>
        </w:rPr>
        <w:t xml:space="preserve"> fecha de cierre del proceso, se tendrá como referencia para establecer el plazo de vigencia del certificado la fecha originalmente contemplada en el Pliego de Condiciones definitivo.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tiempo de vinculación en la planta referida de que trata el inciso a</w:t>
      </w:r>
      <w:r>
        <w:rPr>
          <w:rFonts w:ascii="Arial" w:eastAsia="Arial" w:hAnsi="Arial" w:cs="Arial"/>
          <w:color w:val="000000"/>
          <w:sz w:val="20"/>
          <w:szCs w:val="20"/>
        </w:rPr>
        <w:t>nterior se acreditará con el certificado de aportes al Sistema de Seguridad Social del último año o del tiempo de constitución de la persona jurídica en caso de que esta sea inferior a un (1) año, en el que se demuestren los pagos realizados por el emplead</w:t>
      </w:r>
      <w:r>
        <w:rPr>
          <w:rFonts w:ascii="Arial" w:eastAsia="Arial" w:hAnsi="Arial" w:cs="Arial"/>
          <w:color w:val="000000"/>
          <w:sz w:val="20"/>
          <w:szCs w:val="20"/>
        </w:rPr>
        <w:t xml:space="preserve">or.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el caso de los Proponentes Plurales, su representante legal diligenciará el “Formato 10C – Vinculación de personas no beneficiarias de la pensión de vejez, familiar o sobrevivencia – (Empleador – Proponente)”, mediante el cual certifique el número</w:t>
      </w:r>
      <w:r>
        <w:rPr>
          <w:rFonts w:ascii="Arial" w:eastAsia="Arial" w:hAnsi="Arial" w:cs="Arial"/>
          <w:color w:val="000000"/>
          <w:sz w:val="20"/>
          <w:szCs w:val="20"/>
        </w:rPr>
        <w:t xml:space="preserve"> de trabajadores vinculados que son personas no beneficiarias de la pensión de vejez, familiar o de sobrevivencia y que cumplieron el requisito de edad de pensión establecido en la ley, de todos los integrantes del Proponente. Las personas enunciadas anter</w:t>
      </w:r>
      <w:r>
        <w:rPr>
          <w:rFonts w:ascii="Arial" w:eastAsia="Arial" w:hAnsi="Arial" w:cs="Arial"/>
          <w:color w:val="000000"/>
          <w:sz w:val="20"/>
          <w:szCs w:val="20"/>
        </w:rPr>
        <w:t>iormente podrán estar vinculadas a cualquiera de sus integrantes.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cualquiera de los dos supuestos anteriores, para el otorgamiento del criterio de desempate, cada uno de los trabajadores que cumpla las condiciones previstas por la ley diligenciará el “</w:t>
      </w:r>
      <w:r>
        <w:rPr>
          <w:rFonts w:ascii="Arial" w:eastAsia="Arial" w:hAnsi="Arial" w:cs="Arial"/>
          <w:color w:val="000000"/>
          <w:sz w:val="20"/>
          <w:szCs w:val="20"/>
        </w:rPr>
        <w:t xml:space="preserve">Formato 10C – Vinculación de personas no beneficiarias de la pensión de vejez, familiar o sobrevivencia (Trabajador)”, mediante el cual certifica bajo la gravedad del juramento que no es beneficiario de pensión de vejez, familiar o sobrevivencia, y cumple </w:t>
      </w:r>
      <w:r>
        <w:rPr>
          <w:rFonts w:ascii="Arial" w:eastAsia="Arial" w:hAnsi="Arial" w:cs="Arial"/>
          <w:color w:val="000000"/>
          <w:sz w:val="20"/>
          <w:szCs w:val="20"/>
        </w:rPr>
        <w:t>la edad de pensión; además, se deberá allegar el documento de identificación del trabajador que lo firma.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mayor proporción se definirá en relación con el número total de trabajadores vinculados en la planta de personal, por lo que se preferirá al ofere</w:t>
      </w:r>
      <w:r>
        <w:rPr>
          <w:rFonts w:ascii="Arial" w:eastAsia="Arial" w:hAnsi="Arial" w:cs="Arial"/>
          <w:color w:val="000000"/>
          <w:sz w:val="20"/>
          <w:szCs w:val="20"/>
        </w:rPr>
        <w:t>nte que acredite un mayor porcentaje. En el caso de Proponentes Plurales, la mayor proporción se definirá con la sumatoria de trabajadores vinculados en la planta de personal de cada uno de sus integrantes.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w:t>
      </w:r>
      <w:r>
        <w:rPr>
          <w:rFonts w:ascii="Arial" w:eastAsia="Arial" w:hAnsi="Arial" w:cs="Arial"/>
          <w:color w:val="000000"/>
          <w:sz w:val="20"/>
          <w:szCs w:val="20"/>
        </w:rPr>
        <w:t xml:space="preserve"> que acredite que por lo menos el diez por ciento (10 %) de su nómina pertenece a población indígena, negra, afrocolombiana, raizal, palanquera, Rrom o gitana, para lo cual la persona natural, el representante legal o el revisor fiscal, según corresponda, </w:t>
      </w:r>
      <w:r>
        <w:rPr>
          <w:rFonts w:ascii="Arial" w:eastAsia="Arial" w:hAnsi="Arial" w:cs="Arial"/>
          <w:color w:val="000000"/>
          <w:sz w:val="20"/>
          <w:szCs w:val="20"/>
        </w:rPr>
        <w:t>bajo la gravedad del juramento, diligenciará el “Formato 10D – Vinculación de población indígena, negra, afrocolombiana, raizal, palenquera, Rrom o gitana”, mediante el cual certifica las personas vinculadas a su nómina, el número de identificación y el no</w:t>
      </w:r>
      <w:r>
        <w:rPr>
          <w:rFonts w:ascii="Arial" w:eastAsia="Arial" w:hAnsi="Arial" w:cs="Arial"/>
          <w:color w:val="000000"/>
          <w:sz w:val="20"/>
          <w:szCs w:val="20"/>
        </w:rPr>
        <w:t>mbre de las personas que pertenecen a la población indígena, negra, afrocolombiana, raizal, palanquera, Rrom o gitana. Solo se tendrá en cuenta aquellas personas que hayan estado vinculadas con una anterioridad igual o mayor a un (1) año contado a partir d</w:t>
      </w:r>
      <w:r>
        <w:rPr>
          <w:rFonts w:ascii="Arial" w:eastAsia="Arial" w:hAnsi="Arial" w:cs="Arial"/>
          <w:color w:val="000000"/>
          <w:sz w:val="20"/>
          <w:szCs w:val="20"/>
        </w:rPr>
        <w:t>e la fecha del cierre del proceso. Para los casos de constitución inferior a un (1) año, se valdrá aquellos que hayan estado vinculados desde el momento de la constitución de la persona jurídica. En caso de modificarse la fecha de cierre del proceso, se te</w:t>
      </w:r>
      <w:r>
        <w:rPr>
          <w:rFonts w:ascii="Arial" w:eastAsia="Arial" w:hAnsi="Arial" w:cs="Arial"/>
          <w:color w:val="000000"/>
          <w:sz w:val="20"/>
          <w:szCs w:val="20"/>
        </w:rPr>
        <w:t>ndrá como referencia para establecer el plazo de vigencia del certificado la fecha originalmente contemplada en el Pliego de Condiciones definitivo.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tiempo de vinculación en la planta referida de que trata el inciso anterior se acreditará con el certif</w:t>
      </w:r>
      <w:r>
        <w:rPr>
          <w:rFonts w:ascii="Arial" w:eastAsia="Arial" w:hAnsi="Arial" w:cs="Arial"/>
          <w:color w:val="000000"/>
          <w:sz w:val="20"/>
          <w:szCs w:val="20"/>
        </w:rPr>
        <w:t>icado de aportes al Sistema de Seguridad Social en el que se demuestren los pagos realizados por el empleador en el último año contado a partir de la fecha del cierre del proceso o del tiempo de su constitución cuando esta sea inferior a un (1) año.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Además, deberá aportar la copia de la certificación expedida por el Ministerio del Interior en la cual acredite que los trabajadores pertenecen a la población indígena, negra, afrocolombiana, raizal, palenquera, Rrom o gitana, en los términos del Decreto L</w:t>
      </w:r>
      <w:r>
        <w:rPr>
          <w:rFonts w:ascii="Arial" w:eastAsia="Arial" w:hAnsi="Arial" w:cs="Arial"/>
          <w:color w:val="000000"/>
          <w:sz w:val="20"/>
          <w:szCs w:val="20"/>
        </w:rPr>
        <w:t>ey 2893 de 2011 o la norma que lo modifique, sustituya o complemente.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los Proponentes Plurales, su representante legal diligenciará el “Formato 10D – Vinculación de población indígena, negra, afrocolombiana, raizal, palenquera, Rrom o gitana</w:t>
      </w:r>
      <w:r>
        <w:rPr>
          <w:rFonts w:ascii="Arial" w:eastAsia="Arial" w:hAnsi="Arial" w:cs="Arial"/>
          <w:color w:val="000000"/>
          <w:sz w:val="20"/>
          <w:szCs w:val="20"/>
        </w:rPr>
        <w:t xml:space="preserve">”, mediante el cual certifica que por lo menos el diez por ciento (10 %) del total de la nómina de sus integrantes pertenece a población indígena, negra, afrocolombiana, raizal, </w:t>
      </w:r>
      <w:r>
        <w:rPr>
          <w:rFonts w:ascii="Arial" w:eastAsia="Arial" w:hAnsi="Arial" w:cs="Arial"/>
          <w:color w:val="000000"/>
          <w:sz w:val="20"/>
          <w:szCs w:val="20"/>
        </w:rPr>
        <w:lastRenderedPageBreak/>
        <w:t>palanquera, Rrom o gitana. Este porcentaje se definirá de acuerdo con la sumat</w:t>
      </w:r>
      <w:r>
        <w:rPr>
          <w:rFonts w:ascii="Arial" w:eastAsia="Arial" w:hAnsi="Arial" w:cs="Arial"/>
          <w:color w:val="000000"/>
          <w:sz w:val="20"/>
          <w:szCs w:val="20"/>
        </w:rPr>
        <w:t xml:space="preserve">oria de la nómina de cada uno de los integrantes del Proponente Plural. Las personas enunciadas anteriormente podrán estar vinculadas a cualquiera de sus integrantes. En todo caso, deberá aportar la copia de la certificación expedida por el Ministerio del </w:t>
      </w:r>
      <w:r>
        <w:rPr>
          <w:rFonts w:ascii="Arial" w:eastAsia="Arial" w:hAnsi="Arial" w:cs="Arial"/>
          <w:color w:val="000000"/>
          <w:sz w:val="20"/>
          <w:szCs w:val="20"/>
        </w:rPr>
        <w:t>Interior, en la cual acredite que el trabajador pertenece a la población indígena, negra, afrocolombiana, raizal, palenquera, Rrom o gitana en los términos del Decreto Ley 2893 de 2011 o la norma que lo modifique, sustituya o complemente.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que par</w:t>
      </w:r>
      <w:r>
        <w:rPr>
          <w:rFonts w:ascii="Arial" w:eastAsia="Arial" w:hAnsi="Arial" w:cs="Arial"/>
          <w:color w:val="000000"/>
          <w:sz w:val="20"/>
          <w:szCs w:val="20"/>
        </w:rPr>
        <w:t>a el otorgamiento de este criterio de desempate se entregan certificados que contienen datos sensibles, de acuerdo con el artículo 5 de la Ley 1581 de 2012 o la norma que lo modifique, aclare, adicione o sustituya, se requiere que el titular de la informac</w:t>
      </w:r>
      <w:r>
        <w:rPr>
          <w:rFonts w:ascii="Arial" w:eastAsia="Arial" w:hAnsi="Arial" w:cs="Arial"/>
          <w:color w:val="000000"/>
          <w:sz w:val="20"/>
          <w:szCs w:val="20"/>
        </w:rPr>
        <w:t xml:space="preserve">ión, como son las personas que pertenecen a la población indígena, negra, afrocolombiana, raizal, palenquera, Rrom o gitana, en los términos del literal a) del artículo 6 de la Ley 1581 de 2012, diligencien el “Formato 11- Autorización para el tratamiento </w:t>
      </w:r>
      <w:r>
        <w:rPr>
          <w:rFonts w:ascii="Arial" w:eastAsia="Arial" w:hAnsi="Arial" w:cs="Arial"/>
          <w:color w:val="000000"/>
          <w:sz w:val="20"/>
          <w:szCs w:val="20"/>
        </w:rPr>
        <w:t>de datos personales”, mediante el cual autoriza de manera previa y expresa el tratamiento de la información, como requisito para el otorgamiento del criterio de desempate.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personas naturales en proceso de reintegración o reincorpo</w:t>
      </w:r>
      <w:r>
        <w:rPr>
          <w:rFonts w:ascii="Arial" w:eastAsia="Arial" w:hAnsi="Arial" w:cs="Arial"/>
          <w:color w:val="000000"/>
          <w:sz w:val="20"/>
          <w:szCs w:val="20"/>
        </w:rPr>
        <w:t>ración para lo cual presentará copia de alguno de los siguientes documentos: i) la certificación en las desmovilizaciones colectivas que expida la Oficina del Alto Comisionado para la Paz, ii) el certificado que emita el Comité Operativo para la Dejación d</w:t>
      </w:r>
      <w:r>
        <w:rPr>
          <w:rFonts w:ascii="Arial" w:eastAsia="Arial" w:hAnsi="Arial" w:cs="Arial"/>
          <w:color w:val="000000"/>
          <w:sz w:val="20"/>
          <w:szCs w:val="20"/>
        </w:rPr>
        <w:t>e las Armas respecto de las personas desmovilizadas en forma individual, iii) el certificado que emita la Agencia para la Reincorporación y la Normalización que acredite que la persona se encuentra en proceso de reincorporación o reintegración o iv) cualqu</w:t>
      </w:r>
      <w:r>
        <w:rPr>
          <w:rFonts w:ascii="Arial" w:eastAsia="Arial" w:hAnsi="Arial" w:cs="Arial"/>
          <w:color w:val="000000"/>
          <w:sz w:val="20"/>
          <w:szCs w:val="20"/>
        </w:rPr>
        <w:t>ier otro certificado que para el efecto determine la Ley. Además, se entregará copia del documento de identificación de la persona en proceso de reintegración o reincorporación.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el representante legal o el revisor fis</w:t>
      </w:r>
      <w:r>
        <w:rPr>
          <w:rFonts w:ascii="Arial" w:eastAsia="Arial" w:hAnsi="Arial" w:cs="Arial"/>
          <w:color w:val="000000"/>
          <w:sz w:val="20"/>
          <w:szCs w:val="20"/>
        </w:rPr>
        <w:t>cal, si están obligados a tenerlo, diligenciarán el “Formato 10E - Participación mayoritaria de personas en proceso de reincorporación y/o reintegración (personas jurídicas)”, por medio del cual certificarán bajo la gravedad del juramento que más del cincu</w:t>
      </w:r>
      <w:r>
        <w:rPr>
          <w:rFonts w:ascii="Arial" w:eastAsia="Arial" w:hAnsi="Arial" w:cs="Arial"/>
          <w:color w:val="000000"/>
          <w:sz w:val="20"/>
          <w:szCs w:val="20"/>
        </w:rPr>
        <w:t>enta por ciento (50 %) de la composición accionaria o cuotas partes de la persona jurídica está constituida por personas en proceso de reintegración y/o reincorporación. Además, deberá aportar alguno de los certificados del inciso anterior, junto con los d</w:t>
      </w:r>
      <w:r>
        <w:rPr>
          <w:rFonts w:ascii="Arial" w:eastAsia="Arial" w:hAnsi="Arial" w:cs="Arial"/>
          <w:color w:val="000000"/>
          <w:sz w:val="20"/>
          <w:szCs w:val="20"/>
        </w:rPr>
        <w:t>ocumentos de identificación de cada una de las personas que está en proceso de reincorporación y/o reintegración.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w:t>
      </w:r>
      <w:r>
        <w:rPr>
          <w:rFonts w:ascii="Arial" w:eastAsia="Arial" w:hAnsi="Arial" w:cs="Arial"/>
          <w:color w:val="000000"/>
          <w:sz w:val="20"/>
          <w:szCs w:val="20"/>
        </w:rPr>
        <w:t>el cincuenta por ciento (50 %) de la composición accionaria o cuotas partes esté constituida por personas en proceso de reincorporación, para lo que el representante legal, o el revisor fiscal, si está obligado a tenerlo, diligenciarán, bajo la gravedad de</w:t>
      </w:r>
      <w:r>
        <w:rPr>
          <w:rFonts w:ascii="Arial" w:eastAsia="Arial" w:hAnsi="Arial" w:cs="Arial"/>
          <w:color w:val="000000"/>
          <w:sz w:val="20"/>
          <w:szCs w:val="20"/>
        </w:rPr>
        <w:t>l juramento, el “Formato 10E - Participación mayoritaria de personas en proceso de reincorporación (personas jurídica integrante del Proponente Plural)”, y aportará los documentos de identificación de las personas en proceso de reincorporación.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Debido a q</w:t>
      </w:r>
      <w:r>
        <w:rPr>
          <w:rFonts w:ascii="Arial" w:eastAsia="Arial" w:hAnsi="Arial" w:cs="Arial"/>
          <w:color w:val="000000"/>
          <w:sz w:val="20"/>
          <w:szCs w:val="20"/>
        </w:rPr>
        <w:t>ue para el otorgamiento de este criterio de desempate se entregan certificados que contienen datos sensibles, de acuerdo con el artículo 5 de la Ley 1581 de 2012 o la norma que lo modifique, aclare, adicione o sustituya, se requiere que el titular de la in</w:t>
      </w:r>
      <w:r>
        <w:rPr>
          <w:rFonts w:ascii="Arial" w:eastAsia="Arial" w:hAnsi="Arial" w:cs="Arial"/>
          <w:color w:val="000000"/>
          <w:sz w:val="20"/>
          <w:szCs w:val="20"/>
        </w:rPr>
        <w:t xml:space="preserve">formación, como son las personas en proceso de reincorporación o reintegración, en los </w:t>
      </w:r>
      <w:r>
        <w:rPr>
          <w:rFonts w:ascii="Arial" w:eastAsia="Arial" w:hAnsi="Arial" w:cs="Arial"/>
          <w:color w:val="000000"/>
          <w:sz w:val="20"/>
          <w:szCs w:val="20"/>
        </w:rPr>
        <w:lastRenderedPageBreak/>
        <w:t>términos del literal a) del artículo 6 de la Ley 1581 de 2012, diligencien el “Formato 11- Autorización para el tratamiento de datos personales”, mediante el cual autori</w:t>
      </w:r>
      <w:r>
        <w:rPr>
          <w:rFonts w:ascii="Arial" w:eastAsia="Arial" w:hAnsi="Arial" w:cs="Arial"/>
          <w:color w:val="000000"/>
          <w:sz w:val="20"/>
          <w:szCs w:val="20"/>
        </w:rPr>
        <w:t xml:space="preserve">za de manera previa y expresa el tratamiento de la información, como requisito para el otorgamiento del criterio de desempate.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un Proponente Plural siempre que se cumplan las condiciones de los siguientes literales:</w:t>
      </w:r>
    </w:p>
    <w:p w:rsidR="00C0159A" w:rsidRDefault="00244C46">
      <w:pPr>
        <w:numPr>
          <w:ilvl w:val="4"/>
          <w:numId w:val="58"/>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madre cabeza de familia y/o una persona en proceso de reincorporación o reintegración, para lo cual se acreditarán estas condiciones de acuerdo con lo previsto en el inciso 1 del subnumeral 2 y/o el inciso 1 del subnumeral </w:t>
      </w:r>
      <w:r>
        <w:rPr>
          <w:rFonts w:ascii="Arial" w:eastAsia="Arial" w:hAnsi="Arial" w:cs="Arial"/>
          <w:color w:val="000000"/>
          <w:sz w:val="20"/>
          <w:szCs w:val="20"/>
        </w:rPr>
        <w:t>6 del numeral 4.8. Criterios de desempate del presente Pliego de Condiciones; o por una persona jurídica en la cual participe o participen mayoritariamente madres cabeza de familia y/o personas en proceso de reincorporación o reintegración, para lo cual el</w:t>
      </w:r>
      <w:r>
        <w:rPr>
          <w:rFonts w:ascii="Arial" w:eastAsia="Arial" w:hAnsi="Arial" w:cs="Arial"/>
          <w:color w:val="000000"/>
          <w:sz w:val="20"/>
          <w:szCs w:val="20"/>
        </w:rPr>
        <w:t xml:space="preserve"> representante legal o el revisor fiscal, si están obligados a tenerlo, diligenciará el “Formato 10F – Participación mayoritaria de mujeres cabeza de familia y/o personas en proceso de reincorporación o reintegración (personas jurídicas)”, mediante el cual</w:t>
      </w:r>
      <w:r>
        <w:rPr>
          <w:rFonts w:ascii="Arial" w:eastAsia="Arial" w:hAnsi="Arial" w:cs="Arial"/>
          <w:color w:val="000000"/>
          <w:sz w:val="20"/>
          <w:szCs w:val="20"/>
        </w:rPr>
        <w:t xml:space="preserve"> certifica, bajo la gravedad del juramento, que más del cincuenta por ciento (50 %) de la composición accionaria o cuota parte de la persona jurídica está constituida por madres cabeza de familia y/o personas en proceso de reincorporación o reintegración. </w:t>
      </w:r>
      <w:r>
        <w:rPr>
          <w:rFonts w:ascii="Arial" w:eastAsia="Arial" w:hAnsi="Arial" w:cs="Arial"/>
          <w:color w:val="000000"/>
          <w:sz w:val="20"/>
          <w:szCs w:val="20"/>
        </w:rPr>
        <w:t>Además, deberá acreditar la condición indicada de las personas que participe en la sociedad que sean mujeres cabeza de familia y/o personas en proceso de reincorporación o reintegración, allegando los documentos de cada uno de ellos, de acuerdo con lo prev</w:t>
      </w:r>
      <w:r>
        <w:rPr>
          <w:rFonts w:ascii="Arial" w:eastAsia="Arial" w:hAnsi="Arial" w:cs="Arial"/>
          <w:color w:val="000000"/>
          <w:sz w:val="20"/>
          <w:szCs w:val="20"/>
        </w:rPr>
        <w:t>isto en este literal. Este integrante debe tener una participación de por lo menos el veinticinco por ciento (25 %) en el Proponente Plural.</w:t>
      </w:r>
    </w:p>
    <w:p w:rsidR="00C0159A" w:rsidRDefault="00244C46">
      <w:pPr>
        <w:numPr>
          <w:ilvl w:val="4"/>
          <w:numId w:val="58"/>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el integrante del Proponente Plural de que trata el anterior literal debe aportar mínimo el veinticinco por ciento </w:t>
      </w:r>
      <w:r>
        <w:rPr>
          <w:rFonts w:ascii="Arial" w:eastAsia="Arial" w:hAnsi="Arial" w:cs="Arial"/>
          <w:color w:val="000000"/>
          <w:sz w:val="20"/>
          <w:szCs w:val="20"/>
        </w:rPr>
        <w:t xml:space="preserve">(25 %) de la experiencia acreditada en la oferta. </w:t>
      </w:r>
    </w:p>
    <w:p w:rsidR="00C0159A" w:rsidRDefault="00244C46">
      <w:pPr>
        <w:numPr>
          <w:ilvl w:val="4"/>
          <w:numId w:val="58"/>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en relación con el integrante del literal a) ni la madre cabeza de familia o la persona en proceso de reincorporación o reintegración, ni la persona jurídica, ni sus accionistas, socios o representantes le</w:t>
      </w:r>
      <w:r>
        <w:rPr>
          <w:rFonts w:ascii="Arial" w:eastAsia="Arial" w:hAnsi="Arial" w:cs="Arial"/>
          <w:color w:val="000000"/>
          <w:sz w:val="20"/>
          <w:szCs w:val="20"/>
        </w:rPr>
        <w:t>gales podrán ser empleados, socios o accionistas de otro de los integrantes del Proponente Plural, para lo cual el integrante persona natural o el representante legal de la persona jurídica de que trata el literal a) lo manifestará diligenciando el “Format</w:t>
      </w:r>
      <w:r>
        <w:rPr>
          <w:rFonts w:ascii="Arial" w:eastAsia="Arial" w:hAnsi="Arial" w:cs="Arial"/>
          <w:color w:val="000000"/>
          <w:sz w:val="20"/>
          <w:szCs w:val="20"/>
        </w:rPr>
        <w:t xml:space="preserve">o 10F - Participación mayoritaria de mujeres cabeza de familia y/o personas en proceso de reincorporación y/o reintegración (personas jurídicas)“. </w:t>
      </w:r>
    </w:p>
    <w:p w:rsidR="00C0159A" w:rsidRDefault="00C0159A">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Debido a que para el otorgamiento de este criterio de desempate se entregan certificados que contienen dato</w:t>
      </w:r>
      <w:r>
        <w:rPr>
          <w:rFonts w:ascii="Arial" w:eastAsia="Arial" w:hAnsi="Arial" w:cs="Arial"/>
          <w:color w:val="000000"/>
          <w:sz w:val="20"/>
          <w:szCs w:val="20"/>
        </w:rPr>
        <w:t>s sensibles, de acuerdo con el artículo 5 de la Ley 1581 de 2012 o la norma que lo modifique, aclare, adiciona o sustituya, se requiere que el titular de la información, como son las personas en proceso de reincorporación y/o reintegración, en los términos</w:t>
      </w:r>
      <w:r>
        <w:rPr>
          <w:rFonts w:ascii="Arial" w:eastAsia="Arial" w:hAnsi="Arial" w:cs="Arial"/>
          <w:color w:val="000000"/>
          <w:sz w:val="20"/>
          <w:szCs w:val="20"/>
        </w:rPr>
        <w:t xml:space="preserve"> del literal a) del artículo 6 de la Ley 1581 de 2012, diligencien el “Formato 11- Autorización para el tratamiento de datos personales”, mediante el cual autoriza de manera previa y expresa el tratamiento de esta información, como requisito para el otorga</w:t>
      </w:r>
      <w:r>
        <w:rPr>
          <w:rFonts w:ascii="Arial" w:eastAsia="Arial" w:hAnsi="Arial" w:cs="Arial"/>
          <w:color w:val="000000"/>
          <w:sz w:val="20"/>
          <w:szCs w:val="20"/>
        </w:rPr>
        <w:t xml:space="preserve">miento del criterio de desempate.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una Mipyme, lo cual se verificará en los términos del parágrafo del artículo 2.2.1.2.4.2.4 del Decreto 1082 de 2015, en concordancia con el parágrafo del artículo 2.2.1.13.2.4 del Decreto 1074 de 2015. En este sentido, el </w:t>
      </w:r>
      <w:r>
        <w:rPr>
          <w:rFonts w:ascii="Arial" w:eastAsia="Arial" w:hAnsi="Arial" w:cs="Arial"/>
          <w:color w:val="000000"/>
          <w:sz w:val="20"/>
          <w:szCs w:val="20"/>
        </w:rPr>
        <w:t xml:space="preserve">tamaño empresarial se acreditará con la copia del certificado del Registro Único de Proponentes (RUP), el cual deberá encontrarse vigente y en firme al momento de su presentación.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Asimismo, se preferirá la oferta presentada por una cooperativa o asociaci</w:t>
      </w:r>
      <w:r>
        <w:rPr>
          <w:rFonts w:ascii="Arial" w:eastAsia="Arial" w:hAnsi="Arial" w:cs="Arial"/>
          <w:color w:val="000000"/>
          <w:sz w:val="20"/>
          <w:szCs w:val="20"/>
        </w:rPr>
        <w:t>ones mutuales para lo cual se aportará el certificado de existencia y representación legal expedido por la cámara de comercio o la autoridad respectiva. En el caso específico en que el empate se presente entre cooperativas o asociaciones mutuales que tenga</w:t>
      </w:r>
      <w:r>
        <w:rPr>
          <w:rFonts w:ascii="Arial" w:eastAsia="Arial" w:hAnsi="Arial" w:cs="Arial"/>
          <w:color w:val="000000"/>
          <w:sz w:val="20"/>
          <w:szCs w:val="20"/>
        </w:rPr>
        <w:t>n el tamaño empresarial de grandes empresas junto con micro, pequeñas o medianas, se preferirá la oferta de las cooperativas o asociaciones mutuales que cumplan con los criterios de clasificación empresarial definidos por el Decreto 1074 de 2015 o la norma</w:t>
      </w:r>
      <w:r>
        <w:rPr>
          <w:rFonts w:ascii="Arial" w:eastAsia="Arial" w:hAnsi="Arial" w:cs="Arial"/>
          <w:color w:val="000000"/>
          <w:sz w:val="20"/>
          <w:szCs w:val="20"/>
        </w:rPr>
        <w:t xml:space="preserve"> que lo modifique, aclare, adicione o sustituya, que sean micro, pequeñas o medianas.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alguna de las condiciones señaladas en los incisos anteriores de e</w:t>
      </w:r>
      <w:r>
        <w:rPr>
          <w:rFonts w:ascii="Arial" w:eastAsia="Arial" w:hAnsi="Arial" w:cs="Arial"/>
          <w:color w:val="000000"/>
          <w:sz w:val="20"/>
          <w:szCs w:val="20"/>
        </w:rPr>
        <w:t>ste numeral. En el evento en que se presente empate entre Proponentes Plurales cuyos integrantes estén conformados únicamente por cooperativas y asociaciones mutuales que tengan la calidad de grandes empresas junto con otras en las que los integrantes teng</w:t>
      </w:r>
      <w:r>
        <w:rPr>
          <w:rFonts w:ascii="Arial" w:eastAsia="Arial" w:hAnsi="Arial" w:cs="Arial"/>
          <w:color w:val="000000"/>
          <w:sz w:val="20"/>
          <w:szCs w:val="20"/>
        </w:rPr>
        <w:t>an la condición de micro, pequeñas o medianas, se preferirá la oferta de aquellos Proponentes Plurales en los cuales al menos uno de sus integrantes sea una cooperativa o asociación mutual que cumpla con los criterios de clasificación empresarial definidos</w:t>
      </w:r>
      <w:r>
        <w:rPr>
          <w:rFonts w:ascii="Arial" w:eastAsia="Arial" w:hAnsi="Arial" w:cs="Arial"/>
          <w:color w:val="000000"/>
          <w:sz w:val="20"/>
          <w:szCs w:val="20"/>
        </w:rPr>
        <w:t xml:space="preserve"> por el Decreto 1074 de 2015 o la norma que lo modifique, aclare, adicione o sustituya, que sean micro, pequeñas o medianas.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el Proponente Plural constituido en su totalidad por micro y/o pequeñas empresas, cooperativas o</w:t>
      </w:r>
      <w:r>
        <w:rPr>
          <w:rFonts w:ascii="Arial" w:eastAsia="Arial" w:hAnsi="Arial" w:cs="Arial"/>
          <w:color w:val="000000"/>
          <w:sz w:val="20"/>
          <w:szCs w:val="20"/>
        </w:rPr>
        <w:t xml:space="preserve"> asociaciones mutuales.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micro o pequeña empresa se verificará en los términos del artículo 2.2.1.2.4.2.4 del Decreto 1082 de 2015, en concordancia con el parágrafo del artículo 2.2.1.13.2.4 del Decreto 1074 de 2015, esto es, el tamaño emp</w:t>
      </w:r>
      <w:r>
        <w:rPr>
          <w:rFonts w:ascii="Arial" w:eastAsia="Arial" w:hAnsi="Arial" w:cs="Arial"/>
          <w:color w:val="000000"/>
          <w:sz w:val="20"/>
          <w:szCs w:val="20"/>
        </w:rPr>
        <w:t>resarial se acreditará con la copia del certificado del Registro Único de Proponentes (RUP), el cual deberá encontrarse vigente y en firme al momento de su presentación.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cooperativa o asociación mutual se acreditará con el certificado de e</w:t>
      </w:r>
      <w:r>
        <w:rPr>
          <w:rFonts w:ascii="Arial" w:eastAsia="Arial" w:hAnsi="Arial" w:cs="Arial"/>
          <w:color w:val="000000"/>
          <w:sz w:val="20"/>
          <w:szCs w:val="20"/>
        </w:rPr>
        <w:t xml:space="preserve">xistencia y representación legal expedido por la cámara de comercio o la autoridad respectiva. En el evento en que el empate se presente entre Proponentes Plurales cuyos integrantes estén conformados únicamente por cooperativas y asociaciones mutuales que </w:t>
      </w:r>
      <w:r>
        <w:rPr>
          <w:rFonts w:ascii="Arial" w:eastAsia="Arial" w:hAnsi="Arial" w:cs="Arial"/>
          <w:color w:val="000000"/>
          <w:sz w:val="20"/>
          <w:szCs w:val="20"/>
        </w:rPr>
        <w:t xml:space="preserve">tengan la calidad de grandes empresas junto con otras en las que los integrantes tengan la condición de micro, pequeñas o medianas, se preferirá la oferta de aquellos Proponentes Plurales en los cuales al menos uno de sus integrantes sea una cooperativa o </w:t>
      </w:r>
      <w:r>
        <w:rPr>
          <w:rFonts w:ascii="Arial" w:eastAsia="Arial" w:hAnsi="Arial" w:cs="Arial"/>
          <w:color w:val="000000"/>
          <w:sz w:val="20"/>
          <w:szCs w:val="20"/>
        </w:rPr>
        <w:t>asociación mutual que cumpla con los criterios de clasificación empresarial definidos por el Decreto 1074 de 2015 o la norma que lo modifique, aclare, adicione o sustituya, que sean micro, pequeñas o medianas.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al oferente persona natural o jurídi</w:t>
      </w:r>
      <w:r>
        <w:rPr>
          <w:rFonts w:ascii="Arial" w:eastAsia="Arial" w:hAnsi="Arial" w:cs="Arial"/>
          <w:color w:val="000000"/>
          <w:sz w:val="20"/>
          <w:szCs w:val="20"/>
        </w:rPr>
        <w:t>ca que acredite, de acuerdo con sus estados financieros o información contable con corte al 31 de diciembre del año anterior, que por lo menos el veinticinco por ciento (25 %) del total de sus pagos fueron realizados a Mipyme, cooperativas o asociaciones m</w:t>
      </w:r>
      <w:r>
        <w:rPr>
          <w:rFonts w:ascii="Arial" w:eastAsia="Arial" w:hAnsi="Arial" w:cs="Arial"/>
          <w:color w:val="000000"/>
          <w:sz w:val="20"/>
          <w:szCs w:val="20"/>
        </w:rPr>
        <w:t xml:space="preserve">utuales por concepto de proveeduría del oferente, efectuados durante el año anterior, para lo cual el Proponente persona natural y contador público; o el representante legal de la persona jurídica y el revisor fiscal para las personas obligadas por ley; o </w:t>
      </w:r>
      <w:r>
        <w:rPr>
          <w:rFonts w:ascii="Arial" w:eastAsia="Arial" w:hAnsi="Arial" w:cs="Arial"/>
          <w:color w:val="000000"/>
          <w:sz w:val="20"/>
          <w:szCs w:val="20"/>
        </w:rPr>
        <w:t>del representante legal de la persona jurídica y contador público, según corresponda, diligenciará bajo la gravedad del juramento el “Formato 10 G- Pagos realizados a Mipyme, cooperativas o asociaciones mutuales”, en el que conste que por lo menos el veint</w:t>
      </w:r>
      <w:r>
        <w:rPr>
          <w:rFonts w:ascii="Arial" w:eastAsia="Arial" w:hAnsi="Arial" w:cs="Arial"/>
          <w:color w:val="000000"/>
          <w:sz w:val="20"/>
          <w:szCs w:val="20"/>
        </w:rPr>
        <w:t xml:space="preserve">icinco por </w:t>
      </w:r>
      <w:r>
        <w:rPr>
          <w:rFonts w:ascii="Arial" w:eastAsia="Arial" w:hAnsi="Arial" w:cs="Arial"/>
          <w:color w:val="000000"/>
          <w:sz w:val="20"/>
          <w:szCs w:val="20"/>
        </w:rPr>
        <w:lastRenderedPageBreak/>
        <w:t xml:space="preserve">ciento (25 %) del total de pagos fueron realizados a Mipyme, cooperativas o asociaciones mutuales.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cuando la oferta es presentada por un Proponente Plural se preferirá a este siempre que: </w:t>
      </w:r>
    </w:p>
    <w:p w:rsidR="00C0159A" w:rsidRDefault="00244C46">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Mipyme, cooperativa o asociación mutual que tenga una participación de por lo menos el veinticinco por ciento (25 %) en el Proponente Plural, para lo cual se presentará el documento de conformación del Proponente Plural y, </w:t>
      </w:r>
      <w:r>
        <w:rPr>
          <w:rFonts w:ascii="Arial" w:eastAsia="Arial" w:hAnsi="Arial" w:cs="Arial"/>
          <w:color w:val="000000"/>
          <w:sz w:val="20"/>
          <w:szCs w:val="20"/>
        </w:rPr>
        <w:t>además, ese integrante acredite la condición de Mipyme, cooperativa o asociación mutual en los términos del subnumeral 8;</w:t>
      </w:r>
    </w:p>
    <w:p w:rsidR="00C0159A" w:rsidRDefault="00244C46">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Mipyme, cooperativa o asociación mutual aporte mínimo el veinticinco por ciento (25 %) de la experiencia acreditada en la oferta; y</w:t>
      </w:r>
    </w:p>
    <w:p w:rsidR="00C0159A" w:rsidRDefault="00244C46">
      <w:pPr>
        <w:numPr>
          <w:ilvl w:val="0"/>
          <w:numId w:val="2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 la Mipyme, cooperativa o asociación mutual ni sus accionistas, socios o representantes legales sean empleados, socios o accionistas de los integrantes del Proponente Plural, para lo cual el integrante respectivo lo manifestará diligenciando el “Formato</w:t>
      </w:r>
      <w:r>
        <w:rPr>
          <w:rFonts w:ascii="Arial" w:eastAsia="Arial" w:hAnsi="Arial" w:cs="Arial"/>
          <w:color w:val="000000"/>
          <w:sz w:val="20"/>
          <w:szCs w:val="20"/>
        </w:rPr>
        <w:t xml:space="preserve"> 10 H – Acreditación Mipyme”, suscrito por la persona natural o el representante legal de la persona jurídica. </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En el evento en que el empate se presente entre Proponentes Plurales, que cumplan con los requisitos de los incisos anteriores, cuyos integrant</w:t>
      </w:r>
      <w:r>
        <w:rPr>
          <w:rFonts w:ascii="Arial" w:eastAsia="Arial" w:hAnsi="Arial" w:cs="Arial"/>
          <w:color w:val="000000"/>
          <w:sz w:val="20"/>
          <w:szCs w:val="20"/>
        </w:rPr>
        <w:t xml:space="preserve">es estén conformados únicamente por cooperativas y asociaciones mutuales que tengan la condición de grandes empresas junto con otras en las que los integrantes tengan la calidad de micro, pequeñas o medianas, se preferirá la oferta de aquellos Proponentes </w:t>
      </w:r>
      <w:r>
        <w:rPr>
          <w:rFonts w:ascii="Arial" w:eastAsia="Arial" w:hAnsi="Arial" w:cs="Arial"/>
          <w:color w:val="000000"/>
          <w:sz w:val="20"/>
          <w:szCs w:val="20"/>
        </w:rPr>
        <w:t>Plurales en los cuáles al menos uno de sus integrantes sea una cooperativa o asociación mutual que cumpla con los criterios de clasificación empresarial definidos por el Decreto 1074 de 2015, que sean micro, pequeñas o medianas.</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las empresas reco</w:t>
      </w:r>
      <w:r>
        <w:rPr>
          <w:rFonts w:ascii="Arial" w:eastAsia="Arial" w:hAnsi="Arial" w:cs="Arial"/>
          <w:color w:val="000000"/>
          <w:sz w:val="20"/>
          <w:szCs w:val="20"/>
        </w:rPr>
        <w:t>nocidas y establecidas como Sociedad de Beneficio e Interés Colectivo o Sociedad BIC, del segmento Mipyme, para lo cual se presentará el certificado de existencia y representación legal en el que conste el cumplimiento de los requisitos del artículo 2 de l</w:t>
      </w:r>
      <w:r>
        <w:rPr>
          <w:rFonts w:ascii="Arial" w:eastAsia="Arial" w:hAnsi="Arial" w:cs="Arial"/>
          <w:color w:val="000000"/>
          <w:sz w:val="20"/>
          <w:szCs w:val="20"/>
        </w:rPr>
        <w:t xml:space="preserve">a Ley 1901 de 2018, o la norma que la modifique o la sustituya. Asimismo, acreditará la condición de Mipyme en los términos del subnumeral 8.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después de aplicar los criterios anteriormente mencionados persiste el empate:</w:t>
      </w:r>
    </w:p>
    <w:p w:rsidR="00C0159A" w:rsidRDefault="00244C46">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w:t>
      </w:r>
      <w:r>
        <w:rPr>
          <w:rFonts w:ascii="Arial" w:eastAsia="Arial" w:hAnsi="Arial" w:cs="Arial"/>
          <w:color w:val="000000"/>
          <w:sz w:val="20"/>
          <w:szCs w:val="20"/>
        </w:rPr>
        <w:t>tidad ordenará a los Proponentes empatados en orden alfabético según el nombre completo de la persona natural, la persona jurídica o el Proponente Plural. En caso de que dos o más Proponentes tengan el mismo nombre se colocará primero en el orden a quienes</w:t>
      </w:r>
      <w:r>
        <w:rPr>
          <w:rFonts w:ascii="Arial" w:eastAsia="Arial" w:hAnsi="Arial" w:cs="Arial"/>
          <w:color w:val="000000"/>
          <w:sz w:val="20"/>
          <w:szCs w:val="20"/>
        </w:rPr>
        <w:t xml:space="preserve"> hayan presentado primero en el tiempo sus ofertas. Una vez ordenados, le asignará un número entero a cada uno de estos de forma ascendente, de tal manera que al primero de la lista le corresponda el 1.</w:t>
      </w:r>
    </w:p>
    <w:p w:rsidR="00C0159A" w:rsidRDefault="00244C46">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Seguidamente, la Entidad debe tomar la parte entera (</w:t>
      </w:r>
      <w:r>
        <w:rPr>
          <w:rFonts w:ascii="Arial" w:eastAsia="Arial" w:hAnsi="Arial" w:cs="Arial"/>
          <w:color w:val="000000"/>
          <w:sz w:val="20"/>
          <w:szCs w:val="20"/>
        </w:rPr>
        <w:t>números a la izquierda de la coma decimal) de la TRM que rigió el día del cierre del proceso. La Entidad debe dividir esta parte entera entre el número total de Proponentes en empate, para posteriormente tomar su residuo y utilizarlo en la selección final.</w:t>
      </w:r>
    </w:p>
    <w:p w:rsidR="00C0159A" w:rsidRDefault="00244C46">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1:</w:t>
      </w:r>
      <w:r>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w:t>
      </w:r>
      <w:r>
        <w:rPr>
          <w:rFonts w:ascii="Arial" w:eastAsia="Arial" w:hAnsi="Arial" w:cs="Arial"/>
          <w:color w:val="000000"/>
          <w:sz w:val="20"/>
          <w:szCs w:val="20"/>
        </w:rPr>
        <w:t>es de desempate que sean compatibles con los mencionados Acuerdos.</w:t>
      </w:r>
    </w:p>
    <w:p w:rsidR="00C0159A" w:rsidRDefault="00C0159A">
      <w:pPr>
        <w:pBdr>
          <w:top w:val="nil"/>
          <w:left w:val="nil"/>
          <w:bottom w:val="nil"/>
          <w:right w:val="nil"/>
          <w:between w:val="nil"/>
        </w:pBdr>
        <w:spacing w:after="0" w:line="240" w:lineRule="auto"/>
        <w:ind w:left="1080"/>
        <w:jc w:val="both"/>
        <w:rPr>
          <w:rFonts w:ascii="Arial" w:eastAsia="Arial" w:hAnsi="Arial" w:cs="Arial"/>
          <w:b/>
          <w:bCs/>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w:t>
      </w:r>
      <w:r>
        <w:rPr>
          <w:rFonts w:ascii="Arial" w:eastAsia="Arial" w:hAnsi="Arial" w:cs="Arial"/>
          <w:color w:val="000000"/>
          <w:sz w:val="20"/>
          <w:szCs w:val="20"/>
        </w:rPr>
        <w:t>os los criterios de desempate previstos en el presente numeral.</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3:</w:t>
      </w:r>
      <w:r>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información que a</w:t>
      </w:r>
      <w:r>
        <w:rPr>
          <w:rFonts w:ascii="Arial" w:eastAsia="Arial" w:hAnsi="Arial" w:cs="Arial"/>
          <w:color w:val="000000"/>
          <w:sz w:val="20"/>
          <w:szCs w:val="20"/>
        </w:rPr>
        <w:t>credita el cumplimiento de los factores de desempate de: i) las mujeres víctimas de violencia intrafamiliar, ii) las personas en proceso de reincorporación y/o reintegración y iii) la población indígena, negra, afrocolombiana, raizal, palenquera, Rrom o gi</w:t>
      </w:r>
      <w:r>
        <w:rPr>
          <w:rFonts w:ascii="Arial" w:eastAsia="Arial" w:hAnsi="Arial" w:cs="Arial"/>
          <w:color w:val="000000"/>
          <w:sz w:val="20"/>
          <w:szCs w:val="20"/>
        </w:rPr>
        <w:t>tana.</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De acuerdo con lo anterior, en la plataforma del SECOP no se publicará la información relacionada con los factores de desempate de personas en procesos de reincorporación o reintegración o mujeres víctimas de violencia intrafamiliar o la población i</w:t>
      </w:r>
      <w:r>
        <w:rPr>
          <w:rFonts w:ascii="Arial" w:eastAsia="Arial" w:hAnsi="Arial" w:cs="Arial"/>
          <w:color w:val="000000"/>
          <w:sz w:val="20"/>
          <w:szCs w:val="20"/>
        </w:rPr>
        <w:t>ndígena, negra, afrocolombiana, raizal, palenquera, Rrom o gitana, puesto que su público conocimiento puede afectar el derecho a la intimidad de los oferentes o de sus trabajadores o socios o accionistas.</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bCs/>
          <w:color w:val="000000"/>
          <w:sz w:val="20"/>
          <w:szCs w:val="20"/>
        </w:rPr>
        <w:t>Nota 4:</w:t>
      </w:r>
      <w:r>
        <w:rPr>
          <w:rFonts w:ascii="Arial" w:eastAsia="Arial" w:hAnsi="Arial" w:cs="Arial"/>
          <w:color w:val="000000"/>
          <w:sz w:val="20"/>
          <w:szCs w:val="20"/>
        </w:rPr>
        <w:t xml:space="preserve"> Para efectos de los factores de desempate </w:t>
      </w:r>
      <w:r>
        <w:rPr>
          <w:rFonts w:ascii="Arial" w:eastAsia="Arial" w:hAnsi="Arial" w:cs="Arial"/>
          <w:color w:val="000000"/>
          <w:sz w:val="20"/>
          <w:szCs w:val="20"/>
        </w:rPr>
        <w:t>dispuestos en este numeral, se entiende por experiencia acreditada en la oferta, la sumatoria de los contratos que demuestren la experiencia general de la actividad principal, expresados en salarios mínimos mensuales legales vigentes (SMMLV).</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67" w:name="_heading=h.k0cdxecidbga" w:colFirst="0" w:colLast="0"/>
      <w:bookmarkEnd w:id="67"/>
      <w:r>
        <w:rPr>
          <w:rFonts w:ascii="Arial" w:eastAsia="Arial" w:hAnsi="Arial" w:cs="Arial"/>
          <w:b/>
          <w:bCs/>
          <w:color w:val="000000"/>
          <w:sz w:val="20"/>
          <w:szCs w:val="20"/>
        </w:rPr>
        <w:lastRenderedPageBreak/>
        <w:t>OFERTA ECONÓMICA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forma de pago se realizará de conformidad con el numeral 5.3 del Estudio Previo.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oferta económica será el valor total indicado en la propuesta económica o el obtenido de la corrección aritmética.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valor de la propuesta económic</w:t>
      </w:r>
      <w:r>
        <w:rPr>
          <w:rFonts w:ascii="Arial" w:eastAsia="Arial" w:hAnsi="Arial" w:cs="Arial"/>
          <w:sz w:val="20"/>
          <w:szCs w:val="20"/>
        </w:rPr>
        <w:t xml:space="preserve">a debe ser presentado en Pesos Colombianos y contemplar todos los costos directos e indirectos para la completa y adecuada ejecución de la interventoría de obra del proceso, los Riesgos y la administración de estos.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Al formular la oferta, el Proponente a</w:t>
      </w:r>
      <w:r>
        <w:rPr>
          <w:rFonts w:ascii="Arial" w:eastAsia="Arial" w:hAnsi="Arial" w:cs="Arial"/>
          <w:sz w:val="20"/>
          <w:szCs w:val="20"/>
        </w:rPr>
        <w:t>cepta que estarán a su cargo todos los impuestos, tasas y contribuciones establecidos por las diferentes autoridades del orden nacional, departamental o municipal.</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9"/>
        </w:numPr>
        <w:pBdr>
          <w:top w:val="nil"/>
          <w:left w:val="nil"/>
          <w:bottom w:val="nil"/>
          <w:right w:val="nil"/>
          <w:between w:val="nil"/>
        </w:pBdr>
        <w:spacing w:after="0" w:line="240" w:lineRule="auto"/>
        <w:ind w:left="567" w:hanging="567"/>
        <w:jc w:val="both"/>
      </w:pPr>
      <w:bookmarkStart w:id="68" w:name="_heading=h.ra3eiz1tbikt" w:colFirst="0" w:colLast="0"/>
      <w:bookmarkEnd w:id="68"/>
      <w:r>
        <w:rPr>
          <w:rFonts w:ascii="Arial" w:eastAsia="Arial" w:hAnsi="Arial" w:cs="Arial"/>
          <w:b/>
          <w:bCs/>
          <w:color w:val="000000"/>
          <w:sz w:val="20"/>
          <w:szCs w:val="20"/>
        </w:rPr>
        <w:t>CORRECCIONES ARITMÉTICAS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solo efectuará correcciones aritméticas originadas por</w:t>
      </w:r>
      <w:r>
        <w:rPr>
          <w:rFonts w:ascii="Arial" w:eastAsia="Arial" w:hAnsi="Arial" w:cs="Arial"/>
          <w:sz w:val="20"/>
          <w:szCs w:val="20"/>
        </w:rPr>
        <w:t>:</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operaciones aritméticas a que haya lugar en la propuesta económica de existir un error que surja de un cálculo meramente aritmético cuando la operación ha sido erróneamente realizada.</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ajuste al Peso ya sea por exceso o por defecto de los precios un</w:t>
      </w:r>
      <w:r>
        <w:rPr>
          <w:rFonts w:ascii="Arial" w:eastAsia="Arial" w:hAnsi="Arial" w:cs="Arial"/>
          <w:color w:val="000000"/>
          <w:sz w:val="20"/>
          <w:szCs w:val="20"/>
        </w:rPr>
        <w:t>itarios contenidos en la propuesta económica y del valor del IVA, así: cuando la fracción decimal del Peso sea igual o superior a punto cinco (0.5) se aproximará por exceso al número entero siguiente del Peso y cuando la fracción decimal del Peso sea infer</w:t>
      </w:r>
      <w:r>
        <w:rPr>
          <w:rFonts w:ascii="Arial" w:eastAsia="Arial" w:hAnsi="Arial" w:cs="Arial"/>
          <w:color w:val="000000"/>
          <w:sz w:val="20"/>
          <w:szCs w:val="20"/>
        </w:rPr>
        <w:t>ior a punto cinco (0.5) se aproximará por defecto al número entero.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Entidad a partir del valor total corregido de las propuestas valorará la oferta económica según la normativa vigente aplicable.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29"/>
        </w:numPr>
        <w:pBdr>
          <w:top w:val="nil"/>
          <w:left w:val="nil"/>
          <w:bottom w:val="nil"/>
          <w:right w:val="nil"/>
          <w:between w:val="nil"/>
        </w:pBdr>
        <w:spacing w:after="0" w:line="240" w:lineRule="auto"/>
        <w:ind w:left="567" w:hanging="567"/>
        <w:jc w:val="both"/>
      </w:pPr>
      <w:bookmarkStart w:id="69" w:name="_heading=h.c2n0zytgdcbo" w:colFirst="0" w:colLast="0"/>
      <w:bookmarkEnd w:id="69"/>
      <w:r>
        <w:rPr>
          <w:rFonts w:ascii="Arial" w:eastAsia="Arial" w:hAnsi="Arial" w:cs="Arial"/>
          <w:b/>
          <w:bCs/>
          <w:color w:val="000000"/>
          <w:sz w:val="20"/>
          <w:szCs w:val="20"/>
        </w:rPr>
        <w:t>PRECIO ARTIFICIALMENTE BAJO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evento en el que el precio de una oferta, al momento de su evaluación, no parezca suficiente para garantizar una correcta ejecución del contrato, de acuerdo con la información recogida durante la etapa de planeación y particularmente en el estudio de</w:t>
      </w:r>
      <w:r>
        <w:rPr>
          <w:rFonts w:ascii="Arial" w:eastAsia="Arial" w:hAnsi="Arial" w:cs="Arial"/>
          <w:sz w:val="20"/>
          <w:szCs w:val="20"/>
        </w:rPr>
        <w:t xml:space="preserve">l sector, la Entidad aplicará el proceso descrito en el artículo 2.2.1.1.2.2.4. del Decreto 1082 de 2015, además podrá acudir a los parámetros definidos en la Guía para el manejo de ofertas artificialmente bajas en los Procesos de Contratación de Colombia </w:t>
      </w:r>
      <w:r>
        <w:rPr>
          <w:rFonts w:ascii="Arial" w:eastAsia="Arial" w:hAnsi="Arial" w:cs="Arial"/>
          <w:sz w:val="20"/>
          <w:szCs w:val="20"/>
        </w:rPr>
        <w:t>Compra Eficiente, como un criterio metodológico.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70" w:name="_heading=h.xc06zlacjd58" w:colFirst="0" w:colLast="0"/>
      <w:bookmarkEnd w:id="70"/>
      <w:r>
        <w:rPr>
          <w:rFonts w:ascii="Arial" w:eastAsia="Arial" w:hAnsi="Arial" w:cs="Arial"/>
          <w:b/>
          <w:bCs/>
          <w:color w:val="000000"/>
          <w:sz w:val="20"/>
          <w:szCs w:val="20"/>
        </w:rPr>
        <w:lastRenderedPageBreak/>
        <w:t>RIESGOS ASOCIADOS AL CONTRATO, FORMA DE MITIGARLOS Y ASIGNACIÓN DE RIESGOS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“Matriz 3 – Riesgos” incluye los Riesgos que se pueden presentar durante la ejecución del contrato. Esta Matriz describe cada uno de los Riesgos, la consecuencia de su ocurrencia, a quién se le asigna, cuál es el tratamiento en caso de ocurrencia y quié</w:t>
      </w:r>
      <w:r>
        <w:rPr>
          <w:rFonts w:ascii="Arial" w:eastAsia="Arial" w:hAnsi="Arial" w:cs="Arial"/>
          <w:sz w:val="20"/>
          <w:szCs w:val="20"/>
        </w:rPr>
        <w:t xml:space="preserve">n es el responsable del tratamiento, entre otros aspectos. </w:t>
      </w:r>
    </w:p>
    <w:p w:rsidR="00C0159A" w:rsidRDefault="00C0159A">
      <w:pP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71" w:name="_heading=h.2ir4hknsxr6t" w:colFirst="0" w:colLast="0"/>
      <w:bookmarkEnd w:id="71"/>
      <w:r>
        <w:rPr>
          <w:rFonts w:ascii="Arial" w:eastAsia="Arial" w:hAnsi="Arial" w:cs="Arial"/>
          <w:sz w:val="20"/>
          <w:szCs w:val="20"/>
        </w:rPr>
        <w:t xml:space="preserve">6.1. </w:t>
      </w:r>
      <w:r>
        <w:rPr>
          <w:rFonts w:ascii="Arial" w:eastAsia="Arial" w:hAnsi="Arial" w:cs="Arial"/>
          <w:b/>
          <w:bCs/>
          <w:color w:val="000000"/>
          <w:sz w:val="20"/>
          <w:szCs w:val="20"/>
        </w:rPr>
        <w:t>AUDIENCIA DE ASIGNACIÓN DE RIESGOS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en la cual se tipifican los Riesgos previsibles, preparada por la Entidad, hace parte del Pliego de Condiciones.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Los Proponente</w:t>
      </w:r>
      <w:r>
        <w:rPr>
          <w:rFonts w:ascii="Arial" w:eastAsia="Arial" w:hAnsi="Arial" w:cs="Arial"/>
          <w:sz w:val="20"/>
          <w:szCs w:val="20"/>
        </w:rPr>
        <w:t>s deben realizar todas las evaluaciones y estimaciones que sean necesarias para presentar su propuesta sobre la base de un examen cuidadoso de sus características, incluyendo los estudios, diseños, evaluaciones y verificaciones que consideren oportunos par</w:t>
      </w:r>
      <w:r>
        <w:rPr>
          <w:rFonts w:ascii="Arial" w:eastAsia="Arial" w:hAnsi="Arial" w:cs="Arial"/>
          <w:sz w:val="20"/>
          <w:szCs w:val="20"/>
        </w:rPr>
        <w:t>a formular la propuesta fundamentada en su propia información, de manera tal que el Proponente está obligado a tener en cuenta el cálculo de los aspectos económicos del proyecto, los cuales tienen que incorporar todas las obligaciones y asunción de Riesgos</w:t>
      </w:r>
      <w:r>
        <w:rPr>
          <w:rFonts w:ascii="Arial" w:eastAsia="Arial" w:hAnsi="Arial" w:cs="Arial"/>
          <w:sz w:val="20"/>
          <w:szCs w:val="20"/>
        </w:rPr>
        <w:t xml:space="preserve"> que emanan del contrato.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del</w:t>
      </w:r>
      <w:r>
        <w:rPr>
          <w:rFonts w:ascii="Arial" w:eastAsia="Arial" w:hAnsi="Arial" w:cs="Arial"/>
          <w:sz w:val="20"/>
          <w:szCs w:val="20"/>
        </w:rPr>
        <w:t xml:space="preserve"> contrato ni le dará derecho a rembolso de costos ni a reclamaciones o reconocimientos adicionales de ninguna naturaleza.</w:t>
      </w:r>
    </w:p>
    <w:p w:rsidR="00C0159A" w:rsidRDefault="00C0159A">
      <w:pPr>
        <w:spacing w:after="0" w:line="240" w:lineRule="auto"/>
        <w:jc w:val="both"/>
        <w:rPr>
          <w:rFonts w:ascii="Arial" w:eastAsia="Arial" w:hAnsi="Arial" w:cs="Arial"/>
          <w:sz w:val="20"/>
          <w:szCs w:val="20"/>
          <w:highlight w:val="lightGray"/>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72" w:name="_heading=h.lnnmqs49eu3m" w:colFirst="0" w:colLast="0"/>
      <w:bookmarkEnd w:id="72"/>
      <w:r>
        <w:rPr>
          <w:rFonts w:ascii="Arial" w:eastAsia="Arial" w:hAnsi="Arial" w:cs="Arial"/>
          <w:b/>
          <w:bCs/>
          <w:color w:val="000000"/>
          <w:sz w:val="20"/>
          <w:szCs w:val="20"/>
        </w:rPr>
        <w:lastRenderedPageBreak/>
        <w:t>ACUERDOS COMERCIALES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highlight w:val="lightGray"/>
        </w:rPr>
      </w:pPr>
      <w:r>
        <w:rPr>
          <w:rFonts w:ascii="Arial" w:eastAsia="Arial" w:hAnsi="Arial" w:cs="Arial"/>
          <w:sz w:val="20"/>
          <w:szCs w:val="20"/>
        </w:rPr>
        <w:t xml:space="preserve">El Proceso de Contratación está cubierto por los siguientes Acuerdos Comerciales y por la Decisión 439 de la Secretaría de la Comunidad Andina de Naciones (CAN): </w:t>
      </w:r>
    </w:p>
    <w:p w:rsidR="00C0159A" w:rsidRDefault="00C0159A">
      <w:pPr>
        <w:spacing w:after="0" w:line="240" w:lineRule="auto"/>
        <w:jc w:val="both"/>
        <w:rPr>
          <w:rFonts w:ascii="Arial" w:eastAsia="Arial" w:hAnsi="Arial" w:cs="Arial"/>
          <w:sz w:val="20"/>
          <w:szCs w:val="20"/>
        </w:rPr>
      </w:pPr>
    </w:p>
    <w:tbl>
      <w:tblPr>
        <w:tblStyle w:val="ac"/>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5"/>
        <w:gridCol w:w="1935"/>
        <w:gridCol w:w="975"/>
        <w:gridCol w:w="1095"/>
        <w:gridCol w:w="1260"/>
        <w:gridCol w:w="1260"/>
      </w:tblGrid>
      <w:tr w:rsidR="00C0159A">
        <w:trPr>
          <w:tblHeader/>
        </w:trPr>
        <w:tc>
          <w:tcPr>
            <w:tcW w:w="232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Acuerdo Comercial</w:t>
            </w:r>
          </w:p>
        </w:tc>
        <w:tc>
          <w:tcPr>
            <w:tcW w:w="193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Entidad incluida</w:t>
            </w:r>
          </w:p>
        </w:tc>
        <w:tc>
          <w:tcPr>
            <w:tcW w:w="97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Umbral</w:t>
            </w:r>
          </w:p>
        </w:tc>
        <w:tc>
          <w:tcPr>
            <w:tcW w:w="109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Excepción aplicable</w:t>
            </w:r>
          </w:p>
        </w:tc>
        <w:tc>
          <w:tcPr>
            <w:tcW w:w="1260"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Proceso de Contratación cubier</w:t>
            </w:r>
            <w:r>
              <w:rPr>
                <w:rFonts w:ascii="Arial" w:eastAsia="Arial" w:hAnsi="Arial" w:cs="Arial"/>
                <w:b/>
                <w:bCs/>
                <w:color w:val="FFFFFF"/>
                <w:sz w:val="20"/>
                <w:szCs w:val="20"/>
              </w:rPr>
              <w:t>to</w:t>
            </w:r>
          </w:p>
        </w:tc>
        <w:tc>
          <w:tcPr>
            <w:tcW w:w="1260" w:type="dxa"/>
            <w:shd w:val="clear" w:color="auto" w:fill="404040"/>
            <w:vAlign w:val="center"/>
          </w:tcPr>
          <w:p w:rsidR="00C0159A" w:rsidRDefault="00C0159A">
            <w:pPr>
              <w:jc w:val="center"/>
              <w:rPr>
                <w:rFonts w:ascii="Arial" w:eastAsia="Arial" w:hAnsi="Arial" w:cs="Arial"/>
                <w:b/>
                <w:bCs/>
                <w:color w:val="FFFFFF"/>
                <w:sz w:val="20"/>
                <w:szCs w:val="20"/>
              </w:rPr>
            </w:pPr>
          </w:p>
        </w:tc>
      </w:tr>
      <w:tr w:rsidR="00C0159A">
        <w:trPr>
          <w:trHeight w:val="283"/>
        </w:trPr>
        <w:tc>
          <w:tcPr>
            <w:tcW w:w="2325" w:type="dxa"/>
            <w:vMerge w:val="restart"/>
            <w:vAlign w:val="center"/>
          </w:tcPr>
          <w:p w:rsidR="00C0159A" w:rsidRDefault="00244C46">
            <w:pPr>
              <w:jc w:val="both"/>
              <w:rPr>
                <w:rFonts w:ascii="Arial" w:eastAsia="Arial" w:hAnsi="Arial" w:cs="Arial"/>
                <w:sz w:val="20"/>
                <w:szCs w:val="20"/>
              </w:rPr>
            </w:pPr>
            <w:r>
              <w:rPr>
                <w:rFonts w:ascii="Arial" w:eastAsia="Arial" w:hAnsi="Arial" w:cs="Arial"/>
                <w:sz w:val="20"/>
                <w:szCs w:val="20"/>
              </w:rPr>
              <w:t>Alianza Pacífico</w:t>
            </w:r>
          </w:p>
        </w:tc>
        <w:tc>
          <w:tcPr>
            <w:tcW w:w="1935" w:type="dxa"/>
            <w:vAlign w:val="center"/>
          </w:tcPr>
          <w:p w:rsidR="00C0159A" w:rsidRDefault="00244C46">
            <w:pPr>
              <w:rPr>
                <w:rFonts w:ascii="Arial" w:eastAsia="Arial" w:hAnsi="Arial" w:cs="Arial"/>
                <w:sz w:val="20"/>
                <w:szCs w:val="20"/>
              </w:rPr>
            </w:pPr>
            <w:r>
              <w:rPr>
                <w:rFonts w:ascii="Arial" w:eastAsia="Arial" w:hAnsi="Arial" w:cs="Arial"/>
                <w:sz w:val="20"/>
                <w:szCs w:val="20"/>
              </w:rPr>
              <w:t>Chile</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2325" w:type="dxa"/>
            <w:vMerge/>
            <w:vAlign w:val="center"/>
          </w:tcPr>
          <w:p w:rsidR="00C0159A" w:rsidRDefault="00C0159A">
            <w:pPr>
              <w:jc w:val="center"/>
              <w:rPr>
                <w:rFonts w:ascii="Arial" w:eastAsia="Arial" w:hAnsi="Arial" w:cs="Arial"/>
                <w:sz w:val="20"/>
                <w:szCs w:val="20"/>
              </w:rPr>
            </w:pPr>
          </w:p>
        </w:tc>
        <w:tc>
          <w:tcPr>
            <w:tcW w:w="1935" w:type="dxa"/>
            <w:vAlign w:val="center"/>
          </w:tcPr>
          <w:p w:rsidR="00C0159A" w:rsidRDefault="00244C46">
            <w:pPr>
              <w:rPr>
                <w:rFonts w:ascii="Arial" w:eastAsia="Arial" w:hAnsi="Arial" w:cs="Arial"/>
                <w:sz w:val="20"/>
                <w:szCs w:val="20"/>
              </w:rPr>
            </w:pPr>
            <w:r>
              <w:rPr>
                <w:rFonts w:ascii="Arial" w:eastAsia="Arial" w:hAnsi="Arial" w:cs="Arial"/>
                <w:sz w:val="20"/>
                <w:szCs w:val="20"/>
              </w:rPr>
              <w:t>México</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2325" w:type="dxa"/>
            <w:vMerge/>
            <w:vAlign w:val="center"/>
          </w:tcPr>
          <w:p w:rsidR="00C0159A" w:rsidRDefault="00C0159A">
            <w:pPr>
              <w:jc w:val="center"/>
              <w:rPr>
                <w:rFonts w:ascii="Arial" w:eastAsia="Arial" w:hAnsi="Arial" w:cs="Arial"/>
                <w:sz w:val="20"/>
                <w:szCs w:val="20"/>
              </w:rPr>
            </w:pPr>
          </w:p>
        </w:tc>
        <w:tc>
          <w:tcPr>
            <w:tcW w:w="1935" w:type="dxa"/>
            <w:vAlign w:val="center"/>
          </w:tcPr>
          <w:p w:rsidR="00C0159A" w:rsidRDefault="00244C46">
            <w:pPr>
              <w:rPr>
                <w:rFonts w:ascii="Arial" w:eastAsia="Arial" w:hAnsi="Arial" w:cs="Arial"/>
                <w:sz w:val="20"/>
                <w:szCs w:val="20"/>
              </w:rPr>
            </w:pPr>
            <w:r>
              <w:rPr>
                <w:rFonts w:ascii="Arial" w:eastAsia="Arial" w:hAnsi="Arial" w:cs="Arial"/>
                <w:sz w:val="20"/>
                <w:szCs w:val="20"/>
              </w:rPr>
              <w:t>Perú</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Canadá</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Chile</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Corea</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Costa Rica</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Estados Unidos</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Estados AELC</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México</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2325" w:type="dxa"/>
            <w:vMerge w:val="restart"/>
            <w:vAlign w:val="center"/>
          </w:tcPr>
          <w:p w:rsidR="00C0159A" w:rsidRDefault="00244C46">
            <w:pPr>
              <w:jc w:val="both"/>
              <w:rPr>
                <w:rFonts w:ascii="Arial" w:eastAsia="Arial" w:hAnsi="Arial" w:cs="Arial"/>
                <w:sz w:val="20"/>
                <w:szCs w:val="20"/>
              </w:rPr>
            </w:pPr>
            <w:r>
              <w:rPr>
                <w:rFonts w:ascii="Arial" w:eastAsia="Arial" w:hAnsi="Arial" w:cs="Arial"/>
                <w:sz w:val="20"/>
                <w:szCs w:val="20"/>
              </w:rPr>
              <w:t>Triángulo Norte</w:t>
            </w:r>
          </w:p>
        </w:tc>
        <w:tc>
          <w:tcPr>
            <w:tcW w:w="1935"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El Salvador Salvador</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r>
      <w:tr w:rsidR="00C0159A">
        <w:trPr>
          <w:trHeight w:val="283"/>
        </w:trPr>
        <w:tc>
          <w:tcPr>
            <w:tcW w:w="2325" w:type="dxa"/>
            <w:vMerge/>
            <w:vAlign w:val="center"/>
          </w:tcPr>
          <w:p w:rsidR="00C0159A" w:rsidRDefault="00C0159A">
            <w:pPr>
              <w:jc w:val="center"/>
              <w:rPr>
                <w:rFonts w:ascii="Arial" w:eastAsia="Arial" w:hAnsi="Arial" w:cs="Arial"/>
                <w:sz w:val="20"/>
                <w:szCs w:val="20"/>
              </w:rPr>
            </w:pPr>
          </w:p>
        </w:tc>
        <w:tc>
          <w:tcPr>
            <w:tcW w:w="1935" w:type="dxa"/>
          </w:tcPr>
          <w:p w:rsidR="00C0159A" w:rsidRDefault="00244C46">
            <w:pPr>
              <w:jc w:val="both"/>
              <w:rPr>
                <w:rFonts w:ascii="Arial" w:eastAsia="Arial" w:hAnsi="Arial" w:cs="Arial"/>
                <w:sz w:val="20"/>
                <w:szCs w:val="20"/>
              </w:rPr>
            </w:pPr>
            <w:r>
              <w:rPr>
                <w:rFonts w:ascii="Arial" w:eastAsia="Arial" w:hAnsi="Arial" w:cs="Arial"/>
                <w:sz w:val="20"/>
                <w:szCs w:val="20"/>
              </w:rPr>
              <w:t>Guatemala</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r>
      <w:tr w:rsidR="00C0159A">
        <w:trPr>
          <w:trHeight w:val="283"/>
        </w:trPr>
        <w:tc>
          <w:tcPr>
            <w:tcW w:w="2325" w:type="dxa"/>
            <w:vMerge/>
            <w:vAlign w:val="center"/>
          </w:tcPr>
          <w:p w:rsidR="00C0159A" w:rsidRDefault="00C0159A">
            <w:pPr>
              <w:jc w:val="center"/>
              <w:rPr>
                <w:rFonts w:ascii="Arial" w:eastAsia="Arial" w:hAnsi="Arial" w:cs="Arial"/>
                <w:sz w:val="20"/>
                <w:szCs w:val="20"/>
              </w:rPr>
            </w:pPr>
          </w:p>
        </w:tc>
        <w:tc>
          <w:tcPr>
            <w:tcW w:w="1935" w:type="dxa"/>
          </w:tcPr>
          <w:p w:rsidR="00C0159A" w:rsidRDefault="00244C46">
            <w:pPr>
              <w:rPr>
                <w:rFonts w:ascii="Arial" w:eastAsia="Arial" w:hAnsi="Arial" w:cs="Arial"/>
                <w:sz w:val="20"/>
                <w:szCs w:val="20"/>
              </w:rPr>
            </w:pPr>
            <w:r>
              <w:rPr>
                <w:rFonts w:ascii="Arial" w:eastAsia="Arial" w:hAnsi="Arial" w:cs="Arial"/>
                <w:sz w:val="20"/>
                <w:szCs w:val="20"/>
              </w:rPr>
              <w:t>Honduras</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095"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tcPr>
          <w:p w:rsidR="00C0159A" w:rsidRDefault="00244C46">
            <w:pPr>
              <w:jc w:val="center"/>
              <w:rPr>
                <w:rFonts w:ascii="Arial" w:eastAsia="Arial" w:hAnsi="Arial" w:cs="Arial"/>
                <w:sz w:val="20"/>
                <w:szCs w:val="20"/>
              </w:rPr>
            </w:pPr>
            <w:r>
              <w:rPr>
                <w:rFonts w:ascii="Arial" w:eastAsia="Arial" w:hAnsi="Arial" w:cs="Arial"/>
                <w:sz w:val="20"/>
                <w:szCs w:val="20"/>
              </w:rPr>
              <w:t>NA</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Unión Europea</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Comunidad Andina de Naciones CAN</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r>
      <w:tr w:rsidR="00C0159A">
        <w:trPr>
          <w:trHeight w:val="283"/>
        </w:trPr>
        <w:tc>
          <w:tcPr>
            <w:tcW w:w="4260" w:type="dxa"/>
            <w:gridSpan w:val="2"/>
            <w:vAlign w:val="center"/>
          </w:tcPr>
          <w:p w:rsidR="00C0159A" w:rsidRDefault="00244C46">
            <w:pPr>
              <w:rPr>
                <w:rFonts w:ascii="Arial" w:eastAsia="Arial" w:hAnsi="Arial" w:cs="Arial"/>
                <w:sz w:val="20"/>
                <w:szCs w:val="20"/>
              </w:rPr>
            </w:pPr>
            <w:r>
              <w:rPr>
                <w:rFonts w:ascii="Arial" w:eastAsia="Arial" w:hAnsi="Arial" w:cs="Arial"/>
                <w:sz w:val="20"/>
                <w:szCs w:val="20"/>
              </w:rPr>
              <w:t xml:space="preserve">Israel </w:t>
            </w:r>
          </w:p>
        </w:tc>
        <w:tc>
          <w:tcPr>
            <w:tcW w:w="97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 xml:space="preserve">SI </w:t>
            </w:r>
          </w:p>
        </w:tc>
        <w:tc>
          <w:tcPr>
            <w:tcW w:w="109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NO</w:t>
            </w:r>
          </w:p>
        </w:tc>
        <w:tc>
          <w:tcPr>
            <w:tcW w:w="126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SI</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Adicionalmente, los Proponentes de Estados con los cuales el Gobierno Nacional haya c</w:t>
      </w:r>
      <w:r>
        <w:rPr>
          <w:rFonts w:ascii="Arial" w:eastAsia="Arial" w:hAnsi="Arial" w:cs="Arial"/>
          <w:sz w:val="20"/>
          <w:szCs w:val="20"/>
        </w:rPr>
        <w:t>ertificado la existencia de Trato Nacional por reciprocidad recibirán este trato.</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73" w:name="_heading=h.ushqk3bb0lk6" w:colFirst="0" w:colLast="0"/>
      <w:bookmarkEnd w:id="73"/>
      <w:r>
        <w:rPr>
          <w:rFonts w:ascii="Arial" w:eastAsia="Arial" w:hAnsi="Arial" w:cs="Arial"/>
          <w:b/>
          <w:bCs/>
          <w:color w:val="000000"/>
          <w:sz w:val="20"/>
          <w:szCs w:val="20"/>
        </w:rPr>
        <w:lastRenderedPageBreak/>
        <w:t>GARANTÍAS</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55"/>
        </w:numPr>
        <w:pBdr>
          <w:top w:val="nil"/>
          <w:left w:val="nil"/>
          <w:bottom w:val="nil"/>
          <w:right w:val="nil"/>
          <w:between w:val="nil"/>
        </w:pBdr>
        <w:spacing w:after="0" w:line="240" w:lineRule="auto"/>
        <w:jc w:val="both"/>
      </w:pPr>
      <w:bookmarkStart w:id="74" w:name="_heading=h.bmfjr148psdq" w:colFirst="0" w:colLast="0"/>
      <w:bookmarkEnd w:id="74"/>
      <w:r>
        <w:rPr>
          <w:rFonts w:ascii="Arial" w:eastAsia="Arial" w:hAnsi="Arial" w:cs="Arial"/>
          <w:b/>
          <w:bCs/>
          <w:color w:val="000000"/>
          <w:sz w:val="20"/>
          <w:szCs w:val="20"/>
        </w:rPr>
        <w:t>GARANTÍA DE SERIEDAD DE LA OFERTA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debe presentar con la propuesta una Garantía de seriedad de la oferta que cumpla con los parámetros, condiciones y requisitos que se indican en este numeral.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Cualquier error o imprecisión en el texto de la Garantía presentada será susceptibl</w:t>
      </w:r>
      <w:r>
        <w:rPr>
          <w:rFonts w:ascii="Arial" w:eastAsia="Arial" w:hAnsi="Arial" w:cs="Arial"/>
          <w:sz w:val="20"/>
          <w:szCs w:val="20"/>
        </w:rPr>
        <w:t>e de aclaración por el Proponente hasta el término de traslado del informe de evaluación.</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Proponente presentará la Garantía de seriedad de la oferta sobre la sumatoria de los lotes o segmentos en relación con los cuales ofertó.</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características de la Garantía son las siguientes:</w:t>
      </w:r>
    </w:p>
    <w:p w:rsidR="00C0159A" w:rsidRDefault="00C0159A">
      <w:pPr>
        <w:spacing w:after="0" w:line="240" w:lineRule="auto"/>
        <w:jc w:val="both"/>
        <w:rPr>
          <w:rFonts w:ascii="Arial" w:eastAsia="Arial" w:hAnsi="Arial" w:cs="Arial"/>
          <w:sz w:val="20"/>
          <w:szCs w:val="20"/>
        </w:rPr>
      </w:pPr>
    </w:p>
    <w:tbl>
      <w:tblPr>
        <w:tblStyle w:val="ad"/>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0159A">
        <w:trPr>
          <w:trHeight w:val="340"/>
          <w:tblHeader/>
        </w:trPr>
        <w:tc>
          <w:tcPr>
            <w:tcW w:w="155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(ii) Patrimonio aut</w:t>
            </w:r>
            <w:r>
              <w:rPr>
                <w:rFonts w:ascii="Arial" w:eastAsia="Arial" w:hAnsi="Arial" w:cs="Arial"/>
                <w:sz w:val="20"/>
                <w:szCs w:val="20"/>
              </w:rPr>
              <w:t>ónomo y (iii) Garantía Bancaria.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La sanción derivada del incumplimiento del ofrecimiento en los eventos señalados en el artículo 2.2.1.2.3.1.6 del Decreto 1082 de 2015 o la norma que la modifique, sustituya o complemente.</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3 meses contados a partir de la fecha de cierre del Proceso de Contratación. En caso de modificarse la fecha del cierre del proceso, se tendrá como referencia para establecer el plazo de vigencia del certificado la fecha originalmente definida en el Pliego</w:t>
            </w:r>
            <w:r>
              <w:rPr>
                <w:rFonts w:ascii="Arial" w:eastAsia="Arial" w:hAnsi="Arial" w:cs="Arial"/>
                <w:sz w:val="20"/>
                <w:szCs w:val="20"/>
              </w:rPr>
              <w:t xml:space="preserve"> de Condiciones.</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Valor asegurado</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Diez por ciento (10%) del Presupuesto Oficial del Proceso de Contratación</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w:t>
            </w:r>
            <w:r>
              <w:rPr>
                <w:rFonts w:ascii="Arial" w:eastAsia="Arial" w:hAnsi="Arial" w:cs="Arial"/>
                <w:color w:val="000000"/>
                <w:sz w:val="20"/>
                <w:szCs w:val="20"/>
              </w:rPr>
              <w:t>l referido documento se exprese que la sociedad podrá denominarse de esa manera.</w:t>
            </w:r>
          </w:p>
          <w:p w:rsidR="00C0159A" w:rsidRDefault="00244C46">
            <w:pPr>
              <w:numPr>
                <w:ilvl w:val="0"/>
                <w:numId w:val="30"/>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los Proponentes Plurales: la Garantía deberá ser otorgada por todos los integrantes del Proponente Plural, para lo cual se tiene que relacionar claramente los integrantes</w:t>
            </w:r>
            <w:r>
              <w:rPr>
                <w:rFonts w:ascii="Arial" w:eastAsia="Arial" w:hAnsi="Arial" w:cs="Arial"/>
                <w:color w:val="000000"/>
                <w:sz w:val="20"/>
                <w:szCs w:val="20"/>
              </w:rPr>
              <w:t>, su identificación y porcentaje de participación, quienes para todos los efectos serán los otorgantes de esta.</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Si en el desarrollo del Proceso de Contratación se modifica el Cronograma, el Proponente deberá ampliar la Garantía de seriedad de la oferta hasta la aprobación de la Garantía de cumplimiento del contrato.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 propuesta tendrá una validez igual al término</w:t>
      </w:r>
      <w:r>
        <w:rPr>
          <w:rFonts w:ascii="Arial" w:eastAsia="Arial" w:hAnsi="Arial" w:cs="Arial"/>
          <w:sz w:val="20"/>
          <w:szCs w:val="20"/>
        </w:rPr>
        <w:t xml:space="preserve"> de vigencia establecido para la Garantía de seriedad de la oferta. Durante este período la propuesta será irrevocable, de tal manera que el Proponente no podrá retirar ni modificar los términos o condiciones de la misma, so pena de que la Entidad pueda ha</w:t>
      </w:r>
      <w:r>
        <w:rPr>
          <w:rFonts w:ascii="Arial" w:eastAsia="Arial" w:hAnsi="Arial" w:cs="Arial"/>
          <w:sz w:val="20"/>
          <w:szCs w:val="20"/>
        </w:rPr>
        <w:t>cer efectiva la Garantía de seriedad de la oferta.</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55"/>
        </w:numPr>
        <w:pBdr>
          <w:top w:val="nil"/>
          <w:left w:val="nil"/>
          <w:bottom w:val="nil"/>
          <w:right w:val="nil"/>
          <w:between w:val="nil"/>
        </w:pBdr>
        <w:spacing w:after="0" w:line="240" w:lineRule="auto"/>
        <w:ind w:left="567" w:hanging="567"/>
        <w:jc w:val="both"/>
      </w:pPr>
      <w:bookmarkStart w:id="75" w:name="_heading=h.wwxfn4wem51x" w:colFirst="0" w:colLast="0"/>
      <w:bookmarkEnd w:id="75"/>
      <w:r>
        <w:rPr>
          <w:rFonts w:ascii="Arial" w:eastAsia="Arial" w:hAnsi="Arial" w:cs="Arial"/>
          <w:b/>
          <w:bCs/>
          <w:color w:val="000000"/>
          <w:sz w:val="20"/>
          <w:szCs w:val="20"/>
        </w:rPr>
        <w:t>GARANTÍAS DEL CONTRATO</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55"/>
        </w:numPr>
        <w:pBdr>
          <w:top w:val="nil"/>
          <w:left w:val="nil"/>
          <w:bottom w:val="nil"/>
          <w:right w:val="nil"/>
          <w:between w:val="nil"/>
        </w:pBdr>
        <w:spacing w:after="0" w:line="240" w:lineRule="auto"/>
        <w:ind w:left="1077"/>
        <w:jc w:val="both"/>
      </w:pPr>
      <w:bookmarkStart w:id="76" w:name="_heading=h.6iw1bwv5lh7i" w:colFirst="0" w:colLast="0"/>
      <w:bookmarkEnd w:id="76"/>
      <w:r>
        <w:rPr>
          <w:rFonts w:ascii="Arial" w:eastAsia="Arial" w:hAnsi="Arial" w:cs="Arial"/>
          <w:b/>
          <w:bCs/>
          <w:color w:val="000000"/>
          <w:sz w:val="20"/>
          <w:szCs w:val="20"/>
        </w:rPr>
        <w:t>GARANTÍA DE CUMPLIMIENTO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Para cubrir cualquier hecho constitutivo de incumplimiento, el Interventor deberá presentar la Garantía de cumplimiento en original a la Entidad dentro de</w:t>
      </w:r>
      <w:r>
        <w:rPr>
          <w:rFonts w:ascii="Arial" w:eastAsia="Arial" w:hAnsi="Arial" w:cs="Arial"/>
          <w:sz w:val="20"/>
          <w:szCs w:val="20"/>
        </w:rPr>
        <w:t xml:space="preserve"> los días establecidos en el Anexo 5 – Minuta contados a partir de la firma del contrato y requerirá la aprobación de la Entidad. Esta Garantía tendrá las siguientes características:</w:t>
      </w:r>
    </w:p>
    <w:p w:rsidR="00C0159A" w:rsidRDefault="00C0159A">
      <w:pPr>
        <w:spacing w:after="0" w:line="240" w:lineRule="auto"/>
        <w:jc w:val="both"/>
        <w:rPr>
          <w:rFonts w:ascii="Arial" w:eastAsia="Arial" w:hAnsi="Arial" w:cs="Arial"/>
          <w:sz w:val="20"/>
          <w:szCs w:val="20"/>
        </w:rPr>
      </w:pPr>
    </w:p>
    <w:tbl>
      <w:tblPr>
        <w:tblStyle w:val="ae"/>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0159A">
        <w:trPr>
          <w:trHeight w:val="340"/>
          <w:tblHeader/>
        </w:trPr>
        <w:tc>
          <w:tcPr>
            <w:tcW w:w="155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Característica</w:t>
            </w:r>
          </w:p>
        </w:tc>
        <w:tc>
          <w:tcPr>
            <w:tcW w:w="727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para Entidades Estatales, (ii) patrimonio autónomo, (iii) Garantía bancaria.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Instit</w:t>
            </w:r>
            <w:r>
              <w:rPr>
                <w:rFonts w:ascii="Arial" w:eastAsia="Arial" w:hAnsi="Arial" w:cs="Arial"/>
                <w:sz w:val="20"/>
                <w:szCs w:val="20"/>
              </w:rPr>
              <w:t>uto de Desarrollo Urbano – IDU identificada con NIT 899.999.081-6</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Amparos, vigencia y valores asegurados</w:t>
            </w:r>
          </w:p>
        </w:tc>
        <w:tc>
          <w:tcPr>
            <w:tcW w:w="7273" w:type="dxa"/>
            <w:vAlign w:val="center"/>
          </w:tcPr>
          <w:p w:rsidR="00C0159A" w:rsidRDefault="00C0159A">
            <w:pPr>
              <w:jc w:val="both"/>
              <w:rPr>
                <w:rFonts w:ascii="Arial" w:eastAsia="Arial" w:hAnsi="Arial" w:cs="Arial"/>
                <w:sz w:val="20"/>
                <w:szCs w:val="20"/>
              </w:rPr>
            </w:pPr>
          </w:p>
          <w:tbl>
            <w:tblPr>
              <w:tblStyle w:val="af"/>
              <w:tblW w:w="7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6"/>
              <w:gridCol w:w="1972"/>
              <w:gridCol w:w="2349"/>
            </w:tblGrid>
            <w:tr w:rsidR="00C0159A">
              <w:trPr>
                <w:trHeight w:val="283"/>
              </w:trPr>
              <w:tc>
                <w:tcPr>
                  <w:tcW w:w="2726"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Amparo</w:t>
                  </w:r>
                </w:p>
              </w:tc>
              <w:tc>
                <w:tcPr>
                  <w:tcW w:w="1972"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Vigencia</w:t>
                  </w:r>
                </w:p>
              </w:tc>
              <w:tc>
                <w:tcPr>
                  <w:tcW w:w="2349" w:type="dxa"/>
                  <w:shd w:val="clear" w:color="auto" w:fill="404040"/>
                  <w:vAlign w:val="center"/>
                </w:tcPr>
                <w:p w:rsidR="00C0159A" w:rsidRDefault="00244C46">
                  <w:pPr>
                    <w:jc w:val="center"/>
                    <w:rPr>
                      <w:rFonts w:ascii="Arial" w:eastAsia="Arial" w:hAnsi="Arial" w:cs="Arial"/>
                      <w:b/>
                      <w:bCs/>
                      <w:color w:val="FFFFFF"/>
                      <w:sz w:val="18"/>
                      <w:szCs w:val="18"/>
                    </w:rPr>
                  </w:pPr>
                  <w:r>
                    <w:rPr>
                      <w:rFonts w:ascii="Arial" w:eastAsia="Arial" w:hAnsi="Arial" w:cs="Arial"/>
                      <w:b/>
                      <w:bCs/>
                      <w:color w:val="FFFFFF"/>
                      <w:sz w:val="18"/>
                      <w:szCs w:val="18"/>
                    </w:rPr>
                    <w:t>Valor Asegurado</w:t>
                  </w:r>
                </w:p>
              </w:tc>
            </w:tr>
            <w:tr w:rsidR="00C0159A">
              <w:tc>
                <w:tcPr>
                  <w:tcW w:w="2726"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Cumplimiento general del contrato y el pago de las multas y la cláusula penal pecuniaria que se le impongan</w:t>
                  </w:r>
                </w:p>
              </w:tc>
              <w:tc>
                <w:tcPr>
                  <w:tcW w:w="1972"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Por el término de duración del contrato y ocho (8) meses más. En todo caso deberá estar vigente hasta la liquidación del contrato.</w:t>
                  </w:r>
                </w:p>
                <w:p w:rsidR="00C0159A" w:rsidRDefault="00C0159A">
                  <w:pPr>
                    <w:jc w:val="both"/>
                    <w:rPr>
                      <w:rFonts w:ascii="Arial" w:eastAsia="Arial" w:hAnsi="Arial" w:cs="Arial"/>
                      <w:sz w:val="18"/>
                      <w:szCs w:val="18"/>
                    </w:rPr>
                  </w:pPr>
                </w:p>
              </w:tc>
              <w:tc>
                <w:tcPr>
                  <w:tcW w:w="2349"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Equivalente al t</w:t>
                  </w:r>
                  <w:r>
                    <w:rPr>
                      <w:rFonts w:ascii="Arial" w:eastAsia="Arial" w:hAnsi="Arial" w:cs="Arial"/>
                      <w:sz w:val="18"/>
                      <w:szCs w:val="18"/>
                    </w:rPr>
                    <w:t>reinta por ciento (30%) del valor total del contrato.</w:t>
                  </w:r>
                </w:p>
              </w:tc>
            </w:tr>
            <w:tr w:rsidR="00C0159A">
              <w:tc>
                <w:tcPr>
                  <w:tcW w:w="2726"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Pago de salarios, prestaciones sociales legales e indemnizaciones laborales del personal que el Contratista haya de utilizar en el territorio nacional para la ejecución del contrato.</w:t>
                  </w:r>
                </w:p>
              </w:tc>
              <w:tc>
                <w:tcPr>
                  <w:tcW w:w="1972"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Por el término de duración del contrato y tres (3) años más.</w:t>
                  </w:r>
                </w:p>
                <w:p w:rsidR="00C0159A" w:rsidRDefault="00C0159A">
                  <w:pPr>
                    <w:jc w:val="both"/>
                    <w:rPr>
                      <w:rFonts w:ascii="Arial" w:eastAsia="Arial" w:hAnsi="Arial" w:cs="Arial"/>
                      <w:sz w:val="18"/>
                      <w:szCs w:val="18"/>
                    </w:rPr>
                  </w:pPr>
                </w:p>
                <w:p w:rsidR="00C0159A" w:rsidRDefault="00C0159A">
                  <w:pPr>
                    <w:jc w:val="both"/>
                    <w:rPr>
                      <w:rFonts w:ascii="Arial" w:eastAsia="Arial" w:hAnsi="Arial" w:cs="Arial"/>
                      <w:sz w:val="18"/>
                      <w:szCs w:val="18"/>
                    </w:rPr>
                  </w:pPr>
                </w:p>
              </w:tc>
              <w:tc>
                <w:tcPr>
                  <w:tcW w:w="2349"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Equivalent</w:t>
                  </w:r>
                  <w:r>
                    <w:rPr>
                      <w:rFonts w:ascii="Arial" w:eastAsia="Arial" w:hAnsi="Arial" w:cs="Arial"/>
                      <w:sz w:val="18"/>
                      <w:szCs w:val="18"/>
                    </w:rPr>
                    <w:t>e al diez por ciento (10%) del valor total del contrato.</w:t>
                  </w:r>
                </w:p>
              </w:tc>
            </w:tr>
            <w:tr w:rsidR="00C0159A">
              <w:tc>
                <w:tcPr>
                  <w:tcW w:w="2726"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Calidad del Servicio</w:t>
                  </w:r>
                </w:p>
              </w:tc>
              <w:tc>
                <w:tcPr>
                  <w:tcW w:w="1972"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Igual al plazo de la garantía de estabilidad del contrato principal en cumplimiento del parágrafo del Articulo 85 de la ley 1474 de 2011.</w:t>
                  </w:r>
                </w:p>
                <w:p w:rsidR="00C0159A" w:rsidRDefault="00C0159A">
                  <w:pPr>
                    <w:jc w:val="both"/>
                    <w:rPr>
                      <w:rFonts w:ascii="Arial" w:eastAsia="Arial" w:hAnsi="Arial" w:cs="Arial"/>
                      <w:sz w:val="18"/>
                      <w:szCs w:val="18"/>
                    </w:rPr>
                  </w:pPr>
                </w:p>
                <w:p w:rsidR="00C0159A" w:rsidRDefault="00244C46">
                  <w:pPr>
                    <w:jc w:val="both"/>
                    <w:rPr>
                      <w:rFonts w:ascii="Arial" w:eastAsia="Arial" w:hAnsi="Arial" w:cs="Arial"/>
                      <w:sz w:val="18"/>
                      <w:szCs w:val="18"/>
                    </w:rPr>
                  </w:pPr>
                  <w:r>
                    <w:rPr>
                      <w:rFonts w:ascii="Arial" w:eastAsia="Arial" w:hAnsi="Arial" w:cs="Arial"/>
                      <w:sz w:val="18"/>
                      <w:szCs w:val="18"/>
                    </w:rPr>
                    <w:t>Dieciocho (18) meses contados a partir de la suscripción del Acta de Recibo Final del contrato de obra, a satisfacción por parte de la Interventoría y la Entidad o Acta de Toma de Posesión</w:t>
                  </w:r>
                </w:p>
              </w:tc>
              <w:tc>
                <w:tcPr>
                  <w:tcW w:w="2349" w:type="dxa"/>
                  <w:vAlign w:val="center"/>
                </w:tcPr>
                <w:p w:rsidR="00C0159A" w:rsidRDefault="00244C46">
                  <w:pPr>
                    <w:jc w:val="both"/>
                    <w:rPr>
                      <w:rFonts w:ascii="Arial" w:eastAsia="Arial" w:hAnsi="Arial" w:cs="Arial"/>
                      <w:sz w:val="18"/>
                      <w:szCs w:val="18"/>
                    </w:rPr>
                  </w:pPr>
                  <w:r>
                    <w:rPr>
                      <w:rFonts w:ascii="Arial" w:eastAsia="Arial" w:hAnsi="Arial" w:cs="Arial"/>
                      <w:sz w:val="18"/>
                      <w:szCs w:val="18"/>
                    </w:rPr>
                    <w:t>Equivalente al treinta por ciento (30%) del valor total del contrat</w:t>
                  </w:r>
                  <w:r>
                    <w:rPr>
                      <w:rFonts w:ascii="Arial" w:eastAsia="Arial" w:hAnsi="Arial" w:cs="Arial"/>
                      <w:sz w:val="18"/>
                      <w:szCs w:val="18"/>
                    </w:rPr>
                    <w:t>o</w:t>
                  </w:r>
                </w:p>
              </w:tc>
            </w:tr>
          </w:tbl>
          <w:p w:rsidR="00C0159A" w:rsidRDefault="00C0159A">
            <w:pPr>
              <w:jc w:val="both"/>
              <w:rPr>
                <w:rFonts w:ascii="Arial" w:eastAsia="Arial" w:hAnsi="Arial" w:cs="Arial"/>
                <w:sz w:val="20"/>
                <w:szCs w:val="20"/>
              </w:rPr>
            </w:pPr>
          </w:p>
          <w:p w:rsidR="00C0159A" w:rsidRDefault="00C0159A">
            <w:pPr>
              <w:jc w:val="both"/>
              <w:rPr>
                <w:rFonts w:ascii="Arial" w:eastAsia="Arial" w:hAnsi="Arial" w:cs="Arial"/>
                <w:sz w:val="20"/>
                <w:szCs w:val="20"/>
              </w:rPr>
            </w:pP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lastRenderedPageBreak/>
              <w:t>Tomador</w:t>
            </w:r>
          </w:p>
        </w:tc>
        <w:tc>
          <w:tcPr>
            <w:tcW w:w="7273" w:type="dxa"/>
            <w:vAlign w:val="center"/>
          </w:tcPr>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w:t>
            </w:r>
            <w:r>
              <w:rPr>
                <w:rFonts w:ascii="Arial" w:eastAsia="Arial" w:hAnsi="Arial" w:cs="Arial"/>
                <w:color w:val="000000"/>
                <w:sz w:val="20"/>
                <w:szCs w:val="20"/>
              </w:rPr>
              <w:t>el referido documento se exprese que la sociedad podrá denominarse de esa manera.</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o de la Unión Temporal. Cuando el Contratista sea una Unión Temporal o u</w:t>
            </w:r>
            <w:r>
              <w:rPr>
                <w:rFonts w:ascii="Arial" w:eastAsia="Arial" w:hAnsi="Arial" w:cs="Arial"/>
                <w:color w:val="000000"/>
                <w:sz w:val="20"/>
                <w:szCs w:val="20"/>
              </w:rPr>
              <w:t>n Consorcio, se debe incluir el nombre de la estructura plural, el NIT y el porcentaje de participación de cada uno de los integrantes.</w:t>
            </w:r>
          </w:p>
          <w:p w:rsidR="00C0159A" w:rsidRDefault="00244C46">
            <w:pPr>
              <w:numPr>
                <w:ilvl w:val="0"/>
                <w:numId w:val="30"/>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el Interventor conformado por una estructura plural (Unión Temporal, Consorcio): la Garantía deberá ser otorgada por todos los integrantes del Interventor, para lo cual se deberá relacionar claramente los miembros, su identificación y el porcentaje de</w:t>
            </w:r>
            <w:r>
              <w:rPr>
                <w:rFonts w:ascii="Arial" w:eastAsia="Arial" w:hAnsi="Arial" w:cs="Arial"/>
                <w:color w:val="000000"/>
                <w:sz w:val="20"/>
                <w:szCs w:val="20"/>
              </w:rPr>
              <w:t xml:space="preserve"> participación, quienes para todos los efectos serán los otorgantes de la misma.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Interventor</w:t>
            </w:r>
          </w:p>
          <w:p w:rsidR="00C0159A" w:rsidRDefault="00244C46">
            <w:pPr>
              <w:numPr>
                <w:ilvl w:val="0"/>
                <w:numId w:val="30"/>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Interventor está obligado a restablecer el valor de la Garantía cuando esta se vea reducida por razón de las reclamaciones que efectúe la Entidad, así como a ampliar las Garantías en los eventos de adición, suspensión y/o prórroga del contrato. El no re</w:t>
      </w:r>
      <w:r>
        <w:rPr>
          <w:rFonts w:ascii="Arial" w:eastAsia="Arial" w:hAnsi="Arial" w:cs="Arial"/>
          <w:sz w:val="20"/>
          <w:szCs w:val="20"/>
        </w:rPr>
        <w:t>stablecimiento de la Garantía por parte del Interventor o su no adición o prórroga, según el caso, constituye causal de incumplimiento del contrato y se iniciarán los procesos sancionatorios a que haya lugar.</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55"/>
        </w:numPr>
        <w:pBdr>
          <w:top w:val="nil"/>
          <w:left w:val="nil"/>
          <w:bottom w:val="nil"/>
          <w:right w:val="nil"/>
          <w:between w:val="nil"/>
        </w:pBdr>
        <w:spacing w:after="0" w:line="240" w:lineRule="auto"/>
        <w:ind w:left="1077"/>
        <w:jc w:val="both"/>
      </w:pPr>
      <w:bookmarkStart w:id="77" w:name="_heading=h.s91r8djywlc4" w:colFirst="0" w:colLast="0"/>
      <w:bookmarkEnd w:id="77"/>
      <w:r>
        <w:rPr>
          <w:rFonts w:ascii="Arial" w:eastAsia="Arial" w:hAnsi="Arial" w:cs="Arial"/>
          <w:b/>
          <w:bCs/>
          <w:color w:val="000000"/>
          <w:sz w:val="20"/>
          <w:szCs w:val="20"/>
        </w:rPr>
        <w:t>DEL AMPARO DE CALIDAD DEL SERVICIO EN LA GARAN</w:t>
      </w:r>
      <w:r>
        <w:rPr>
          <w:rFonts w:ascii="Arial" w:eastAsia="Arial" w:hAnsi="Arial" w:cs="Arial"/>
          <w:b/>
          <w:bCs/>
          <w:color w:val="000000"/>
          <w:sz w:val="20"/>
          <w:szCs w:val="20"/>
        </w:rPr>
        <w:t>TÍA ÚNICA DE CUMPLIMIENTO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relación con el amparo de calidad del servicio de la Garantía única de cumplimiento, se tendrá en cuenta que el Interventor será responsable por los perjuicios causados a la Entidad producidos con posterioridad a la terminació</w:t>
      </w:r>
      <w:r>
        <w:rPr>
          <w:rFonts w:ascii="Arial" w:eastAsia="Arial" w:hAnsi="Arial" w:cs="Arial"/>
          <w:sz w:val="20"/>
          <w:szCs w:val="20"/>
        </w:rPr>
        <w:t>n del contrato y que se compruebe tienen origen en una de dos hipótesis: (i) mala calidad o precariedad de los productos entregados como resultado de la celebración de un contrato estatal y (ii) mala calidad del servicio prestado, siempre y cuando se acred</w:t>
      </w:r>
      <w:r>
        <w:rPr>
          <w:rFonts w:ascii="Arial" w:eastAsia="Arial" w:hAnsi="Arial" w:cs="Arial"/>
          <w:sz w:val="20"/>
          <w:szCs w:val="20"/>
        </w:rPr>
        <w:t>ite que éstos son imputables al Contratista.</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55"/>
        </w:numPr>
        <w:pBdr>
          <w:top w:val="nil"/>
          <w:left w:val="nil"/>
          <w:bottom w:val="nil"/>
          <w:right w:val="nil"/>
          <w:between w:val="nil"/>
        </w:pBdr>
        <w:spacing w:after="0" w:line="240" w:lineRule="auto"/>
        <w:ind w:left="1077"/>
        <w:jc w:val="both"/>
      </w:pPr>
      <w:bookmarkStart w:id="78" w:name="_heading=h.w3n2vgc0fpxv" w:colFirst="0" w:colLast="0"/>
      <w:bookmarkEnd w:id="78"/>
      <w:r>
        <w:rPr>
          <w:rFonts w:ascii="Arial" w:eastAsia="Arial" w:hAnsi="Arial" w:cs="Arial"/>
          <w:b/>
          <w:bCs/>
          <w:color w:val="000000"/>
          <w:sz w:val="20"/>
          <w:szCs w:val="20"/>
        </w:rPr>
        <w:t>GARANTÍA DE RESPONSABILIDAD CIVIL EXTRACONTRACTUAL</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contratista deberá contratar un seguro que ampare la responsabilidad civil extracontractual de la Entidad con las siguientes características:</w:t>
      </w:r>
    </w:p>
    <w:p w:rsidR="00C0159A" w:rsidRDefault="00C0159A">
      <w:pPr>
        <w:spacing w:after="0" w:line="240" w:lineRule="auto"/>
        <w:jc w:val="both"/>
        <w:rPr>
          <w:rFonts w:ascii="Arial" w:eastAsia="Arial" w:hAnsi="Arial" w:cs="Arial"/>
          <w:sz w:val="20"/>
          <w:szCs w:val="20"/>
        </w:rPr>
      </w:pPr>
    </w:p>
    <w:tbl>
      <w:tblPr>
        <w:tblStyle w:val="a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C0159A">
        <w:trPr>
          <w:trHeight w:val="340"/>
          <w:tblHeader/>
        </w:trPr>
        <w:tc>
          <w:tcPr>
            <w:tcW w:w="1555"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Característica</w:t>
            </w:r>
          </w:p>
        </w:tc>
        <w:tc>
          <w:tcPr>
            <w:tcW w:w="7273" w:type="dxa"/>
            <w:shd w:val="clear" w:color="auto" w:fill="404040"/>
            <w:vAlign w:val="center"/>
          </w:tcPr>
          <w:p w:rsidR="00C0159A" w:rsidRDefault="00244C46">
            <w:pPr>
              <w:jc w:val="center"/>
              <w:rPr>
                <w:rFonts w:ascii="Arial" w:eastAsia="Arial" w:hAnsi="Arial" w:cs="Arial"/>
                <w:b/>
                <w:bCs/>
                <w:color w:val="FFFFFF"/>
                <w:sz w:val="20"/>
                <w:szCs w:val="20"/>
              </w:rPr>
            </w:pPr>
            <w:r>
              <w:rPr>
                <w:rFonts w:ascii="Arial" w:eastAsia="Arial" w:hAnsi="Arial" w:cs="Arial"/>
                <w:b/>
                <w:bCs/>
                <w:color w:val="FFFFFF"/>
                <w:sz w:val="20"/>
                <w:szCs w:val="20"/>
              </w:rPr>
              <w:t>Condición</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Contrato de seguro contenido en una póliza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Asegurados</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Instituto de Desarrollo Urbano – IDU identificada con NIT 899.999.081-6 y el contratista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w:t>
            </w:r>
            <w:r>
              <w:rPr>
                <w:rFonts w:ascii="Arial" w:eastAsia="Arial" w:hAnsi="Arial" w:cs="Arial"/>
                <w:color w:val="000000"/>
                <w:sz w:val="20"/>
                <w:szCs w:val="20"/>
              </w:rPr>
              <w:t>el referido documento se exprese que la sociedad podrá denominarse de esa manera.</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w:t>
            </w:r>
            <w:r>
              <w:rPr>
                <w:rFonts w:ascii="Arial" w:eastAsia="Arial" w:hAnsi="Arial" w:cs="Arial"/>
                <w:color w:val="000000"/>
                <w:sz w:val="20"/>
                <w:szCs w:val="20"/>
              </w:rPr>
              <w:t>ir razón social, NIT y porcentaje de participación de cada uno de los integrantes.</w:t>
            </w:r>
          </w:p>
          <w:p w:rsidR="00C0159A" w:rsidRDefault="00244C46">
            <w:pPr>
              <w:numPr>
                <w:ilvl w:val="0"/>
                <w:numId w:val="30"/>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el contratista conformado por una estructura plural (unión temporal, consorcio): la garantía deberá ser otorgada por todos los integrantes de la estructura plural, para</w:t>
            </w:r>
            <w:r>
              <w:rPr>
                <w:rFonts w:ascii="Arial" w:eastAsia="Arial" w:hAnsi="Arial" w:cs="Arial"/>
                <w:color w:val="000000"/>
                <w:sz w:val="20"/>
                <w:szCs w:val="20"/>
              </w:rPr>
              <w:t xml:space="preserve"> lo cual se deberá relacionar claramente los integrantes, su identificación y porcentaje de participación, quienes para todos los efectos serán los otorgantes de la misma.</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Valor</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Trescientos (300) SMMLV</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Desde la aprobación de la garantía única e igual al período de ejecución del contrato.</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Beneficiarios</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Terceros afectados y Instituto de Desarrollo Urbano – IDU identificada con NIT 899.999.081-6</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rsidR="00C0159A" w:rsidRDefault="00244C46">
            <w:pPr>
              <w:jc w:val="both"/>
              <w:rPr>
                <w:rFonts w:ascii="Arial" w:eastAsia="Arial" w:hAnsi="Arial" w:cs="Arial"/>
                <w:sz w:val="20"/>
                <w:szCs w:val="20"/>
              </w:rPr>
            </w:pPr>
            <w:r>
              <w:rPr>
                <w:rFonts w:ascii="Arial" w:eastAsia="Arial" w:hAnsi="Arial" w:cs="Arial"/>
                <w:sz w:val="20"/>
                <w:szCs w:val="20"/>
              </w:rPr>
              <w:t>Responsabilidad Civil Extracontractual de la entidad</w:t>
            </w:r>
            <w:r>
              <w:rPr>
                <w:rFonts w:ascii="Arial" w:eastAsia="Arial" w:hAnsi="Arial" w:cs="Arial"/>
                <w:sz w:val="20"/>
                <w:szCs w:val="20"/>
              </w:rPr>
              <w:t>, derivada de las actuaciones, hechos u omisiones del contratista o subcontratistas autorizados. El seguro de responsabilidad civil extracontractual debe contener como mínimo los amparos descritos en el numeral 3º del artículo 2.2.1.2.3.2.9 del Decreto 108</w:t>
            </w:r>
            <w:r>
              <w:rPr>
                <w:rFonts w:ascii="Arial" w:eastAsia="Arial" w:hAnsi="Arial" w:cs="Arial"/>
                <w:sz w:val="20"/>
                <w:szCs w:val="20"/>
              </w:rPr>
              <w:t>2 de 2015.</w:t>
            </w:r>
          </w:p>
        </w:tc>
      </w:tr>
      <w:tr w:rsidR="00C0159A">
        <w:tc>
          <w:tcPr>
            <w:tcW w:w="1555"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rsidR="00C0159A" w:rsidRDefault="00244C46">
            <w:pPr>
              <w:numPr>
                <w:ilvl w:val="0"/>
                <w:numId w:val="30"/>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rsidR="00C0159A" w:rsidRDefault="00244C46">
            <w:pPr>
              <w:numPr>
                <w:ilvl w:val="0"/>
                <w:numId w:val="30"/>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esta póliza solamente se podrán pactar deducibles con un tope máximo del diez por ciento (10%) del valor de cada pérdida sin que en ningún caso puedan ser superiores a dos mil (2.000) SMMLV.</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Este seguro deberá constituirse y presentarse para aprobación</w:t>
      </w:r>
      <w:r>
        <w:rPr>
          <w:rFonts w:ascii="Arial" w:eastAsia="Arial" w:hAnsi="Arial" w:cs="Arial"/>
          <w:sz w:val="20"/>
          <w:szCs w:val="20"/>
        </w:rPr>
        <w:t xml:space="preserve"> de la entidad, dentro del mismo término establecido para la garantía única de cumplimiento.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franquicias, coaseguros obligatorios y demás formas de estipulación que conlleven asunción de parte de la pérdida por la entidad asegurada no serán admisible</w:t>
      </w:r>
      <w:r>
        <w:rPr>
          <w:rFonts w:ascii="Arial" w:eastAsia="Arial" w:hAnsi="Arial" w:cs="Arial"/>
          <w:sz w:val="20"/>
          <w:szCs w:val="20"/>
        </w:rPr>
        <w:t>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contratista deberá anexar el comprobante de pago de la prima del seguro de responsabilidad civil extracontractual.</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79" w:name="_heading=h.9911dhpv8qcw" w:colFirst="0" w:colLast="0"/>
      <w:bookmarkEnd w:id="79"/>
      <w:r>
        <w:rPr>
          <w:rFonts w:ascii="Arial" w:eastAsia="Arial" w:hAnsi="Arial" w:cs="Arial"/>
          <w:b/>
          <w:bCs/>
          <w:color w:val="000000"/>
          <w:sz w:val="20"/>
          <w:szCs w:val="20"/>
        </w:rPr>
        <w:lastRenderedPageBreak/>
        <w:t>MINUTA Y CONDICIONES DEL CONTRATO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Las condiciones de ejecución del contrato están previstas en el “Anexo 5 – Minuta del Contrato</w:t>
      </w:r>
      <w:r>
        <w:rPr>
          <w:rFonts w:ascii="Arial" w:eastAsia="Arial" w:hAnsi="Arial" w:cs="Arial"/>
          <w:sz w:val="20"/>
          <w:szCs w:val="20"/>
        </w:rPr>
        <w:t xml:space="preserve"> de Interventoría”. Dentro de estas condiciones se incluye la forma de pago, el pago anticipado, el anticipo, obligaciones y derechos generales del Interventor, obligaciones de la Entidad, Garantías, multas, cláusula penal y otras condiciones particulares </w:t>
      </w:r>
      <w:r>
        <w:rPr>
          <w:rFonts w:ascii="Arial" w:eastAsia="Arial" w:hAnsi="Arial" w:cs="Arial"/>
          <w:sz w:val="20"/>
          <w:szCs w:val="20"/>
        </w:rPr>
        <w:t xml:space="preserve">aplicables al negocio jurídico a celebrar.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adjudicatario debe presentar el Registro Único Tributario –RUT– y demás documentos necesarios para celebrar el contrato. </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45"/>
        </w:numPr>
        <w:pBdr>
          <w:top w:val="nil"/>
          <w:left w:val="nil"/>
          <w:bottom w:val="nil"/>
          <w:right w:val="nil"/>
          <w:between w:val="nil"/>
        </w:pBdr>
        <w:spacing w:after="0" w:line="240" w:lineRule="auto"/>
        <w:ind w:left="567" w:hanging="567"/>
        <w:jc w:val="both"/>
      </w:pPr>
      <w:bookmarkStart w:id="80" w:name="_heading=h.p4628471u1y3" w:colFirst="0" w:colLast="0"/>
      <w:bookmarkEnd w:id="80"/>
      <w:r>
        <w:rPr>
          <w:rFonts w:ascii="Arial" w:eastAsia="Arial" w:hAnsi="Arial" w:cs="Arial"/>
          <w:b/>
          <w:bCs/>
          <w:color w:val="000000"/>
          <w:sz w:val="20"/>
          <w:szCs w:val="20"/>
        </w:rPr>
        <w:t>INFORMACIÓN PARA EL CONTROL DE LA EJECUCIÓN DE LA OBRA</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Interventor presentará al supervisor respectivo, dentro de los días establecidos en el Anexo 5 – Minuta los documentos que se relacionan a continuación, debidamente diligenciados de conformidad con</w:t>
      </w:r>
      <w:r>
        <w:rPr>
          <w:rFonts w:ascii="Arial" w:eastAsia="Arial" w:hAnsi="Arial" w:cs="Arial"/>
          <w:sz w:val="20"/>
          <w:szCs w:val="20"/>
        </w:rPr>
        <w:t xml:space="preserve"> el Pliego de Condiciones: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Soportes académicos y de experiencia de todos los integrantes del equipo de trabajo, incluidos los miembros del Personal Clave Evaluable las cuales serán verificadas posterior a la celebración del contrato. </w:t>
      </w:r>
    </w:p>
    <w:p w:rsidR="00C0159A" w:rsidRDefault="00244C46">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Programa de interventoría.</w:t>
      </w:r>
    </w:p>
    <w:p w:rsidR="00C0159A" w:rsidRDefault="00244C46">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Ficha técnica del papel a utilizar en relación con el factor de sostenibilidad previsto en el numeral 4.3. del Pliego de Condiciones. </w:t>
      </w:r>
    </w:p>
    <w:p w:rsidR="00C0159A" w:rsidRDefault="00244C46">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demás que puedan exigirse en el Pliego de Condiciones.</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El supervisor revisará los documen</w:t>
      </w:r>
      <w:r>
        <w:rPr>
          <w:rFonts w:ascii="Arial" w:eastAsia="Arial" w:hAnsi="Arial" w:cs="Arial"/>
          <w:sz w:val="20"/>
          <w:szCs w:val="20"/>
        </w:rPr>
        <w:t>tos presentados por el interventor en un término no mayor a los días establecidos en el Anexo 5 – Minuta. En caso de existir algún requerimiento por escrito por parte del supervisor, el Interventor debe atenderlo en un término no mayor a los días estableci</w:t>
      </w:r>
      <w:r>
        <w:rPr>
          <w:rFonts w:ascii="Arial" w:eastAsia="Arial" w:hAnsi="Arial" w:cs="Arial"/>
          <w:sz w:val="20"/>
          <w:szCs w:val="20"/>
        </w:rPr>
        <w:t xml:space="preserve">dos en el Anexo 5 – Minuta, so pena de incurrir en causal de incumplimiento del contrato. </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Una vez se cumpla con lo exigido en el Pliego de Condiciones, el supervisor emitirá su concepto favorable mediante comunicación dirigida al Interventor, con copia a</w:t>
      </w:r>
      <w:r>
        <w:rPr>
          <w:rFonts w:ascii="Arial" w:eastAsia="Arial" w:hAnsi="Arial" w:cs="Arial"/>
          <w:sz w:val="20"/>
          <w:szCs w:val="20"/>
        </w:rPr>
        <w:t xml:space="preserve"> la Entidad.</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45"/>
        </w:numPr>
        <w:pBdr>
          <w:top w:val="nil"/>
          <w:left w:val="nil"/>
          <w:bottom w:val="nil"/>
          <w:right w:val="nil"/>
          <w:between w:val="nil"/>
        </w:pBdr>
        <w:spacing w:after="0" w:line="240" w:lineRule="auto"/>
        <w:ind w:left="567" w:hanging="567"/>
        <w:jc w:val="both"/>
      </w:pPr>
      <w:bookmarkStart w:id="81" w:name="_heading=h.9tg5molt9y38" w:colFirst="0" w:colLast="0"/>
      <w:bookmarkEnd w:id="81"/>
      <w:r>
        <w:rPr>
          <w:rFonts w:ascii="Arial" w:eastAsia="Arial" w:hAnsi="Arial" w:cs="Arial"/>
          <w:b/>
          <w:bCs/>
          <w:color w:val="000000"/>
          <w:sz w:val="20"/>
          <w:szCs w:val="20"/>
        </w:rPr>
        <w:t>ANTICIPO Y/O PAGO ANTICIPADO</w:t>
      </w: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jc w:val="both"/>
        <w:rPr>
          <w:rFonts w:ascii="Arial" w:eastAsia="Arial" w:hAnsi="Arial" w:cs="Arial"/>
          <w:sz w:val="20"/>
          <w:szCs w:val="20"/>
        </w:rPr>
      </w:pPr>
      <w:r>
        <w:rPr>
          <w:rFonts w:ascii="Arial" w:eastAsia="Arial" w:hAnsi="Arial" w:cs="Arial"/>
          <w:sz w:val="20"/>
          <w:szCs w:val="20"/>
        </w:rPr>
        <w:t>En el Proceso de Contratación la Entidad no entregará al Interventor Anticipo y/o Pago Anticipado.</w:t>
      </w: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82" w:name="_heading=h.62hwkacu25pd" w:colFirst="0" w:colLast="0"/>
      <w:bookmarkEnd w:id="82"/>
      <w:r>
        <w:rPr>
          <w:rFonts w:ascii="Arial" w:eastAsia="Arial" w:hAnsi="Arial" w:cs="Arial"/>
          <w:b/>
          <w:bCs/>
          <w:color w:val="000000"/>
          <w:sz w:val="20"/>
          <w:szCs w:val="20"/>
        </w:rPr>
        <w:lastRenderedPageBreak/>
        <w:t>CONDICIONES DE ACREDITACIÓN DE LA EXPERIENCIA DEL PROPONENTE, Y LA EXPERIENCIA Y FORMACIÓN ACADÉMICA DEL EQUIPO DE TRABAJO Y EL PERSONAL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1"/>
          <w:numId w:val="46"/>
        </w:numPr>
        <w:pBdr>
          <w:top w:val="nil"/>
          <w:left w:val="nil"/>
          <w:bottom w:val="nil"/>
          <w:right w:val="nil"/>
          <w:between w:val="nil"/>
        </w:pBdr>
        <w:spacing w:after="0" w:line="240" w:lineRule="auto"/>
        <w:ind w:left="567" w:hanging="567"/>
        <w:jc w:val="both"/>
      </w:pPr>
      <w:bookmarkStart w:id="83" w:name="_heading=h.ipdzv04d6ejf" w:colFirst="0" w:colLast="0"/>
      <w:bookmarkEnd w:id="83"/>
      <w:r>
        <w:rPr>
          <w:rFonts w:ascii="Arial" w:eastAsia="Arial" w:hAnsi="Arial" w:cs="Arial"/>
          <w:b/>
          <w:bCs/>
          <w:color w:val="000000"/>
          <w:sz w:val="20"/>
          <w:szCs w:val="20"/>
        </w:rPr>
        <w:t>ACREDITACIÓN DE LA EXPERIENCIA DEL PROPONENTE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que a los Proponentes se les otorgue puntaje por su experiencia aportarán: (i) el Registro Único de Proponentes (RUP), para aquellos que estén obligados a tenerlo;(ii) alguno de los documentos válidos señalados en el numeral 10.1.5 del Pliego de Condi</w:t>
      </w:r>
      <w:r>
        <w:rPr>
          <w:rFonts w:ascii="Arial" w:eastAsia="Arial" w:hAnsi="Arial" w:cs="Arial"/>
          <w:color w:val="000000"/>
          <w:sz w:val="20"/>
          <w:szCs w:val="20"/>
        </w:rPr>
        <w:t>ciones que acredite su experiencia relacionada en el RUP.</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w:t>
      </w:r>
      <w:r>
        <w:rPr>
          <w:rFonts w:ascii="Arial" w:eastAsia="Arial" w:hAnsi="Arial" w:cs="Arial"/>
          <w:color w:val="000000"/>
          <w:sz w:val="20"/>
          <w:szCs w:val="20"/>
        </w:rPr>
        <w:t>mbargo, este documento no otorga puntaje y tampoco se exime a los proponentes de no presentarlo, en tal sentido no será tenido en cuenta para efectos de ponderación de la experiencia de las ofertas.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Proponentes que estén obligados a estar inscrit</w:t>
      </w:r>
      <w:r>
        <w:rPr>
          <w:rFonts w:ascii="Arial" w:eastAsia="Arial" w:hAnsi="Arial" w:cs="Arial"/>
          <w:color w:val="000000"/>
          <w:sz w:val="20"/>
          <w:szCs w:val="20"/>
        </w:rPr>
        <w:t>os en el Registro Único de Proponentes (RUP) solo serán tenidos en cuenta para la acreditación de la experiencia los contratos inscritos en dicho registro.</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tal que no sea posible validar la información mediante el Registro Único de Proponentes (RU</w:t>
      </w:r>
      <w:r>
        <w:rPr>
          <w:rFonts w:ascii="Arial" w:eastAsia="Arial" w:hAnsi="Arial" w:cs="Arial"/>
          <w:color w:val="000000"/>
          <w:sz w:val="20"/>
          <w:szCs w:val="20"/>
        </w:rPr>
        <w:t xml:space="preserve">P), el “Formato 3 – Experiencia”, o los documentos soporte, la Entidad no tendrá en cuenta dicho contrato para la evaluación y la asignación de puntaje.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podrán acreditar la experiencia proveniente de contratos celebrados con particulares </w:t>
      </w:r>
      <w:r>
        <w:rPr>
          <w:rFonts w:ascii="Arial" w:eastAsia="Arial" w:hAnsi="Arial" w:cs="Arial"/>
          <w:color w:val="000000"/>
          <w:sz w:val="20"/>
          <w:szCs w:val="20"/>
        </w:rPr>
        <w:t>o con Entidades. En ambos casos, los oferentes obligados a estar registrados en el Registro Único de proponentes (RUP) deberán aportar solo los contratos que estén inscritos en dicho registro. Igualmente, todos los contratos allegados tendrán que cumplir c</w:t>
      </w:r>
      <w:r>
        <w:rPr>
          <w:rFonts w:ascii="Arial" w:eastAsia="Arial" w:hAnsi="Arial" w:cs="Arial"/>
          <w:color w:val="000000"/>
          <w:sz w:val="20"/>
          <w:szCs w:val="20"/>
        </w:rPr>
        <w:t>on las exigencias de los numerales 10.1.1. a 10.1.5 de este Pliego de Condiciones.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de los Proponentes se efectuará de acuerdo con la experiencia contenida en el Registro Único de Proponentes (RUP) vigente y en firme antes del cierre del Proc</w:t>
      </w:r>
      <w:r>
        <w:rPr>
          <w:rFonts w:ascii="Arial" w:eastAsia="Arial" w:hAnsi="Arial" w:cs="Arial"/>
          <w:color w:val="000000"/>
          <w:sz w:val="20"/>
          <w:szCs w:val="20"/>
        </w:rPr>
        <w:t>eso de Contratación.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solo puede acreditar la experiencia que ha obtenido y no la experiencia de su matriz, subsidiarias o integrantes del mismo grupo empresarial.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b/>
          <w:bCs/>
          <w:color w:val="000000"/>
          <w:sz w:val="20"/>
          <w:szCs w:val="20"/>
        </w:rPr>
      </w:pPr>
      <w:r>
        <w:rPr>
          <w:rFonts w:ascii="Arial" w:eastAsia="Arial" w:hAnsi="Arial" w:cs="Arial"/>
          <w:b/>
          <w:bCs/>
          <w:color w:val="000000"/>
          <w:sz w:val="20"/>
          <w:szCs w:val="20"/>
        </w:rPr>
        <w:t>JUSTIFICACIÓN DE LA COMPLEJIDAD TÉCNICA: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iCs/>
          <w:color w:val="000000"/>
          <w:sz w:val="20"/>
          <w:szCs w:val="20"/>
        </w:rPr>
        <w:t>“Matriz 1 – Experiencia”</w:t>
      </w:r>
      <w:r>
        <w:rPr>
          <w:rFonts w:ascii="Arial" w:eastAsia="Arial" w:hAnsi="Arial" w:cs="Arial"/>
          <w:color w:val="000000"/>
          <w:sz w:val="20"/>
          <w:szCs w:val="20"/>
        </w:rPr>
        <w:t xml:space="preserv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1"/>
        <w:tblW w:w="8828" w:type="dxa"/>
        <w:tblInd w:w="0" w:type="dxa"/>
        <w:tblBorders>
          <w:top w:val="nil"/>
          <w:left w:val="nil"/>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C0159A">
        <w:trPr>
          <w:trHeight w:val="340"/>
        </w:trPr>
        <w:tc>
          <w:tcPr>
            <w:tcW w:w="2942" w:type="dxa"/>
            <w:shd w:val="clear" w:color="auto" w:fill="FFFFFF"/>
            <w:vAlign w:val="center"/>
          </w:tcPr>
          <w:p w:rsidR="00C0159A" w:rsidRDefault="00C0159A">
            <w:pPr>
              <w:pBdr>
                <w:top w:val="nil"/>
                <w:left w:val="nil"/>
                <w:bottom w:val="nil"/>
                <w:right w:val="nil"/>
                <w:between w:val="nil"/>
              </w:pBdr>
              <w:jc w:val="center"/>
              <w:rPr>
                <w:rFonts w:ascii="Arial" w:eastAsia="Arial" w:hAnsi="Arial" w:cs="Arial"/>
                <w:b/>
                <w:bCs/>
                <w:color w:val="FFFFFF"/>
                <w:sz w:val="20"/>
                <w:szCs w:val="20"/>
              </w:rPr>
            </w:pPr>
          </w:p>
        </w:tc>
        <w:tc>
          <w:tcPr>
            <w:tcW w:w="2943"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Baja – Media Complejidad</w:t>
            </w:r>
          </w:p>
        </w:tc>
        <w:tc>
          <w:tcPr>
            <w:tcW w:w="2943"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Alta Complejidad</w:t>
            </w:r>
          </w:p>
        </w:tc>
      </w:tr>
      <w:tr w:rsidR="00C0159A">
        <w:trPr>
          <w:trHeight w:val="340"/>
        </w:trPr>
        <w:tc>
          <w:tcPr>
            <w:tcW w:w="2942"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Complejidad técnica del proyecto y Matriz 1 – Experiencia</w:t>
            </w:r>
          </w:p>
        </w:tc>
        <w:tc>
          <w:tcPr>
            <w:tcW w:w="2943" w:type="dxa"/>
            <w:vAlign w:val="center"/>
          </w:tcPr>
          <w:p w:rsidR="00C0159A" w:rsidRDefault="00244C46">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sz w:val="20"/>
                <w:szCs w:val="20"/>
              </w:rPr>
              <w:t>X</w:t>
            </w:r>
          </w:p>
        </w:tc>
        <w:tc>
          <w:tcPr>
            <w:tcW w:w="2943" w:type="dxa"/>
            <w:vAlign w:val="center"/>
          </w:tcPr>
          <w:p w:rsidR="00C0159A" w:rsidRDefault="00C0159A">
            <w:pPr>
              <w:pBdr>
                <w:top w:val="nil"/>
                <w:left w:val="nil"/>
                <w:bottom w:val="nil"/>
                <w:right w:val="nil"/>
                <w:between w:val="nil"/>
              </w:pBdr>
              <w:jc w:val="center"/>
              <w:rPr>
                <w:rFonts w:ascii="Arial" w:eastAsia="Arial" w:hAnsi="Arial" w:cs="Arial"/>
                <w:color w:val="000000"/>
                <w:sz w:val="20"/>
                <w:szCs w:val="20"/>
                <w:highlight w:val="lightGray"/>
              </w:rPr>
            </w:pPr>
          </w:p>
        </w:tc>
      </w:tr>
      <w:tr w:rsidR="00C0159A">
        <w:trPr>
          <w:trHeight w:val="340"/>
        </w:trPr>
        <w:tc>
          <w:tcPr>
            <w:tcW w:w="2942"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lastRenderedPageBreak/>
              <w:t>Justificación de la complejidad técnica de la Matriz 1 - Experiencia</w:t>
            </w:r>
          </w:p>
        </w:tc>
        <w:tc>
          <w:tcPr>
            <w:tcW w:w="5886" w:type="dxa"/>
            <w:gridSpan w:val="2"/>
            <w:vAlign w:val="center"/>
          </w:tcPr>
          <w:p w:rsidR="00C0159A" w:rsidRDefault="00244C46">
            <w:pPr>
              <w:ind w:left="123" w:right="297"/>
              <w:jc w:val="both"/>
              <w:rPr>
                <w:rFonts w:ascii="Arial" w:eastAsia="Arial" w:hAnsi="Arial" w:cs="Arial"/>
                <w:i/>
                <w:iCs/>
                <w:sz w:val="20"/>
                <w:szCs w:val="20"/>
              </w:rPr>
            </w:pPr>
            <w:r>
              <w:rPr>
                <w:rFonts w:ascii="Arial" w:eastAsia="Arial" w:hAnsi="Arial" w:cs="Arial"/>
                <w:sz w:val="20"/>
                <w:szCs w:val="20"/>
              </w:rPr>
              <w:t xml:space="preserve">El presente proceso corresponde a un proyecto de </w:t>
            </w:r>
            <w:r>
              <w:rPr>
                <w:rFonts w:ascii="Arial" w:eastAsia="Arial" w:hAnsi="Arial" w:cs="Arial"/>
                <w:b/>
                <w:bCs/>
                <w:sz w:val="20"/>
                <w:szCs w:val="20"/>
              </w:rPr>
              <w:t>media complejidad</w:t>
            </w:r>
            <w:r>
              <w:rPr>
                <w:rFonts w:ascii="Arial" w:eastAsia="Arial" w:hAnsi="Arial" w:cs="Arial"/>
                <w:sz w:val="20"/>
                <w:szCs w:val="20"/>
              </w:rPr>
              <w:t xml:space="preserve"> de acuerdo con lo estipulado en el Manual de maduración de proyectos del IDU Versión 1 en el </w:t>
            </w:r>
            <w:r>
              <w:rPr>
                <w:rFonts w:ascii="Arial" w:eastAsia="Arial" w:hAnsi="Arial" w:cs="Arial"/>
                <w:i/>
                <w:iCs/>
                <w:sz w:val="20"/>
                <w:szCs w:val="20"/>
              </w:rPr>
              <w:t>numeral 6.3 Tipología de proyectos:</w:t>
            </w:r>
          </w:p>
          <w:p w:rsidR="00C0159A" w:rsidRDefault="00C0159A">
            <w:pPr>
              <w:ind w:left="123" w:right="297"/>
              <w:jc w:val="both"/>
              <w:rPr>
                <w:rFonts w:ascii="Arial" w:eastAsia="Arial" w:hAnsi="Arial" w:cs="Arial"/>
                <w:i/>
                <w:iCs/>
                <w:sz w:val="20"/>
                <w:szCs w:val="20"/>
              </w:rPr>
            </w:pPr>
          </w:p>
          <w:p w:rsidR="00C0159A" w:rsidRDefault="00244C46">
            <w:pPr>
              <w:ind w:left="123" w:right="297"/>
              <w:jc w:val="both"/>
              <w:rPr>
                <w:rFonts w:ascii="Arial" w:eastAsia="Arial" w:hAnsi="Arial" w:cs="Arial"/>
                <w:b/>
                <w:bCs/>
                <w:i/>
                <w:iCs/>
                <w:sz w:val="20"/>
                <w:szCs w:val="20"/>
              </w:rPr>
            </w:pPr>
            <w:r>
              <w:rPr>
                <w:rFonts w:ascii="Arial" w:eastAsia="Arial" w:hAnsi="Arial" w:cs="Arial"/>
                <w:i/>
                <w:iCs/>
                <w:sz w:val="20"/>
                <w:szCs w:val="20"/>
              </w:rPr>
              <w:t>“…Los proyectos a cargo del IDU, en el marco de sus competencias y funciones, son los asociados a la Estructura Funcional y d</w:t>
            </w:r>
            <w:r>
              <w:rPr>
                <w:rFonts w:ascii="Arial" w:eastAsia="Arial" w:hAnsi="Arial" w:cs="Arial"/>
                <w:i/>
                <w:iCs/>
                <w:sz w:val="20"/>
                <w:szCs w:val="20"/>
              </w:rPr>
              <w:t xml:space="preserve">el Cuidado, definida en el Plan de Ordenamiento Territorial mediante el Decreto 555 de 2021 </w:t>
            </w:r>
            <w:r>
              <w:rPr>
                <w:rFonts w:ascii="Arial" w:eastAsia="Arial" w:hAnsi="Arial" w:cs="Arial"/>
                <w:b/>
                <w:bCs/>
                <w:i/>
                <w:iCs/>
                <w:sz w:val="20"/>
                <w:szCs w:val="20"/>
              </w:rPr>
              <w:t xml:space="preserve">“Por el cual se adopta la revisión general del Plan de Ordenamiento Territorial de Bogotá D.C.” </w:t>
            </w:r>
            <w:r>
              <w:rPr>
                <w:rFonts w:ascii="Arial" w:eastAsia="Arial" w:hAnsi="Arial" w:cs="Arial"/>
                <w:i/>
                <w:iCs/>
                <w:sz w:val="20"/>
                <w:szCs w:val="20"/>
              </w:rPr>
              <w:t>(…)</w:t>
            </w:r>
          </w:p>
          <w:p w:rsidR="00C0159A" w:rsidRDefault="00C0159A">
            <w:pPr>
              <w:ind w:left="123" w:right="297"/>
              <w:jc w:val="both"/>
              <w:rPr>
                <w:rFonts w:ascii="Arial" w:eastAsia="Arial" w:hAnsi="Arial" w:cs="Arial"/>
                <w:i/>
                <w:iCs/>
                <w:sz w:val="20"/>
                <w:szCs w:val="20"/>
              </w:rPr>
            </w:pP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Esta estructura está conformada por los siguientes sistemas:</w:t>
            </w: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a)</w:t>
            </w:r>
            <w:r>
              <w:rPr>
                <w:rFonts w:ascii="Arial" w:eastAsia="Arial" w:hAnsi="Arial" w:cs="Arial"/>
                <w:i/>
                <w:iCs/>
                <w:sz w:val="20"/>
                <w:szCs w:val="20"/>
              </w:rPr>
              <w:t xml:space="preserve"> Sistema de Espacio Público Peatonal para el encuentro.</w:t>
            </w: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b) Sistema de Movilidad.</w:t>
            </w: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c) Sistema del Cuidado y de Servicios Sociales.</w:t>
            </w: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d) Sistemas de Servicios Públicos.</w:t>
            </w:r>
          </w:p>
          <w:p w:rsidR="00C0159A" w:rsidRDefault="00C0159A">
            <w:pPr>
              <w:ind w:left="123" w:right="297"/>
              <w:jc w:val="both"/>
              <w:rPr>
                <w:rFonts w:ascii="Arial" w:eastAsia="Arial" w:hAnsi="Arial" w:cs="Arial"/>
                <w:i/>
                <w:iCs/>
                <w:sz w:val="20"/>
                <w:szCs w:val="20"/>
              </w:rPr>
            </w:pPr>
          </w:p>
          <w:p w:rsidR="00C0159A" w:rsidRDefault="00244C46">
            <w:pPr>
              <w:ind w:left="123" w:right="297"/>
              <w:jc w:val="both"/>
              <w:rPr>
                <w:rFonts w:ascii="Arial" w:eastAsia="Arial" w:hAnsi="Arial" w:cs="Arial"/>
                <w:i/>
                <w:iCs/>
                <w:sz w:val="20"/>
                <w:szCs w:val="20"/>
              </w:rPr>
            </w:pPr>
            <w:r>
              <w:rPr>
                <w:rFonts w:ascii="Arial" w:eastAsia="Arial" w:hAnsi="Arial" w:cs="Arial"/>
                <w:i/>
                <w:iCs/>
                <w:sz w:val="20"/>
                <w:szCs w:val="20"/>
              </w:rPr>
              <w:t xml:space="preserve">Los proyectos a cargo del IDU hacen parte de los sistemas a, b y d. Para adelantar su gestión se han dividido en proyectos de alta, media y baja complejidad, teniendo en cuenta en otras, las características asociadas a la escala de intervención, inversión </w:t>
            </w:r>
            <w:r>
              <w:rPr>
                <w:rFonts w:ascii="Arial" w:eastAsia="Arial" w:hAnsi="Arial" w:cs="Arial"/>
                <w:i/>
                <w:iCs/>
                <w:sz w:val="20"/>
                <w:szCs w:val="20"/>
              </w:rPr>
              <w:t>y alcance.</w:t>
            </w:r>
          </w:p>
          <w:p w:rsidR="00C0159A" w:rsidRDefault="00C0159A">
            <w:pPr>
              <w:ind w:left="123" w:right="297"/>
              <w:jc w:val="both"/>
              <w:rPr>
                <w:rFonts w:ascii="Arial" w:eastAsia="Arial" w:hAnsi="Arial" w:cs="Arial"/>
                <w:i/>
                <w:iCs/>
                <w:sz w:val="20"/>
                <w:szCs w:val="20"/>
              </w:rPr>
            </w:pPr>
          </w:p>
          <w:p w:rsidR="00C0159A" w:rsidRDefault="00244C46">
            <w:pPr>
              <w:ind w:left="123" w:right="297"/>
              <w:jc w:val="center"/>
              <w:rPr>
                <w:rFonts w:ascii="Arial" w:eastAsia="Arial" w:hAnsi="Arial" w:cs="Arial"/>
                <w:i/>
                <w:iCs/>
              </w:rPr>
            </w:pPr>
            <w:r>
              <w:rPr>
                <w:rFonts w:ascii="Arial" w:eastAsia="Arial" w:hAnsi="Arial" w:cs="Arial"/>
                <w:i/>
                <w:iCs/>
                <w:sz w:val="20"/>
                <w:szCs w:val="20"/>
              </w:rPr>
              <w:t>Tabla 1: Tipologia de proyectos clasificado como:</w:t>
            </w:r>
          </w:p>
          <w:tbl>
            <w:tblPr>
              <w:tblStyle w:val="af2"/>
              <w:tblW w:w="55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1134"/>
              <w:gridCol w:w="992"/>
              <w:gridCol w:w="1134"/>
              <w:gridCol w:w="1134"/>
            </w:tblGrid>
            <w:tr w:rsidR="00C0159A" w:rsidTr="009374E5">
              <w:trPr>
                <w:trHeight w:val="342"/>
              </w:trPr>
              <w:tc>
                <w:tcPr>
                  <w:tcW w:w="1199" w:type="dxa"/>
                </w:tcPr>
                <w:p w:rsidR="00C0159A" w:rsidRDefault="00244C46">
                  <w:pPr>
                    <w:spacing w:after="0" w:line="240" w:lineRule="auto"/>
                    <w:ind w:right="297"/>
                    <w:jc w:val="center"/>
                    <w:rPr>
                      <w:rFonts w:ascii="Arial" w:eastAsia="Arial" w:hAnsi="Arial" w:cs="Arial"/>
                      <w:i/>
                      <w:iCs/>
                      <w:sz w:val="14"/>
                      <w:szCs w:val="14"/>
                    </w:rPr>
                  </w:pPr>
                  <w:r>
                    <w:rPr>
                      <w:rFonts w:ascii="Arial" w:eastAsia="Arial" w:hAnsi="Arial" w:cs="Arial"/>
                      <w:i/>
                      <w:iCs/>
                      <w:sz w:val="14"/>
                      <w:szCs w:val="14"/>
                    </w:rPr>
                    <w:t>Sistema POT</w:t>
                  </w:r>
                </w:p>
              </w:tc>
              <w:tc>
                <w:tcPr>
                  <w:tcW w:w="1134" w:type="dxa"/>
                </w:tcPr>
                <w:p w:rsidR="00C0159A" w:rsidRDefault="00244C46">
                  <w:pPr>
                    <w:spacing w:after="0" w:line="240" w:lineRule="auto"/>
                    <w:ind w:right="297"/>
                    <w:jc w:val="center"/>
                    <w:rPr>
                      <w:rFonts w:ascii="Arial" w:eastAsia="Arial" w:hAnsi="Arial" w:cs="Arial"/>
                      <w:i/>
                      <w:iCs/>
                      <w:sz w:val="14"/>
                      <w:szCs w:val="14"/>
                    </w:rPr>
                  </w:pPr>
                  <w:r>
                    <w:rPr>
                      <w:rFonts w:ascii="Arial" w:eastAsia="Arial" w:hAnsi="Arial" w:cs="Arial"/>
                      <w:i/>
                      <w:iCs/>
                      <w:sz w:val="14"/>
                      <w:szCs w:val="14"/>
                    </w:rPr>
                    <w:t>Componentes del sistema</w:t>
                  </w:r>
                </w:p>
              </w:tc>
              <w:tc>
                <w:tcPr>
                  <w:tcW w:w="992" w:type="dxa"/>
                  <w:vAlign w:val="center"/>
                </w:tcPr>
                <w:p w:rsidR="00C0159A" w:rsidRDefault="00244C46">
                  <w:pPr>
                    <w:spacing w:after="0" w:line="240" w:lineRule="auto"/>
                    <w:jc w:val="center"/>
                    <w:rPr>
                      <w:rFonts w:ascii="Arial" w:eastAsia="Arial" w:hAnsi="Arial" w:cs="Arial"/>
                      <w:i/>
                      <w:iCs/>
                      <w:sz w:val="14"/>
                      <w:szCs w:val="14"/>
                    </w:rPr>
                  </w:pPr>
                  <w:r>
                    <w:rPr>
                      <w:rFonts w:ascii="Arial" w:eastAsia="Arial" w:hAnsi="Arial" w:cs="Arial"/>
                      <w:i/>
                      <w:iCs/>
                      <w:sz w:val="14"/>
                      <w:szCs w:val="14"/>
                    </w:rPr>
                    <w:t>Subcomponente</w:t>
                  </w:r>
                </w:p>
              </w:tc>
              <w:tc>
                <w:tcPr>
                  <w:tcW w:w="1134" w:type="dxa"/>
                </w:tcPr>
                <w:p w:rsidR="00C0159A" w:rsidRDefault="00244C46">
                  <w:pPr>
                    <w:spacing w:after="0" w:line="240" w:lineRule="auto"/>
                    <w:ind w:right="-90"/>
                    <w:jc w:val="center"/>
                    <w:rPr>
                      <w:rFonts w:ascii="Arial" w:eastAsia="Arial" w:hAnsi="Arial" w:cs="Arial"/>
                      <w:i/>
                      <w:iCs/>
                      <w:sz w:val="14"/>
                      <w:szCs w:val="14"/>
                    </w:rPr>
                  </w:pPr>
                  <w:r>
                    <w:rPr>
                      <w:rFonts w:ascii="Arial" w:eastAsia="Arial" w:hAnsi="Arial" w:cs="Arial"/>
                      <w:i/>
                      <w:iCs/>
                      <w:sz w:val="14"/>
                      <w:szCs w:val="14"/>
                    </w:rPr>
                    <w:t>Tipo de proyecto Clasificación IDU</w:t>
                  </w:r>
                </w:p>
              </w:tc>
              <w:tc>
                <w:tcPr>
                  <w:tcW w:w="1134" w:type="dxa"/>
                  <w:vAlign w:val="center"/>
                </w:tcPr>
                <w:p w:rsidR="00C0159A" w:rsidRDefault="00244C46">
                  <w:pPr>
                    <w:spacing w:after="0" w:line="240" w:lineRule="auto"/>
                    <w:ind w:hanging="184"/>
                    <w:jc w:val="center"/>
                    <w:rPr>
                      <w:rFonts w:ascii="Arial" w:eastAsia="Arial" w:hAnsi="Arial" w:cs="Arial"/>
                      <w:i/>
                      <w:iCs/>
                      <w:sz w:val="14"/>
                      <w:szCs w:val="14"/>
                    </w:rPr>
                  </w:pPr>
                  <w:r>
                    <w:rPr>
                      <w:rFonts w:ascii="Arial" w:eastAsia="Arial" w:hAnsi="Arial" w:cs="Arial"/>
                      <w:i/>
                      <w:iCs/>
                      <w:sz w:val="14"/>
                      <w:szCs w:val="14"/>
                    </w:rPr>
                    <w:t>Complejidad</w:t>
                  </w:r>
                </w:p>
              </w:tc>
            </w:tr>
            <w:tr w:rsidR="00C0159A" w:rsidTr="009374E5">
              <w:trPr>
                <w:trHeight w:val="322"/>
              </w:trPr>
              <w:tc>
                <w:tcPr>
                  <w:tcW w:w="1199" w:type="dxa"/>
                </w:tcPr>
                <w:p w:rsidR="00C0159A" w:rsidRDefault="00244C46">
                  <w:pPr>
                    <w:spacing w:after="0" w:line="240" w:lineRule="auto"/>
                    <w:ind w:right="297"/>
                    <w:jc w:val="both"/>
                    <w:rPr>
                      <w:rFonts w:ascii="Arial" w:eastAsia="Arial" w:hAnsi="Arial" w:cs="Arial"/>
                      <w:i/>
                      <w:iCs/>
                      <w:sz w:val="14"/>
                      <w:szCs w:val="14"/>
                    </w:rPr>
                  </w:pPr>
                  <w:r>
                    <w:rPr>
                      <w:rFonts w:ascii="Arial" w:eastAsia="Arial" w:hAnsi="Arial" w:cs="Arial"/>
                      <w:i/>
                      <w:iCs/>
                      <w:sz w:val="14"/>
                      <w:szCs w:val="14"/>
                    </w:rPr>
                    <w:t>Sistema de movilidad</w:t>
                  </w:r>
                </w:p>
              </w:tc>
              <w:tc>
                <w:tcPr>
                  <w:tcW w:w="1134" w:type="dxa"/>
                </w:tcPr>
                <w:p w:rsidR="00C0159A" w:rsidRDefault="00244C46">
                  <w:pPr>
                    <w:spacing w:after="0" w:line="240" w:lineRule="auto"/>
                    <w:ind w:right="297"/>
                    <w:jc w:val="both"/>
                    <w:rPr>
                      <w:rFonts w:ascii="Arial" w:eastAsia="Arial" w:hAnsi="Arial" w:cs="Arial"/>
                      <w:i/>
                      <w:iCs/>
                      <w:sz w:val="14"/>
                      <w:szCs w:val="14"/>
                    </w:rPr>
                  </w:pPr>
                  <w:r>
                    <w:rPr>
                      <w:rFonts w:ascii="Arial" w:eastAsia="Arial" w:hAnsi="Arial" w:cs="Arial"/>
                      <w:i/>
                      <w:iCs/>
                      <w:sz w:val="14"/>
                      <w:szCs w:val="14"/>
                    </w:rPr>
                    <w:t>Espacio Público para la movilidad</w:t>
                  </w:r>
                </w:p>
              </w:tc>
              <w:tc>
                <w:tcPr>
                  <w:tcW w:w="992" w:type="dxa"/>
                </w:tcPr>
                <w:p w:rsidR="00C0159A" w:rsidRDefault="00244C46">
                  <w:pPr>
                    <w:spacing w:after="0" w:line="240" w:lineRule="auto"/>
                    <w:jc w:val="both"/>
                    <w:rPr>
                      <w:rFonts w:ascii="Arial" w:eastAsia="Arial" w:hAnsi="Arial" w:cs="Arial"/>
                      <w:i/>
                      <w:iCs/>
                      <w:sz w:val="14"/>
                      <w:szCs w:val="14"/>
                    </w:rPr>
                  </w:pPr>
                  <w:r>
                    <w:rPr>
                      <w:rFonts w:ascii="Arial" w:eastAsia="Arial" w:hAnsi="Arial" w:cs="Arial"/>
                      <w:i/>
                      <w:iCs/>
                      <w:sz w:val="14"/>
                      <w:szCs w:val="14"/>
                    </w:rPr>
                    <w:t>Red vial, que incluye la malla arterial de integración regional, arterial, intermedia, local y las vías rurales</w:t>
                  </w:r>
                </w:p>
              </w:tc>
              <w:tc>
                <w:tcPr>
                  <w:tcW w:w="1134" w:type="dxa"/>
                </w:tcPr>
                <w:p w:rsidR="00C0159A" w:rsidRDefault="00244C46">
                  <w:pPr>
                    <w:spacing w:after="0" w:line="240" w:lineRule="auto"/>
                    <w:jc w:val="both"/>
                    <w:rPr>
                      <w:rFonts w:ascii="Arial" w:eastAsia="Arial" w:hAnsi="Arial" w:cs="Arial"/>
                      <w:i/>
                      <w:iCs/>
                      <w:sz w:val="14"/>
                      <w:szCs w:val="14"/>
                    </w:rPr>
                  </w:pPr>
                  <w:r>
                    <w:rPr>
                      <w:rFonts w:ascii="Arial" w:eastAsia="Arial" w:hAnsi="Arial" w:cs="Arial"/>
                      <w:i/>
                      <w:iCs/>
                      <w:sz w:val="14"/>
                      <w:szCs w:val="14"/>
                    </w:rPr>
                    <w:t>Conservación malla vial Arterial Troncal y no troncal, rutas SITP / Conservación puentes vehiculares.</w:t>
                  </w:r>
                </w:p>
              </w:tc>
              <w:tc>
                <w:tcPr>
                  <w:tcW w:w="1134" w:type="dxa"/>
                </w:tcPr>
                <w:p w:rsidR="00C0159A" w:rsidRDefault="00244C46">
                  <w:pPr>
                    <w:spacing w:after="0" w:line="240" w:lineRule="auto"/>
                    <w:ind w:right="297"/>
                    <w:jc w:val="center"/>
                    <w:rPr>
                      <w:rFonts w:ascii="Arial" w:eastAsia="Arial" w:hAnsi="Arial" w:cs="Arial"/>
                      <w:i/>
                      <w:iCs/>
                      <w:sz w:val="14"/>
                      <w:szCs w:val="14"/>
                    </w:rPr>
                  </w:pPr>
                  <w:r>
                    <w:rPr>
                      <w:rFonts w:ascii="Arial" w:eastAsia="Arial" w:hAnsi="Arial" w:cs="Arial"/>
                      <w:i/>
                      <w:iCs/>
                      <w:sz w:val="14"/>
                      <w:szCs w:val="14"/>
                    </w:rPr>
                    <w:t>Media</w:t>
                  </w:r>
                  <w:bookmarkStart w:id="84" w:name="_GoBack"/>
                  <w:bookmarkEnd w:id="84"/>
                </w:p>
              </w:tc>
            </w:tr>
          </w:tbl>
          <w:p w:rsidR="00C0159A" w:rsidRDefault="00C0159A">
            <w:pPr>
              <w:ind w:left="123" w:right="297"/>
              <w:jc w:val="center"/>
              <w:rPr>
                <w:rFonts w:ascii="Arial" w:eastAsia="Arial" w:hAnsi="Arial" w:cs="Arial"/>
                <w:sz w:val="20"/>
                <w:szCs w:val="20"/>
                <w:highlight w:val="lightGray"/>
              </w:rPr>
            </w:pPr>
          </w:p>
        </w:tc>
      </w:tr>
    </w:tbl>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sz w:val="20"/>
          <w:szCs w:val="20"/>
          <w:highlight w:val="lightGray"/>
        </w:rPr>
      </w:pPr>
      <w:r>
        <w:rPr>
          <w:rFonts w:ascii="Arial" w:eastAsia="Arial" w:hAnsi="Arial" w:cs="Arial"/>
          <w:color w:val="000000"/>
          <w:sz w:val="20"/>
          <w:szCs w:val="20"/>
        </w:rPr>
        <w:t xml:space="preserve">De conformidad con lo anterior, los requisitos de experiencia </w:t>
      </w:r>
      <w:r>
        <w:rPr>
          <w:rFonts w:ascii="Arial" w:eastAsia="Arial" w:hAnsi="Arial" w:cs="Arial"/>
          <w:sz w:val="20"/>
          <w:szCs w:val="20"/>
        </w:rPr>
        <w:t>exigidos para el Grupo</w:t>
      </w:r>
      <w:r>
        <w:rPr>
          <w:rFonts w:ascii="Arial" w:eastAsia="Arial" w:hAnsi="Arial" w:cs="Arial"/>
          <w:color w:val="000000"/>
          <w:sz w:val="20"/>
          <w:szCs w:val="20"/>
        </w:rPr>
        <w:t xml:space="preserve"> 1, 2 </w:t>
      </w:r>
      <w:r>
        <w:rPr>
          <w:rFonts w:ascii="Arial" w:eastAsia="Arial" w:hAnsi="Arial" w:cs="Arial"/>
          <w:sz w:val="20"/>
          <w:szCs w:val="20"/>
        </w:rPr>
        <w:t>y</w:t>
      </w:r>
      <w:r>
        <w:rPr>
          <w:rFonts w:ascii="Arial" w:eastAsia="Arial" w:hAnsi="Arial" w:cs="Arial"/>
          <w:color w:val="000000"/>
          <w:sz w:val="20"/>
          <w:szCs w:val="20"/>
        </w:rPr>
        <w:t xml:space="preserve"> 3 son: </w:t>
      </w:r>
    </w:p>
    <w:p w:rsidR="00C0159A" w:rsidRDefault="00C0159A">
      <w:pPr>
        <w:pBdr>
          <w:top w:val="nil"/>
          <w:left w:val="nil"/>
          <w:bottom w:val="nil"/>
          <w:right w:val="nil"/>
          <w:between w:val="nil"/>
        </w:pBdr>
        <w:spacing w:after="0" w:line="240" w:lineRule="auto"/>
        <w:jc w:val="both"/>
        <w:rPr>
          <w:rFonts w:ascii="Arial" w:eastAsia="Arial" w:hAnsi="Arial" w:cs="Arial"/>
          <w:sz w:val="20"/>
          <w:szCs w:val="20"/>
          <w:highlight w:val="lightGray"/>
        </w:rPr>
      </w:pPr>
    </w:p>
    <w:p w:rsidR="00C0159A" w:rsidRDefault="00244C46">
      <w:pPr>
        <w:pBdr>
          <w:top w:val="nil"/>
          <w:left w:val="nil"/>
          <w:bottom w:val="nil"/>
          <w:right w:val="nil"/>
          <w:between w:val="nil"/>
        </w:pBdr>
        <w:spacing w:after="0" w:line="240" w:lineRule="auto"/>
        <w:jc w:val="both"/>
        <w:rPr>
          <w:rFonts w:ascii="Arial" w:eastAsia="Arial" w:hAnsi="Arial" w:cs="Arial"/>
          <w:b/>
          <w:bCs/>
          <w:sz w:val="20"/>
          <w:szCs w:val="20"/>
        </w:rPr>
      </w:pPr>
      <w:r>
        <w:rPr>
          <w:rFonts w:ascii="Arial" w:eastAsia="Arial" w:hAnsi="Arial" w:cs="Arial"/>
          <w:b/>
          <w:bCs/>
          <w:sz w:val="20"/>
          <w:szCs w:val="20"/>
        </w:rPr>
        <w:t>ACTIVIDAD PRINCIPAL - MATRIZ 1 - EXPERIENCIA - DOCUMENTO TIPO DE  INTERVENTORÍA DE OBRA PÚBLICA DE INFRAESTRUCTURA DE TRANSPORTE – VERSIÓN 3– BAJA – MEDIA COMPLEJIDAD</w:t>
      </w:r>
    </w:p>
    <w:p w:rsidR="00C0159A" w:rsidRDefault="00C0159A">
      <w:pPr>
        <w:pBdr>
          <w:top w:val="nil"/>
          <w:left w:val="nil"/>
          <w:bottom w:val="nil"/>
          <w:right w:val="nil"/>
          <w:between w:val="nil"/>
        </w:pBdr>
        <w:spacing w:after="0" w:line="240" w:lineRule="auto"/>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Actividad 6.3 INTERVENTORÍA A PROYECTOS DE MANTENIMIENTO (RUTINARIO O PERIÓDICO) DE VÍAS</w:t>
      </w:r>
      <w:r>
        <w:rPr>
          <w:rFonts w:ascii="Arial" w:eastAsia="Arial" w:hAnsi="Arial" w:cs="Arial"/>
          <w:sz w:val="20"/>
          <w:szCs w:val="20"/>
        </w:rPr>
        <w:t xml:space="preserve"> URBANAS.</w:t>
      </w:r>
    </w:p>
    <w:p w:rsidR="00C0159A" w:rsidRDefault="00C0159A">
      <w:pPr>
        <w:pBdr>
          <w:top w:val="nil"/>
          <w:left w:val="nil"/>
          <w:bottom w:val="nil"/>
          <w:right w:val="nil"/>
          <w:between w:val="nil"/>
        </w:pBdr>
        <w:spacing w:after="0" w:line="240" w:lineRule="auto"/>
        <w:jc w:val="both"/>
        <w:rPr>
          <w:rFonts w:ascii="Arial" w:eastAsia="Arial" w:hAnsi="Arial" w:cs="Arial"/>
          <w:sz w:val="20"/>
          <w:szCs w:val="20"/>
          <w:highlight w:val="lightGray"/>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que el Proponente pretenda acreditar como experiencia deberán cumplir con las condiciones detalladas en los siguientes numerales.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5" w:name="_heading=h.lvdgfm5l7vmt" w:colFirst="0" w:colLast="0"/>
      <w:bookmarkEnd w:id="85"/>
      <w:r>
        <w:rPr>
          <w:rFonts w:ascii="Arial" w:eastAsia="Arial" w:hAnsi="Arial" w:cs="Arial"/>
          <w:b/>
          <w:bCs/>
          <w:color w:val="000000"/>
          <w:sz w:val="20"/>
          <w:szCs w:val="20"/>
        </w:rPr>
        <w:lastRenderedPageBreak/>
        <w:t>CARACTERÍSTICAS DE LOS CONTRATOS PRESENTADOS PARA ACREDITAR LA EXPERIENCIA DEL PROPONENTE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para acreditar la experiencia deben cumplir las siguientes características: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hayan contenido la ejecución de: </w:t>
      </w:r>
    </w:p>
    <w:p w:rsidR="00C0159A" w:rsidRDefault="00C0159A">
      <w:pPr>
        <w:pBdr>
          <w:top w:val="nil"/>
          <w:left w:val="nil"/>
          <w:bottom w:val="nil"/>
          <w:right w:val="nil"/>
          <w:between w:val="nil"/>
        </w:pBdr>
        <w:spacing w:after="0" w:line="240" w:lineRule="auto"/>
        <w:ind w:left="720"/>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b/>
          <w:bCs/>
          <w:sz w:val="20"/>
          <w:szCs w:val="20"/>
          <w:u w:val="single"/>
        </w:rPr>
      </w:pPr>
      <w:r>
        <w:rPr>
          <w:rFonts w:ascii="Arial" w:eastAsia="Arial" w:hAnsi="Arial" w:cs="Arial"/>
          <w:b/>
          <w:bCs/>
          <w:sz w:val="20"/>
          <w:szCs w:val="20"/>
          <w:u w:val="single"/>
        </w:rPr>
        <w:t>Grupo 1, 2 y 3:</w:t>
      </w:r>
    </w:p>
    <w:p w:rsidR="00C0159A" w:rsidRDefault="00C0159A">
      <w:pPr>
        <w:pBdr>
          <w:top w:val="nil"/>
          <w:left w:val="nil"/>
          <w:bottom w:val="nil"/>
          <w:right w:val="nil"/>
          <w:between w:val="nil"/>
        </w:pBdr>
        <w:spacing w:after="0" w:line="240" w:lineRule="auto"/>
        <w:ind w:left="720"/>
        <w:jc w:val="both"/>
        <w:rPr>
          <w:rFonts w:ascii="Arial" w:eastAsia="Arial" w:hAnsi="Arial" w:cs="Arial"/>
          <w:b/>
          <w:bCs/>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b/>
          <w:bCs/>
          <w:sz w:val="20"/>
          <w:szCs w:val="20"/>
        </w:rPr>
      </w:pPr>
      <w:r>
        <w:rPr>
          <w:rFonts w:ascii="Arial" w:eastAsia="Arial" w:hAnsi="Arial" w:cs="Arial"/>
          <w:b/>
          <w:bCs/>
          <w:sz w:val="20"/>
          <w:szCs w:val="20"/>
        </w:rPr>
        <w:t xml:space="preserve">ACTIVIDAD PRINCIPAL: </w:t>
      </w:r>
    </w:p>
    <w:p w:rsidR="00C0159A" w:rsidRDefault="00C0159A">
      <w:pPr>
        <w:pBdr>
          <w:top w:val="nil"/>
          <w:left w:val="nil"/>
          <w:bottom w:val="nil"/>
          <w:right w:val="nil"/>
          <w:between w:val="nil"/>
        </w:pBdr>
        <w:spacing w:after="0" w:line="240" w:lineRule="auto"/>
        <w:ind w:left="720"/>
        <w:jc w:val="both"/>
        <w:rPr>
          <w:rFonts w:ascii="Arial" w:eastAsia="Arial" w:hAnsi="Arial" w:cs="Arial"/>
          <w:b/>
          <w:bCs/>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i/>
          <w:iCs/>
          <w:sz w:val="20"/>
          <w:szCs w:val="20"/>
        </w:rPr>
      </w:pPr>
      <w:r>
        <w:rPr>
          <w:rFonts w:ascii="Arial" w:eastAsia="Arial" w:hAnsi="Arial" w:cs="Arial"/>
          <w:i/>
          <w:iCs/>
          <w:sz w:val="20"/>
          <w:szCs w:val="20"/>
        </w:rPr>
        <w:t>Actividad 6.3. - Matriz 1 - Experiencia "Documentos tipo de interventoria de obra pública de infraestructura de transporte - version 3"</w:t>
      </w:r>
    </w:p>
    <w:p w:rsidR="00C0159A" w:rsidRDefault="00C0159A">
      <w:pPr>
        <w:pBdr>
          <w:top w:val="nil"/>
          <w:left w:val="nil"/>
          <w:bottom w:val="nil"/>
          <w:right w:val="nil"/>
          <w:between w:val="nil"/>
        </w:pBdr>
        <w:spacing w:after="0" w:line="240" w:lineRule="auto"/>
        <w:ind w:left="720"/>
        <w:jc w:val="both"/>
        <w:rPr>
          <w:rFonts w:ascii="Arial" w:eastAsia="Arial" w:hAnsi="Arial" w:cs="Arial"/>
          <w:b/>
          <w:bCs/>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 xml:space="preserve">EXPERIENCIA GENERAL: </w:t>
      </w:r>
    </w:p>
    <w:p w:rsidR="00C0159A" w:rsidRDefault="00C0159A">
      <w:pPr>
        <w:pBdr>
          <w:top w:val="nil"/>
          <w:left w:val="nil"/>
          <w:bottom w:val="nil"/>
          <w:right w:val="nil"/>
          <w:between w:val="nil"/>
        </w:pBdr>
        <w:spacing w:after="0" w:line="240" w:lineRule="auto"/>
        <w:ind w:left="720"/>
        <w:jc w:val="both"/>
        <w:rPr>
          <w:rFonts w:ascii="Arial" w:eastAsia="Arial" w:hAnsi="Arial" w:cs="Arial"/>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INTERVENTORIA A LA CONSTRUCCIÓN O REHABILITACIÓN O MEJORAMIENTO O MANTENI</w:t>
      </w:r>
      <w:r>
        <w:rPr>
          <w:rFonts w:ascii="Arial" w:eastAsia="Arial" w:hAnsi="Arial" w:cs="Arial"/>
          <w:color w:val="000000"/>
          <w:sz w:val="20"/>
          <w:szCs w:val="20"/>
        </w:rPr>
        <w:t xml:space="preserve">MIENTO RUTINARIO O </w:t>
      </w:r>
      <w:r>
        <w:rPr>
          <w:rFonts w:ascii="Arial" w:eastAsia="Arial" w:hAnsi="Arial" w:cs="Arial"/>
          <w:sz w:val="20"/>
          <w:szCs w:val="20"/>
        </w:rPr>
        <w:t>MANTENIMIENTO</w:t>
      </w:r>
      <w:r>
        <w:rPr>
          <w:rFonts w:ascii="Arial" w:eastAsia="Arial" w:hAnsi="Arial" w:cs="Arial"/>
          <w:color w:val="000000"/>
          <w:sz w:val="20"/>
          <w:szCs w:val="20"/>
        </w:rPr>
        <w:t xml:space="preserve"> PERIÓDICO O REPAVIMENTACIÓN O PAVIMENTACIÓN O CONSERVACIÓN DE INFRAESTRUCTURA VIAL PARA TRÁFICO VEHICULAR DE VÍAS URBANAS O DE VÍAS PRIMARIAS O SECUNDARIAS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Nota 1: No se aceptará experiencia en contratos cuyo objeto o alcance sea exclusivamente en cualqu</w:t>
      </w:r>
      <w:r>
        <w:rPr>
          <w:rFonts w:ascii="Arial" w:eastAsia="Arial" w:hAnsi="Arial" w:cs="Arial"/>
          <w:color w:val="000000"/>
          <w:sz w:val="20"/>
          <w:szCs w:val="20"/>
        </w:rPr>
        <w:t>iera de las siguientes actividades de interventoría componentes de seguridad vial o semaforización o puentes.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aportada debe ser acorde con el objeto del Proceso de Contratación y con lo dispuesto por la “Matriz 1 – Experiencia”.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los procesos estructurados por lotes o segmentos, el Proponente podrá aportar mínimo uno (1) y máximo cinco (5) contr</w:t>
      </w:r>
      <w:r>
        <w:rPr>
          <w:rFonts w:ascii="Arial" w:eastAsia="Arial" w:hAnsi="Arial" w:cs="Arial"/>
          <w:color w:val="000000"/>
          <w:sz w:val="20"/>
          <w:szCs w:val="20"/>
        </w:rPr>
        <w:t xml:space="preserve">atos para cada uno de los lotes o segmentos o podrá allegar los mismos para todos los lotes o segmentos.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Proponente persona natural o jurídica que acredite la calidad de Mipyme o de emprendimiento y empresa de mujeres con domicilio en el territorio na</w:t>
      </w:r>
      <w:r>
        <w:rPr>
          <w:rFonts w:ascii="Arial" w:eastAsia="Arial" w:hAnsi="Arial" w:cs="Arial"/>
          <w:color w:val="000000"/>
          <w:sz w:val="20"/>
          <w:szCs w:val="20"/>
        </w:rPr>
        <w:t>cional, de conformidad con lo previsto en el artículo 2.2.1.13.2.2 del Decreto 1074 de 2015 y los artículos 2.2.1.2.4.2.4. y 2.2.1.2.4.2.14 del Decreto 1082 de 2015 o las normas que los modifiquen, sustituyan o complementen, podrá probar la experiencia sol</w:t>
      </w:r>
      <w:r>
        <w:rPr>
          <w:rFonts w:ascii="Arial" w:eastAsia="Arial" w:hAnsi="Arial" w:cs="Arial"/>
          <w:color w:val="000000"/>
          <w:sz w:val="20"/>
          <w:szCs w:val="20"/>
        </w:rPr>
        <w:t>icitada con un (1) contrato adicional a los cinco (5) inicialmente previstos, para un máximo de seis (6) contratos.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Proponente persona natural o jurídica pruebe la calidad de Mipyme y de emprendimiento y empresa de mujeres con domicilio </w:t>
      </w:r>
      <w:r>
        <w:rPr>
          <w:rFonts w:ascii="Arial" w:eastAsia="Arial" w:hAnsi="Arial" w:cs="Arial"/>
          <w:color w:val="000000"/>
          <w:sz w:val="20"/>
          <w:szCs w:val="20"/>
        </w:rPr>
        <w:t xml:space="preserve">en el territorio nacional de manera conjunta, podrá demostrar la experiencia solicitada con dos (2) contratos adicionales a los cinco (5) inicialmente previstos, para un  máximo de siete (7).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caso de Proponentes Plurales bastará con que uno de su</w:t>
      </w:r>
      <w:r>
        <w:rPr>
          <w:rFonts w:ascii="Arial" w:eastAsia="Arial" w:hAnsi="Arial" w:cs="Arial"/>
          <w:color w:val="000000"/>
          <w:sz w:val="20"/>
          <w:szCs w:val="20"/>
        </w:rPr>
        <w:t>s integrantes tenga una participación igual o superior al diez por ciento (10 %) en el Consorcio o en la Unión Temporal y acredite la calidad de Mipyme o emprendimiento y empresa de mujeres, de conformidad con lo previsto en el artículo 2.2.1.13.2.2 del De</w:t>
      </w:r>
      <w:r>
        <w:rPr>
          <w:rFonts w:ascii="Arial" w:eastAsia="Arial" w:hAnsi="Arial" w:cs="Arial"/>
          <w:color w:val="000000"/>
          <w:sz w:val="20"/>
          <w:szCs w:val="20"/>
        </w:rPr>
        <w:t xml:space="preserve">creto 1074 de 2015 y los artículos 2.2.1.2.4.2.4. y 2.2.1.2.4.2.14 del Decreto 1082 de 2015 o las normas que los modifiquen, </w:t>
      </w:r>
      <w:r>
        <w:rPr>
          <w:rFonts w:ascii="Arial" w:eastAsia="Arial" w:hAnsi="Arial" w:cs="Arial"/>
          <w:color w:val="000000"/>
          <w:sz w:val="20"/>
          <w:szCs w:val="20"/>
        </w:rPr>
        <w:lastRenderedPageBreak/>
        <w:t>sustituyan o complementen, para probar la experiencia solicitada con un (1) contrato adicional a los cinco (5) inicialmente previst</w:t>
      </w:r>
      <w:r>
        <w:rPr>
          <w:rFonts w:ascii="Arial" w:eastAsia="Arial" w:hAnsi="Arial" w:cs="Arial"/>
          <w:color w:val="000000"/>
          <w:sz w:val="20"/>
          <w:szCs w:val="20"/>
        </w:rPr>
        <w:t xml:space="preserve">os, para un máximo de seis (6) contratos.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evento de que el mismo integrante u otro que haga parte del Proponente Plural tenga una participación igual o superior al diez por ciento (10 %) en el Consorcio o en la Unión Temporal y acredite la calidad de Mipyme y de emprendimiento y empresa de m</w:t>
      </w:r>
      <w:r>
        <w:rPr>
          <w:rFonts w:ascii="Arial" w:eastAsia="Arial" w:hAnsi="Arial" w:cs="Arial"/>
          <w:color w:val="000000"/>
          <w:sz w:val="20"/>
          <w:szCs w:val="20"/>
        </w:rPr>
        <w:t>ujeres con domicilio en el territorio nacional de manera conjunta o separada, podrá demostrar la experiencia solicitada con dos (2) contratos adicionales a los cinco (5) inicialmente previstos, para un máximo de siete (7) contratos. En todo caso no será po</w:t>
      </w:r>
      <w:r>
        <w:rPr>
          <w:rFonts w:ascii="Arial" w:eastAsia="Arial" w:hAnsi="Arial" w:cs="Arial"/>
          <w:color w:val="000000"/>
          <w:sz w:val="20"/>
          <w:szCs w:val="20"/>
        </w:rPr>
        <w:t>sible aportar más de dos (2) contratos adicionales aun cuando otros integrantes del Proponente Plural también cumplan las condiciones previamente definidas.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acreditar la calidad de Mipyme, el Proponente entregará copia del certificado del Registro Ún</w:t>
      </w:r>
      <w:r>
        <w:rPr>
          <w:rFonts w:ascii="Arial" w:eastAsia="Arial" w:hAnsi="Arial" w:cs="Arial"/>
          <w:color w:val="000000"/>
          <w:sz w:val="20"/>
          <w:szCs w:val="20"/>
        </w:rPr>
        <w:t>ico de Proponentes (RUP), el cual deberá encontrarse vigente y en firme al momento de su presentación. Por su parte, la condición de emprendimientos y empresas de mujeres se probará mediante el diligenciamiento del “Formato 13 – Acreditación de emprendimie</w:t>
      </w:r>
      <w:r>
        <w:rPr>
          <w:rFonts w:ascii="Arial" w:eastAsia="Arial" w:hAnsi="Arial" w:cs="Arial"/>
          <w:color w:val="000000"/>
          <w:sz w:val="20"/>
          <w:szCs w:val="20"/>
        </w:rPr>
        <w:t xml:space="preserve">ntos y empresas de mujeres”, el cual deberá aportarse con la documentación requerida en el artículo 2.2.1.2.4.2.14 del Decreto 1082 de 2015, o la norma que la modifique o la sustituya.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los efectos de este literal entiéndase por experiencia solicitad</w:t>
      </w:r>
      <w:r>
        <w:rPr>
          <w:rFonts w:ascii="Arial" w:eastAsia="Arial" w:hAnsi="Arial" w:cs="Arial"/>
          <w:color w:val="000000"/>
          <w:sz w:val="20"/>
          <w:szCs w:val="20"/>
        </w:rPr>
        <w:t>a la general y la específica requerida en la actividad principal, al igual que la exigida para la actividad secundaria en atención a las combinaciones de experiencia aplicables y la experiencia adicional respecto de la interventoría a obras, bienes o servi</w:t>
      </w:r>
      <w:r>
        <w:rPr>
          <w:rFonts w:ascii="Arial" w:eastAsia="Arial" w:hAnsi="Arial" w:cs="Arial"/>
          <w:color w:val="000000"/>
          <w:sz w:val="20"/>
          <w:szCs w:val="20"/>
        </w:rPr>
        <w:t xml:space="preserve">cios ajenos a la obra pública de infraestructura de transporte.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Estar relacionados en el “Formato 3 – Experiencia”. Los Proponentes Plurales deben indicar qué integrante aporta cada uno de los contratos señalados en el “Formato 3 – Experiencia”. Este doc</w:t>
      </w:r>
      <w:r>
        <w:rPr>
          <w:rFonts w:ascii="Arial" w:eastAsia="Arial" w:hAnsi="Arial" w:cs="Arial"/>
          <w:color w:val="000000"/>
          <w:sz w:val="20"/>
          <w:szCs w:val="20"/>
        </w:rPr>
        <w:t xml:space="preserve">umento debe presentarlo el Proponente Plural y no sus integrantes.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Si el Proponente no diligencia el “Formato 3 – Experiencia”, la Entidad solicitará su subsanación, en los términos del numeral 1.6 del Pliego de condiciones.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embargo, este documento no otorga puntaje y tampoco se exime a </w:t>
      </w:r>
      <w:r>
        <w:rPr>
          <w:rFonts w:ascii="Arial" w:eastAsia="Arial" w:hAnsi="Arial" w:cs="Arial"/>
          <w:color w:val="000000"/>
          <w:sz w:val="20"/>
          <w:szCs w:val="20"/>
        </w:rPr>
        <w:t>los proponentes de no presentarlo, en tal sentido no será tenido en cuenta para efectos de ponderación de la experiencia de las ofertas.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“Formato 3 – Experiencia” deberá aportarse diligenciado preferiblemente en formato Excel.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deben ha</w:t>
      </w:r>
      <w:r>
        <w:rPr>
          <w:rFonts w:ascii="Arial" w:eastAsia="Arial" w:hAnsi="Arial" w:cs="Arial"/>
          <w:color w:val="000000"/>
          <w:sz w:val="20"/>
          <w:szCs w:val="20"/>
        </w:rPr>
        <w:t>ber terminado antes de la fecha de cierre del presente Proceso de Contratación. Esta fecha corresponde al momento de terminación de la ejecución del contrato, por lo que no necesariamente coincide con la de entrega y/o recibo final, liquidación, o acta fin</w:t>
      </w:r>
      <w:r>
        <w:rPr>
          <w:rFonts w:ascii="Arial" w:eastAsia="Arial" w:hAnsi="Arial" w:cs="Arial"/>
          <w:color w:val="000000"/>
          <w:sz w:val="20"/>
          <w:szCs w:val="20"/>
        </w:rPr>
        <w:t>al, salvo que de los documentos del numeral 10.1.5 de este Pliego de Condiciones se derive tal información.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Para los contratos que sean aportados por personas jurídicas que no cuentan con más de tres (3) años de constituidas y pretendan acreditar la exper</w:t>
      </w:r>
      <w:r>
        <w:rPr>
          <w:rFonts w:ascii="Arial" w:eastAsia="Arial" w:hAnsi="Arial" w:cs="Arial"/>
          <w:color w:val="000000"/>
          <w:sz w:val="20"/>
          <w:szCs w:val="20"/>
        </w:rPr>
        <w:t>iencia de sus socios, accionistas o constituyentes, en los términos establecidos en el numeral 2.5 del artículo 2.2.1.1.1.5.2. del Decreto 1082 de 2015, además del Registro Único de Proponentes (RUP), deben adjuntar un documento suscrito por el representan</w:t>
      </w:r>
      <w:r>
        <w:rPr>
          <w:rFonts w:ascii="Arial" w:eastAsia="Arial" w:hAnsi="Arial" w:cs="Arial"/>
          <w:color w:val="000000"/>
          <w:sz w:val="20"/>
          <w:szCs w:val="20"/>
        </w:rPr>
        <w:t>te legal y el revisor fiscal o contador público (según corresponda) donde se indique la conformación de la persona jurídica. La Entidad tendrá en cuenta la experiencia de los accionistas, socios o constituyentes de las sociedades con menos de tres (3) años</w:t>
      </w:r>
      <w:r>
        <w:rPr>
          <w:rFonts w:ascii="Arial" w:eastAsia="Arial" w:hAnsi="Arial" w:cs="Arial"/>
          <w:color w:val="000000"/>
          <w:sz w:val="20"/>
          <w:szCs w:val="20"/>
        </w:rPr>
        <w:t xml:space="preserve"> de constituidas. Pasado este tiempo, la sociedad conservará esta experiencia, tal y como haya quedado registrada en el RUP.</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 acuerdo con el inciso anterior, en los casos en que se presente un Proponente Plural conformado por una persona jurídica, en co</w:t>
      </w:r>
      <w:r>
        <w:rPr>
          <w:rFonts w:ascii="Arial" w:eastAsia="Arial" w:hAnsi="Arial" w:cs="Arial"/>
          <w:color w:val="000000"/>
          <w:sz w:val="20"/>
          <w:szCs w:val="20"/>
        </w:rPr>
        <w:t xml:space="preserve">njunto con sus socios, accionistas o constituyentes y se alleguen contratos en los que este le hayan transferido experiencia a aquella, solo podrán ser acreditados como experiencia en el Proceso de Contratación por uno de los integrantes, de manera que el </w:t>
      </w:r>
      <w:r>
        <w:rPr>
          <w:rFonts w:ascii="Arial" w:eastAsia="Arial" w:hAnsi="Arial" w:cs="Arial"/>
          <w:color w:val="000000"/>
          <w:sz w:val="20"/>
          <w:szCs w:val="20"/>
        </w:rPr>
        <w:t>Proponente Plural podrá demostrar la misma experiencia una sola vez.</w:t>
      </w:r>
    </w:p>
    <w:p w:rsidR="00C0159A" w:rsidRDefault="00244C46">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a la que se refiere este numeral podrá acreditarse mediante alguno o algunos de los documentos establecidos en el Pliego de Condiciones señalados en el numeral 10.1.5.</w:t>
      </w:r>
    </w:p>
    <w:p w:rsidR="00C0159A" w:rsidRDefault="00C0159A">
      <w:pPr>
        <w:spacing w:after="0" w:line="240" w:lineRule="auto"/>
        <w:jc w:val="both"/>
        <w:rPr>
          <w:rFonts w:ascii="Arial" w:eastAsia="Arial" w:hAnsi="Arial" w:cs="Arial"/>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6" w:name="_heading=h.56dfh4e6tpyv" w:colFirst="0" w:colLast="0"/>
      <w:bookmarkEnd w:id="86"/>
      <w:r>
        <w:rPr>
          <w:rFonts w:ascii="Arial" w:eastAsia="Arial" w:hAnsi="Arial" w:cs="Arial"/>
          <w:b/>
          <w:bCs/>
          <w:color w:val="000000"/>
          <w:sz w:val="20"/>
          <w:szCs w:val="20"/>
        </w:rPr>
        <w:t xml:space="preserve">CONSIDERACIONES PARA LA VALIDEZ DE LA EXPERIENCIA DEL PROPONENTE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tendrá en cuenta los siguientes aspectos para analizar la experiencia acreditada y que la misma sea válida para el otorgamiento de puntaje: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Clasificador de Bienes y Servi</w:t>
      </w:r>
      <w:r>
        <w:rPr>
          <w:rFonts w:ascii="Arial" w:eastAsia="Arial" w:hAnsi="Arial" w:cs="Arial"/>
          <w:color w:val="000000"/>
          <w:sz w:val="20"/>
          <w:szCs w:val="20"/>
        </w:rPr>
        <w:t>cios el segmento correspondiente para la clasificación de la experiencia es el 81.</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únicamente podrá exigir para la verificación de la experiencia los contratos celebrados por el interesado, identificados con el Clasificador de Bienes y Servicio</w:t>
      </w:r>
      <w:r>
        <w:rPr>
          <w:rFonts w:ascii="Arial" w:eastAsia="Arial" w:hAnsi="Arial" w:cs="Arial"/>
          <w:color w:val="000000"/>
          <w:sz w:val="20"/>
          <w:szCs w:val="20"/>
        </w:rPr>
        <w:t>s hasta el tercer nivel.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relaciona o anexa más de cinco (5) contratos en el “Formato 3 – Experiencia”, para efectos de evaluar la experiencia únicamente se tendrán en cuenta los cinco (5) contratos afectados por su porcentaje de participa</w:t>
      </w:r>
      <w:r>
        <w:rPr>
          <w:rFonts w:ascii="Arial" w:eastAsia="Arial" w:hAnsi="Arial" w:cs="Arial"/>
          <w:color w:val="000000"/>
          <w:sz w:val="20"/>
          <w:szCs w:val="20"/>
        </w:rPr>
        <w:t xml:space="preserve">ción obtengan el mayor valor.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Tratándose de Proponentes Plurales se tendrá en cuenta lo siguiente: i) uno de los integrantes debe aportar como mínimo el cincuenta por ciento (50 %) de la experiencia solicitada; ii) los demás integrantes deben acreditar al menos el cinco por ciento (5 %</w:t>
      </w:r>
      <w:r>
        <w:rPr>
          <w:rFonts w:ascii="Arial" w:eastAsia="Arial" w:hAnsi="Arial" w:cs="Arial"/>
          <w:color w:val="000000"/>
          <w:sz w:val="20"/>
          <w:szCs w:val="20"/>
        </w:rPr>
        <w:t>) de la experiencia solicitada; y iii) sin perjuicio de lo anterior, solo uno (1) de los integrantes, si así lo considera pertinente, podrá no demostrar experiencia. En este último caso, el porcentaje de participación del integrante que no aporta experienc</w:t>
      </w:r>
      <w:r>
        <w:rPr>
          <w:rFonts w:ascii="Arial" w:eastAsia="Arial" w:hAnsi="Arial" w:cs="Arial"/>
          <w:color w:val="000000"/>
          <w:sz w:val="20"/>
          <w:szCs w:val="20"/>
        </w:rPr>
        <w:t>ia en la estructura plural no podrá superar el diez por ciento (10 %).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Estos porcentajes que acreditarán los integrantes del Proponente Plural se podrán cumplir con contratos válidos que acrediten cualquier requisito de experiencia solicitada en el Pliego</w:t>
      </w:r>
      <w:r>
        <w:rPr>
          <w:rFonts w:ascii="Arial" w:eastAsia="Arial" w:hAnsi="Arial" w:cs="Arial"/>
          <w:color w:val="000000"/>
          <w:sz w:val="20"/>
          <w:szCs w:val="20"/>
        </w:rPr>
        <w:t xml:space="preserve"> de Condiciones y se verificará de conformidad con el porcentaje mínimo de experiencia exigido en el numeral 3.8.1., esto es, frente al cien por ciento (100 %) del Presupuesto Oficial.</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armonía con lo anterior, para cumplir el requisito previsto en este</w:t>
      </w:r>
      <w:r>
        <w:rPr>
          <w:rFonts w:ascii="Arial" w:eastAsia="Arial" w:hAnsi="Arial" w:cs="Arial"/>
          <w:color w:val="000000"/>
          <w:sz w:val="20"/>
          <w:szCs w:val="20"/>
        </w:rPr>
        <w:t xml:space="preserve"> literal no se solicitará la acreditación de longitudes, magnitudes, volúmenes o porcentajes requeridos en la experiencia específica, sino que bastará con acreditar los SMMLV.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caso de que el Proceso de Contratación se adelante por lotes o por segmento</w:t>
      </w:r>
      <w:r>
        <w:rPr>
          <w:rFonts w:ascii="Arial" w:eastAsia="Arial" w:hAnsi="Arial" w:cs="Arial"/>
          <w:color w:val="000000"/>
          <w:sz w:val="20"/>
          <w:szCs w:val="20"/>
        </w:rPr>
        <w:t>s este porcentaje de experiencia mínima se verificará en relación con el cien por ciento (100 %) del valor total del Presupuesto Oficial establecido para cada lote o segmento.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w:t>
      </w:r>
      <w:r>
        <w:rPr>
          <w:rFonts w:ascii="Arial" w:eastAsia="Arial" w:hAnsi="Arial" w:cs="Arial"/>
          <w:color w:val="000000"/>
          <w:sz w:val="20"/>
          <w:szCs w:val="20"/>
        </w:rPr>
        <w:t>do en Consorcio o en Unión Temporal, el porcentaje de participación del integrante será el registrado en el Registro Único de Proponentes (RUP) de este, o en alguno de los documentos válidos para probar la experiencia en caso de que el integrante no esté o</w:t>
      </w:r>
      <w:r>
        <w:rPr>
          <w:rFonts w:ascii="Arial" w:eastAsia="Arial" w:hAnsi="Arial" w:cs="Arial"/>
          <w:color w:val="000000"/>
          <w:sz w:val="20"/>
          <w:szCs w:val="20"/>
        </w:rPr>
        <w:t xml:space="preserve">bligado a tener RUP.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o en Unión Temporal, el valor a considerar será el registrado en el Registro Único de Proponentes (RUP), o documento válido, en caso de qu</w:t>
      </w:r>
      <w:r>
        <w:rPr>
          <w:rFonts w:ascii="Arial" w:eastAsia="Arial" w:hAnsi="Arial" w:cs="Arial"/>
          <w:color w:val="000000"/>
          <w:sz w:val="20"/>
          <w:szCs w:val="20"/>
        </w:rPr>
        <w:t>e el integrante no esté obligado a tener RUP. En estos casos la experiencia se multiplicará por el porcentaje de participación que tuvo el integrante o los integrantes.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el porcentaje (%) de dimensionamiento (según la longitud o magnitud requerida en el Proceso de Contratación)” exigido en la “Matriz 1 – Experiencia” se afectará</w:t>
      </w:r>
      <w:r>
        <w:rPr>
          <w:rFonts w:ascii="Arial" w:eastAsia="Arial" w:hAnsi="Arial" w:cs="Arial"/>
          <w:color w:val="000000"/>
          <w:sz w:val="20"/>
          <w:szCs w:val="20"/>
        </w:rPr>
        <w:t xml:space="preserve"> por el porcentaje de participación que tuvo el integrante o los integrantes.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Por su parte, si el contrato fue llevado a cabo como Unión Temporal, la acreditación del porcentaje (%) de dimensionamiento” se afectará de acuerdo con la distribución de activ</w:t>
      </w:r>
      <w:r>
        <w:rPr>
          <w:rFonts w:ascii="Arial" w:eastAsia="Arial" w:hAnsi="Arial" w:cs="Arial"/>
          <w:color w:val="000000"/>
          <w:sz w:val="20"/>
          <w:szCs w:val="20"/>
        </w:rPr>
        <w:t>idades y lo materialmente ejecutado, para lo cual se deberá allegar el documento de conformación de Proponente Plural que discrimine las actividades a cargo de cada uno de los integrantes o que de los documentos aportados para probar la experiencia se pued</w:t>
      </w:r>
      <w:r>
        <w:rPr>
          <w:rFonts w:ascii="Arial" w:eastAsia="Arial" w:hAnsi="Arial" w:cs="Arial"/>
          <w:color w:val="000000"/>
          <w:sz w:val="20"/>
          <w:szCs w:val="20"/>
        </w:rPr>
        <w:t>a determinar qué actividades realizó cada uno de los integrantes. En caso de que lo anterior no se logre determinar, la evaluación se realizará de conformidad con lo señalado en el párrafo precedente, respecto a los Consorcios.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w:t>
      </w:r>
      <w:r>
        <w:rPr>
          <w:rFonts w:ascii="Arial" w:eastAsia="Arial" w:hAnsi="Arial" w:cs="Arial"/>
          <w:color w:val="000000"/>
          <w:sz w:val="20"/>
          <w:szCs w:val="20"/>
        </w:rPr>
        <w:t xml:space="preserve"> El “dimensionamiento”</w:t>
      </w:r>
      <w:r>
        <w:rPr>
          <w:rFonts w:ascii="Arial" w:eastAsia="Arial" w:hAnsi="Arial" w:cs="Arial"/>
          <w:color w:val="000000"/>
          <w:sz w:val="20"/>
          <w:szCs w:val="20"/>
        </w:rPr>
        <w:t xml:space="preserve"> de este literal no aplica solamente a longitud de vías producto de la Interventoría, sino a cualquier dimensión o magnitud requerida en el Proceso de Contratación para acreditar la experiencia según la “Matriz 1 – Experiencia". Por ejemplo, interventorías</w:t>
      </w:r>
      <w:r>
        <w:rPr>
          <w:rFonts w:ascii="Arial" w:eastAsia="Arial" w:hAnsi="Arial" w:cs="Arial"/>
          <w:color w:val="000000"/>
          <w:sz w:val="20"/>
          <w:szCs w:val="20"/>
        </w:rPr>
        <w:t xml:space="preserve"> enfocadas en: longitud o luces libres de puentes vehiculares, metros cúbicos (volúmenes), en procesos de dragados marítimos o fluviales, longitudes de túneles, entre otros.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bCs/>
          <w:color w:val="000000"/>
          <w:sz w:val="20"/>
          <w:szCs w:val="20"/>
        </w:rPr>
        <w:t>Nota 2:</w:t>
      </w:r>
      <w:r>
        <w:rPr>
          <w:rFonts w:ascii="Arial" w:eastAsia="Arial" w:hAnsi="Arial" w:cs="Arial"/>
          <w:color w:val="000000"/>
          <w:sz w:val="20"/>
          <w:szCs w:val="20"/>
        </w:rPr>
        <w:t xml:space="preserve"> En los casos donde el contrato aportado se encuentre registrado en el RUP</w:t>
      </w:r>
      <w:r>
        <w:rPr>
          <w:rFonts w:ascii="Arial" w:eastAsia="Arial" w:hAnsi="Arial" w:cs="Arial"/>
          <w:color w:val="000000"/>
          <w:sz w:val="20"/>
          <w:szCs w:val="20"/>
        </w:rPr>
        <w:t xml:space="preserve"> como contrato celebrado por accionista, socio o constituyente, del proponente o su integrante, el porcentaje de dimensionamiento deberá ser determinado a través de uno o algunos de los documentos válidos para la acreditación de experiencia, en este caso, </w:t>
      </w:r>
      <w:r>
        <w:rPr>
          <w:rFonts w:ascii="Arial" w:eastAsia="Arial" w:hAnsi="Arial" w:cs="Arial"/>
          <w:color w:val="000000"/>
          <w:sz w:val="20"/>
          <w:szCs w:val="20"/>
        </w:rPr>
        <w:t>si la Entidad Estatal no puede corroborar la información el contrato no será tenido en cuenta para efectos de acreditación del porcentaje de dimensionamiento requerido. Cuando el contrato que se aporte para la experiencia haya sido ejecutado por un Consorc</w:t>
      </w:r>
      <w:r>
        <w:rPr>
          <w:rFonts w:ascii="Arial" w:eastAsia="Arial" w:hAnsi="Arial" w:cs="Arial"/>
          <w:color w:val="000000"/>
          <w:sz w:val="20"/>
          <w:szCs w:val="20"/>
        </w:rPr>
        <w:t xml:space="preserve">io o por una Unión Temporal, y dos (2) o más de sus integrantes conformen un Proponente Plural para participar en el presente proceso, dicho contrato se entenderá aportado como un (1) solo contrato y se </w:t>
      </w:r>
      <w:r>
        <w:rPr>
          <w:rFonts w:ascii="Arial" w:eastAsia="Arial" w:hAnsi="Arial" w:cs="Arial"/>
          <w:color w:val="000000"/>
          <w:sz w:val="20"/>
          <w:szCs w:val="20"/>
        </w:rPr>
        <w:lastRenderedPageBreak/>
        <w:t xml:space="preserve">tendrá en cuenta para el aporte de la experiencia la </w:t>
      </w:r>
      <w:r>
        <w:rPr>
          <w:rFonts w:ascii="Arial" w:eastAsia="Arial" w:hAnsi="Arial" w:cs="Arial"/>
          <w:color w:val="000000"/>
          <w:sz w:val="20"/>
          <w:szCs w:val="20"/>
        </w:rPr>
        <w:t>sumatoria de los porcentajes de los integrantes del Consorcio o de la Unión Temporal que ejecutaron el contrato y que están participando en el Proceso de Contratación, siempre y cuando en el “Formato 3 – Experiencia” se indique qué integrantes y porcentaje</w:t>
      </w:r>
      <w:r>
        <w:rPr>
          <w:rFonts w:ascii="Arial" w:eastAsia="Arial" w:hAnsi="Arial" w:cs="Arial"/>
          <w:color w:val="000000"/>
          <w:sz w:val="20"/>
          <w:szCs w:val="20"/>
        </w:rPr>
        <w:t xml:space="preserve">s de participación se ofrecen como experiencia.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evento en que no todos los integrantes que conforman la estructura plural indiquen su participación en el contrato que se aporta como experiencia en el “Formato 3 – Experiencia”, se tendrá en cuenta ú</w:t>
      </w:r>
      <w:r>
        <w:rPr>
          <w:rFonts w:ascii="Arial" w:eastAsia="Arial" w:hAnsi="Arial" w:cs="Arial"/>
          <w:color w:val="000000"/>
          <w:sz w:val="20"/>
          <w:szCs w:val="20"/>
        </w:rPr>
        <w:t>nicamente la participación del o los integrantes que la expresan. La Entidad hará la evaluación basada en el “Formato 3 - Experiencia”.  Para participar en el presente proceso se entenderá el contrato aportado como uno (1) solo y se tendrá en cuenta para e</w:t>
      </w:r>
      <w:r>
        <w:rPr>
          <w:rFonts w:ascii="Arial" w:eastAsia="Arial" w:hAnsi="Arial" w:cs="Arial"/>
          <w:color w:val="000000"/>
          <w:sz w:val="20"/>
          <w:szCs w:val="20"/>
        </w:rPr>
        <w:t>l aporte de la experiencia la sumatoria de los porcentajes de los integrantes del Consorcio o de la Unión Temporal que ejecutaron el contrato y que están participando en el Proceso de Contratación, siempre y cuando en el “Formato 3 – Experiencia” se indiqu</w:t>
      </w:r>
      <w:r>
        <w:rPr>
          <w:rFonts w:ascii="Arial" w:eastAsia="Arial" w:hAnsi="Arial" w:cs="Arial"/>
          <w:color w:val="000000"/>
          <w:sz w:val="20"/>
          <w:szCs w:val="20"/>
        </w:rPr>
        <w:t xml:space="preserve">e qué integrantes y porcentajes de participación se ofrecen como experiencia.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proyectos de concesiones en infraestructura de transporte únicamente se tendrá en cuenta la experiencia adquirida en la interventoría a la etapa constructiva y/o de intervención de la obra de infraestructura de transporte, la cual deberá ser demos</w:t>
      </w:r>
      <w:r>
        <w:rPr>
          <w:rFonts w:ascii="Arial" w:eastAsia="Arial" w:hAnsi="Arial" w:cs="Arial"/>
          <w:color w:val="000000"/>
          <w:sz w:val="20"/>
          <w:szCs w:val="20"/>
        </w:rPr>
        <w:t>trada con los documentos que la soporten. En consecuencia, no será válida la experiencia obtenida en la etapa de operación, administración y/o mantenimiento de la infraestructura concesionada.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e</w:t>
      </w:r>
      <w:r>
        <w:rPr>
          <w:rFonts w:ascii="Arial" w:eastAsia="Arial" w:hAnsi="Arial" w:cs="Arial"/>
          <w:color w:val="000000"/>
          <w:sz w:val="20"/>
          <w:szCs w:val="20"/>
        </w:rPr>
        <w:t>jecutados, para lo cual podrá presentar su experiencia expresada en SMMLV dentro del respectivo contrato correspondientes a la interventoría a la etapa constructiva y/o de intervención de infraestructura de transporte, empleando alguno de los documentos vá</w:t>
      </w:r>
      <w:r>
        <w:rPr>
          <w:rFonts w:ascii="Arial" w:eastAsia="Arial" w:hAnsi="Arial" w:cs="Arial"/>
          <w:color w:val="000000"/>
          <w:sz w:val="20"/>
          <w:szCs w:val="20"/>
        </w:rPr>
        <w:t>lidos establecidos en el numeral 10.1.5 del Pliego de Condiciones. En el evento que el proponente no aporte la experiencia expresada en SMMLV se aplicara la regla de conversión del literal B del numeral 1.12.</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evento en que los valores de los documen</w:t>
      </w:r>
      <w:r>
        <w:rPr>
          <w:rFonts w:ascii="Arial" w:eastAsia="Arial" w:hAnsi="Arial" w:cs="Arial"/>
          <w:color w:val="000000"/>
          <w:sz w:val="20"/>
          <w:szCs w:val="20"/>
        </w:rPr>
        <w:t xml:space="preserve">tos aportados se expresen en moneda extranjera se procederá de conformidad en el literal A del numeral 1.13 de este documento. Para este caso, la fecha de terminación de la interventoría a la etapa constructiva y/o de intervención de la infraestructura de </w:t>
      </w:r>
      <w:r>
        <w:rPr>
          <w:rFonts w:ascii="Arial" w:eastAsia="Arial" w:hAnsi="Arial" w:cs="Arial"/>
          <w:color w:val="000000"/>
          <w:sz w:val="20"/>
          <w:szCs w:val="20"/>
        </w:rPr>
        <w:t>trasporte hará las veces de fecha de terminación del contrato. Ahora, para la conversión de dichos valores a SMMLV se seguirá el proceso descrito en el literal B del numeral 1.13, para lo cual se emplearán los valores históricos de SMMLV señalados por el B</w:t>
      </w:r>
      <w:r>
        <w:rPr>
          <w:rFonts w:ascii="Arial" w:eastAsia="Arial" w:hAnsi="Arial" w:cs="Arial"/>
          <w:color w:val="000000"/>
          <w:sz w:val="20"/>
          <w:szCs w:val="20"/>
        </w:rPr>
        <w:t>anco de la República (</w:t>
      </w:r>
      <w:hyperlink r:id="rId19">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a la interventoría a la etapa constructiva y/o de intervención de infraestructura de transporte.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casos en que el Proponente no cumpla la exigencia antes señalada, la Entidad permitirá la subsanac</w:t>
      </w:r>
      <w:r>
        <w:rPr>
          <w:rFonts w:ascii="Arial" w:eastAsia="Arial" w:hAnsi="Arial" w:cs="Arial"/>
          <w:color w:val="000000"/>
          <w:sz w:val="20"/>
          <w:szCs w:val="20"/>
        </w:rPr>
        <w:t>ión, en los términos del numeral 1.6 del Pliego de Condiciones, requiriendo al Proponente para que demuestre los valores ejecutados. En caso de que el Proponente subsane, en relación con este contrato se aplicará lo dispuesto en el literal A) del numeral 4</w:t>
      </w:r>
      <w:r>
        <w:rPr>
          <w:rFonts w:ascii="Arial" w:eastAsia="Arial" w:hAnsi="Arial" w:cs="Arial"/>
          <w:color w:val="000000"/>
          <w:sz w:val="20"/>
          <w:szCs w:val="20"/>
        </w:rPr>
        <w:t>.1 del Pliego de Condiciones. De no lograrse la discriminación de los valores ejecutados en el marco del respectivo contrato, la Entidad no lo tendrá en cuenta para la evaluación ponderable, teniéndolo únicamente en cuenta si acredita experiencia habilitan</w:t>
      </w:r>
      <w:r>
        <w:rPr>
          <w:rFonts w:ascii="Arial" w:eastAsia="Arial" w:hAnsi="Arial" w:cs="Arial"/>
          <w:color w:val="000000"/>
          <w:sz w:val="20"/>
          <w:szCs w:val="20"/>
        </w:rPr>
        <w:t>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valor ejecutado que consta en el Registro Único de Proponentes (RUP) sea distinto al verificado en el documento aportado por el Proponente, la Entidad para </w:t>
      </w:r>
      <w:r>
        <w:rPr>
          <w:rFonts w:ascii="Arial" w:eastAsia="Arial" w:hAnsi="Arial" w:cs="Arial"/>
          <w:color w:val="000000"/>
          <w:sz w:val="20"/>
          <w:szCs w:val="20"/>
        </w:rPr>
        <w:lastRenderedPageBreak/>
        <w:t xml:space="preserve">evaluar el requisito de la experiencia tomará el dato del valor de alguno de </w:t>
      </w:r>
      <w:r>
        <w:rPr>
          <w:rFonts w:ascii="Arial" w:eastAsia="Arial" w:hAnsi="Arial" w:cs="Arial"/>
          <w:color w:val="000000"/>
          <w:sz w:val="20"/>
          <w:szCs w:val="20"/>
        </w:rPr>
        <w:t>los documentos válidos establecidos en el numeral 10.1.5. del Pliego de Condiciones. Lo anterior, debido a que estos últimos discriminan el valor ejecutado a la interventoría a la etapa constructiva y/o intervención de la obra de infraestructura de transpo</w:t>
      </w:r>
      <w:r>
        <w:rPr>
          <w:rFonts w:ascii="Arial" w:eastAsia="Arial" w:hAnsi="Arial" w:cs="Arial"/>
          <w:color w:val="000000"/>
          <w:sz w:val="20"/>
          <w:szCs w:val="20"/>
        </w:rPr>
        <w:t xml:space="preserve">rte.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auto certificaciones no servirán para acreditar la experiencia requerida, ya que con estas no se puede constatar la ejecución de contratos que deben certificar los terceros que recibieron la obra, bien o servicio. Para la aplicación de esta regl</w:t>
      </w:r>
      <w:r>
        <w:rPr>
          <w:rFonts w:ascii="Arial" w:eastAsia="Arial" w:hAnsi="Arial" w:cs="Arial"/>
          <w:color w:val="000000"/>
          <w:sz w:val="20"/>
          <w:szCs w:val="20"/>
        </w:rPr>
        <w:t xml:space="preserve">a, se entiende por auto certificaciones aquellas expedidas por el mismo Proponente, sus representantes, los integrantes del Proponente Plural o del mismo grupo empresarial para demostrar su propia experiencia.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7" w:name="_heading=h.em7x9tkal4vg" w:colFirst="0" w:colLast="0"/>
      <w:bookmarkEnd w:id="87"/>
      <w:r>
        <w:rPr>
          <w:rFonts w:ascii="Arial" w:eastAsia="Arial" w:hAnsi="Arial" w:cs="Arial"/>
          <w:b/>
          <w:bCs/>
          <w:color w:val="000000"/>
          <w:sz w:val="20"/>
          <w:szCs w:val="20"/>
        </w:rPr>
        <w:t>CLASIFICACIÓN DE LA EXPERIENCIA EN EL “CLASIFICADOR DE BIENES, OBRAS Y SERVICIOS DE LAS NACIONES UNIDAS”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aportados para efectos de acreditación de la experiencia requerida deben estar clasificados en alguno de los siguientes códigos: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3"/>
        <w:tblW w:w="69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8"/>
        <w:gridCol w:w="989"/>
        <w:gridCol w:w="750"/>
        <w:gridCol w:w="3933"/>
      </w:tblGrid>
      <w:tr w:rsidR="00C0159A">
        <w:trPr>
          <w:trHeight w:val="340"/>
          <w:tblHeader/>
          <w:jc w:val="center"/>
        </w:trPr>
        <w:tc>
          <w:tcPr>
            <w:tcW w:w="1268"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Segmen</w:t>
            </w:r>
            <w:r>
              <w:rPr>
                <w:rFonts w:ascii="Arial" w:eastAsia="Arial" w:hAnsi="Arial" w:cs="Arial"/>
                <w:b/>
                <w:bCs/>
                <w:color w:val="FFFFFF"/>
                <w:sz w:val="20"/>
                <w:szCs w:val="20"/>
              </w:rPr>
              <w:t>to</w:t>
            </w:r>
          </w:p>
        </w:tc>
        <w:tc>
          <w:tcPr>
            <w:tcW w:w="989"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Familia</w:t>
            </w:r>
          </w:p>
        </w:tc>
        <w:tc>
          <w:tcPr>
            <w:tcW w:w="750"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Clase</w:t>
            </w:r>
          </w:p>
        </w:tc>
        <w:tc>
          <w:tcPr>
            <w:tcW w:w="3934" w:type="dxa"/>
            <w:shd w:val="clear" w:color="auto" w:fill="404040"/>
            <w:vAlign w:val="center"/>
          </w:tcPr>
          <w:p w:rsidR="00C0159A" w:rsidRDefault="00244C46">
            <w:pPr>
              <w:pBdr>
                <w:top w:val="nil"/>
                <w:left w:val="nil"/>
                <w:bottom w:val="nil"/>
                <w:right w:val="nil"/>
                <w:between w:val="nil"/>
              </w:pBdr>
              <w:jc w:val="center"/>
              <w:rPr>
                <w:rFonts w:ascii="Arial" w:eastAsia="Arial" w:hAnsi="Arial" w:cs="Arial"/>
                <w:b/>
                <w:bCs/>
                <w:color w:val="FFFFFF"/>
                <w:sz w:val="20"/>
                <w:szCs w:val="20"/>
              </w:rPr>
            </w:pPr>
            <w:r>
              <w:rPr>
                <w:rFonts w:ascii="Arial" w:eastAsia="Arial" w:hAnsi="Arial" w:cs="Arial"/>
                <w:b/>
                <w:bCs/>
                <w:color w:val="FFFFFF"/>
                <w:sz w:val="20"/>
                <w:szCs w:val="20"/>
              </w:rPr>
              <w:t>Nombre</w:t>
            </w:r>
          </w:p>
        </w:tc>
      </w:tr>
      <w:tr w:rsidR="00C0159A">
        <w:trPr>
          <w:trHeight w:val="340"/>
          <w:jc w:val="center"/>
        </w:trPr>
        <w:tc>
          <w:tcPr>
            <w:tcW w:w="1268" w:type="dxa"/>
            <w:vAlign w:val="bottom"/>
          </w:tcPr>
          <w:p w:rsidR="00C0159A" w:rsidRDefault="00244C46">
            <w:pPr>
              <w:ind w:left="360" w:right="51"/>
              <w:jc w:val="center"/>
              <w:rPr>
                <w:rFonts w:ascii="Arial" w:eastAsia="Arial" w:hAnsi="Arial" w:cs="Arial"/>
                <w:sz w:val="20"/>
                <w:szCs w:val="20"/>
              </w:rPr>
            </w:pPr>
            <w:r>
              <w:rPr>
                <w:rFonts w:ascii="Arial" w:eastAsia="Arial" w:hAnsi="Arial" w:cs="Arial"/>
                <w:sz w:val="20"/>
                <w:szCs w:val="20"/>
              </w:rPr>
              <w:t>81</w:t>
            </w:r>
          </w:p>
        </w:tc>
        <w:tc>
          <w:tcPr>
            <w:tcW w:w="989"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10</w:t>
            </w:r>
          </w:p>
        </w:tc>
        <w:tc>
          <w:tcPr>
            <w:tcW w:w="75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15</w:t>
            </w:r>
          </w:p>
        </w:tc>
        <w:tc>
          <w:tcPr>
            <w:tcW w:w="3934" w:type="dxa"/>
          </w:tcPr>
          <w:p w:rsidR="00C0159A" w:rsidRDefault="00244C46">
            <w:pPr>
              <w:jc w:val="center"/>
              <w:rPr>
                <w:rFonts w:ascii="Arial" w:eastAsia="Arial" w:hAnsi="Arial" w:cs="Arial"/>
                <w:sz w:val="20"/>
                <w:szCs w:val="20"/>
              </w:rPr>
            </w:pPr>
            <w:r>
              <w:rPr>
                <w:rFonts w:ascii="Arial" w:eastAsia="Arial" w:hAnsi="Arial" w:cs="Arial"/>
                <w:sz w:val="20"/>
                <w:szCs w:val="20"/>
              </w:rPr>
              <w:t>Ingeniería Civil</w:t>
            </w:r>
          </w:p>
        </w:tc>
      </w:tr>
      <w:tr w:rsidR="00C0159A">
        <w:trPr>
          <w:trHeight w:val="340"/>
          <w:jc w:val="center"/>
        </w:trPr>
        <w:tc>
          <w:tcPr>
            <w:tcW w:w="1268" w:type="dxa"/>
            <w:vAlign w:val="bottom"/>
          </w:tcPr>
          <w:p w:rsidR="00C0159A" w:rsidRDefault="00244C46">
            <w:pPr>
              <w:ind w:left="360" w:right="51"/>
              <w:jc w:val="center"/>
              <w:rPr>
                <w:rFonts w:ascii="Arial" w:eastAsia="Arial" w:hAnsi="Arial" w:cs="Arial"/>
                <w:sz w:val="20"/>
                <w:szCs w:val="20"/>
              </w:rPr>
            </w:pPr>
            <w:r>
              <w:rPr>
                <w:rFonts w:ascii="Arial" w:eastAsia="Arial" w:hAnsi="Arial" w:cs="Arial"/>
                <w:sz w:val="20"/>
                <w:szCs w:val="20"/>
              </w:rPr>
              <w:t>81</w:t>
            </w:r>
          </w:p>
        </w:tc>
        <w:tc>
          <w:tcPr>
            <w:tcW w:w="989"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10</w:t>
            </w:r>
          </w:p>
        </w:tc>
        <w:tc>
          <w:tcPr>
            <w:tcW w:w="750" w:type="dxa"/>
            <w:vAlign w:val="center"/>
          </w:tcPr>
          <w:p w:rsidR="00C0159A" w:rsidRDefault="00244C46">
            <w:pPr>
              <w:jc w:val="center"/>
              <w:rPr>
                <w:rFonts w:ascii="Arial" w:eastAsia="Arial" w:hAnsi="Arial" w:cs="Arial"/>
                <w:sz w:val="20"/>
                <w:szCs w:val="20"/>
              </w:rPr>
            </w:pPr>
            <w:r>
              <w:rPr>
                <w:rFonts w:ascii="Arial" w:eastAsia="Arial" w:hAnsi="Arial" w:cs="Arial"/>
                <w:sz w:val="20"/>
                <w:szCs w:val="20"/>
              </w:rPr>
              <w:t>22</w:t>
            </w:r>
          </w:p>
        </w:tc>
        <w:tc>
          <w:tcPr>
            <w:tcW w:w="3934" w:type="dxa"/>
          </w:tcPr>
          <w:p w:rsidR="00C0159A" w:rsidRDefault="00244C46">
            <w:pPr>
              <w:jc w:val="center"/>
              <w:rPr>
                <w:rFonts w:ascii="Arial" w:eastAsia="Arial" w:hAnsi="Arial" w:cs="Arial"/>
                <w:sz w:val="20"/>
                <w:szCs w:val="20"/>
              </w:rPr>
            </w:pPr>
            <w:r>
              <w:rPr>
                <w:rFonts w:ascii="Arial" w:eastAsia="Arial" w:hAnsi="Arial" w:cs="Arial"/>
                <w:sz w:val="20"/>
                <w:szCs w:val="20"/>
              </w:rPr>
              <w:t>Ingeniería de transporte</w:t>
            </w:r>
          </w:p>
        </w:tc>
      </w:tr>
    </w:tbl>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w:t>
      </w:r>
      <w:r>
        <w:rPr>
          <w:rFonts w:ascii="Arial" w:eastAsia="Arial" w:hAnsi="Arial" w:cs="Arial"/>
          <w:color w:val="000000"/>
          <w:sz w:val="20"/>
          <w:szCs w:val="20"/>
        </w:rPr>
        <w:t>diciones para cada uno de los contratos aportados para demostrar la experiencia requerida. En el evento en el que dichos documentos no incluyan los códigos de clasificación, el representante legal del Proponente deberá incorporarlos en el “Formato 3 – Expe</w:t>
      </w:r>
      <w:r>
        <w:rPr>
          <w:rFonts w:ascii="Arial" w:eastAsia="Arial" w:hAnsi="Arial" w:cs="Arial"/>
          <w:color w:val="000000"/>
          <w:sz w:val="20"/>
          <w:szCs w:val="20"/>
        </w:rPr>
        <w:t>riencia.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8" w:name="_heading=h.mcayaul269be" w:colFirst="0" w:colLast="0"/>
      <w:bookmarkEnd w:id="88"/>
      <w:r>
        <w:rPr>
          <w:rFonts w:ascii="Arial" w:eastAsia="Arial" w:hAnsi="Arial" w:cs="Arial"/>
          <w:b/>
          <w:bCs/>
          <w:color w:val="000000"/>
          <w:sz w:val="20"/>
          <w:szCs w:val="20"/>
        </w:rPr>
        <w:t>ACREDITACIÓN DE LA EXPERIENCIA REQUERIDA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para cada uno de los contratos aportados la siguiente información, mediante alguno de los documentos señalados en la sección 10.1.5 del Pliego de Condiciones: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Principales actividades ejecutadas.</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longitudes, volúmenes, dimensiones, tipologías y demás condiciones de experiencia establecidas en la “Matriz 1 – Experiencia a la cual se le realizó la interventoría, si aplica.</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fecha de iniciación de la ejecuci</w:t>
      </w:r>
      <w:r>
        <w:rPr>
          <w:rFonts w:ascii="Arial" w:eastAsia="Arial" w:hAnsi="Arial" w:cs="Arial"/>
          <w:color w:val="000000"/>
          <w:sz w:val="20"/>
          <w:szCs w:val="20"/>
        </w:rPr>
        <w:t>ón del contrato. Esta fecha es diferente a la de suscripción del contrato, a menos que de los documentos del numeral 10.1.5 del Pliego de Condiciones se determine otra cosa.</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lastRenderedPageBreak/>
        <w:t>Si en los documentos válidos aportados para la acreditación de experiencia solo s</w:t>
      </w:r>
      <w:r>
        <w:rPr>
          <w:rFonts w:ascii="Arial" w:eastAsia="Arial" w:hAnsi="Arial" w:cs="Arial"/>
          <w:color w:val="000000"/>
          <w:sz w:val="20"/>
          <w:szCs w:val="20"/>
        </w:rPr>
        <w:t xml:space="preserve">e evidencia fecha (mes, año) de suscripción y/o inicio del contrato: se tendrá en cuenta el último día del mes que se encuentre señalado en la certificación. </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fecha de terminación de la ejecución del contrato. Esta fecha de terminación no es la fecha d</w:t>
      </w:r>
      <w:r>
        <w:rPr>
          <w:rFonts w:ascii="Arial" w:eastAsia="Arial" w:hAnsi="Arial" w:cs="Arial"/>
          <w:color w:val="000000"/>
          <w:sz w:val="20"/>
          <w:szCs w:val="20"/>
        </w:rPr>
        <w:t xml:space="preserve">e entrega y/o recibo final, liquidación, o acta final, salvo que de los documentos del numeral 10.1.5 del Pliego de Condiciones se determine otra cosa. </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Si en los documentos válidos aportados para la acreditación de experiencia solo se evidencia fecha (me</w:t>
      </w:r>
      <w:r>
        <w:rPr>
          <w:rFonts w:ascii="Arial" w:eastAsia="Arial" w:hAnsi="Arial" w:cs="Arial"/>
          <w:color w:val="000000"/>
          <w:sz w:val="20"/>
          <w:szCs w:val="20"/>
        </w:rPr>
        <w:t>s, año) de terminación del contrato: se tendrá en cuenta el primer día del mes que se encuentre señalado en la certificación.</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Nombre y cargo de la persona que expide la certificación.</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w:t>
      </w:r>
      <w:r>
        <w:rPr>
          <w:rFonts w:ascii="Arial" w:eastAsia="Arial" w:hAnsi="Arial" w:cs="Arial"/>
          <w:color w:val="000000"/>
          <w:sz w:val="20"/>
          <w:szCs w:val="20"/>
        </w:rPr>
        <w:t xml:space="preserve">no esté obligado a tener RUP. </w:t>
      </w:r>
    </w:p>
    <w:p w:rsidR="00C0159A" w:rsidRDefault="00C0159A">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C0159A" w:rsidRDefault="00244C46">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Valor total ejecutado. Tratándose de personas obligadas a tener Registro Único de Proponentes (RUP) el valor ejecutado o facturado se tomará del valor registrado en el RUP. En el caso de personas que no está obligadas a pres</w:t>
      </w:r>
      <w:r>
        <w:rPr>
          <w:rFonts w:ascii="Arial" w:eastAsia="Arial" w:hAnsi="Arial" w:cs="Arial"/>
          <w:color w:val="000000"/>
          <w:sz w:val="20"/>
          <w:szCs w:val="20"/>
        </w:rPr>
        <w:t xml:space="preserve">entar el Registro Único de Proponentes (RUP) el valor ejecutado o facturado se tomará de los documentos válidos para acreditar la experiencia definidos en el numeral 10.1.5 de este Pliego de Condiciones.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89" w:name="_heading=h.6i09ys58e06w" w:colFirst="0" w:colLast="0"/>
      <w:bookmarkEnd w:id="89"/>
      <w:r>
        <w:rPr>
          <w:rFonts w:ascii="Arial" w:eastAsia="Arial" w:hAnsi="Arial" w:cs="Arial"/>
          <w:b/>
          <w:bCs/>
          <w:color w:val="000000"/>
          <w:sz w:val="20"/>
          <w:szCs w:val="20"/>
        </w:rPr>
        <w:t>DOCUMENTOS VÁLIDOS PARA LA ACREDITACIÓN DE LA EXPERIENCIA REQUERIDA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aquellos casos en que por las características del objeto a contratar se requiera verificar información adicional a la contenida en el Registro Único de Proponentes (RUP), o tratándose </w:t>
      </w:r>
      <w:r>
        <w:rPr>
          <w:rFonts w:ascii="Arial" w:eastAsia="Arial" w:hAnsi="Arial" w:cs="Arial"/>
          <w:color w:val="000000"/>
          <w:sz w:val="20"/>
          <w:szCs w:val="20"/>
        </w:rPr>
        <w:t xml:space="preserve">de personas naturales o jurídicas extranjeras sin domicilio o sucursal en Colombia, el Proponente podrá aportar uno o algunos de los documentos que se indican a continuación, para que la Entidad realice la verificación de forma directa. Los mismos deberán </w:t>
      </w:r>
      <w:r>
        <w:rPr>
          <w:rFonts w:ascii="Arial" w:eastAsia="Arial" w:hAnsi="Arial" w:cs="Arial"/>
          <w:color w:val="000000"/>
          <w:sz w:val="20"/>
          <w:szCs w:val="20"/>
        </w:rPr>
        <w:t>estar debidamente diligenciados y suscritos por quienes intervinieron en la elaboración del documento. En caso de existir discrepancias entre dos (2) o más documentos aportados por el Proponente para la acreditación de experiencia, se tendrá en cuenta el o</w:t>
      </w:r>
      <w:r>
        <w:rPr>
          <w:rFonts w:ascii="Arial" w:eastAsia="Arial" w:hAnsi="Arial" w:cs="Arial"/>
          <w:color w:val="000000"/>
          <w:sz w:val="20"/>
          <w:szCs w:val="20"/>
        </w:rPr>
        <w:t>rden de prevalencia establecido a continuación: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liquidación y/o recibo final del Contrato de Interventoría.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 de liquidación y/o recibo final del Contrato de Obra al cual se le realizó la interventoría, en la cual se puede verificar las actividades ejecutadas y el alcance de las mismas.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entrega, terminación, final o de recibo definitivo; en los cual</w:t>
      </w:r>
      <w:r>
        <w:rPr>
          <w:rFonts w:ascii="Arial" w:eastAsia="Arial" w:hAnsi="Arial" w:cs="Arial"/>
          <w:color w:val="000000"/>
          <w:sz w:val="20"/>
          <w:szCs w:val="20"/>
        </w:rPr>
        <w:t>es se pueda verificar la participación del Proponente como Interventor.</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experiencia. Expedida con posterioridad a la fecha de terminación del contrato o antes del cierre del Proceso de Contratación en la que conste la información de la in</w:t>
      </w:r>
      <w:r>
        <w:rPr>
          <w:rFonts w:ascii="Arial" w:eastAsia="Arial" w:hAnsi="Arial" w:cs="Arial"/>
          <w:color w:val="000000"/>
          <w:sz w:val="20"/>
          <w:szCs w:val="20"/>
        </w:rPr>
        <w:t>terventoría a la obra contratada debidamente suscrita por quien esté en capacidad u obligación de hacerlo en la Entidad contratante.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Inicio o la orden de inicio. La misma solo será válida para efectos de acreditar la fecha de inicio.</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w:t>
      </w:r>
      <w:r>
        <w:rPr>
          <w:rFonts w:ascii="Arial" w:eastAsia="Arial" w:hAnsi="Arial" w:cs="Arial"/>
          <w:color w:val="000000"/>
          <w:sz w:val="20"/>
          <w:szCs w:val="20"/>
        </w:rPr>
        <w:t>s que hayan sido objeto de cesión deberán encontrarse debidamente inscritos y clasificados en el Registro Único de Proponentes (RUP) o en uno o alguno de los documentos considerados como válidos para la acreditación de experiencia del cesionario, según apl</w:t>
      </w:r>
      <w:r>
        <w:rPr>
          <w:rFonts w:ascii="Arial" w:eastAsia="Arial" w:hAnsi="Arial" w:cs="Arial"/>
          <w:color w:val="000000"/>
          <w:sz w:val="20"/>
          <w:szCs w:val="20"/>
        </w:rPr>
        <w:t>ique. La experiencia se admitirá para el cesionario y no se reconocerá experiencia alguna al cedente.</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0" w:name="_heading=h.5ewvxuj7zpd4" w:colFirst="0" w:colLast="0"/>
      <w:bookmarkEnd w:id="90"/>
      <w:r>
        <w:rPr>
          <w:rFonts w:ascii="Arial" w:eastAsia="Arial" w:hAnsi="Arial" w:cs="Arial"/>
          <w:b/>
          <w:bCs/>
          <w:color w:val="000000"/>
          <w:sz w:val="20"/>
          <w:szCs w:val="20"/>
        </w:rPr>
        <w:t>PARA CONTRATOS ENTRE PARTICULARES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 acreditación de experiencia entre particulares, el Proponente deberá aportar adicionalmente alguno de los documentos que se describen a continuación: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facturación expedida con posterioridad a la fecha de terminación del contrato emitida por el revisor fiscal o contador público del Proponente que acredita la experiencia, según corresponda, con la copia de la tarjeta profesional y certific</w:t>
      </w:r>
      <w:r>
        <w:rPr>
          <w:rFonts w:ascii="Arial" w:eastAsia="Arial" w:hAnsi="Arial" w:cs="Arial"/>
          <w:color w:val="000000"/>
          <w:sz w:val="20"/>
          <w:szCs w:val="20"/>
        </w:rPr>
        <w:t xml:space="preserve">ado de antecedentes disciplinarios vigente, expedido por la Junta Central de Contadores, o los documentos equivalentes que hagan sus veces en el país donde se expide el documento del profesional.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2"/>
          <w:numId w:val="47"/>
        </w:numPr>
        <w:pBdr>
          <w:top w:val="nil"/>
          <w:left w:val="nil"/>
          <w:bottom w:val="nil"/>
          <w:right w:val="nil"/>
          <w:between w:val="nil"/>
        </w:pBdr>
        <w:spacing w:after="0" w:line="240" w:lineRule="auto"/>
        <w:jc w:val="both"/>
        <w:rPr>
          <w:rFonts w:ascii="Arial" w:eastAsia="Arial" w:hAnsi="Arial" w:cs="Arial"/>
          <w:b/>
          <w:bCs/>
          <w:color w:val="000000"/>
          <w:sz w:val="20"/>
          <w:szCs w:val="20"/>
        </w:rPr>
      </w:pPr>
      <w:bookmarkStart w:id="91" w:name="_heading=h.nmf5f2ie4yui" w:colFirst="0" w:colLast="0"/>
      <w:bookmarkEnd w:id="91"/>
      <w:r>
        <w:rPr>
          <w:rFonts w:ascii="Arial" w:eastAsia="Arial" w:hAnsi="Arial" w:cs="Arial"/>
          <w:b/>
          <w:bCs/>
          <w:color w:val="000000"/>
          <w:sz w:val="20"/>
          <w:szCs w:val="20"/>
        </w:rPr>
        <w:t>PARA SUBCONTRATOS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subcontratos, cuyo contrato principal fue suscrito con particulares, se aplicarán las disposiciones establecidas en el numeral anterior.</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del subcontrato. Certificación expedida con posterioridad a la f</w:t>
      </w:r>
      <w:r>
        <w:rPr>
          <w:rFonts w:ascii="Arial" w:eastAsia="Arial" w:hAnsi="Arial" w:cs="Arial"/>
          <w:color w:val="000000"/>
          <w:sz w:val="20"/>
          <w:szCs w:val="20"/>
        </w:rPr>
        <w:t>echa de terminación del subcontrato, la cual deberá estar suscrita por el representante legal del Contratista del contrato principal, del Concesionario, o del EPC o Consorcio Constructor. Así mismo, debe contener la información requerida en el Pliego de Co</w:t>
      </w:r>
      <w:r>
        <w:rPr>
          <w:rFonts w:ascii="Arial" w:eastAsia="Arial" w:hAnsi="Arial" w:cs="Arial"/>
          <w:color w:val="000000"/>
          <w:sz w:val="20"/>
          <w:szCs w:val="20"/>
        </w:rPr>
        <w:t xml:space="preserve">ndiciones para efectos de la acreditación de la experiencia. </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expedida por la Entidad del contrato principal del cual se derivó el subcontrato. Esta certificación debe contener la información básica del contrato principal y la siguiente: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18"/>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Alcance de las actividades de interventoría ejecutadas en el contrato principal, en las cuales se pueda evidenciar las actividades subcontratadas que pretendan ser acreditadas para efectos de validación de la experiencia en el presente Proceso de Contratac</w:t>
      </w:r>
      <w:r>
        <w:rPr>
          <w:rFonts w:ascii="Arial" w:eastAsia="Arial" w:hAnsi="Arial" w:cs="Arial"/>
          <w:color w:val="000000"/>
          <w:sz w:val="20"/>
          <w:szCs w:val="20"/>
        </w:rPr>
        <w:t xml:space="preserve">ión. </w:t>
      </w:r>
    </w:p>
    <w:p w:rsidR="00C0159A" w:rsidRDefault="00244C46">
      <w:pPr>
        <w:numPr>
          <w:ilvl w:val="0"/>
          <w:numId w:val="18"/>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Información en la cual se evidencie que la figura de la subcontratación es permitida en el marco del contrato principal. En caso de que no requiera autorización para subcontratar, el Proponente podrá aportar con su propuesta alguno de los siguientes </w:t>
      </w:r>
      <w:r>
        <w:rPr>
          <w:rFonts w:ascii="Arial" w:eastAsia="Arial" w:hAnsi="Arial" w:cs="Arial"/>
          <w:color w:val="000000"/>
          <w:sz w:val="20"/>
          <w:szCs w:val="20"/>
        </w:rPr>
        <w:t>documentos que den cuenta de esa circunstancia: i) copia del contrato o ii) certificación emitida por la Entidad, donde acredite que para subcontratar no se requería autorización.</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La información solicitada en el literal B únicamente se exige en relación c</w:t>
      </w:r>
      <w:r>
        <w:rPr>
          <w:rFonts w:ascii="Arial" w:eastAsia="Arial" w:hAnsi="Arial" w:cs="Arial"/>
          <w:color w:val="000000"/>
          <w:sz w:val="20"/>
          <w:szCs w:val="20"/>
        </w:rPr>
        <w:t xml:space="preserve">on el contrato principal suscrito con la Entidad.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se presenten varios niveles de subcontratación, las reglas descritas en los literales A y B aplicarán hasta el primer nivel de subcontratación. Para los siguientes niveles de subcontratació</w:t>
      </w:r>
      <w:r>
        <w:rPr>
          <w:rFonts w:ascii="Arial" w:eastAsia="Arial" w:hAnsi="Arial" w:cs="Arial"/>
          <w:color w:val="000000"/>
          <w:sz w:val="20"/>
          <w:szCs w:val="20"/>
        </w:rPr>
        <w:t>n, la acreditación de la experiencia se realizará con las disposiciones establecidas en el numeral anterior. Para estos efectos, entiéndase el primer nivel de subcontratación como aquel contrato suscrito entre particulares, cuyo contrato principal del cual</w:t>
      </w:r>
      <w:r>
        <w:rPr>
          <w:rFonts w:ascii="Arial" w:eastAsia="Arial" w:hAnsi="Arial" w:cs="Arial"/>
          <w:color w:val="000000"/>
          <w:sz w:val="20"/>
          <w:szCs w:val="20"/>
        </w:rPr>
        <w:t xml:space="preserve"> se deriva directamente, es el contrato estatal firmado entre una Entidad y un particular.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contratista directo y el subcontratista presenten ofertas en un mismo Proceso de Contratación, la experiencia derivada de las actividades subcontratadas</w:t>
      </w:r>
      <w:r>
        <w:rPr>
          <w:rFonts w:ascii="Arial" w:eastAsia="Arial" w:hAnsi="Arial" w:cs="Arial"/>
          <w:color w:val="000000"/>
          <w:sz w:val="20"/>
          <w:szCs w:val="20"/>
        </w:rPr>
        <w:t xml:space="preserve"> solo pertenecerá al subcontratista. En este contexto, el contratista directo no podrá acreditar dichas actividades, por lo que no serían tenidas en cuenta para la verificación de la experiencia.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advertir a la Entidad cuando en otros procesos el Contratista directo hubiera certificado que, dentro de su contrato, se llevó a cabo la subcontratación, por cuanto tales actividades no serán tenidas en cuenta para efectos de acredi</w:t>
      </w:r>
      <w:r>
        <w:rPr>
          <w:rFonts w:ascii="Arial" w:eastAsia="Arial" w:hAnsi="Arial" w:cs="Arial"/>
          <w:color w:val="000000"/>
          <w:sz w:val="20"/>
          <w:szCs w:val="20"/>
        </w:rPr>
        <w:t>tación de experiencia del Contratista directo. Para tal fin, deberán informar a la Entidad, mediante comunicación escrita, indicando el proceso en el cual el Contratista certificó la respectiva subcontratación.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obligación de informar las situaciones de</w:t>
      </w:r>
      <w:r>
        <w:rPr>
          <w:rFonts w:ascii="Arial" w:eastAsia="Arial" w:hAnsi="Arial" w:cs="Arial"/>
          <w:color w:val="000000"/>
          <w:sz w:val="20"/>
          <w:szCs w:val="20"/>
        </w:rPr>
        <w:t xml:space="preserve"> subcontratación estará en cabeza de los Proponentes y de ninguna manera dicha carga será de la Entidad. En aquellos casos en los que el Proponente no advierta tal situación, la Entidad no tendrá responsabilidad alguna por cuanto no fue avisada. En ese cas</w:t>
      </w:r>
      <w:r>
        <w:rPr>
          <w:rFonts w:ascii="Arial" w:eastAsia="Arial" w:hAnsi="Arial" w:cs="Arial"/>
          <w:color w:val="000000"/>
          <w:sz w:val="20"/>
          <w:szCs w:val="20"/>
        </w:rPr>
        <w:t>o, el contrato se contabilizará como un todo y no se tendrá en cuenta lo relacionado con la subcontratación.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Entidad haya sido advertida por alguno los Proponentes sobre situaciones de subcontratación, aplicará el numeral 1.11 del Pliego de Cond</w:t>
      </w:r>
      <w:r>
        <w:rPr>
          <w:rFonts w:ascii="Arial" w:eastAsia="Arial" w:hAnsi="Arial" w:cs="Arial"/>
          <w:color w:val="000000"/>
          <w:sz w:val="20"/>
          <w:szCs w:val="20"/>
        </w:rPr>
        <w:t xml:space="preserve">iciones.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1"/>
          <w:numId w:val="46"/>
        </w:numPr>
        <w:pBdr>
          <w:top w:val="nil"/>
          <w:left w:val="nil"/>
          <w:bottom w:val="nil"/>
          <w:right w:val="nil"/>
          <w:between w:val="nil"/>
        </w:pBdr>
        <w:spacing w:after="0" w:line="240" w:lineRule="auto"/>
        <w:ind w:left="567" w:hanging="567"/>
        <w:jc w:val="both"/>
      </w:pPr>
      <w:bookmarkStart w:id="92" w:name="_heading=h.x0tkzyohrjsh" w:colFirst="0" w:colLast="0"/>
      <w:bookmarkEnd w:id="92"/>
      <w:r>
        <w:rPr>
          <w:rFonts w:ascii="Arial" w:eastAsia="Arial" w:hAnsi="Arial" w:cs="Arial"/>
          <w:b/>
          <w:bCs/>
          <w:color w:val="000000"/>
          <w:sz w:val="20"/>
          <w:szCs w:val="20"/>
        </w:rPr>
        <w:t>ACREDITACIÓN DE EXPERIENCIA Y FORMACIÓN ACÁDEMICA DEL EQUIPO DE TRABAJO Y DEL PERSONAL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condiciones de formación académica y experiencia de los perfiles del personal integrante del equipo de trabajo que se denomina como Perso</w:t>
      </w:r>
      <w:r>
        <w:rPr>
          <w:rFonts w:ascii="Arial" w:eastAsia="Arial" w:hAnsi="Arial" w:cs="Arial"/>
          <w:color w:val="000000"/>
          <w:sz w:val="20"/>
          <w:szCs w:val="20"/>
        </w:rPr>
        <w:t xml:space="preserve">nal Clave Evaluable en el documento </w:t>
      </w:r>
      <w:r>
        <w:rPr>
          <w:rFonts w:ascii="Arial" w:eastAsia="Arial" w:hAnsi="Arial" w:cs="Arial"/>
          <w:i/>
          <w:iCs/>
          <w:color w:val="000000"/>
          <w:sz w:val="20"/>
          <w:szCs w:val="20"/>
        </w:rPr>
        <w:t>“Anexo 1 – Anexo Técnico o Anexo de Requerimientos del Personal Mínimo del proyecto</w:t>
      </w:r>
      <w:r>
        <w:rPr>
          <w:rFonts w:ascii="Arial" w:eastAsia="Arial" w:hAnsi="Arial" w:cs="Arial"/>
          <w:color w:val="000000"/>
          <w:sz w:val="20"/>
          <w:szCs w:val="20"/>
        </w:rPr>
        <w:t>” del presente Proceso de Contratación serán verificados posterior a la celebración del contrato, por tal motivo, no serán verificados du</w:t>
      </w:r>
      <w:r>
        <w:rPr>
          <w:rFonts w:ascii="Arial" w:eastAsia="Arial" w:hAnsi="Arial" w:cs="Arial"/>
          <w:color w:val="000000"/>
          <w:sz w:val="20"/>
          <w:szCs w:val="20"/>
        </w:rPr>
        <w:t xml:space="preserve">rante el desarrollo del procedimiento de selección.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de los soportes académicos y de experiencia del Personal Clave Evaluable se realizará de acuerdo con lo previsto en los siguientes numerales: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8"/>
        </w:numPr>
        <w:pBdr>
          <w:top w:val="nil"/>
          <w:left w:val="nil"/>
          <w:bottom w:val="nil"/>
          <w:right w:val="nil"/>
          <w:between w:val="nil"/>
        </w:pBdr>
        <w:spacing w:after="0" w:line="240" w:lineRule="auto"/>
        <w:ind w:left="720"/>
        <w:jc w:val="both"/>
        <w:rPr>
          <w:rFonts w:ascii="Arial" w:eastAsia="Arial" w:hAnsi="Arial" w:cs="Arial"/>
          <w:b/>
          <w:bCs/>
          <w:color w:val="000000"/>
          <w:sz w:val="20"/>
          <w:szCs w:val="20"/>
        </w:rPr>
      </w:pPr>
      <w:bookmarkStart w:id="93" w:name="_heading=h.6vux7s3k5691" w:colFirst="0" w:colLast="0"/>
      <w:bookmarkEnd w:id="93"/>
      <w:r>
        <w:rPr>
          <w:rFonts w:ascii="Arial" w:eastAsia="Arial" w:hAnsi="Arial" w:cs="Arial"/>
          <w:b/>
          <w:bCs/>
          <w:color w:val="000000"/>
          <w:sz w:val="20"/>
          <w:szCs w:val="20"/>
        </w:rPr>
        <w:t>DISPOSICIONES GENERALES PARA LA VALIDEZ DE LA EXPERIENCIA DEL EQUIPO DE TRABAJO Y DEL PERSONAL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tendrá en cuenta los siguientes aspectos para analizar la experiencia acreditada y que la misma sea válida una vez celebrado el Contr</w:t>
      </w:r>
      <w:r>
        <w:rPr>
          <w:rFonts w:ascii="Arial" w:eastAsia="Arial" w:hAnsi="Arial" w:cs="Arial"/>
          <w:color w:val="000000"/>
          <w:sz w:val="20"/>
          <w:szCs w:val="20"/>
        </w:rPr>
        <w:t>ato de Interventoría:</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profesional se computará a partir de la terminación y aprobación del pénsum académico, salvo en los casos que se realicen prácticas laborales para obtener el título profesional </w:t>
      </w:r>
      <w:r>
        <w:rPr>
          <w:rFonts w:ascii="Arial" w:eastAsia="Arial" w:hAnsi="Arial" w:cs="Arial"/>
          <w:color w:val="000000"/>
          <w:sz w:val="20"/>
          <w:szCs w:val="20"/>
        </w:rPr>
        <w:lastRenderedPageBreak/>
        <w:t xml:space="preserve">o tecnólogo. El tiempo de experiencia en </w:t>
      </w:r>
      <w:r>
        <w:rPr>
          <w:rFonts w:ascii="Arial" w:eastAsia="Arial" w:hAnsi="Arial" w:cs="Arial"/>
          <w:color w:val="000000"/>
          <w:sz w:val="20"/>
          <w:szCs w:val="20"/>
        </w:rPr>
        <w:t xml:space="preserve">la práctica es válido si se realizan durante los veinticuatro (24) meses anteriores a la expedición de la Ley 1955 de 2019 o con posterioridad a su expedición.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 decir, la práctica realizada antes de la terminación de materias contará como experiencia profesional si se cumplen los criterios mencionados.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cómputo de la experiencia se aportará alguno de los siguientes documentos, dependiendo de la fecha de</w:t>
      </w:r>
      <w:r>
        <w:rPr>
          <w:rFonts w:ascii="Arial" w:eastAsia="Arial" w:hAnsi="Arial" w:cs="Arial"/>
          <w:color w:val="000000"/>
          <w:sz w:val="20"/>
          <w:szCs w:val="20"/>
        </w:rPr>
        <w:t xml:space="preserve">sde que el Proponente pretenda acreditar la experiencia profesional de su equipo de trabajo: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certificado de la Entidad beneficiaria en los términos del artículo 6 de la Ley 2043 de 2020 o la norma que lo modifique, sustituya o complemente, cuando se trate de práctica profesional; </w:t>
      </w:r>
    </w:p>
    <w:p w:rsidR="00C0159A" w:rsidRDefault="00244C46">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certificado de terminación o aprobación del pénsum académico.</w:t>
      </w:r>
      <w:r>
        <w:rPr>
          <w:rFonts w:ascii="Arial" w:eastAsia="Arial" w:hAnsi="Arial" w:cs="Arial"/>
          <w:color w:val="000000"/>
          <w:sz w:val="20"/>
          <w:szCs w:val="20"/>
        </w:rPr>
        <w:t xml:space="preserve"> </w:t>
      </w:r>
    </w:p>
    <w:p w:rsidR="00C0159A" w:rsidRDefault="00244C46">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evento que el oferente no entregue alguno de estos, la Entidad contará la experiencia profesional a partir de la expedición del acta de grado o el diploma, el cual debe ser aportado.</w:t>
      </w:r>
    </w:p>
    <w:p w:rsidR="00C0159A" w:rsidRDefault="00244C46">
      <w:pPr>
        <w:numPr>
          <w:ilvl w:val="0"/>
          <w:numId w:val="5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contabilización de la experiencia se realizará en años. En cas</w:t>
      </w:r>
      <w:r>
        <w:rPr>
          <w:rFonts w:ascii="Arial" w:eastAsia="Arial" w:hAnsi="Arial" w:cs="Arial"/>
          <w:color w:val="000000"/>
          <w:sz w:val="20"/>
          <w:szCs w:val="20"/>
        </w:rPr>
        <w:t xml:space="preserve">o de que el año no esté completo se realizará la conversión de meses o días a años.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8"/>
        </w:numPr>
        <w:pBdr>
          <w:top w:val="nil"/>
          <w:left w:val="nil"/>
          <w:bottom w:val="nil"/>
          <w:right w:val="nil"/>
          <w:between w:val="nil"/>
        </w:pBdr>
        <w:spacing w:after="0" w:line="240" w:lineRule="auto"/>
        <w:ind w:left="720"/>
        <w:jc w:val="both"/>
        <w:rPr>
          <w:rFonts w:ascii="Arial" w:eastAsia="Arial" w:hAnsi="Arial" w:cs="Arial"/>
          <w:b/>
          <w:bCs/>
          <w:color w:val="000000"/>
          <w:sz w:val="20"/>
          <w:szCs w:val="20"/>
        </w:rPr>
      </w:pPr>
      <w:bookmarkStart w:id="94" w:name="_heading=h.2rny8967b81d" w:colFirst="0" w:colLast="0"/>
      <w:bookmarkEnd w:id="94"/>
      <w:r>
        <w:rPr>
          <w:rFonts w:ascii="Arial" w:eastAsia="Arial" w:hAnsi="Arial" w:cs="Arial"/>
          <w:b/>
          <w:bCs/>
          <w:color w:val="000000"/>
          <w:sz w:val="20"/>
          <w:szCs w:val="20"/>
        </w:rPr>
        <w:t>10.2.2</w:t>
      </w:r>
      <w:r>
        <w:rPr>
          <w:rFonts w:ascii="Arial" w:eastAsia="Arial" w:hAnsi="Arial" w:cs="Arial"/>
          <w:b/>
          <w:bCs/>
          <w:color w:val="000000"/>
          <w:sz w:val="20"/>
          <w:szCs w:val="20"/>
        </w:rPr>
        <w:tab/>
        <w:t xml:space="preserve">DOCUMENTOS SOPORTE VÁLIDOS PARA ACREDITAR LA EXPERIENCIA DEL EQUIPO DE TRABAJO Y EL PERSONAL CLAVE EVALUABLE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integrantes del equipo de trabajo una vez celebr</w:t>
      </w:r>
      <w:r>
        <w:rPr>
          <w:rFonts w:ascii="Arial" w:eastAsia="Arial" w:hAnsi="Arial" w:cs="Arial"/>
          <w:color w:val="000000"/>
          <w:sz w:val="20"/>
          <w:szCs w:val="20"/>
        </w:rPr>
        <w:t>ado el contrato derivado del presente procedimiento de selección, y según la instancia definida por la Entidad para verificar los documentos soporte, deberán acreditar la experiencia del Personal Clave Evaluable según los documentos aquí descritos, o la co</w:t>
      </w:r>
      <w:r>
        <w:rPr>
          <w:rFonts w:ascii="Arial" w:eastAsia="Arial" w:hAnsi="Arial" w:cs="Arial"/>
          <w:color w:val="000000"/>
          <w:sz w:val="20"/>
          <w:szCs w:val="20"/>
        </w:rPr>
        <w:t xml:space="preserve">mbinación de estos. En caso de existir discrepancias entre dos (2) o más documentos aportados por el Interventor, se tendrá en cuenta el orden de prevalencia establecido a continuación: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Certificados laborales o de ejecución de su experiencia profesional. </w:t>
      </w:r>
    </w:p>
    <w:p w:rsidR="00C0159A" w:rsidRDefault="00244C46">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Actas de liquidación o actas de terminación de los contratos, en caso de aplicar. </w:t>
      </w:r>
    </w:p>
    <w:p w:rsidR="00C0159A" w:rsidRDefault="00244C46">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los contratos en los cuales laboró o ejerció las actividades respectivas. </w:t>
      </w:r>
    </w:p>
    <w:p w:rsidR="00C0159A" w:rsidRDefault="00244C46">
      <w:pPr>
        <w:numPr>
          <w:ilvl w:val="0"/>
          <w:numId w:val="5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Copia de las resolu</w:t>
      </w:r>
      <w:r>
        <w:rPr>
          <w:rFonts w:ascii="Arial" w:eastAsia="Arial" w:hAnsi="Arial" w:cs="Arial"/>
          <w:color w:val="000000"/>
          <w:sz w:val="20"/>
          <w:szCs w:val="20"/>
        </w:rPr>
        <w:t>ciones de nombramiento y de posesión para cargos públicos.</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Mediante los documentos anteriores, se deberá acreditar, como mínimo, la siguiente información: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Contratista.</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Principales actividades u obligaciones desarrolladas. </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iniciación de la ejecución del contrato. </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Nombre y cargo de la persona que expide la certificación. </w:t>
      </w:r>
    </w:p>
    <w:p w:rsidR="00C0159A" w:rsidRDefault="00244C46">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Porcentaje de dedicación para el </w:t>
      </w:r>
      <w:r>
        <w:rPr>
          <w:rFonts w:ascii="Arial" w:eastAsia="Arial" w:hAnsi="Arial" w:cs="Arial"/>
          <w:color w:val="000000"/>
          <w:sz w:val="20"/>
          <w:szCs w:val="20"/>
        </w:rPr>
        <w:t>cargo respectivo. En caso tal de no existir la discriminación del porcentaje de dedicación se tomará como el cien por ciento (100 %) de dedicación.</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contabilización de la experiencia se realizará en años. En caso de que el año no esté completo se realiz</w:t>
      </w:r>
      <w:r>
        <w:rPr>
          <w:rFonts w:ascii="Arial" w:eastAsia="Arial" w:hAnsi="Arial" w:cs="Arial"/>
          <w:color w:val="000000"/>
          <w:sz w:val="20"/>
          <w:szCs w:val="20"/>
        </w:rPr>
        <w:t xml:space="preserve">ará la conversión de meses o días a años.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Se tendrá en cuenta el primer decimal del cálculo de la experiencia específica, para tales efectos se realizará la aproximación por defecto o por exceso hasta la primera cifra decimal.</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numPr>
          <w:ilvl w:val="2"/>
          <w:numId w:val="48"/>
        </w:numPr>
        <w:pBdr>
          <w:top w:val="nil"/>
          <w:left w:val="nil"/>
          <w:bottom w:val="nil"/>
          <w:right w:val="nil"/>
          <w:between w:val="nil"/>
        </w:pBdr>
        <w:spacing w:after="0" w:line="240" w:lineRule="auto"/>
        <w:ind w:left="720"/>
        <w:jc w:val="both"/>
        <w:rPr>
          <w:rFonts w:ascii="Arial" w:eastAsia="Arial" w:hAnsi="Arial" w:cs="Arial"/>
          <w:b/>
          <w:bCs/>
          <w:color w:val="000000"/>
          <w:sz w:val="20"/>
          <w:szCs w:val="20"/>
        </w:rPr>
      </w:pPr>
      <w:bookmarkStart w:id="95" w:name="_heading=h.e5ut3yqetse6" w:colFirst="0" w:colLast="0"/>
      <w:bookmarkEnd w:id="95"/>
      <w:r>
        <w:rPr>
          <w:rFonts w:ascii="Arial" w:eastAsia="Arial" w:hAnsi="Arial" w:cs="Arial"/>
          <w:b/>
          <w:bCs/>
          <w:color w:val="000000"/>
          <w:sz w:val="20"/>
          <w:szCs w:val="20"/>
        </w:rPr>
        <w:t>ACREDITACIÓN DE LA FORMACIÓN ACADÉMICA DEL EQUIPO DE TRABAJO Y EL PERSONAL CLAVE EVALUABLE</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formación académica de los integrantes del equipo de trabajo se aportarán los siguientes documentos: i) copia del acta de grado o del diploma de g</w:t>
      </w:r>
      <w:r>
        <w:rPr>
          <w:rFonts w:ascii="Arial" w:eastAsia="Arial" w:hAnsi="Arial" w:cs="Arial"/>
          <w:color w:val="000000"/>
          <w:sz w:val="20"/>
          <w:szCs w:val="20"/>
        </w:rPr>
        <w:t>rado y ii) copia de la tarjeta profesional o de la matrícula profesional en los casos en que aplique y su certificado de antecedentes profesionales. El requisito de la tarjeta profesional se puede suplir con el registro de que trata el artículo 18 del Decr</w:t>
      </w:r>
      <w:r>
        <w:rPr>
          <w:rFonts w:ascii="Arial" w:eastAsia="Arial" w:hAnsi="Arial" w:cs="Arial"/>
          <w:color w:val="000000"/>
          <w:sz w:val="20"/>
          <w:szCs w:val="20"/>
        </w:rPr>
        <w:t xml:space="preserve">eto 2106 de 2019. </w:t>
      </w:r>
    </w:p>
    <w:p w:rsidR="00C0159A" w:rsidRDefault="00C0159A">
      <w:pPr>
        <w:pBdr>
          <w:top w:val="nil"/>
          <w:left w:val="nil"/>
          <w:bottom w:val="nil"/>
          <w:right w:val="nil"/>
          <w:between w:val="nil"/>
        </w:pBdr>
        <w:spacing w:after="0" w:line="240" w:lineRule="auto"/>
        <w:jc w:val="both"/>
        <w:rPr>
          <w:rFonts w:ascii="Arial" w:eastAsia="Arial" w:hAnsi="Arial" w:cs="Arial"/>
          <w:color w:val="000000"/>
          <w:sz w:val="20"/>
          <w:szCs w:val="20"/>
        </w:rPr>
      </w:pPr>
    </w:p>
    <w:p w:rsidR="00C0159A" w:rsidRDefault="00244C46">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Por otro lado, el Proponente que ofrezca personal con títulos académicos otorgados en el exterior deberá acreditar la convalidación de estos títulos en Colombia ante el Ministerio de Educación Nacional. En este sentido, para probar los </w:t>
      </w:r>
      <w:r>
        <w:rPr>
          <w:rFonts w:ascii="Arial" w:eastAsia="Arial" w:hAnsi="Arial" w:cs="Arial"/>
          <w:color w:val="000000"/>
          <w:sz w:val="20"/>
          <w:szCs w:val="20"/>
        </w:rPr>
        <w:t>títulos académicos obtenidos en el exterior se requiere presentar la Resolución expedida por el Ministerio de Educación Nacional que convalida el título obtenido en el exterior</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244C46">
      <w:pPr>
        <w:spacing w:after="0" w:line="240" w:lineRule="auto"/>
        <w:rPr>
          <w:rFonts w:ascii="Arial" w:eastAsia="Arial" w:hAnsi="Arial" w:cs="Arial"/>
          <w:sz w:val="20"/>
          <w:szCs w:val="20"/>
        </w:rPr>
      </w:pPr>
      <w:r>
        <w:br w:type="page"/>
      </w:r>
    </w:p>
    <w:p w:rsidR="00C0159A" w:rsidRDefault="00244C46">
      <w:pPr>
        <w:numPr>
          <w:ilvl w:val="0"/>
          <w:numId w:val="1"/>
        </w:numPr>
        <w:pBdr>
          <w:top w:val="nil"/>
          <w:left w:val="nil"/>
          <w:bottom w:val="nil"/>
          <w:right w:val="nil"/>
          <w:between w:val="nil"/>
        </w:pBdr>
        <w:spacing w:after="0" w:line="240" w:lineRule="auto"/>
        <w:ind w:left="0" w:firstLine="0"/>
        <w:jc w:val="center"/>
      </w:pPr>
      <w:bookmarkStart w:id="96" w:name="_heading=h.k1jwe8x1pew0" w:colFirst="0" w:colLast="0"/>
      <w:bookmarkEnd w:id="96"/>
      <w:r>
        <w:rPr>
          <w:rFonts w:ascii="Arial" w:eastAsia="Arial" w:hAnsi="Arial" w:cs="Arial"/>
          <w:b/>
          <w:bCs/>
          <w:color w:val="000000"/>
          <w:sz w:val="20"/>
          <w:szCs w:val="20"/>
        </w:rPr>
        <w:lastRenderedPageBreak/>
        <w:t>LISTADO DE ANEXOS, FORMATOS, MATRICES Y FORMULARIOS</w:t>
      </w:r>
    </w:p>
    <w:p w:rsidR="00C0159A" w:rsidRDefault="00244C46">
      <w:pPr>
        <w:spacing w:after="0" w:line="240" w:lineRule="auto"/>
        <w:jc w:val="center"/>
        <w:rPr>
          <w:rFonts w:ascii="Arial" w:eastAsia="Arial" w:hAnsi="Arial" w:cs="Arial"/>
          <w:sz w:val="20"/>
          <w:szCs w:val="20"/>
        </w:rPr>
      </w:pPr>
      <w:r>
        <w:rPr>
          <w:rFonts w:ascii="Arial" w:eastAsia="Arial" w:hAnsi="Arial" w:cs="Arial"/>
          <w:sz w:val="20"/>
          <w:szCs w:val="20"/>
        </w:rPr>
        <w:t>Las entidades no podrán modificar el presente listado</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53"/>
        </w:numPr>
        <w:pBdr>
          <w:top w:val="nil"/>
          <w:left w:val="nil"/>
          <w:bottom w:val="nil"/>
          <w:right w:val="nil"/>
          <w:between w:val="nil"/>
        </w:pBdr>
        <w:spacing w:after="0" w:line="240" w:lineRule="auto"/>
        <w:jc w:val="both"/>
      </w:pPr>
      <w:bookmarkStart w:id="97" w:name="_heading=h.7wsyd4yvwyw4" w:colFirst="0" w:colLast="0"/>
      <w:bookmarkEnd w:id="97"/>
      <w:r>
        <w:rPr>
          <w:rFonts w:ascii="Arial" w:eastAsia="Arial" w:hAnsi="Arial" w:cs="Arial"/>
          <w:b/>
          <w:bCs/>
          <w:color w:val="000000"/>
          <w:sz w:val="20"/>
          <w:szCs w:val="20"/>
        </w:rPr>
        <w:t>ANEXOS</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1 – Anexo Técnico</w:t>
      </w:r>
    </w:p>
    <w:p w:rsidR="00C0159A" w:rsidRDefault="00244C46">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2 – Cronograma</w:t>
      </w:r>
    </w:p>
    <w:p w:rsidR="00C0159A" w:rsidRDefault="00244C46">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3 – Glosario</w:t>
      </w:r>
    </w:p>
    <w:p w:rsidR="00C0159A" w:rsidRDefault="00244C46">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4 – Pacto de Transparencia</w:t>
      </w:r>
    </w:p>
    <w:p w:rsidR="00C0159A" w:rsidRDefault="00244C46">
      <w:pPr>
        <w:numPr>
          <w:ilvl w:val="0"/>
          <w:numId w:val="5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5 – Minuta del contrato de Interventoría</w:t>
      </w:r>
    </w:p>
    <w:p w:rsidR="00C0159A" w:rsidRDefault="00C0159A">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C0159A" w:rsidRDefault="00244C46">
      <w:pPr>
        <w:numPr>
          <w:ilvl w:val="1"/>
          <w:numId w:val="53"/>
        </w:numPr>
        <w:pBdr>
          <w:top w:val="nil"/>
          <w:left w:val="nil"/>
          <w:bottom w:val="nil"/>
          <w:right w:val="nil"/>
          <w:between w:val="nil"/>
        </w:pBdr>
        <w:spacing w:after="0" w:line="240" w:lineRule="auto"/>
        <w:jc w:val="both"/>
      </w:pPr>
      <w:bookmarkStart w:id="98" w:name="_heading=h.2q1gnjihr40z" w:colFirst="0" w:colLast="0"/>
      <w:bookmarkEnd w:id="98"/>
      <w:r>
        <w:rPr>
          <w:rFonts w:ascii="Arial" w:eastAsia="Arial" w:hAnsi="Arial" w:cs="Arial"/>
          <w:b/>
          <w:bCs/>
          <w:color w:val="000000"/>
          <w:sz w:val="20"/>
          <w:szCs w:val="20"/>
        </w:rPr>
        <w:t>FORMATOS</w:t>
      </w:r>
    </w:p>
    <w:p w:rsidR="00C0159A" w:rsidRDefault="00C0159A">
      <w:pPr>
        <w:spacing w:after="0" w:line="240" w:lineRule="auto"/>
        <w:jc w:val="both"/>
        <w:rPr>
          <w:rFonts w:ascii="Arial" w:eastAsia="Arial" w:hAnsi="Arial" w:cs="Arial"/>
          <w:sz w:val="20"/>
          <w:szCs w:val="20"/>
        </w:rPr>
      </w:pP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 – Carta de presentación de la oferta</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2 – Conformación de Proponente Plural (Formato 2A- Consorcios) (Formato 2B- Unión Temporal) </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3 – Experiencia</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4 – Capacidad Financiera y organizacional para extranjeros </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5 – Pagos al Sistema de Seguridad Social y Aportes Lega</w:t>
      </w:r>
      <w:r>
        <w:rPr>
          <w:rFonts w:ascii="Arial" w:eastAsia="Arial" w:hAnsi="Arial" w:cs="Arial"/>
          <w:color w:val="000000"/>
          <w:sz w:val="20"/>
          <w:szCs w:val="20"/>
        </w:rPr>
        <w:t>les</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6 – Vinculación de personas en condición de discapacidad</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7 – Puntaje de Industria Nacional</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8 ‒ Aceptación y cumplimiento de la formación académica y la experiencia del Personal Clave Evaluable </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9 – Experiencia y formació</w:t>
      </w:r>
      <w:r>
        <w:rPr>
          <w:rFonts w:ascii="Arial" w:eastAsia="Arial" w:hAnsi="Arial" w:cs="Arial"/>
          <w:color w:val="000000"/>
          <w:sz w:val="20"/>
          <w:szCs w:val="20"/>
        </w:rPr>
        <w:t xml:space="preserve">n adicional del Personal Clave Evaluable </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10 – Factores de Desempate</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11 – Autorización para el Tratamiento de Datos Personales</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12 – Factor de Sostenibilidad</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13 – Acreditación de Emprendimientos y Empresas de Mujeres</w:t>
      </w:r>
    </w:p>
    <w:p w:rsidR="00C0159A" w:rsidRDefault="00244C46">
      <w:pPr>
        <w:numPr>
          <w:ilvl w:val="0"/>
          <w:numId w:val="33"/>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w:t>
      </w:r>
      <w:r>
        <w:rPr>
          <w:rFonts w:ascii="Arial" w:eastAsia="Arial" w:hAnsi="Arial" w:cs="Arial"/>
          <w:color w:val="000000"/>
          <w:sz w:val="20"/>
          <w:szCs w:val="20"/>
        </w:rPr>
        <w:t>14 – Acreditación de Mipyme</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53"/>
        </w:numPr>
        <w:pBdr>
          <w:top w:val="nil"/>
          <w:left w:val="nil"/>
          <w:bottom w:val="nil"/>
          <w:right w:val="nil"/>
          <w:between w:val="nil"/>
        </w:pBdr>
        <w:spacing w:after="0" w:line="240" w:lineRule="auto"/>
        <w:jc w:val="both"/>
      </w:pPr>
      <w:bookmarkStart w:id="99" w:name="_heading=h.ln6gdv92tgwm" w:colFirst="0" w:colLast="0"/>
      <w:bookmarkEnd w:id="99"/>
      <w:r>
        <w:rPr>
          <w:rFonts w:ascii="Arial" w:eastAsia="Arial" w:hAnsi="Arial" w:cs="Arial"/>
          <w:b/>
          <w:bCs/>
          <w:color w:val="000000"/>
          <w:sz w:val="20"/>
          <w:szCs w:val="20"/>
        </w:rPr>
        <w:t>MATRICES</w:t>
      </w:r>
    </w:p>
    <w:p w:rsidR="00C0159A" w:rsidRDefault="00C0159A">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rsidR="00C0159A" w:rsidRDefault="00244C46">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1 – Experiencia</w:t>
      </w:r>
    </w:p>
    <w:p w:rsidR="00C0159A" w:rsidRDefault="00244C46">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2 – Indicadores financieros y organizacionales</w:t>
      </w:r>
    </w:p>
    <w:p w:rsidR="00C0159A" w:rsidRDefault="00244C46">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Matriz 3 – Riesgos </w:t>
      </w:r>
    </w:p>
    <w:p w:rsidR="00C0159A" w:rsidRDefault="00244C46">
      <w:pPr>
        <w:numPr>
          <w:ilvl w:val="0"/>
          <w:numId w:val="3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4 – Lineamientos de requisitos del personal</w:t>
      </w:r>
    </w:p>
    <w:p w:rsidR="00C0159A" w:rsidRDefault="00C0159A">
      <w:pPr>
        <w:spacing w:after="0" w:line="240" w:lineRule="auto"/>
        <w:jc w:val="both"/>
        <w:rPr>
          <w:rFonts w:ascii="Arial" w:eastAsia="Arial" w:hAnsi="Arial" w:cs="Arial"/>
          <w:sz w:val="20"/>
          <w:szCs w:val="20"/>
        </w:rPr>
      </w:pPr>
    </w:p>
    <w:p w:rsidR="00C0159A" w:rsidRDefault="00244C46">
      <w:pPr>
        <w:numPr>
          <w:ilvl w:val="1"/>
          <w:numId w:val="53"/>
        </w:numPr>
        <w:pBdr>
          <w:top w:val="nil"/>
          <w:left w:val="nil"/>
          <w:bottom w:val="nil"/>
          <w:right w:val="nil"/>
          <w:between w:val="nil"/>
        </w:pBdr>
        <w:spacing w:after="0" w:line="240" w:lineRule="auto"/>
        <w:jc w:val="both"/>
      </w:pPr>
      <w:bookmarkStart w:id="100" w:name="_heading=h.2j6wfc6zdo32" w:colFirst="0" w:colLast="0"/>
      <w:bookmarkEnd w:id="100"/>
      <w:r>
        <w:rPr>
          <w:rFonts w:ascii="Arial" w:eastAsia="Arial" w:hAnsi="Arial" w:cs="Arial"/>
          <w:b/>
          <w:bCs/>
          <w:color w:val="000000"/>
          <w:sz w:val="20"/>
          <w:szCs w:val="20"/>
        </w:rPr>
        <w:t>FORMULARIOS</w:t>
      </w:r>
    </w:p>
    <w:p w:rsidR="00C0159A" w:rsidRDefault="00C0159A">
      <w:pPr>
        <w:pBdr>
          <w:top w:val="nil"/>
          <w:left w:val="nil"/>
          <w:bottom w:val="nil"/>
          <w:right w:val="nil"/>
          <w:between w:val="nil"/>
        </w:pBdr>
        <w:spacing w:after="0" w:line="240" w:lineRule="auto"/>
        <w:ind w:left="857"/>
        <w:jc w:val="both"/>
        <w:rPr>
          <w:rFonts w:ascii="Arial" w:eastAsia="Arial" w:hAnsi="Arial" w:cs="Arial"/>
          <w:color w:val="000000"/>
          <w:sz w:val="20"/>
          <w:szCs w:val="20"/>
        </w:rPr>
      </w:pPr>
    </w:p>
    <w:p w:rsidR="00C0159A" w:rsidRDefault="00244C46">
      <w:pPr>
        <w:numPr>
          <w:ilvl w:val="0"/>
          <w:numId w:val="35"/>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Formulario 1– Formulario de Presupuesto Oficial</w:t>
      </w: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p w:rsidR="00C0159A" w:rsidRDefault="00C0159A">
      <w:pPr>
        <w:spacing w:after="0" w:line="240" w:lineRule="auto"/>
        <w:jc w:val="both"/>
        <w:rPr>
          <w:rFonts w:ascii="Arial" w:eastAsia="Arial" w:hAnsi="Arial" w:cs="Arial"/>
          <w:sz w:val="20"/>
          <w:szCs w:val="20"/>
        </w:rPr>
      </w:pPr>
    </w:p>
    <w:sectPr w:rsidR="00C0159A">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C46" w:rsidRDefault="00244C46">
      <w:pPr>
        <w:spacing w:after="0" w:line="240" w:lineRule="auto"/>
      </w:pPr>
      <w:r>
        <w:separator/>
      </w:r>
    </w:p>
  </w:endnote>
  <w:endnote w:type="continuationSeparator" w:id="0">
    <w:p w:rsidR="00244C46" w:rsidRDefault="00244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panose1 w:val="020B0604020202020204"/>
    <w:charset w:val="00"/>
    <w:family w:val="auto"/>
    <w:pitch w:val="default"/>
    <w:embedRegular r:id="rId1" w:fontKey="{EB149588-049D-D44C-AA34-7BDFACD86402}"/>
  </w:font>
  <w:font w:name="Courier New">
    <w:panose1 w:val="02070309020205020404"/>
    <w:charset w:val="00"/>
    <w:family w:val="modern"/>
    <w:pitch w:val="fixed"/>
    <w:sig w:usb0="E0002AFF" w:usb1="C0007843" w:usb2="00000009" w:usb3="00000000" w:csb0="000001FF" w:csb1="00000000"/>
    <w:embedRegular r:id="rId2" w:fontKey="{492B93F5-C05A-7E43-9791-C0B67C819EE3}"/>
  </w:font>
  <w:font w:name="Calibri">
    <w:panose1 w:val="020F0502020204030204"/>
    <w:charset w:val="00"/>
    <w:family w:val="swiss"/>
    <w:pitch w:val="variable"/>
    <w:sig w:usb0="E0002AFF" w:usb1="C000247B" w:usb2="00000009" w:usb3="00000000" w:csb0="000001FF" w:csb1="00000000"/>
    <w:embedRegular r:id="rId3" w:fontKey="{C42A2CCA-6973-C149-A537-D1C2034E695C}"/>
    <w:embedBold r:id="rId4" w:fontKey="{D2190399-F8A3-6B49-9572-44FF7E255E47}"/>
    <w:embedItalic r:id="rId5" w:fontKey="{0B923AB6-81A5-DD41-9675-762B710DB27E}"/>
  </w:font>
  <w:font w:name="Arial">
    <w:panose1 w:val="020B0604020202020204"/>
    <w:charset w:val="00"/>
    <w:family w:val="swiss"/>
    <w:pitch w:val="variable"/>
    <w:sig w:usb0="E0002AFF" w:usb1="C0007843" w:usb2="00000009" w:usb3="00000000" w:csb0="000001FF" w:csb1="00000000"/>
    <w:embedRegular r:id="rId6" w:fontKey="{19E55CD4-4F68-0142-B26F-8E4AEACAF7D6}"/>
    <w:embedBold r:id="rId7" w:fontKey="{DED18470-0FC3-6342-B9A6-DAD9DF60638D}"/>
    <w:embedItalic r:id="rId8" w:fontKey="{C7A34296-CEC0-CC45-8EEC-51962180FD86}"/>
    <w:embedBoldItalic r:id="rId9" w:fontKey="{70B6115E-FDC2-CA4C-A453-CAB5869A1390}"/>
  </w:font>
  <w:font w:name="Times New Roman">
    <w:panose1 w:val="02020603050405020304"/>
    <w:charset w:val="00"/>
    <w:family w:val="roman"/>
    <w:pitch w:val="variable"/>
    <w:sig w:usb0="E0002EFF" w:usb1="C000785B" w:usb2="00000009" w:usb3="00000000" w:csb0="000001FF" w:csb1="00000000"/>
    <w:embedRegular r:id="rId10" w:fontKey="{B7DF52C7-6744-E54D-8D63-80AD18EF2CA0}"/>
    <w:embedBold r:id="rId11" w:fontKey="{0698D54E-5E2E-1341-88AC-5DD2F6C75C80}"/>
  </w:font>
  <w:font w:name="Calibri Light">
    <w:panose1 w:val="020F0302020204030204"/>
    <w:charset w:val="00"/>
    <w:family w:val="swiss"/>
    <w:pitch w:val="variable"/>
    <w:sig w:usb0="E0002AFF" w:usb1="C000247B" w:usb2="00000009" w:usb3="00000000" w:csb0="000001FF" w:csb1="00000000"/>
    <w:embedRegular r:id="rId12" w:fontKey="{0B9C5F9C-0432-5749-A284-D4825AE21143}"/>
  </w:font>
  <w:font w:name="Georgia">
    <w:panose1 w:val="02040502050405020303"/>
    <w:charset w:val="00"/>
    <w:family w:val="roman"/>
    <w:pitch w:val="variable"/>
    <w:sig w:usb0="00000287" w:usb1="00000000" w:usb2="00000000" w:usb3="00000000" w:csb0="0000009F" w:csb1="00000000"/>
    <w:embedItalic r:id="rId13" w:fontKey="{ED2C8E00-EC1F-6E4F-9F98-B1B11A9B1642}"/>
  </w:font>
  <w:font w:name="Cambria Math">
    <w:panose1 w:val="02040503050406030204"/>
    <w:charset w:val="00"/>
    <w:family w:val="roman"/>
    <w:pitch w:val="variable"/>
    <w:sig w:usb0="E00002FF" w:usb1="420024FF" w:usb2="00000000" w:usb3="00000000" w:csb0="0000019F" w:csb1="00000000"/>
    <w:embedRegular r:id="rId14" w:fontKey="{44AAA359-9FA6-BF46-BDC8-88F3D2F58477}"/>
    <w:embedBold r:id="rId15" w:fontKey="{45413825-124D-6349-941C-685FBF01F4A7}"/>
    <w:embedItalic r:id="rId16" w:fontKey="{501966D3-97CD-3E47-BB24-726478A63589}"/>
    <w:embedBoldItalic r:id="rId17" w:fontKey="{2D4E663B-369A-3C41-889A-2AA2404363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9A" w:rsidRDefault="00244C46">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sidR="009374E5">
      <w:rPr>
        <w:rFonts w:ascii="Arial" w:eastAsia="Arial" w:hAnsi="Arial" w:cs="Arial"/>
        <w:color w:val="000000"/>
        <w:sz w:val="20"/>
        <w:szCs w:val="20"/>
      </w:rPr>
      <w:fldChar w:fldCharType="separate"/>
    </w:r>
    <w:r w:rsidR="009374E5">
      <w:rPr>
        <w:rFonts w:ascii="Arial" w:eastAsia="Arial" w:hAnsi="Arial" w:cs="Arial"/>
        <w:noProof/>
        <w:color w:val="000000"/>
        <w:sz w:val="20"/>
        <w:szCs w:val="20"/>
      </w:rPr>
      <w:t>1</w:t>
    </w:r>
    <w:r>
      <w:rPr>
        <w:rFonts w:ascii="Arial" w:eastAsia="Arial" w:hAnsi="Arial" w:cs="Arial"/>
        <w:color w:val="000000"/>
        <w:sz w:val="20"/>
        <w:szCs w:val="20"/>
      </w:rPr>
      <w:fldChar w:fldCharType="end"/>
    </w:r>
  </w:p>
  <w:tbl>
    <w:tblPr>
      <w:tblStyle w:val="af5"/>
      <w:tblW w:w="7062"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830"/>
      <w:gridCol w:w="972"/>
      <w:gridCol w:w="1810"/>
      <w:gridCol w:w="1025"/>
      <w:gridCol w:w="425"/>
    </w:tblGrid>
    <w:tr w:rsidR="00C0159A">
      <w:trPr>
        <w:trHeight w:val="283"/>
      </w:trPr>
      <w:tc>
        <w:tcPr>
          <w:tcW w:w="2830"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IDU-CMA-</w:t>
          </w:r>
          <w:r>
            <w:rPr>
              <w:rFonts w:ascii="Arial" w:eastAsia="Arial" w:hAnsi="Arial" w:cs="Arial"/>
              <w:b/>
              <w:bCs/>
              <w:sz w:val="20"/>
              <w:szCs w:val="20"/>
            </w:rPr>
            <w:t>SGI-001-2026</w:t>
          </w:r>
        </w:p>
      </w:tc>
      <w:tc>
        <w:tcPr>
          <w:tcW w:w="972"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1810"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CCE-EICP-GI-11</w:t>
          </w:r>
        </w:p>
      </w:tc>
      <w:tc>
        <w:tcPr>
          <w:tcW w:w="1025"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w:t>
          </w:r>
        </w:p>
      </w:tc>
      <w:tc>
        <w:tcPr>
          <w:tcW w:w="425"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5</w:t>
          </w:r>
        </w:p>
      </w:tc>
    </w:tr>
  </w:tbl>
  <w:p w:rsidR="00C0159A" w:rsidRDefault="00C0159A">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C46" w:rsidRDefault="00244C46">
      <w:pPr>
        <w:spacing w:after="0" w:line="240" w:lineRule="auto"/>
      </w:pPr>
      <w:r>
        <w:separator/>
      </w:r>
    </w:p>
  </w:footnote>
  <w:footnote w:type="continuationSeparator" w:id="0">
    <w:p w:rsidR="00244C46" w:rsidRDefault="00244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59A" w:rsidRDefault="00C0159A">
    <w:pPr>
      <w:widowControl w:val="0"/>
      <w:pBdr>
        <w:top w:val="nil"/>
        <w:left w:val="nil"/>
        <w:bottom w:val="nil"/>
        <w:right w:val="nil"/>
        <w:between w:val="nil"/>
      </w:pBdr>
      <w:spacing w:after="0" w:line="276" w:lineRule="auto"/>
      <w:rPr>
        <w:rFonts w:ascii="Arial" w:eastAsia="Arial" w:hAnsi="Arial" w:cs="Arial"/>
        <w:sz w:val="20"/>
        <w:szCs w:val="20"/>
      </w:rPr>
    </w:pPr>
  </w:p>
  <w:tbl>
    <w:tblPr>
      <w:tblStyle w:val="af4"/>
      <w:tblW w:w="8828"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C0159A">
      <w:trPr>
        <w:trHeight w:val="567"/>
      </w:trPr>
      <w:tc>
        <w:tcPr>
          <w:tcW w:w="1926" w:type="dxa"/>
          <w:vMerge w:val="restart"/>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extent cx="1080000" cy="553758"/>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DOCUMENTO BASE</w:t>
          </w:r>
        </w:p>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INTERVENTORÍA DE OBRA PÚBLICA DE INFRAESTRUCTURA DE TRANSPORTE – VERSIÓN 3</w:t>
          </w:r>
        </w:p>
      </w:tc>
    </w:tr>
    <w:tr w:rsidR="00C0159A">
      <w:trPr>
        <w:trHeight w:val="340"/>
      </w:trPr>
      <w:tc>
        <w:tcPr>
          <w:tcW w:w="1926" w:type="dxa"/>
          <w:vMerge/>
          <w:vAlign w:val="center"/>
        </w:tcPr>
        <w:p w:rsidR="00C0159A" w:rsidRDefault="00C0159A">
          <w:pPr>
            <w:widowControl w:val="0"/>
            <w:pBdr>
              <w:top w:val="nil"/>
              <w:left w:val="nil"/>
              <w:bottom w:val="nil"/>
              <w:right w:val="nil"/>
              <w:between w:val="nil"/>
            </w:pBdr>
            <w:spacing w:line="276" w:lineRule="auto"/>
            <w:rPr>
              <w:rFonts w:ascii="Arial" w:eastAsia="Arial" w:hAnsi="Arial" w:cs="Arial"/>
              <w:b/>
              <w:bCs/>
              <w:color w:val="000000"/>
              <w:sz w:val="20"/>
              <w:szCs w:val="20"/>
            </w:rPr>
          </w:pPr>
        </w:p>
      </w:tc>
      <w:tc>
        <w:tcPr>
          <w:tcW w:w="1471"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Código:</w:t>
          </w:r>
        </w:p>
      </w:tc>
      <w:tc>
        <w:tcPr>
          <w:tcW w:w="2269" w:type="dxa"/>
          <w:vAlign w:val="center"/>
        </w:tcPr>
        <w:p w:rsidR="00C0159A" w:rsidRDefault="00244C46">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color w:val="000000"/>
              <w:sz w:val="20"/>
              <w:szCs w:val="20"/>
            </w:rPr>
            <w:t>CCE-EICP-GI-11</w:t>
          </w:r>
        </w:p>
      </w:tc>
      <w:tc>
        <w:tcPr>
          <w:tcW w:w="1275"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bCs/>
              <w:color w:val="000000"/>
              <w:sz w:val="20"/>
              <w:szCs w:val="20"/>
            </w:rPr>
            <w:t>Página:</w:t>
          </w:r>
        </w:p>
      </w:tc>
      <w:tc>
        <w:tcPr>
          <w:tcW w:w="1887"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sidR="009374E5">
            <w:rPr>
              <w:rFonts w:ascii="Arial" w:eastAsia="Arial" w:hAnsi="Arial" w:cs="Arial"/>
              <w:b/>
              <w:bCs/>
              <w:color w:val="000000"/>
              <w:sz w:val="20"/>
              <w:szCs w:val="20"/>
            </w:rPr>
            <w:fldChar w:fldCharType="separate"/>
          </w:r>
          <w:r w:rsidR="009374E5">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sidR="009374E5">
            <w:rPr>
              <w:rFonts w:ascii="Arial" w:eastAsia="Arial" w:hAnsi="Arial" w:cs="Arial"/>
              <w:b/>
              <w:bCs/>
              <w:color w:val="000000"/>
              <w:sz w:val="20"/>
              <w:szCs w:val="20"/>
            </w:rPr>
            <w:fldChar w:fldCharType="separate"/>
          </w:r>
          <w:r w:rsidR="009374E5">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p>
      </w:tc>
    </w:tr>
    <w:tr w:rsidR="00C0159A">
      <w:trPr>
        <w:trHeight w:val="340"/>
      </w:trPr>
      <w:tc>
        <w:tcPr>
          <w:tcW w:w="1926" w:type="dxa"/>
          <w:vMerge/>
          <w:vAlign w:val="center"/>
        </w:tcPr>
        <w:p w:rsidR="00C0159A" w:rsidRDefault="00C0159A">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rsidR="00C0159A" w:rsidRDefault="00244C46">
          <w:pPr>
            <w:pBdr>
              <w:top w:val="nil"/>
              <w:left w:val="nil"/>
              <w:bottom w:val="nil"/>
              <w:right w:val="nil"/>
              <w:between w:val="nil"/>
            </w:pBdr>
            <w:tabs>
              <w:tab w:val="center" w:pos="4419"/>
              <w:tab w:val="right" w:pos="8838"/>
            </w:tabs>
            <w:jc w:val="center"/>
            <w:rPr>
              <w:rFonts w:ascii="Arial" w:eastAsia="Arial" w:hAnsi="Arial" w:cs="Arial"/>
              <w:b/>
              <w:bCs/>
              <w:color w:val="000000"/>
              <w:sz w:val="20"/>
              <w:szCs w:val="20"/>
            </w:rPr>
          </w:pPr>
          <w:r>
            <w:rPr>
              <w:rFonts w:ascii="Arial" w:eastAsia="Arial" w:hAnsi="Arial" w:cs="Arial"/>
              <w:b/>
              <w:bCs/>
              <w:color w:val="000000"/>
              <w:sz w:val="20"/>
              <w:szCs w:val="20"/>
            </w:rPr>
            <w:t>Versión No.:</w:t>
          </w:r>
        </w:p>
      </w:tc>
      <w:tc>
        <w:tcPr>
          <w:tcW w:w="5431" w:type="dxa"/>
          <w:gridSpan w:val="3"/>
          <w:vAlign w:val="center"/>
        </w:tcPr>
        <w:p w:rsidR="00C0159A" w:rsidRDefault="00244C46">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5</w:t>
          </w:r>
        </w:p>
      </w:tc>
    </w:tr>
  </w:tbl>
  <w:p w:rsidR="00C0159A" w:rsidRDefault="00C0159A">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4ED7"/>
    <w:multiLevelType w:val="multilevel"/>
    <w:tmpl w:val="C0FC0A90"/>
    <w:lvl w:ilvl="0">
      <w:start w:val="1"/>
      <w:numFmt w:val="upp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10603F3"/>
    <w:multiLevelType w:val="multilevel"/>
    <w:tmpl w:val="46466C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013202E6"/>
    <w:multiLevelType w:val="multilevel"/>
    <w:tmpl w:val="BE0433C4"/>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3F62D1"/>
    <w:multiLevelType w:val="multilevel"/>
    <w:tmpl w:val="89CCE99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B174A1"/>
    <w:multiLevelType w:val="multilevel"/>
    <w:tmpl w:val="2DBCCAC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8929E8"/>
    <w:multiLevelType w:val="multilevel"/>
    <w:tmpl w:val="BEB6DC74"/>
    <w:lvl w:ilvl="0">
      <w:start w:val="1"/>
      <w:numFmt w:val="upperRoman"/>
      <w:lvlText w:val="%1."/>
      <w:lvlJc w:val="right"/>
      <w:pPr>
        <w:ind w:left="1080" w:hanging="360"/>
      </w:pPr>
    </w:lvl>
    <w:lvl w:ilvl="1">
      <w:start w:val="2"/>
      <w:numFmt w:val="decimal"/>
      <w:lvlText w:val="%1.%2."/>
      <w:lvlJc w:val="left"/>
      <w:pPr>
        <w:ind w:left="1332" w:hanging="612"/>
      </w:p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6" w15:restartNumberingAfterBreak="0">
    <w:nsid w:val="0C584552"/>
    <w:multiLevelType w:val="multilevel"/>
    <w:tmpl w:val="5B08BF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90120F"/>
    <w:multiLevelType w:val="multilevel"/>
    <w:tmpl w:val="FCE4587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550A42"/>
    <w:multiLevelType w:val="multilevel"/>
    <w:tmpl w:val="728E1F9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425C82"/>
    <w:multiLevelType w:val="multilevel"/>
    <w:tmpl w:val="4FAA9D6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4A76E4A"/>
    <w:multiLevelType w:val="multilevel"/>
    <w:tmpl w:val="B8508C02"/>
    <w:lvl w:ilvl="0">
      <w:start w:val="1"/>
      <w:numFmt w:val="upperLetter"/>
      <w:lvlText w:val="%1."/>
      <w:lvlJc w:val="left"/>
      <w:pPr>
        <w:ind w:left="1068" w:hanging="70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5C27B9"/>
    <w:multiLevelType w:val="multilevel"/>
    <w:tmpl w:val="23ACED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62D764E"/>
    <w:multiLevelType w:val="multilevel"/>
    <w:tmpl w:val="E0AA63F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7391D45"/>
    <w:multiLevelType w:val="multilevel"/>
    <w:tmpl w:val="1360966A"/>
    <w:lvl w:ilvl="0">
      <w:start w:val="1"/>
      <w:numFmt w:val="upperRoman"/>
      <w:lvlText w:val="%1."/>
      <w:lvlJc w:val="left"/>
      <w:pPr>
        <w:ind w:left="1080" w:hanging="72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174737B3"/>
    <w:multiLevelType w:val="multilevel"/>
    <w:tmpl w:val="10DC0B12"/>
    <w:lvl w:ilvl="0">
      <w:start w:val="1"/>
      <w:numFmt w:val="upperRoman"/>
      <w:pStyle w:val="CAPITULOS"/>
      <w:lvlText w:val="CAPITULO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71641F"/>
    <w:multiLevelType w:val="multilevel"/>
    <w:tmpl w:val="AA9254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CD84F94"/>
    <w:multiLevelType w:val="multilevel"/>
    <w:tmpl w:val="5994F8C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2375DB5"/>
    <w:multiLevelType w:val="multilevel"/>
    <w:tmpl w:val="71763D5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6B6523D"/>
    <w:multiLevelType w:val="multilevel"/>
    <w:tmpl w:val="83D64488"/>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7FD551E"/>
    <w:multiLevelType w:val="multilevel"/>
    <w:tmpl w:val="5010D57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BB7B4A"/>
    <w:multiLevelType w:val="multilevel"/>
    <w:tmpl w:val="22465E2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E6051E"/>
    <w:multiLevelType w:val="multilevel"/>
    <w:tmpl w:val="15A00482"/>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BFA6096"/>
    <w:multiLevelType w:val="multilevel"/>
    <w:tmpl w:val="26BC7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E9673A2"/>
    <w:multiLevelType w:val="multilevel"/>
    <w:tmpl w:val="A33CA5A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F6B5CCF"/>
    <w:multiLevelType w:val="multilevel"/>
    <w:tmpl w:val="67C4324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09C05BC"/>
    <w:multiLevelType w:val="multilevel"/>
    <w:tmpl w:val="7DF0EA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1FB270C"/>
    <w:multiLevelType w:val="multilevel"/>
    <w:tmpl w:val="6C2400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4C70507"/>
    <w:multiLevelType w:val="multilevel"/>
    <w:tmpl w:val="2A2A0EB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82E0534"/>
    <w:multiLevelType w:val="multilevel"/>
    <w:tmpl w:val="8E58491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39C62233"/>
    <w:multiLevelType w:val="multilevel"/>
    <w:tmpl w:val="70B40C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E0C0E68"/>
    <w:multiLevelType w:val="multilevel"/>
    <w:tmpl w:val="A0C884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9C6C1A"/>
    <w:multiLevelType w:val="multilevel"/>
    <w:tmpl w:val="C49AEE0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0A77ECD"/>
    <w:multiLevelType w:val="multilevel"/>
    <w:tmpl w:val="8148259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41810EE"/>
    <w:multiLevelType w:val="multilevel"/>
    <w:tmpl w:val="3764424C"/>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788" w:hanging="707"/>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5697D2A"/>
    <w:multiLevelType w:val="multilevel"/>
    <w:tmpl w:val="2A56A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87C75BD"/>
    <w:multiLevelType w:val="multilevel"/>
    <w:tmpl w:val="55A29BC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493B1A03"/>
    <w:multiLevelType w:val="multilevel"/>
    <w:tmpl w:val="5C3E1A64"/>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4948222F"/>
    <w:multiLevelType w:val="multilevel"/>
    <w:tmpl w:val="3D02D0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B611730"/>
    <w:multiLevelType w:val="multilevel"/>
    <w:tmpl w:val="6FD6CE9C"/>
    <w:lvl w:ilvl="0">
      <w:start w:val="10"/>
      <w:numFmt w:val="decimal"/>
      <w:lvlText w:val="%1"/>
      <w:lvlJc w:val="left"/>
      <w:pPr>
        <w:ind w:left="384" w:hanging="384"/>
      </w:pPr>
    </w:lvl>
    <w:lvl w:ilvl="1">
      <w:start w:val="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4C7D201B"/>
    <w:multiLevelType w:val="multilevel"/>
    <w:tmpl w:val="BBD43C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F041557"/>
    <w:multiLevelType w:val="multilevel"/>
    <w:tmpl w:val="CBDEBCA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509B0701"/>
    <w:multiLevelType w:val="multilevel"/>
    <w:tmpl w:val="AC9A163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0CC6FBD"/>
    <w:multiLevelType w:val="multilevel"/>
    <w:tmpl w:val="D59C6D4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42024E0"/>
    <w:multiLevelType w:val="multilevel"/>
    <w:tmpl w:val="A57E76E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4DA028E"/>
    <w:multiLevelType w:val="multilevel"/>
    <w:tmpl w:val="6FF6C9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56F3983"/>
    <w:multiLevelType w:val="multilevel"/>
    <w:tmpl w:val="0E38BC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7AD571F"/>
    <w:multiLevelType w:val="multilevel"/>
    <w:tmpl w:val="1C089E9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1D45797"/>
    <w:multiLevelType w:val="multilevel"/>
    <w:tmpl w:val="EE20DBC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2273094"/>
    <w:multiLevelType w:val="multilevel"/>
    <w:tmpl w:val="CF2A0E7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41010E8"/>
    <w:multiLevelType w:val="multilevel"/>
    <w:tmpl w:val="9C469F0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5B812EA"/>
    <w:multiLevelType w:val="multilevel"/>
    <w:tmpl w:val="8F180E4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9553A68"/>
    <w:multiLevelType w:val="multilevel"/>
    <w:tmpl w:val="CD1EB76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C8C72BF"/>
    <w:multiLevelType w:val="multilevel"/>
    <w:tmpl w:val="B8E8325A"/>
    <w:lvl w:ilvl="0">
      <w:start w:val="10"/>
      <w:numFmt w:val="decimal"/>
      <w:lvlText w:val="%1."/>
      <w:lvlJc w:val="left"/>
      <w:pPr>
        <w:ind w:left="612" w:hanging="612"/>
      </w:pPr>
    </w:lvl>
    <w:lvl w:ilvl="1">
      <w:start w:val="1"/>
      <w:numFmt w:val="decimal"/>
      <w:lvlText w:val="%1.%2."/>
      <w:lvlJc w:val="left"/>
      <w:pPr>
        <w:ind w:left="612" w:hanging="61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6DC03095"/>
    <w:multiLevelType w:val="multilevel"/>
    <w:tmpl w:val="F1A0381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3777C40"/>
    <w:multiLevelType w:val="multilevel"/>
    <w:tmpl w:val="D244F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5A5102D"/>
    <w:multiLevelType w:val="multilevel"/>
    <w:tmpl w:val="5DE69658"/>
    <w:lvl w:ilvl="0">
      <w:start w:val="10"/>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783E35E8"/>
    <w:multiLevelType w:val="multilevel"/>
    <w:tmpl w:val="A338368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E3D3652"/>
    <w:multiLevelType w:val="multilevel"/>
    <w:tmpl w:val="2CFAD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10"/>
  </w:num>
  <w:num w:numId="3">
    <w:abstractNumId w:val="39"/>
  </w:num>
  <w:num w:numId="4">
    <w:abstractNumId w:val="50"/>
  </w:num>
  <w:num w:numId="5">
    <w:abstractNumId w:val="20"/>
  </w:num>
  <w:num w:numId="6">
    <w:abstractNumId w:val="24"/>
  </w:num>
  <w:num w:numId="7">
    <w:abstractNumId w:val="26"/>
  </w:num>
  <w:num w:numId="8">
    <w:abstractNumId w:val="27"/>
  </w:num>
  <w:num w:numId="9">
    <w:abstractNumId w:val="7"/>
  </w:num>
  <w:num w:numId="10">
    <w:abstractNumId w:val="1"/>
  </w:num>
  <w:num w:numId="11">
    <w:abstractNumId w:val="40"/>
  </w:num>
  <w:num w:numId="12">
    <w:abstractNumId w:val="23"/>
  </w:num>
  <w:num w:numId="13">
    <w:abstractNumId w:val="0"/>
  </w:num>
  <w:num w:numId="14">
    <w:abstractNumId w:val="31"/>
  </w:num>
  <w:num w:numId="15">
    <w:abstractNumId w:val="42"/>
  </w:num>
  <w:num w:numId="16">
    <w:abstractNumId w:val="25"/>
  </w:num>
  <w:num w:numId="17">
    <w:abstractNumId w:val="45"/>
  </w:num>
  <w:num w:numId="18">
    <w:abstractNumId w:val="53"/>
  </w:num>
  <w:num w:numId="19">
    <w:abstractNumId w:val="8"/>
  </w:num>
  <w:num w:numId="20">
    <w:abstractNumId w:val="28"/>
  </w:num>
  <w:num w:numId="21">
    <w:abstractNumId w:val="44"/>
  </w:num>
  <w:num w:numId="22">
    <w:abstractNumId w:val="33"/>
  </w:num>
  <w:num w:numId="23">
    <w:abstractNumId w:val="43"/>
  </w:num>
  <w:num w:numId="24">
    <w:abstractNumId w:val="12"/>
  </w:num>
  <w:num w:numId="25">
    <w:abstractNumId w:val="19"/>
  </w:num>
  <w:num w:numId="26">
    <w:abstractNumId w:val="57"/>
  </w:num>
  <w:num w:numId="27">
    <w:abstractNumId w:val="9"/>
  </w:num>
  <w:num w:numId="28">
    <w:abstractNumId w:val="35"/>
  </w:num>
  <w:num w:numId="29">
    <w:abstractNumId w:val="18"/>
  </w:num>
  <w:num w:numId="30">
    <w:abstractNumId w:val="37"/>
  </w:num>
  <w:num w:numId="31">
    <w:abstractNumId w:val="17"/>
  </w:num>
  <w:num w:numId="32">
    <w:abstractNumId w:val="34"/>
  </w:num>
  <w:num w:numId="33">
    <w:abstractNumId w:val="4"/>
  </w:num>
  <w:num w:numId="34">
    <w:abstractNumId w:val="2"/>
  </w:num>
  <w:num w:numId="35">
    <w:abstractNumId w:val="21"/>
  </w:num>
  <w:num w:numId="36">
    <w:abstractNumId w:val="16"/>
  </w:num>
  <w:num w:numId="37">
    <w:abstractNumId w:val="29"/>
  </w:num>
  <w:num w:numId="38">
    <w:abstractNumId w:val="3"/>
  </w:num>
  <w:num w:numId="39">
    <w:abstractNumId w:val="56"/>
  </w:num>
  <w:num w:numId="40">
    <w:abstractNumId w:val="13"/>
  </w:num>
  <w:num w:numId="41">
    <w:abstractNumId w:val="49"/>
  </w:num>
  <w:num w:numId="42">
    <w:abstractNumId w:val="48"/>
  </w:num>
  <w:num w:numId="43">
    <w:abstractNumId w:val="15"/>
  </w:num>
  <w:num w:numId="44">
    <w:abstractNumId w:val="6"/>
  </w:num>
  <w:num w:numId="45">
    <w:abstractNumId w:val="41"/>
  </w:num>
  <w:num w:numId="46">
    <w:abstractNumId w:val="38"/>
  </w:num>
  <w:num w:numId="47">
    <w:abstractNumId w:val="52"/>
  </w:num>
  <w:num w:numId="48">
    <w:abstractNumId w:val="5"/>
  </w:num>
  <w:num w:numId="49">
    <w:abstractNumId w:val="51"/>
  </w:num>
  <w:num w:numId="50">
    <w:abstractNumId w:val="30"/>
  </w:num>
  <w:num w:numId="51">
    <w:abstractNumId w:val="54"/>
  </w:num>
  <w:num w:numId="52">
    <w:abstractNumId w:val="47"/>
  </w:num>
  <w:num w:numId="53">
    <w:abstractNumId w:val="55"/>
  </w:num>
  <w:num w:numId="54">
    <w:abstractNumId w:val="22"/>
  </w:num>
  <w:num w:numId="55">
    <w:abstractNumId w:val="36"/>
  </w:num>
  <w:num w:numId="56">
    <w:abstractNumId w:val="46"/>
  </w:num>
  <w:num w:numId="57">
    <w:abstractNumId w:val="32"/>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59A"/>
    <w:rsid w:val="00244C46"/>
    <w:rsid w:val="009374E5"/>
    <w:rsid w:val="00C015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docId w15:val="{88AF1131-A083-AD41-868D-0F3D62157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MX" w:eastAsia="es-ES_tradn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basedOn w:val="Fuentedeprrafopredeter"/>
    <w:link w:val="Prrafodelista"/>
    <w:uiPriority w:val="34"/>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rPr>
      <w:lang w:eastAsia="es-CO"/>
    </w:rPr>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lang w:eastAsia="es-CO"/>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lang w:eastAsia="es-CO"/>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lang w:eastAsia="es-CO"/>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lang w:eastAsia="es-CO"/>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lang w:eastAsia="es-CO"/>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lang w:eastAsia="es-CO"/>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citaciones@idu.gov.co" TargetMode="External"/><Relationship Id="rId18" Type="http://schemas.openxmlformats.org/officeDocument/2006/relationships/hyperlink" Target="https://www.superfinanciera.gov.co/publicacion/608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colombiacompra.gov.co/secop-ii/indisponibilidad-en-el-secop-ii" TargetMode="External"/><Relationship Id="rId2" Type="http://schemas.openxmlformats.org/officeDocument/2006/relationships/numbering" Target="numbering.xml"/><Relationship Id="rId16" Type="http://schemas.openxmlformats.org/officeDocument/2006/relationships/hyperlink" Target="http://www.banrep.gov.co/es/mercado-laboral/salari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oanda.com/currency-converter/es/" TargetMode="External"/><Relationship Id="rId10" Type="http://schemas.openxmlformats.org/officeDocument/2006/relationships/hyperlink" Target="https://www.colombiacompra.gov.co/secop-ii" TargetMode="External"/><Relationship Id="rId19" Type="http://schemas.openxmlformats.org/officeDocument/2006/relationships/hyperlink" Target="http://www.banrep.gov.co/es/mercado-laboral/salarios"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hyperlink" Target="https://www.oanda.com/currency-converter/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r30YJqAbrtObF1oqAHY95xGDOg==">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34569</Words>
  <Characters>190132</Characters>
  <Application>Microsoft Office Word</Application>
  <DocSecurity>0</DocSecurity>
  <Lines>1584</Lines>
  <Paragraphs>448</Paragraphs>
  <ScaleCrop>false</ScaleCrop>
  <Company/>
  <LinksUpToDate>false</LinksUpToDate>
  <CharactersWithSpaces>224253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Gutiérrez</dc:creator>
  <cp:lastModifiedBy>Microsoft Office User</cp:lastModifiedBy>
  <cp:revision>2</cp:revision>
  <dcterms:created xsi:type="dcterms:W3CDTF">2026-03-04T04:27:00Z</dcterms:created>
  <dcterms:modified xsi:type="dcterms:W3CDTF">2026-04-28T21:31:00Z</dcterms:modified>
</cp:coreProperties>
</file>