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D0CD9" w14:textId="062E3381" w:rsidR="00FA2C63" w:rsidRPr="00D535E1" w:rsidRDefault="00FA2C63" w:rsidP="001372EB">
      <w:pPr>
        <w:pStyle w:val="Ttulo3"/>
        <w:jc w:val="both"/>
        <w:rPr>
          <w:rFonts w:ascii="Arial" w:hAnsi="Arial" w:cs="Arial"/>
          <w:b/>
          <w:bCs/>
          <w:i/>
          <w:iCs/>
          <w:color w:val="000000" w:themeColor="text1"/>
        </w:rPr>
      </w:pPr>
      <w:r w:rsidRPr="00D535E1">
        <w:rPr>
          <w:rFonts w:ascii="Arial" w:hAnsi="Arial" w:cs="Arial"/>
          <w:b/>
          <w:bCs/>
          <w:i/>
          <w:iCs/>
          <w:color w:val="000000" w:themeColor="text1"/>
        </w:rPr>
        <w:t>Zonificación de la Reserva Forestal Productora Protectora de Cuenca Alta del Río Bogotá RFPPCARB</w:t>
      </w:r>
    </w:p>
    <w:p w14:paraId="49612E64" w14:textId="77777777" w:rsidR="00FA2C63" w:rsidRPr="00D535E1" w:rsidRDefault="00FA2C63" w:rsidP="001372EB">
      <w:pPr>
        <w:pStyle w:val="Ttulo3"/>
        <w:jc w:val="both"/>
        <w:rPr>
          <w:rFonts w:ascii="Arial" w:hAnsi="Arial" w:cs="Arial"/>
          <w:b/>
          <w:bCs/>
          <w:i/>
          <w:iCs/>
          <w:color w:val="000000" w:themeColor="text1"/>
          <w:lang w:val="es-ES"/>
        </w:rPr>
      </w:pPr>
    </w:p>
    <w:p w14:paraId="5791A162" w14:textId="77777777" w:rsidR="0054191C" w:rsidRPr="00D535E1" w:rsidRDefault="0054191C" w:rsidP="001372EB">
      <w:pPr>
        <w:spacing w:after="0" w:line="276" w:lineRule="auto"/>
        <w:jc w:val="both"/>
        <w:rPr>
          <w:rFonts w:ascii="Arial" w:hAnsi="Arial" w:cs="Arial"/>
          <w:b/>
          <w:bCs/>
          <w:i/>
          <w:iCs/>
          <w:sz w:val="24"/>
          <w:szCs w:val="24"/>
          <w:u w:val="single"/>
        </w:rPr>
      </w:pPr>
      <w:r w:rsidRPr="00D535E1">
        <w:rPr>
          <w:rFonts w:ascii="Arial" w:hAnsi="Arial" w:cs="Arial"/>
          <w:b/>
          <w:bCs/>
          <w:i/>
          <w:iCs/>
          <w:sz w:val="24"/>
          <w:szCs w:val="24"/>
          <w:u w:val="single"/>
        </w:rPr>
        <w:t>Zonificación de manejo </w:t>
      </w:r>
    </w:p>
    <w:p w14:paraId="08E91BE0" w14:textId="77777777" w:rsidR="0054191C" w:rsidRPr="00D535E1" w:rsidRDefault="0054191C" w:rsidP="001372EB">
      <w:pPr>
        <w:spacing w:after="0" w:line="276" w:lineRule="auto"/>
        <w:jc w:val="both"/>
        <w:rPr>
          <w:rFonts w:ascii="Arial" w:hAnsi="Arial" w:cs="Arial"/>
          <w:sz w:val="24"/>
          <w:szCs w:val="24"/>
        </w:rPr>
      </w:pPr>
      <w:r w:rsidRPr="00D535E1">
        <w:rPr>
          <w:rFonts w:ascii="Arial" w:hAnsi="Arial" w:cs="Arial"/>
          <w:sz w:val="24"/>
          <w:szCs w:val="24"/>
        </w:rPr>
        <w:t> </w:t>
      </w:r>
    </w:p>
    <w:p w14:paraId="69DB1908" w14:textId="1E482A6B" w:rsidR="00374C74" w:rsidRPr="00D535E1" w:rsidRDefault="00374C74" w:rsidP="001372EB">
      <w:pPr>
        <w:spacing w:after="0" w:line="276" w:lineRule="auto"/>
        <w:jc w:val="both"/>
        <w:rPr>
          <w:rFonts w:ascii="Arial" w:hAnsi="Arial" w:cs="Arial"/>
          <w:sz w:val="24"/>
          <w:szCs w:val="24"/>
        </w:rPr>
      </w:pPr>
      <w:r w:rsidRPr="00D535E1">
        <w:rPr>
          <w:rFonts w:ascii="Arial" w:hAnsi="Arial" w:cs="Arial"/>
          <w:sz w:val="24"/>
          <w:szCs w:val="24"/>
        </w:rPr>
        <w:t xml:space="preserve">La zonificación es un proceso </w:t>
      </w:r>
      <w:r w:rsidR="00BB0506">
        <w:rPr>
          <w:rFonts w:ascii="Arial" w:hAnsi="Arial" w:cs="Arial"/>
          <w:sz w:val="24"/>
          <w:szCs w:val="24"/>
        </w:rPr>
        <w:t>por</w:t>
      </w:r>
      <w:r w:rsidRPr="00D535E1">
        <w:rPr>
          <w:rFonts w:ascii="Arial" w:hAnsi="Arial" w:cs="Arial"/>
          <w:sz w:val="24"/>
          <w:szCs w:val="24"/>
        </w:rPr>
        <w:t xml:space="preserve"> el cual se organiza el territorio en diferentes áreas o zonas. Cada una de estas zonas tiene </w:t>
      </w:r>
      <w:r w:rsidR="003F7DAE">
        <w:rPr>
          <w:rFonts w:ascii="Arial" w:hAnsi="Arial" w:cs="Arial"/>
          <w:sz w:val="24"/>
          <w:szCs w:val="24"/>
        </w:rPr>
        <w:t>pautas</w:t>
      </w:r>
      <w:r w:rsidRPr="00D535E1">
        <w:rPr>
          <w:rFonts w:ascii="Arial" w:hAnsi="Arial" w:cs="Arial"/>
          <w:sz w:val="24"/>
          <w:szCs w:val="24"/>
        </w:rPr>
        <w:t xml:space="preserve"> claras sobre qué actividades se pueden realizar</w:t>
      </w:r>
      <w:r w:rsidR="00533B35">
        <w:rPr>
          <w:rFonts w:ascii="Arial" w:hAnsi="Arial" w:cs="Arial"/>
          <w:sz w:val="24"/>
          <w:szCs w:val="24"/>
        </w:rPr>
        <w:t>, cuales son condicionadas</w:t>
      </w:r>
      <w:r w:rsidRPr="00D535E1">
        <w:rPr>
          <w:rFonts w:ascii="Arial" w:hAnsi="Arial" w:cs="Arial"/>
          <w:sz w:val="24"/>
          <w:szCs w:val="24"/>
        </w:rPr>
        <w:t xml:space="preserve"> y cuáles</w:t>
      </w:r>
      <w:r w:rsidR="003F7DAE">
        <w:rPr>
          <w:rFonts w:ascii="Arial" w:hAnsi="Arial" w:cs="Arial"/>
          <w:sz w:val="24"/>
          <w:szCs w:val="24"/>
        </w:rPr>
        <w:t xml:space="preserve"> son prohibidas,</w:t>
      </w:r>
      <w:r w:rsidRPr="00D535E1">
        <w:rPr>
          <w:rFonts w:ascii="Arial" w:hAnsi="Arial" w:cs="Arial"/>
          <w:sz w:val="24"/>
          <w:szCs w:val="24"/>
        </w:rPr>
        <w:t xml:space="preserve"> según sus características naturales, ambientales y sociales.</w:t>
      </w:r>
    </w:p>
    <w:p w14:paraId="155C2F76" w14:textId="77777777" w:rsidR="00374C74" w:rsidRPr="00D535E1" w:rsidRDefault="00374C74" w:rsidP="001372EB">
      <w:pPr>
        <w:spacing w:after="0" w:line="276" w:lineRule="auto"/>
        <w:jc w:val="both"/>
        <w:rPr>
          <w:rFonts w:ascii="Arial" w:hAnsi="Arial" w:cs="Arial"/>
          <w:sz w:val="24"/>
          <w:szCs w:val="24"/>
        </w:rPr>
      </w:pPr>
    </w:p>
    <w:p w14:paraId="0C9581DC" w14:textId="7747BC1E" w:rsidR="00374C74" w:rsidRPr="00D535E1" w:rsidRDefault="00374C74" w:rsidP="001372EB">
      <w:pPr>
        <w:spacing w:after="0" w:line="276" w:lineRule="auto"/>
        <w:jc w:val="both"/>
        <w:rPr>
          <w:rFonts w:ascii="Arial" w:hAnsi="Arial" w:cs="Arial"/>
          <w:sz w:val="24"/>
          <w:szCs w:val="24"/>
        </w:rPr>
      </w:pPr>
      <w:r w:rsidRPr="00D535E1">
        <w:rPr>
          <w:rFonts w:ascii="Arial" w:hAnsi="Arial" w:cs="Arial"/>
          <w:sz w:val="24"/>
          <w:szCs w:val="24"/>
        </w:rPr>
        <w:t xml:space="preserve">En términos simples, zonificar significa </w:t>
      </w:r>
      <w:r w:rsidR="00B946B1">
        <w:rPr>
          <w:rFonts w:ascii="Arial" w:hAnsi="Arial" w:cs="Arial"/>
          <w:sz w:val="24"/>
          <w:szCs w:val="24"/>
        </w:rPr>
        <w:t>sub</w:t>
      </w:r>
      <w:r w:rsidRPr="00D535E1">
        <w:rPr>
          <w:rFonts w:ascii="Arial" w:hAnsi="Arial" w:cs="Arial"/>
          <w:sz w:val="24"/>
          <w:szCs w:val="24"/>
        </w:rPr>
        <w:t xml:space="preserve">dividir el territorio en </w:t>
      </w:r>
      <w:r w:rsidR="00171025">
        <w:rPr>
          <w:rFonts w:ascii="Arial" w:hAnsi="Arial" w:cs="Arial"/>
          <w:sz w:val="24"/>
          <w:szCs w:val="24"/>
        </w:rPr>
        <w:t xml:space="preserve">diferentes </w:t>
      </w:r>
      <w:r w:rsidR="00B946B1">
        <w:rPr>
          <w:rFonts w:ascii="Arial" w:hAnsi="Arial" w:cs="Arial"/>
          <w:sz w:val="24"/>
          <w:szCs w:val="24"/>
        </w:rPr>
        <w:t>zonas</w:t>
      </w:r>
      <w:r w:rsidRPr="00D535E1">
        <w:rPr>
          <w:rFonts w:ascii="Arial" w:hAnsi="Arial" w:cs="Arial"/>
          <w:sz w:val="24"/>
          <w:szCs w:val="24"/>
        </w:rPr>
        <w:t xml:space="preserve"> </w:t>
      </w:r>
      <w:r w:rsidR="00B946B1">
        <w:rPr>
          <w:rFonts w:ascii="Arial" w:hAnsi="Arial" w:cs="Arial"/>
          <w:sz w:val="24"/>
          <w:szCs w:val="24"/>
        </w:rPr>
        <w:t xml:space="preserve">cada una con condicionamientos claros y </w:t>
      </w:r>
      <w:r w:rsidR="007E384E">
        <w:rPr>
          <w:rFonts w:ascii="Arial" w:hAnsi="Arial" w:cs="Arial"/>
          <w:sz w:val="24"/>
          <w:szCs w:val="24"/>
        </w:rPr>
        <w:t>específicos de las actividades que son o no viables</w:t>
      </w:r>
      <w:r w:rsidRPr="00D535E1">
        <w:rPr>
          <w:rFonts w:ascii="Arial" w:hAnsi="Arial" w:cs="Arial"/>
          <w:sz w:val="24"/>
          <w:szCs w:val="24"/>
        </w:rPr>
        <w:t>. Esta división no se basa únicamente en aspectos ecológicos, como el tipo de suelo, la vegetación</w:t>
      </w:r>
      <w:r w:rsidR="007E384E">
        <w:rPr>
          <w:rFonts w:ascii="Arial" w:hAnsi="Arial" w:cs="Arial"/>
          <w:sz w:val="24"/>
          <w:szCs w:val="24"/>
        </w:rPr>
        <w:t xml:space="preserve"> o</w:t>
      </w:r>
      <w:r w:rsidRPr="00D535E1">
        <w:rPr>
          <w:rFonts w:ascii="Arial" w:hAnsi="Arial" w:cs="Arial"/>
          <w:sz w:val="24"/>
          <w:szCs w:val="24"/>
        </w:rPr>
        <w:t xml:space="preserve"> el agua </w:t>
      </w:r>
      <w:r w:rsidR="007E384E">
        <w:rPr>
          <w:rFonts w:ascii="Arial" w:hAnsi="Arial" w:cs="Arial"/>
          <w:sz w:val="24"/>
          <w:szCs w:val="24"/>
        </w:rPr>
        <w:t>presente en la zona</w:t>
      </w:r>
      <w:r w:rsidRPr="00D535E1">
        <w:rPr>
          <w:rFonts w:ascii="Arial" w:hAnsi="Arial" w:cs="Arial"/>
          <w:sz w:val="24"/>
          <w:szCs w:val="24"/>
        </w:rPr>
        <w:t>. También</w:t>
      </w:r>
      <w:r w:rsidR="007E384E">
        <w:rPr>
          <w:rFonts w:ascii="Arial" w:hAnsi="Arial" w:cs="Arial"/>
          <w:sz w:val="24"/>
          <w:szCs w:val="24"/>
        </w:rPr>
        <w:t xml:space="preserve"> se</w:t>
      </w:r>
      <w:r w:rsidRPr="00D535E1">
        <w:rPr>
          <w:rFonts w:ascii="Arial" w:hAnsi="Arial" w:cs="Arial"/>
          <w:sz w:val="24"/>
          <w:szCs w:val="24"/>
        </w:rPr>
        <w:t xml:space="preserve"> tiene</w:t>
      </w:r>
      <w:r w:rsidR="007E384E">
        <w:rPr>
          <w:rFonts w:ascii="Arial" w:hAnsi="Arial" w:cs="Arial"/>
          <w:sz w:val="24"/>
          <w:szCs w:val="24"/>
        </w:rPr>
        <w:t>n</w:t>
      </w:r>
      <w:r w:rsidRPr="00D535E1">
        <w:rPr>
          <w:rFonts w:ascii="Arial" w:hAnsi="Arial" w:cs="Arial"/>
          <w:sz w:val="24"/>
          <w:szCs w:val="24"/>
        </w:rPr>
        <w:t xml:space="preserve"> en cuenta factores sociales, como las necesidades de las comunidades que viven en el área o que dependen de ella para su sustento, así como los objetivos de conservación establecidos para el área protegida</w:t>
      </w:r>
      <w:r w:rsidR="007E384E">
        <w:rPr>
          <w:rFonts w:ascii="Arial" w:hAnsi="Arial" w:cs="Arial"/>
          <w:sz w:val="24"/>
          <w:szCs w:val="24"/>
        </w:rPr>
        <w:t xml:space="preserve"> junto con otras variables que define un equipo multidisciplinario.</w:t>
      </w:r>
    </w:p>
    <w:p w14:paraId="5EA38D0B" w14:textId="77777777" w:rsidR="00374C74" w:rsidRPr="00D535E1" w:rsidRDefault="00374C74" w:rsidP="001372EB">
      <w:pPr>
        <w:spacing w:after="0" w:line="276" w:lineRule="auto"/>
        <w:jc w:val="both"/>
        <w:rPr>
          <w:rFonts w:ascii="Arial" w:hAnsi="Arial" w:cs="Arial"/>
          <w:sz w:val="24"/>
          <w:szCs w:val="24"/>
        </w:rPr>
      </w:pPr>
    </w:p>
    <w:p w14:paraId="4366BAB5" w14:textId="183EF11F" w:rsidR="00374C74" w:rsidRPr="00D535E1" w:rsidRDefault="00374C74" w:rsidP="001372EB">
      <w:pPr>
        <w:spacing w:after="0" w:line="276" w:lineRule="auto"/>
        <w:jc w:val="both"/>
        <w:rPr>
          <w:rFonts w:ascii="Arial" w:hAnsi="Arial" w:cs="Arial"/>
          <w:sz w:val="24"/>
          <w:szCs w:val="24"/>
        </w:rPr>
      </w:pPr>
      <w:r w:rsidRPr="00D535E1">
        <w:rPr>
          <w:rFonts w:ascii="Arial" w:hAnsi="Arial" w:cs="Arial"/>
          <w:sz w:val="24"/>
          <w:szCs w:val="24"/>
        </w:rPr>
        <w:t xml:space="preserve">Por ejemplo, existen zonas donde la prioridad </w:t>
      </w:r>
      <w:r w:rsidR="00904404">
        <w:rPr>
          <w:rFonts w:ascii="Arial" w:hAnsi="Arial" w:cs="Arial"/>
          <w:sz w:val="24"/>
          <w:szCs w:val="24"/>
        </w:rPr>
        <w:t>debe ser</w:t>
      </w:r>
      <w:r w:rsidRPr="00D535E1">
        <w:rPr>
          <w:rFonts w:ascii="Arial" w:hAnsi="Arial" w:cs="Arial"/>
          <w:sz w:val="24"/>
          <w:szCs w:val="24"/>
        </w:rPr>
        <w:t xml:space="preserve"> la protección </w:t>
      </w:r>
      <w:r w:rsidR="00904404">
        <w:rPr>
          <w:rFonts w:ascii="Arial" w:hAnsi="Arial" w:cs="Arial"/>
          <w:sz w:val="24"/>
          <w:szCs w:val="24"/>
        </w:rPr>
        <w:t>absoluta</w:t>
      </w:r>
      <w:r w:rsidRPr="00D535E1">
        <w:rPr>
          <w:rFonts w:ascii="Arial" w:hAnsi="Arial" w:cs="Arial"/>
          <w:sz w:val="24"/>
          <w:szCs w:val="24"/>
        </w:rPr>
        <w:t xml:space="preserve">. En estos lugares se busca conservar los ecosistemas en su estado natural, por lo que las actividades humanas están muy limitadas o no se permiten. En otras zonas, el objetivo principal puede ser la restauración, es decir, recuperar </w:t>
      </w:r>
      <w:r w:rsidR="00C4373C">
        <w:rPr>
          <w:rFonts w:ascii="Arial" w:hAnsi="Arial" w:cs="Arial"/>
          <w:sz w:val="24"/>
          <w:szCs w:val="24"/>
        </w:rPr>
        <w:t xml:space="preserve">estas </w:t>
      </w:r>
      <w:r w:rsidRPr="00D535E1">
        <w:rPr>
          <w:rFonts w:ascii="Arial" w:hAnsi="Arial" w:cs="Arial"/>
          <w:sz w:val="24"/>
          <w:szCs w:val="24"/>
        </w:rPr>
        <w:t>áreas que han sido degradadas o afectadas</w:t>
      </w:r>
      <w:r w:rsidR="00C4373C">
        <w:rPr>
          <w:rFonts w:ascii="Arial" w:hAnsi="Arial" w:cs="Arial"/>
          <w:sz w:val="24"/>
          <w:szCs w:val="24"/>
        </w:rPr>
        <w:t xml:space="preserve"> bien sea por actividades antrópicas o eventos naturales.</w:t>
      </w:r>
    </w:p>
    <w:p w14:paraId="5715982E" w14:textId="77777777" w:rsidR="00374C74" w:rsidRPr="00D535E1" w:rsidRDefault="00374C74" w:rsidP="001372EB">
      <w:pPr>
        <w:spacing w:after="0" w:line="276" w:lineRule="auto"/>
        <w:jc w:val="both"/>
        <w:rPr>
          <w:rFonts w:ascii="Arial" w:hAnsi="Arial" w:cs="Arial"/>
          <w:sz w:val="24"/>
          <w:szCs w:val="24"/>
        </w:rPr>
      </w:pPr>
    </w:p>
    <w:p w14:paraId="727C0229" w14:textId="1EB34F10" w:rsidR="00374C74" w:rsidRPr="00D535E1" w:rsidRDefault="00374C74" w:rsidP="001372EB">
      <w:pPr>
        <w:spacing w:after="0" w:line="276" w:lineRule="auto"/>
        <w:jc w:val="both"/>
        <w:rPr>
          <w:rFonts w:ascii="Arial" w:hAnsi="Arial" w:cs="Arial"/>
          <w:sz w:val="24"/>
          <w:szCs w:val="24"/>
        </w:rPr>
      </w:pPr>
      <w:r w:rsidRPr="00D535E1">
        <w:rPr>
          <w:rFonts w:ascii="Arial" w:hAnsi="Arial" w:cs="Arial"/>
          <w:sz w:val="24"/>
          <w:szCs w:val="24"/>
        </w:rPr>
        <w:t>También exist</w:t>
      </w:r>
      <w:r w:rsidR="0058765A">
        <w:rPr>
          <w:rFonts w:ascii="Arial" w:hAnsi="Arial" w:cs="Arial"/>
          <w:sz w:val="24"/>
          <w:szCs w:val="24"/>
        </w:rPr>
        <w:t>en</w:t>
      </w:r>
      <w:r w:rsidRPr="00D535E1">
        <w:rPr>
          <w:rFonts w:ascii="Arial" w:hAnsi="Arial" w:cs="Arial"/>
          <w:sz w:val="24"/>
          <w:szCs w:val="24"/>
        </w:rPr>
        <w:t xml:space="preserve"> zonas donde se permiten actividades controladas y sostenibles, </w:t>
      </w:r>
      <w:r w:rsidR="0058765A">
        <w:rPr>
          <w:rFonts w:ascii="Arial" w:hAnsi="Arial" w:cs="Arial"/>
          <w:sz w:val="24"/>
          <w:szCs w:val="24"/>
        </w:rPr>
        <w:t xml:space="preserve">tales </w:t>
      </w:r>
      <w:r w:rsidRPr="00D535E1">
        <w:rPr>
          <w:rFonts w:ascii="Arial" w:hAnsi="Arial" w:cs="Arial"/>
          <w:sz w:val="24"/>
          <w:szCs w:val="24"/>
        </w:rPr>
        <w:t>como:</w:t>
      </w:r>
    </w:p>
    <w:p w14:paraId="1A6BDCDA" w14:textId="77777777" w:rsidR="00374C74" w:rsidRPr="00D535E1" w:rsidRDefault="00374C74" w:rsidP="001372EB">
      <w:pPr>
        <w:spacing w:after="0" w:line="276" w:lineRule="auto"/>
        <w:jc w:val="both"/>
        <w:rPr>
          <w:rFonts w:ascii="Arial" w:hAnsi="Arial" w:cs="Arial"/>
          <w:sz w:val="24"/>
          <w:szCs w:val="24"/>
        </w:rPr>
      </w:pPr>
    </w:p>
    <w:p w14:paraId="370457B6" w14:textId="4E09309A" w:rsidR="00374C74" w:rsidRPr="00D535E1" w:rsidRDefault="00374C74" w:rsidP="001372EB">
      <w:pPr>
        <w:pStyle w:val="Prrafodelista"/>
        <w:numPr>
          <w:ilvl w:val="0"/>
          <w:numId w:val="55"/>
        </w:numPr>
        <w:spacing w:after="0" w:line="276" w:lineRule="auto"/>
        <w:jc w:val="both"/>
        <w:rPr>
          <w:rFonts w:ascii="Arial" w:hAnsi="Arial" w:cs="Arial"/>
          <w:sz w:val="24"/>
          <w:szCs w:val="24"/>
        </w:rPr>
      </w:pPr>
      <w:r w:rsidRPr="00D535E1">
        <w:rPr>
          <w:rFonts w:ascii="Arial" w:hAnsi="Arial" w:cs="Arial"/>
          <w:sz w:val="24"/>
          <w:szCs w:val="24"/>
        </w:rPr>
        <w:t xml:space="preserve">Proyectos productivos que no </w:t>
      </w:r>
      <w:r w:rsidR="000F6EEC">
        <w:rPr>
          <w:rFonts w:ascii="Arial" w:hAnsi="Arial" w:cs="Arial"/>
          <w:sz w:val="24"/>
          <w:szCs w:val="24"/>
        </w:rPr>
        <w:t>impacten de forma negativa el medio</w:t>
      </w:r>
      <w:r w:rsidRPr="00D535E1">
        <w:rPr>
          <w:rFonts w:ascii="Arial" w:hAnsi="Arial" w:cs="Arial"/>
          <w:sz w:val="24"/>
          <w:szCs w:val="24"/>
        </w:rPr>
        <w:t xml:space="preserve"> ambiente.</w:t>
      </w:r>
    </w:p>
    <w:p w14:paraId="398422E6" w14:textId="77777777" w:rsidR="00374C74" w:rsidRPr="00D535E1" w:rsidRDefault="00374C74" w:rsidP="001372EB">
      <w:pPr>
        <w:pStyle w:val="Prrafodelista"/>
        <w:numPr>
          <w:ilvl w:val="0"/>
          <w:numId w:val="55"/>
        </w:numPr>
        <w:spacing w:after="0" w:line="276" w:lineRule="auto"/>
        <w:jc w:val="both"/>
        <w:rPr>
          <w:rFonts w:ascii="Arial" w:hAnsi="Arial" w:cs="Arial"/>
          <w:sz w:val="24"/>
          <w:szCs w:val="24"/>
        </w:rPr>
      </w:pPr>
      <w:r w:rsidRPr="00D535E1">
        <w:rPr>
          <w:rFonts w:ascii="Arial" w:hAnsi="Arial" w:cs="Arial"/>
          <w:sz w:val="24"/>
          <w:szCs w:val="24"/>
        </w:rPr>
        <w:t>Actividades educativas o de investigación.</w:t>
      </w:r>
    </w:p>
    <w:p w14:paraId="11B2DB54" w14:textId="77777777" w:rsidR="00374C74" w:rsidRPr="00D535E1" w:rsidRDefault="00374C74" w:rsidP="001372EB">
      <w:pPr>
        <w:pStyle w:val="Prrafodelista"/>
        <w:numPr>
          <w:ilvl w:val="0"/>
          <w:numId w:val="55"/>
        </w:numPr>
        <w:spacing w:after="0" w:line="276" w:lineRule="auto"/>
        <w:jc w:val="both"/>
        <w:rPr>
          <w:rFonts w:ascii="Arial" w:hAnsi="Arial" w:cs="Arial"/>
          <w:sz w:val="24"/>
          <w:szCs w:val="24"/>
        </w:rPr>
      </w:pPr>
      <w:r w:rsidRPr="00D535E1">
        <w:rPr>
          <w:rFonts w:ascii="Arial" w:hAnsi="Arial" w:cs="Arial"/>
          <w:sz w:val="24"/>
          <w:szCs w:val="24"/>
        </w:rPr>
        <w:t>Turismo de naturaleza.</w:t>
      </w:r>
    </w:p>
    <w:p w14:paraId="0B60ADEC" w14:textId="77777777" w:rsidR="00374C74" w:rsidRPr="00D535E1" w:rsidRDefault="00374C74" w:rsidP="001372EB">
      <w:pPr>
        <w:pStyle w:val="Prrafodelista"/>
        <w:numPr>
          <w:ilvl w:val="0"/>
          <w:numId w:val="55"/>
        </w:numPr>
        <w:spacing w:after="0" w:line="276" w:lineRule="auto"/>
        <w:jc w:val="both"/>
        <w:rPr>
          <w:rFonts w:ascii="Arial" w:hAnsi="Arial" w:cs="Arial"/>
          <w:sz w:val="24"/>
          <w:szCs w:val="24"/>
        </w:rPr>
      </w:pPr>
      <w:r w:rsidRPr="00D535E1">
        <w:rPr>
          <w:rFonts w:ascii="Arial" w:hAnsi="Arial" w:cs="Arial"/>
          <w:sz w:val="24"/>
          <w:szCs w:val="24"/>
        </w:rPr>
        <w:t>Actividades culturales tradicionales de las comunidades locales.</w:t>
      </w:r>
    </w:p>
    <w:p w14:paraId="16FCEA23" w14:textId="77777777" w:rsidR="00374C74" w:rsidRPr="00D535E1" w:rsidRDefault="00374C74" w:rsidP="001372EB">
      <w:pPr>
        <w:spacing w:after="0" w:line="276" w:lineRule="auto"/>
        <w:jc w:val="both"/>
        <w:rPr>
          <w:rFonts w:ascii="Arial" w:hAnsi="Arial" w:cs="Arial"/>
          <w:sz w:val="24"/>
          <w:szCs w:val="24"/>
        </w:rPr>
      </w:pPr>
    </w:p>
    <w:p w14:paraId="7FAF0B6A" w14:textId="28FC451B" w:rsidR="00374C74" w:rsidRPr="00D535E1" w:rsidRDefault="00374C74" w:rsidP="001372EB">
      <w:pPr>
        <w:spacing w:after="0" w:line="276" w:lineRule="auto"/>
        <w:jc w:val="both"/>
        <w:rPr>
          <w:rFonts w:ascii="Arial" w:hAnsi="Arial" w:cs="Arial"/>
          <w:sz w:val="24"/>
          <w:szCs w:val="24"/>
        </w:rPr>
      </w:pPr>
      <w:r w:rsidRPr="00D535E1">
        <w:rPr>
          <w:rFonts w:ascii="Arial" w:hAnsi="Arial" w:cs="Arial"/>
          <w:sz w:val="24"/>
          <w:szCs w:val="24"/>
        </w:rPr>
        <w:t xml:space="preserve">El propósito </w:t>
      </w:r>
      <w:r w:rsidR="00B35C95">
        <w:rPr>
          <w:rFonts w:ascii="Arial" w:hAnsi="Arial" w:cs="Arial"/>
          <w:sz w:val="24"/>
          <w:szCs w:val="24"/>
        </w:rPr>
        <w:t>fundamental</w:t>
      </w:r>
      <w:r w:rsidRPr="00D535E1">
        <w:rPr>
          <w:rFonts w:ascii="Arial" w:hAnsi="Arial" w:cs="Arial"/>
          <w:sz w:val="24"/>
          <w:szCs w:val="24"/>
        </w:rPr>
        <w:t xml:space="preserve"> de la zonificación es </w:t>
      </w:r>
      <w:r w:rsidR="00B35C95">
        <w:rPr>
          <w:rFonts w:ascii="Arial" w:hAnsi="Arial" w:cs="Arial"/>
          <w:sz w:val="24"/>
          <w:szCs w:val="24"/>
        </w:rPr>
        <w:t>buscar</w:t>
      </w:r>
      <w:r w:rsidRPr="00D535E1">
        <w:rPr>
          <w:rFonts w:ascii="Arial" w:hAnsi="Arial" w:cs="Arial"/>
          <w:sz w:val="24"/>
          <w:szCs w:val="24"/>
        </w:rPr>
        <w:t xml:space="preserve"> un equilibrio. Por un lado, se busca proteger y conservar los recursos naturales. Por </w:t>
      </w:r>
      <w:r w:rsidR="00B35C95">
        <w:rPr>
          <w:rFonts w:ascii="Arial" w:hAnsi="Arial" w:cs="Arial"/>
          <w:sz w:val="24"/>
          <w:szCs w:val="24"/>
        </w:rPr>
        <w:t xml:space="preserve">el </w:t>
      </w:r>
      <w:r w:rsidRPr="00D535E1">
        <w:rPr>
          <w:rFonts w:ascii="Arial" w:hAnsi="Arial" w:cs="Arial"/>
          <w:sz w:val="24"/>
          <w:szCs w:val="24"/>
        </w:rPr>
        <w:t xml:space="preserve">otro, se pretende garantizar que las personas puedan utilizar el territorio de manera </w:t>
      </w:r>
      <w:r w:rsidR="00B35C95">
        <w:rPr>
          <w:rFonts w:ascii="Arial" w:hAnsi="Arial" w:cs="Arial"/>
          <w:sz w:val="24"/>
          <w:szCs w:val="24"/>
        </w:rPr>
        <w:t>sostenible</w:t>
      </w:r>
      <w:r w:rsidRPr="00D535E1">
        <w:rPr>
          <w:rFonts w:ascii="Arial" w:hAnsi="Arial" w:cs="Arial"/>
          <w:sz w:val="24"/>
          <w:szCs w:val="24"/>
        </w:rPr>
        <w:t>, asegurando su bienestar y aprovechamiento de los recursos en el largo plazo.</w:t>
      </w:r>
    </w:p>
    <w:p w14:paraId="7955E561" w14:textId="77777777" w:rsidR="00374C74" w:rsidRPr="00D535E1" w:rsidRDefault="00374C74" w:rsidP="001372EB">
      <w:pPr>
        <w:spacing w:after="0" w:line="276" w:lineRule="auto"/>
        <w:jc w:val="both"/>
        <w:rPr>
          <w:rFonts w:ascii="Arial" w:hAnsi="Arial" w:cs="Arial"/>
          <w:sz w:val="24"/>
          <w:szCs w:val="24"/>
        </w:rPr>
      </w:pPr>
    </w:p>
    <w:p w14:paraId="30F84BB3" w14:textId="1615ADDD" w:rsidR="00D402D9" w:rsidRPr="00D535E1" w:rsidRDefault="00D402D9" w:rsidP="001372EB">
      <w:pPr>
        <w:spacing w:after="0" w:line="276" w:lineRule="auto"/>
        <w:jc w:val="both"/>
        <w:rPr>
          <w:rFonts w:ascii="Arial" w:hAnsi="Arial" w:cs="Arial"/>
          <w:sz w:val="24"/>
          <w:szCs w:val="24"/>
        </w:rPr>
      </w:pPr>
      <w:r w:rsidRPr="00D535E1">
        <w:rPr>
          <w:rFonts w:ascii="Arial" w:hAnsi="Arial" w:cs="Arial"/>
          <w:sz w:val="24"/>
          <w:szCs w:val="24"/>
        </w:rPr>
        <w:t xml:space="preserve">Para llevar a cabo </w:t>
      </w:r>
      <w:r w:rsidR="003570C5">
        <w:rPr>
          <w:rFonts w:ascii="Arial" w:hAnsi="Arial" w:cs="Arial"/>
          <w:sz w:val="24"/>
          <w:szCs w:val="24"/>
        </w:rPr>
        <w:t>el proceso de</w:t>
      </w:r>
      <w:r w:rsidRPr="00D535E1">
        <w:rPr>
          <w:rFonts w:ascii="Arial" w:hAnsi="Arial" w:cs="Arial"/>
          <w:sz w:val="24"/>
          <w:szCs w:val="24"/>
        </w:rPr>
        <w:t xml:space="preserve"> zonificación, es necesario definir distintos tipos de áreas o </w:t>
      </w:r>
      <w:r w:rsidR="003570C5">
        <w:rPr>
          <w:rFonts w:ascii="Arial" w:hAnsi="Arial" w:cs="Arial"/>
          <w:sz w:val="24"/>
          <w:szCs w:val="24"/>
        </w:rPr>
        <w:t>zonas</w:t>
      </w:r>
      <w:r w:rsidRPr="00D535E1">
        <w:rPr>
          <w:rFonts w:ascii="Arial" w:hAnsi="Arial" w:cs="Arial"/>
          <w:sz w:val="24"/>
          <w:szCs w:val="24"/>
        </w:rPr>
        <w:t xml:space="preserve"> dentro del territorio, de acuerdo con lo establecido en la normatividad </w:t>
      </w:r>
      <w:r w:rsidRPr="00D535E1">
        <w:rPr>
          <w:rFonts w:ascii="Arial" w:hAnsi="Arial" w:cs="Arial"/>
          <w:sz w:val="24"/>
          <w:szCs w:val="24"/>
        </w:rPr>
        <w:lastRenderedPageBreak/>
        <w:t xml:space="preserve">vigente. </w:t>
      </w:r>
      <w:r w:rsidR="003570C5">
        <w:rPr>
          <w:rFonts w:ascii="Arial" w:hAnsi="Arial" w:cs="Arial"/>
          <w:sz w:val="24"/>
          <w:szCs w:val="24"/>
        </w:rPr>
        <w:t xml:space="preserve">Para este </w:t>
      </w:r>
      <w:r w:rsidRPr="00D535E1">
        <w:rPr>
          <w:rFonts w:ascii="Arial" w:hAnsi="Arial" w:cs="Arial"/>
          <w:sz w:val="24"/>
          <w:szCs w:val="24"/>
        </w:rPr>
        <w:t>caso</w:t>
      </w:r>
      <w:r w:rsidR="003570C5">
        <w:rPr>
          <w:rFonts w:ascii="Arial" w:hAnsi="Arial" w:cs="Arial"/>
          <w:sz w:val="24"/>
          <w:szCs w:val="24"/>
        </w:rPr>
        <w:t xml:space="preserve"> particular</w:t>
      </w:r>
      <w:r w:rsidRPr="00D535E1">
        <w:rPr>
          <w:rFonts w:ascii="Arial" w:hAnsi="Arial" w:cs="Arial"/>
          <w:sz w:val="24"/>
          <w:szCs w:val="24"/>
        </w:rPr>
        <w:t>, la referencia principal es el Decreto 1076 de 2015, específicamente lo señalado en los artículos 2.2.2.1.2.3 y 2.2.2.1.4.1.</w:t>
      </w:r>
    </w:p>
    <w:p w14:paraId="407CDCA8" w14:textId="77777777" w:rsidR="00D402D9" w:rsidRPr="00D535E1" w:rsidRDefault="00D402D9" w:rsidP="001372EB">
      <w:pPr>
        <w:spacing w:after="0" w:line="276" w:lineRule="auto"/>
        <w:jc w:val="both"/>
        <w:rPr>
          <w:rFonts w:ascii="Arial" w:hAnsi="Arial" w:cs="Arial"/>
          <w:sz w:val="24"/>
          <w:szCs w:val="24"/>
        </w:rPr>
      </w:pPr>
    </w:p>
    <w:p w14:paraId="2E7D835B" w14:textId="771C04A9" w:rsidR="0054191C" w:rsidRPr="00D535E1" w:rsidRDefault="00D402D9" w:rsidP="001372EB">
      <w:pPr>
        <w:spacing w:after="0" w:line="276" w:lineRule="auto"/>
        <w:jc w:val="both"/>
        <w:rPr>
          <w:rFonts w:ascii="Arial" w:hAnsi="Arial" w:cs="Arial"/>
          <w:sz w:val="24"/>
          <w:szCs w:val="24"/>
        </w:rPr>
      </w:pPr>
      <w:r w:rsidRPr="00D535E1">
        <w:rPr>
          <w:rFonts w:ascii="Arial" w:hAnsi="Arial" w:cs="Arial"/>
          <w:sz w:val="24"/>
          <w:szCs w:val="24"/>
        </w:rPr>
        <w:t xml:space="preserve">Esta norma establece que, dentro de un área protegida, el territorio debe organizarse en </w:t>
      </w:r>
      <w:r w:rsidR="006F14C0" w:rsidRPr="00D535E1">
        <w:rPr>
          <w:rFonts w:ascii="Arial" w:hAnsi="Arial" w:cs="Arial"/>
          <w:sz w:val="24"/>
          <w:szCs w:val="24"/>
        </w:rPr>
        <w:t>tres</w:t>
      </w:r>
      <w:r w:rsidRPr="00D535E1">
        <w:rPr>
          <w:rFonts w:ascii="Arial" w:hAnsi="Arial" w:cs="Arial"/>
          <w:sz w:val="24"/>
          <w:szCs w:val="24"/>
        </w:rPr>
        <w:t xml:space="preserve"> tipos de zonas, cada una con un propósito y reglas particulares de manejo. Estas zonas son:</w:t>
      </w:r>
      <w:r w:rsidR="0054191C" w:rsidRPr="00D535E1">
        <w:rPr>
          <w:rFonts w:ascii="Arial" w:hAnsi="Arial" w:cs="Arial"/>
          <w:sz w:val="24"/>
          <w:szCs w:val="24"/>
        </w:rPr>
        <w:t> </w:t>
      </w:r>
    </w:p>
    <w:p w14:paraId="1E535C1D" w14:textId="77777777" w:rsidR="004762A0" w:rsidRPr="00D535E1" w:rsidRDefault="004762A0" w:rsidP="001372EB">
      <w:pPr>
        <w:spacing w:after="0" w:line="276" w:lineRule="auto"/>
        <w:jc w:val="both"/>
        <w:rPr>
          <w:rFonts w:ascii="Arial" w:hAnsi="Arial" w:cs="Arial"/>
          <w:sz w:val="24"/>
          <w:szCs w:val="24"/>
        </w:rPr>
      </w:pPr>
    </w:p>
    <w:p w14:paraId="70E2E59E" w14:textId="77777777" w:rsidR="004762A0" w:rsidRPr="00D535E1" w:rsidRDefault="004762A0" w:rsidP="001372EB">
      <w:pPr>
        <w:numPr>
          <w:ilvl w:val="0"/>
          <w:numId w:val="37"/>
        </w:numPr>
        <w:spacing w:after="0" w:line="276" w:lineRule="auto"/>
        <w:jc w:val="both"/>
        <w:rPr>
          <w:rFonts w:ascii="Arial" w:hAnsi="Arial" w:cs="Arial"/>
          <w:sz w:val="24"/>
          <w:szCs w:val="24"/>
        </w:rPr>
      </w:pPr>
      <w:r w:rsidRPr="00D535E1">
        <w:rPr>
          <w:rFonts w:ascii="Arial" w:hAnsi="Arial" w:cs="Arial"/>
          <w:sz w:val="24"/>
          <w:szCs w:val="24"/>
        </w:rPr>
        <w:t>Zona de preservación</w:t>
      </w:r>
    </w:p>
    <w:p w14:paraId="4B8FCAD2" w14:textId="77777777" w:rsidR="004762A0" w:rsidRPr="00D535E1" w:rsidRDefault="004762A0" w:rsidP="001372EB">
      <w:pPr>
        <w:numPr>
          <w:ilvl w:val="0"/>
          <w:numId w:val="37"/>
        </w:numPr>
        <w:spacing w:after="0" w:line="276" w:lineRule="auto"/>
        <w:jc w:val="both"/>
        <w:rPr>
          <w:rFonts w:ascii="Arial" w:hAnsi="Arial" w:cs="Arial"/>
          <w:sz w:val="24"/>
          <w:szCs w:val="24"/>
        </w:rPr>
      </w:pPr>
      <w:r w:rsidRPr="00D535E1">
        <w:rPr>
          <w:rFonts w:ascii="Arial" w:hAnsi="Arial" w:cs="Arial"/>
          <w:sz w:val="24"/>
          <w:szCs w:val="24"/>
        </w:rPr>
        <w:t>Zona de restauración</w:t>
      </w:r>
    </w:p>
    <w:p w14:paraId="6664ADD5" w14:textId="77777777" w:rsidR="004762A0" w:rsidRPr="00D535E1" w:rsidRDefault="004762A0" w:rsidP="001372EB">
      <w:pPr>
        <w:numPr>
          <w:ilvl w:val="0"/>
          <w:numId w:val="37"/>
        </w:numPr>
        <w:spacing w:after="0" w:line="276" w:lineRule="auto"/>
        <w:jc w:val="both"/>
        <w:rPr>
          <w:rFonts w:ascii="Arial" w:hAnsi="Arial" w:cs="Arial"/>
          <w:sz w:val="24"/>
          <w:szCs w:val="24"/>
        </w:rPr>
      </w:pPr>
      <w:r w:rsidRPr="00D535E1">
        <w:rPr>
          <w:rFonts w:ascii="Arial" w:hAnsi="Arial" w:cs="Arial"/>
          <w:sz w:val="24"/>
          <w:szCs w:val="24"/>
        </w:rPr>
        <w:t>Zona de uso sostenible</w:t>
      </w:r>
    </w:p>
    <w:p w14:paraId="5E983B69" w14:textId="77777777" w:rsidR="004762A0" w:rsidRPr="00D535E1" w:rsidRDefault="004762A0" w:rsidP="001372EB">
      <w:pPr>
        <w:spacing w:after="0" w:line="276" w:lineRule="auto"/>
        <w:jc w:val="both"/>
        <w:rPr>
          <w:rFonts w:ascii="Arial" w:hAnsi="Arial" w:cs="Arial"/>
          <w:b/>
          <w:bCs/>
          <w:sz w:val="24"/>
          <w:szCs w:val="24"/>
        </w:rPr>
      </w:pPr>
    </w:p>
    <w:p w14:paraId="6E6698F7" w14:textId="6084973D" w:rsidR="004762A0" w:rsidRPr="00D535E1" w:rsidRDefault="004762A0" w:rsidP="001372EB">
      <w:pPr>
        <w:spacing w:after="0" w:line="276" w:lineRule="auto"/>
        <w:jc w:val="both"/>
        <w:rPr>
          <w:rFonts w:ascii="Arial" w:hAnsi="Arial" w:cs="Arial"/>
          <w:sz w:val="24"/>
          <w:szCs w:val="24"/>
        </w:rPr>
      </w:pPr>
      <w:r w:rsidRPr="00D535E1">
        <w:rPr>
          <w:rFonts w:ascii="Arial" w:hAnsi="Arial" w:cs="Arial"/>
          <w:sz w:val="24"/>
          <w:szCs w:val="24"/>
        </w:rPr>
        <w:t xml:space="preserve">Cada una de estas categorías responde a un objetivo específico. Algunas están orientadas a la protección estricta de los ecosistemas, otras a la recuperación de áreas degradadas, y otras permiten el desarrollo de actividades humanas bajo </w:t>
      </w:r>
      <w:r w:rsidR="007D1B8E">
        <w:rPr>
          <w:rFonts w:ascii="Arial" w:hAnsi="Arial" w:cs="Arial"/>
          <w:sz w:val="24"/>
          <w:szCs w:val="24"/>
        </w:rPr>
        <w:t xml:space="preserve">cierto tipo de </w:t>
      </w:r>
      <w:r w:rsidRPr="00D535E1">
        <w:rPr>
          <w:rFonts w:ascii="Arial" w:hAnsi="Arial" w:cs="Arial"/>
          <w:sz w:val="24"/>
          <w:szCs w:val="24"/>
        </w:rPr>
        <w:t>condicione</w:t>
      </w:r>
      <w:r w:rsidR="007D1B8E">
        <w:rPr>
          <w:rFonts w:ascii="Arial" w:hAnsi="Arial" w:cs="Arial"/>
          <w:sz w:val="24"/>
          <w:szCs w:val="24"/>
        </w:rPr>
        <w:t>s</w:t>
      </w:r>
      <w:r w:rsidRPr="00D535E1">
        <w:rPr>
          <w:rFonts w:ascii="Arial" w:hAnsi="Arial" w:cs="Arial"/>
          <w:sz w:val="24"/>
          <w:szCs w:val="24"/>
        </w:rPr>
        <w:t>.</w:t>
      </w:r>
    </w:p>
    <w:p w14:paraId="6A09A604" w14:textId="77777777" w:rsidR="00300888" w:rsidRPr="00D535E1" w:rsidRDefault="00300888" w:rsidP="001372EB">
      <w:pPr>
        <w:spacing w:after="0" w:line="276" w:lineRule="auto"/>
        <w:jc w:val="both"/>
        <w:rPr>
          <w:rFonts w:ascii="Arial" w:hAnsi="Arial" w:cs="Arial"/>
          <w:sz w:val="24"/>
          <w:szCs w:val="24"/>
        </w:rPr>
      </w:pPr>
    </w:p>
    <w:p w14:paraId="71073736" w14:textId="77777777" w:rsidR="004762A0" w:rsidRPr="00D535E1" w:rsidRDefault="004762A0" w:rsidP="001372EB">
      <w:pPr>
        <w:spacing w:after="0" w:line="276" w:lineRule="auto"/>
        <w:jc w:val="both"/>
        <w:rPr>
          <w:rFonts w:ascii="Arial" w:hAnsi="Arial" w:cs="Arial"/>
          <w:sz w:val="24"/>
          <w:szCs w:val="24"/>
        </w:rPr>
      </w:pPr>
      <w:r w:rsidRPr="00D535E1">
        <w:rPr>
          <w:rFonts w:ascii="Arial" w:hAnsi="Arial" w:cs="Arial"/>
          <w:sz w:val="24"/>
          <w:szCs w:val="24"/>
        </w:rPr>
        <w:t>A continuación, se presentan las definiciones y características principales de cada una de estas zonas, conforme a lo establecido en la normativa mencionada:</w:t>
      </w:r>
    </w:p>
    <w:p w14:paraId="1988A816" w14:textId="77777777" w:rsidR="00300888" w:rsidRPr="00D535E1" w:rsidRDefault="00300888" w:rsidP="001372EB">
      <w:pPr>
        <w:spacing w:after="0" w:line="276" w:lineRule="auto"/>
        <w:jc w:val="both"/>
        <w:rPr>
          <w:rFonts w:ascii="Arial" w:hAnsi="Arial" w:cs="Arial"/>
          <w:i/>
          <w:iCs/>
          <w:sz w:val="24"/>
          <w:szCs w:val="24"/>
        </w:rPr>
      </w:pPr>
    </w:p>
    <w:p w14:paraId="202510C1" w14:textId="2E193EBD" w:rsidR="0054191C" w:rsidRPr="00D535E1" w:rsidRDefault="0054191C" w:rsidP="001372EB">
      <w:pPr>
        <w:spacing w:after="0" w:line="276" w:lineRule="auto"/>
        <w:jc w:val="both"/>
        <w:rPr>
          <w:rFonts w:ascii="Arial" w:hAnsi="Arial" w:cs="Arial"/>
          <w:sz w:val="24"/>
          <w:szCs w:val="24"/>
        </w:rPr>
      </w:pPr>
      <w:r w:rsidRPr="00D535E1">
        <w:rPr>
          <w:rFonts w:ascii="Arial" w:hAnsi="Arial" w:cs="Arial"/>
          <w:i/>
          <w:iCs/>
          <w:sz w:val="24"/>
          <w:szCs w:val="24"/>
        </w:rPr>
        <w:t>“</w:t>
      </w:r>
      <w:r w:rsidRPr="00D535E1">
        <w:rPr>
          <w:rFonts w:ascii="Arial" w:hAnsi="Arial" w:cs="Arial"/>
          <w:b/>
          <w:bCs/>
          <w:i/>
          <w:iCs/>
          <w:sz w:val="24"/>
          <w:szCs w:val="24"/>
        </w:rPr>
        <w:t>Zona de preservación</w:t>
      </w:r>
      <w:r w:rsidRPr="00D535E1">
        <w:rPr>
          <w:rFonts w:ascii="Arial" w:hAnsi="Arial" w:cs="Arial"/>
          <w:i/>
          <w:iCs/>
          <w:sz w:val="24"/>
          <w:szCs w:val="24"/>
        </w:rPr>
        <w:t>: Es un espacio donde el manejo está dirigido ante todo a evitar su alteración, degradación o transformación por la actividad humana. Un área protegida puede contener una o varias zonas de preservación, las cuales se mantienen como intangibles para el logro de los objetivos de conservación. Cuando por cualquier motivo la intangibilidad no sea condición suficiente para el logro de los objetivos de conservación, esta zona debe catalogarse como de restauración. </w:t>
      </w:r>
      <w:r w:rsidRPr="00D535E1">
        <w:rPr>
          <w:rFonts w:ascii="Arial" w:hAnsi="Arial" w:cs="Arial"/>
          <w:sz w:val="24"/>
          <w:szCs w:val="24"/>
        </w:rPr>
        <w:t> </w:t>
      </w:r>
    </w:p>
    <w:p w14:paraId="490075A8" w14:textId="77777777" w:rsidR="0054191C" w:rsidRPr="00D535E1" w:rsidRDefault="0054191C" w:rsidP="001372EB">
      <w:pPr>
        <w:spacing w:after="0" w:line="276" w:lineRule="auto"/>
        <w:jc w:val="both"/>
        <w:rPr>
          <w:rFonts w:ascii="Arial" w:hAnsi="Arial" w:cs="Arial"/>
          <w:sz w:val="24"/>
          <w:szCs w:val="24"/>
        </w:rPr>
      </w:pPr>
    </w:p>
    <w:p w14:paraId="31AE9B0E" w14:textId="77777777" w:rsidR="0054191C" w:rsidRPr="00D535E1" w:rsidRDefault="0054191C" w:rsidP="001372EB">
      <w:pPr>
        <w:spacing w:after="0" w:line="276" w:lineRule="auto"/>
        <w:jc w:val="both"/>
        <w:rPr>
          <w:rFonts w:ascii="Arial" w:hAnsi="Arial" w:cs="Arial"/>
          <w:sz w:val="24"/>
          <w:szCs w:val="24"/>
        </w:rPr>
      </w:pPr>
      <w:r w:rsidRPr="00D535E1">
        <w:rPr>
          <w:rFonts w:ascii="Arial" w:hAnsi="Arial" w:cs="Arial"/>
          <w:b/>
          <w:bCs/>
          <w:i/>
          <w:iCs/>
          <w:sz w:val="24"/>
          <w:szCs w:val="24"/>
        </w:rPr>
        <w:t>Zona de restauración</w:t>
      </w:r>
      <w:r w:rsidRPr="00D535E1">
        <w:rPr>
          <w:rFonts w:ascii="Arial" w:hAnsi="Arial" w:cs="Arial"/>
          <w:i/>
          <w:iCs/>
          <w:sz w:val="24"/>
          <w:szCs w:val="24"/>
        </w:rPr>
        <w:t>: Es un espacio dirigido al restablecimiento parcial o total a un estado anterior, de la composición, estructura y función de la diversidad biológica. En las zonas de restauración se pueden llevar a cabo procesos inducidos por acciones humanas, encaminados al cumplimiento de los objetivos de conservación del área protegida. Un área protegida puede tener una o más zonas de restauración, fas cuales son transitorias hasta que se alcance el estado de conservación deseado y conforme los objetivos de conservación del área, caso en el cual se denominará de acuerdo con la zona que corresponda a la nueva situación. Será el administrador del área protegida quien definirá y pondrá en marcha las acciones necesarias para el mantenimiento de la zona restaurada. </w:t>
      </w:r>
      <w:r w:rsidRPr="00D535E1">
        <w:rPr>
          <w:rFonts w:ascii="Arial" w:hAnsi="Arial" w:cs="Arial"/>
          <w:sz w:val="24"/>
          <w:szCs w:val="24"/>
        </w:rPr>
        <w:t> </w:t>
      </w:r>
    </w:p>
    <w:p w14:paraId="127F2694" w14:textId="77777777" w:rsidR="0054191C" w:rsidRPr="00D535E1" w:rsidRDefault="0054191C" w:rsidP="001372EB">
      <w:pPr>
        <w:spacing w:after="0" w:line="276" w:lineRule="auto"/>
        <w:jc w:val="both"/>
        <w:rPr>
          <w:rFonts w:ascii="Arial" w:hAnsi="Arial" w:cs="Arial"/>
          <w:sz w:val="24"/>
          <w:szCs w:val="24"/>
        </w:rPr>
      </w:pPr>
    </w:p>
    <w:p w14:paraId="32F7C1F9" w14:textId="77777777" w:rsidR="0054191C" w:rsidRPr="00D535E1" w:rsidRDefault="0054191C" w:rsidP="001372EB">
      <w:pPr>
        <w:spacing w:after="0" w:line="276" w:lineRule="auto"/>
        <w:jc w:val="both"/>
        <w:rPr>
          <w:rFonts w:ascii="Arial" w:hAnsi="Arial" w:cs="Arial"/>
          <w:sz w:val="24"/>
          <w:szCs w:val="24"/>
        </w:rPr>
      </w:pPr>
      <w:r w:rsidRPr="00D535E1">
        <w:rPr>
          <w:rFonts w:ascii="Arial" w:hAnsi="Arial" w:cs="Arial"/>
          <w:b/>
          <w:bCs/>
          <w:i/>
          <w:iCs/>
          <w:sz w:val="24"/>
          <w:szCs w:val="24"/>
        </w:rPr>
        <w:t>Zona de uso sostenible</w:t>
      </w:r>
      <w:r w:rsidRPr="00D535E1">
        <w:rPr>
          <w:rFonts w:ascii="Arial" w:hAnsi="Arial" w:cs="Arial"/>
          <w:i/>
          <w:iCs/>
          <w:sz w:val="24"/>
          <w:szCs w:val="24"/>
        </w:rPr>
        <w:t xml:space="preserve">: Incluye los espacios para adelantar actividades productivas y extractivas compatibles con el objetivo de conservación del área protegida. Contiene las siguientes subzonas: a) Subzona para el aprovechamiento </w:t>
      </w:r>
      <w:r w:rsidRPr="00D535E1">
        <w:rPr>
          <w:rFonts w:ascii="Arial" w:hAnsi="Arial" w:cs="Arial"/>
          <w:i/>
          <w:iCs/>
          <w:sz w:val="24"/>
          <w:szCs w:val="24"/>
        </w:rPr>
        <w:lastRenderedPageBreak/>
        <w:t>sostenible. Son espacios definidos con el fin de aprovechar en forma sostenible la biodiversidad contribuyendo a su preservación o restauración. b) Subzona para el desarrollo: Son espacios donde se permiten actividades controladas, agrícolas, ganaderas, mineras, forestales, industriales, habitacionales no nucleadas con restricciones en la densidad de ocupación y la construcción y ejecución de proyectos de desarrollo, bajo un esquema compatible con los objetivos de conservación del área protegida. </w:t>
      </w:r>
      <w:r w:rsidRPr="00D535E1">
        <w:rPr>
          <w:rFonts w:ascii="Arial" w:hAnsi="Arial" w:cs="Arial"/>
          <w:sz w:val="24"/>
          <w:szCs w:val="24"/>
        </w:rPr>
        <w:t> </w:t>
      </w:r>
    </w:p>
    <w:p w14:paraId="3F37B7C4" w14:textId="77777777" w:rsidR="0054191C" w:rsidRPr="00D535E1" w:rsidRDefault="0054191C" w:rsidP="001372EB">
      <w:pPr>
        <w:spacing w:line="240" w:lineRule="auto"/>
        <w:jc w:val="both"/>
        <w:rPr>
          <w:rFonts w:ascii="Arial" w:hAnsi="Arial" w:cs="Arial"/>
          <w:sz w:val="24"/>
          <w:szCs w:val="24"/>
          <w:lang w:val="es-ES"/>
        </w:rPr>
      </w:pPr>
    </w:p>
    <w:p w14:paraId="63E4529A" w14:textId="77777777" w:rsidR="00D535E1" w:rsidRDefault="006811E3" w:rsidP="001372EB">
      <w:pPr>
        <w:spacing w:line="240" w:lineRule="auto"/>
        <w:jc w:val="both"/>
        <w:rPr>
          <w:rFonts w:ascii="Arial" w:hAnsi="Arial" w:cs="Arial"/>
          <w:b/>
          <w:bCs/>
          <w:i/>
          <w:iCs/>
          <w:sz w:val="24"/>
          <w:szCs w:val="24"/>
          <w:u w:val="single"/>
          <w:lang w:val="es-ES"/>
        </w:rPr>
      </w:pPr>
      <w:r w:rsidRPr="00D535E1">
        <w:rPr>
          <w:rFonts w:ascii="Arial" w:hAnsi="Arial" w:cs="Arial"/>
          <w:b/>
          <w:bCs/>
          <w:i/>
          <w:iCs/>
          <w:sz w:val="24"/>
          <w:szCs w:val="24"/>
          <w:u w:val="single"/>
          <w:lang w:val="es-ES"/>
        </w:rPr>
        <w:t>Metodología de la zonificación de manejo</w:t>
      </w:r>
    </w:p>
    <w:p w14:paraId="3C883F2A" w14:textId="77777777" w:rsidR="001372EB" w:rsidRPr="00D535E1" w:rsidRDefault="001372EB" w:rsidP="001372EB">
      <w:pPr>
        <w:spacing w:line="240" w:lineRule="auto"/>
        <w:jc w:val="both"/>
        <w:rPr>
          <w:rFonts w:ascii="Arial" w:hAnsi="Arial" w:cs="Arial"/>
          <w:b/>
          <w:bCs/>
          <w:i/>
          <w:iCs/>
          <w:sz w:val="24"/>
          <w:szCs w:val="24"/>
          <w:u w:val="single"/>
          <w:lang w:val="es-ES"/>
        </w:rPr>
      </w:pPr>
    </w:p>
    <w:p w14:paraId="1714D94B" w14:textId="108FEF3E" w:rsidR="00D535E1" w:rsidRPr="00D535E1" w:rsidRDefault="00DC00AA" w:rsidP="001372EB">
      <w:pPr>
        <w:spacing w:line="240" w:lineRule="auto"/>
        <w:jc w:val="both"/>
        <w:rPr>
          <w:rFonts w:ascii="Arial" w:hAnsi="Arial" w:cs="Arial"/>
          <w:sz w:val="24"/>
          <w:szCs w:val="24"/>
        </w:rPr>
      </w:pPr>
      <w:r w:rsidRPr="00022054">
        <w:rPr>
          <w:rFonts w:ascii="Arial" w:hAnsi="Arial" w:cs="Arial"/>
          <w:sz w:val="24"/>
          <w:szCs w:val="24"/>
          <w:highlight w:val="yellow"/>
        </w:rPr>
        <w:t>Para abordar el proceso de zonificación de la Reserva Forestal Protectora Productora Cuenca Alta del Río Bogotá (RFPPCARB), la Corporación Autónoma Regional de Cundinamarca, en ejercicio de sus competencias, adoptó como instrumento orientador los Términos de Referencia para la Formulación del Componente de Ordenamiento de los Planes de Manejo de Áreas Protegidas expedidos por esta Corporación.</w:t>
      </w:r>
    </w:p>
    <w:p w14:paraId="2ED21916" w14:textId="681BD5C7" w:rsidR="00B70A2D" w:rsidRDefault="00DC00AA" w:rsidP="00B70A2D">
      <w:pPr>
        <w:jc w:val="both"/>
        <w:rPr>
          <w:rFonts w:ascii="Arial" w:hAnsi="Arial" w:cs="Arial"/>
          <w:sz w:val="24"/>
          <w:szCs w:val="24"/>
        </w:rPr>
      </w:pPr>
      <w:r w:rsidRPr="00D535E1">
        <w:rPr>
          <w:rFonts w:ascii="Arial" w:hAnsi="Arial" w:cs="Arial"/>
          <w:sz w:val="24"/>
          <w:szCs w:val="24"/>
        </w:rPr>
        <w:t xml:space="preserve">En </w:t>
      </w:r>
      <w:r w:rsidR="00B11020">
        <w:rPr>
          <w:rFonts w:ascii="Arial" w:hAnsi="Arial" w:cs="Arial"/>
          <w:sz w:val="24"/>
          <w:szCs w:val="24"/>
        </w:rPr>
        <w:t>este</w:t>
      </w:r>
      <w:r w:rsidRPr="00D535E1">
        <w:rPr>
          <w:rFonts w:ascii="Arial" w:hAnsi="Arial" w:cs="Arial"/>
          <w:sz w:val="24"/>
          <w:szCs w:val="24"/>
        </w:rPr>
        <w:t xml:space="preserve"> sentido, el ejercicio técnico de delimitación, categorización y ordenamiento espacial del territorio se estructuró conforme a los lineamientos metodológicos, criterios técnicos y parámetros definidos institucionalmente, garantizando coherencia con el marco jurídico vigente, con la categoría de manejo del área protegida y con los objetivos de conservación, protección y uso sostenible que orientan su administración.</w:t>
      </w:r>
    </w:p>
    <w:p w14:paraId="28DE631F" w14:textId="478C7E62" w:rsidR="006B7952" w:rsidRDefault="00DC00AA" w:rsidP="006B7952">
      <w:pPr>
        <w:jc w:val="both"/>
        <w:rPr>
          <w:rFonts w:ascii="Arial" w:hAnsi="Arial" w:cs="Arial"/>
          <w:sz w:val="24"/>
          <w:szCs w:val="24"/>
        </w:rPr>
      </w:pPr>
      <w:r w:rsidRPr="00D535E1">
        <w:rPr>
          <w:rFonts w:ascii="Arial" w:hAnsi="Arial" w:cs="Arial"/>
          <w:sz w:val="24"/>
          <w:szCs w:val="24"/>
        </w:rPr>
        <w:t>La aplicación de dichos términos de referencia permitió desarrollar la zonificación bajo un enfoque integral, sistemático y técnicamente sustentado, incorporando el análisis de variables biofísicas, ecosistémicas, socioeconómicas y normativas, así como criterios de conectividad ecológica, conflictos de uso del suelo</w:t>
      </w:r>
      <w:r w:rsidR="00B11020">
        <w:rPr>
          <w:rFonts w:ascii="Arial" w:hAnsi="Arial" w:cs="Arial"/>
          <w:sz w:val="24"/>
          <w:szCs w:val="24"/>
        </w:rPr>
        <w:t>, amenazas por fenómenos naturas entre otros</w:t>
      </w:r>
      <w:r w:rsidRPr="00D535E1">
        <w:rPr>
          <w:rFonts w:ascii="Arial" w:hAnsi="Arial" w:cs="Arial"/>
          <w:sz w:val="24"/>
          <w:szCs w:val="24"/>
        </w:rPr>
        <w:t xml:space="preserve">. Este proceso se soportó en herramientas de análisis espacial </w:t>
      </w:r>
      <w:r w:rsidR="00B11020">
        <w:rPr>
          <w:rFonts w:ascii="Arial" w:hAnsi="Arial" w:cs="Arial"/>
          <w:sz w:val="24"/>
          <w:szCs w:val="24"/>
        </w:rPr>
        <w:t xml:space="preserve">(sistemas de información geográfica) </w:t>
      </w:r>
      <w:r w:rsidRPr="00D535E1">
        <w:rPr>
          <w:rFonts w:ascii="Arial" w:hAnsi="Arial" w:cs="Arial"/>
          <w:sz w:val="24"/>
          <w:szCs w:val="24"/>
        </w:rPr>
        <w:t>y en</w:t>
      </w:r>
      <w:r w:rsidR="00B11020">
        <w:rPr>
          <w:rFonts w:ascii="Arial" w:hAnsi="Arial" w:cs="Arial"/>
          <w:sz w:val="24"/>
          <w:szCs w:val="24"/>
        </w:rPr>
        <w:t xml:space="preserve"> la</w:t>
      </w:r>
      <w:r w:rsidRPr="00D535E1">
        <w:rPr>
          <w:rFonts w:ascii="Arial" w:hAnsi="Arial" w:cs="Arial"/>
          <w:sz w:val="24"/>
          <w:szCs w:val="24"/>
        </w:rPr>
        <w:t xml:space="preserve"> información cartográfica oficial disponible, asegurando trazabilidad metodológica y consistencia técnica en los resultados.</w:t>
      </w:r>
    </w:p>
    <w:p w14:paraId="3FEE658B" w14:textId="5C90D5DB" w:rsidR="00DC00AA" w:rsidRPr="006B7952" w:rsidRDefault="00DC00AA" w:rsidP="006B7952">
      <w:pPr>
        <w:jc w:val="both"/>
        <w:rPr>
          <w:rFonts w:ascii="Arial" w:hAnsi="Arial" w:cs="Arial"/>
          <w:sz w:val="24"/>
          <w:szCs w:val="24"/>
        </w:rPr>
      </w:pPr>
      <w:r w:rsidRPr="00D535E1">
        <w:rPr>
          <w:rFonts w:ascii="Arial" w:hAnsi="Arial" w:cs="Arial"/>
          <w:sz w:val="24"/>
          <w:szCs w:val="24"/>
        </w:rPr>
        <w:t>En consecuencia, la zonificación propuesta no constituye únicamente una clasificación cartográfica del territorio, sino un instrumento técnico de ordenamiento ambiental que establece directrices claras para la gestión, regulación de actividades y toma de decisiones interinstitucionales dentro del área protegida, en armonía con los objetivos de manejo definidos para la reserva</w:t>
      </w:r>
      <w:r w:rsidR="00845593">
        <w:rPr>
          <w:rFonts w:ascii="Arial" w:hAnsi="Arial" w:cs="Arial"/>
          <w:sz w:val="24"/>
          <w:szCs w:val="24"/>
        </w:rPr>
        <w:t>.</w:t>
      </w:r>
    </w:p>
    <w:p w14:paraId="78999F91" w14:textId="77777777" w:rsidR="007C1437" w:rsidRPr="00D535E1" w:rsidRDefault="007C1437" w:rsidP="001372EB">
      <w:pPr>
        <w:spacing w:line="276" w:lineRule="auto"/>
        <w:jc w:val="both"/>
        <w:rPr>
          <w:rFonts w:ascii="Arial" w:hAnsi="Arial" w:cs="Arial"/>
          <w:sz w:val="24"/>
          <w:szCs w:val="24"/>
          <w:lang w:val="es-ES"/>
        </w:rPr>
      </w:pPr>
      <w:r w:rsidRPr="00D535E1">
        <w:rPr>
          <w:rFonts w:ascii="Arial" w:hAnsi="Arial" w:cs="Arial"/>
          <w:sz w:val="24"/>
          <w:szCs w:val="24"/>
          <w:lang w:val="es-ES"/>
        </w:rPr>
        <w:t>Con base en la “</w:t>
      </w:r>
      <w:r w:rsidRPr="000377C9">
        <w:rPr>
          <w:rFonts w:ascii="Arial" w:hAnsi="Arial" w:cs="Arial"/>
          <w:i/>
          <w:iCs/>
          <w:sz w:val="24"/>
          <w:szCs w:val="24"/>
          <w:lang w:val="es-ES"/>
        </w:rPr>
        <w:t>Guía de Planificación del Manejo de Áreas Protegidas</w:t>
      </w:r>
      <w:r w:rsidRPr="00D535E1">
        <w:rPr>
          <w:rFonts w:ascii="Arial" w:hAnsi="Arial" w:cs="Arial"/>
          <w:sz w:val="24"/>
          <w:szCs w:val="24"/>
          <w:lang w:val="es-ES"/>
        </w:rPr>
        <w:t xml:space="preserve">”, elaborada por Ospina et al. (2020), la zonificación de manejo se entiende como una herramienta de planificación que permite proyectar cómo debe organizarse y gestionarse un territorio en el futuro. Es decir, no se trata únicamente de describir </w:t>
      </w:r>
      <w:r w:rsidRPr="00D535E1">
        <w:rPr>
          <w:rFonts w:ascii="Arial" w:hAnsi="Arial" w:cs="Arial"/>
          <w:sz w:val="24"/>
          <w:szCs w:val="24"/>
          <w:lang w:val="es-ES"/>
        </w:rPr>
        <w:lastRenderedPageBreak/>
        <w:t>cómo se encuentra el área en la actualidad, sino de definir una visión a largo plazo que facilite la aplicación de estrategias concretas de manejo y conservación.</w:t>
      </w:r>
    </w:p>
    <w:p w14:paraId="575555EB" w14:textId="77777777" w:rsidR="007C1437" w:rsidRPr="00D535E1" w:rsidRDefault="007C1437" w:rsidP="001372EB">
      <w:pPr>
        <w:spacing w:line="276" w:lineRule="auto"/>
        <w:jc w:val="both"/>
        <w:rPr>
          <w:rFonts w:ascii="Arial" w:hAnsi="Arial" w:cs="Arial"/>
          <w:sz w:val="24"/>
          <w:szCs w:val="24"/>
          <w:lang w:val="es-ES"/>
        </w:rPr>
      </w:pPr>
      <w:r w:rsidRPr="00D535E1">
        <w:rPr>
          <w:rFonts w:ascii="Arial" w:hAnsi="Arial" w:cs="Arial"/>
          <w:sz w:val="24"/>
          <w:szCs w:val="24"/>
          <w:lang w:val="es-ES"/>
        </w:rPr>
        <w:t>Según esta guía, la zonificación debe construirse a partir de tres elementos fundamentales:</w:t>
      </w:r>
    </w:p>
    <w:p w14:paraId="1E4A0B54" w14:textId="77777777" w:rsidR="007C1437" w:rsidRPr="00D535E1" w:rsidRDefault="007C1437" w:rsidP="001372EB">
      <w:pPr>
        <w:pStyle w:val="Prrafodelista"/>
        <w:numPr>
          <w:ilvl w:val="0"/>
          <w:numId w:val="38"/>
        </w:numPr>
        <w:spacing w:line="276" w:lineRule="auto"/>
        <w:jc w:val="both"/>
        <w:rPr>
          <w:rFonts w:ascii="Arial" w:hAnsi="Arial" w:cs="Arial"/>
          <w:sz w:val="24"/>
          <w:szCs w:val="24"/>
          <w:lang w:val="es-ES"/>
        </w:rPr>
      </w:pPr>
      <w:r w:rsidRPr="00D535E1">
        <w:rPr>
          <w:rFonts w:ascii="Arial" w:hAnsi="Arial" w:cs="Arial"/>
          <w:sz w:val="24"/>
          <w:szCs w:val="24"/>
          <w:lang w:val="es-ES"/>
        </w:rPr>
        <w:t>El estado actual del área, incluyendo sus condiciones ecológicas, sociales y productivas.</w:t>
      </w:r>
    </w:p>
    <w:p w14:paraId="600ED52E" w14:textId="77777777" w:rsidR="007C1437" w:rsidRPr="00D535E1" w:rsidRDefault="007C1437" w:rsidP="001372EB">
      <w:pPr>
        <w:pStyle w:val="Prrafodelista"/>
        <w:numPr>
          <w:ilvl w:val="0"/>
          <w:numId w:val="38"/>
        </w:numPr>
        <w:spacing w:line="276" w:lineRule="auto"/>
        <w:jc w:val="both"/>
        <w:rPr>
          <w:rFonts w:ascii="Arial" w:hAnsi="Arial" w:cs="Arial"/>
          <w:sz w:val="24"/>
          <w:szCs w:val="24"/>
          <w:lang w:val="es-ES"/>
        </w:rPr>
      </w:pPr>
      <w:r w:rsidRPr="00D535E1">
        <w:rPr>
          <w:rFonts w:ascii="Arial" w:hAnsi="Arial" w:cs="Arial"/>
          <w:sz w:val="24"/>
          <w:szCs w:val="24"/>
          <w:lang w:val="es-ES"/>
        </w:rPr>
        <w:t>Las dinámicas del territorio, es decir, los procesos naturales y las actividades humanas que influyen en su transformación.</w:t>
      </w:r>
    </w:p>
    <w:p w14:paraId="2A53EB4B" w14:textId="77777777" w:rsidR="007C1437" w:rsidRPr="00D535E1" w:rsidRDefault="007C1437" w:rsidP="001372EB">
      <w:pPr>
        <w:pStyle w:val="Prrafodelista"/>
        <w:numPr>
          <w:ilvl w:val="0"/>
          <w:numId w:val="38"/>
        </w:numPr>
        <w:spacing w:line="276" w:lineRule="auto"/>
        <w:jc w:val="both"/>
        <w:rPr>
          <w:rFonts w:ascii="Arial" w:hAnsi="Arial" w:cs="Arial"/>
          <w:sz w:val="24"/>
          <w:szCs w:val="24"/>
          <w:lang w:val="es-ES"/>
        </w:rPr>
      </w:pPr>
      <w:r w:rsidRPr="00D535E1">
        <w:rPr>
          <w:rFonts w:ascii="Arial" w:hAnsi="Arial" w:cs="Arial"/>
          <w:sz w:val="24"/>
          <w:szCs w:val="24"/>
          <w:lang w:val="es-ES"/>
        </w:rPr>
        <w:t>Las expectativas de los actores estratégicos, como comunidades locales, autoridades ambientales, propietarios, organizaciones sociales y demás interesados en el manejo del área.</w:t>
      </w:r>
    </w:p>
    <w:p w14:paraId="34E9C838" w14:textId="3F428348" w:rsidR="007C1437" w:rsidRPr="00D535E1" w:rsidRDefault="007C1437" w:rsidP="001372EB">
      <w:pPr>
        <w:spacing w:line="276" w:lineRule="auto"/>
        <w:jc w:val="both"/>
        <w:rPr>
          <w:rFonts w:ascii="Arial" w:hAnsi="Arial" w:cs="Arial"/>
          <w:sz w:val="24"/>
          <w:szCs w:val="24"/>
          <w:lang w:val="es-ES"/>
        </w:rPr>
      </w:pPr>
      <w:r w:rsidRPr="00D535E1">
        <w:rPr>
          <w:rFonts w:ascii="Arial" w:hAnsi="Arial" w:cs="Arial"/>
          <w:sz w:val="24"/>
          <w:szCs w:val="24"/>
          <w:lang w:val="es-ES"/>
        </w:rPr>
        <w:t xml:space="preserve">Tomando en cuenta </w:t>
      </w:r>
      <w:r w:rsidR="000377C9">
        <w:rPr>
          <w:rFonts w:ascii="Arial" w:hAnsi="Arial" w:cs="Arial"/>
          <w:sz w:val="24"/>
          <w:szCs w:val="24"/>
          <w:lang w:val="es-ES"/>
        </w:rPr>
        <w:t>lo anterior fue que</w:t>
      </w:r>
      <w:r w:rsidRPr="00D535E1">
        <w:rPr>
          <w:rFonts w:ascii="Arial" w:hAnsi="Arial" w:cs="Arial"/>
          <w:sz w:val="24"/>
          <w:szCs w:val="24"/>
          <w:lang w:val="es-ES"/>
        </w:rPr>
        <w:t xml:space="preserve"> se </w:t>
      </w:r>
      <w:r w:rsidR="000377C9">
        <w:rPr>
          <w:rFonts w:ascii="Arial" w:hAnsi="Arial" w:cs="Arial"/>
          <w:sz w:val="24"/>
          <w:szCs w:val="24"/>
          <w:lang w:val="es-ES"/>
        </w:rPr>
        <w:t xml:space="preserve">llevó a cabo </w:t>
      </w:r>
      <w:r w:rsidRPr="00D535E1">
        <w:rPr>
          <w:rFonts w:ascii="Arial" w:hAnsi="Arial" w:cs="Arial"/>
          <w:sz w:val="24"/>
          <w:szCs w:val="24"/>
          <w:lang w:val="es-ES"/>
        </w:rPr>
        <w:t>el proceso de definición de la zonificación de manejo d</w:t>
      </w:r>
      <w:r w:rsidR="00955044" w:rsidRPr="00D535E1">
        <w:rPr>
          <w:rFonts w:ascii="Arial" w:hAnsi="Arial" w:cs="Arial"/>
          <w:sz w:val="24"/>
          <w:szCs w:val="24"/>
          <w:lang w:val="es-ES"/>
        </w:rPr>
        <w:t>e la Reserva Forestal Productora Protectora de Cuenca Alta del Río Bogotá RFPPCARB.</w:t>
      </w:r>
    </w:p>
    <w:p w14:paraId="3908EF98" w14:textId="4E2EDB89" w:rsidR="007C1437" w:rsidRPr="00D535E1" w:rsidRDefault="007C1437" w:rsidP="007C3ED8">
      <w:pPr>
        <w:spacing w:line="276" w:lineRule="auto"/>
        <w:jc w:val="both"/>
        <w:rPr>
          <w:rFonts w:ascii="Arial" w:hAnsi="Arial" w:cs="Arial"/>
          <w:sz w:val="24"/>
          <w:szCs w:val="24"/>
          <w:lang w:val="es-ES"/>
        </w:rPr>
      </w:pPr>
      <w:r w:rsidRPr="00D535E1">
        <w:rPr>
          <w:rFonts w:ascii="Arial" w:hAnsi="Arial" w:cs="Arial"/>
          <w:sz w:val="24"/>
          <w:szCs w:val="24"/>
          <w:lang w:val="es-ES"/>
        </w:rPr>
        <w:t xml:space="preserve">La zonificación propuesta fue </w:t>
      </w:r>
      <w:r w:rsidR="007C3ED8">
        <w:rPr>
          <w:rFonts w:ascii="Arial" w:hAnsi="Arial" w:cs="Arial"/>
          <w:sz w:val="24"/>
          <w:szCs w:val="24"/>
          <w:lang w:val="es-ES"/>
        </w:rPr>
        <w:t>elaborada</w:t>
      </w:r>
      <w:r w:rsidRPr="00D535E1">
        <w:rPr>
          <w:rFonts w:ascii="Arial" w:hAnsi="Arial" w:cs="Arial"/>
          <w:sz w:val="24"/>
          <w:szCs w:val="24"/>
          <w:lang w:val="es-ES"/>
        </w:rPr>
        <w:t xml:space="preserve"> en coherencia con</w:t>
      </w:r>
      <w:r w:rsidR="007C3ED8">
        <w:rPr>
          <w:rFonts w:ascii="Arial" w:hAnsi="Arial" w:cs="Arial"/>
          <w:sz w:val="24"/>
          <w:szCs w:val="24"/>
          <w:lang w:val="es-ES"/>
        </w:rPr>
        <w:t xml:space="preserve"> l</w:t>
      </w:r>
      <w:r w:rsidRPr="00D535E1">
        <w:rPr>
          <w:rFonts w:ascii="Arial" w:hAnsi="Arial" w:cs="Arial"/>
          <w:sz w:val="24"/>
          <w:szCs w:val="24"/>
          <w:lang w:val="es-ES"/>
        </w:rPr>
        <w:t>os objetivos de conservación establecidos para el área protegida</w:t>
      </w:r>
      <w:r w:rsidR="007C3ED8">
        <w:rPr>
          <w:rFonts w:ascii="Arial" w:hAnsi="Arial" w:cs="Arial"/>
          <w:sz w:val="24"/>
          <w:szCs w:val="24"/>
          <w:lang w:val="es-ES"/>
        </w:rPr>
        <w:t>, l</w:t>
      </w:r>
      <w:r w:rsidRPr="00D535E1">
        <w:rPr>
          <w:rFonts w:ascii="Arial" w:hAnsi="Arial" w:cs="Arial"/>
          <w:sz w:val="24"/>
          <w:szCs w:val="24"/>
          <w:lang w:val="es-ES"/>
        </w:rPr>
        <w:t>a categoría de manejo bajo la cual fue declarada</w:t>
      </w:r>
      <w:r w:rsidR="007C3ED8">
        <w:rPr>
          <w:rFonts w:ascii="Arial" w:hAnsi="Arial" w:cs="Arial"/>
          <w:sz w:val="24"/>
          <w:szCs w:val="24"/>
          <w:lang w:val="es-ES"/>
        </w:rPr>
        <w:t xml:space="preserve"> y l</w:t>
      </w:r>
      <w:r w:rsidRPr="00D535E1">
        <w:rPr>
          <w:rFonts w:ascii="Arial" w:hAnsi="Arial" w:cs="Arial"/>
          <w:sz w:val="24"/>
          <w:szCs w:val="24"/>
          <w:lang w:val="es-ES"/>
        </w:rPr>
        <w:t xml:space="preserve">os </w:t>
      </w:r>
      <w:r w:rsidR="007C3ED8">
        <w:rPr>
          <w:rFonts w:ascii="Arial" w:hAnsi="Arial" w:cs="Arial"/>
          <w:sz w:val="24"/>
          <w:szCs w:val="24"/>
          <w:lang w:val="es-ES"/>
        </w:rPr>
        <w:t xml:space="preserve">diferentes </w:t>
      </w:r>
      <w:r w:rsidRPr="00D535E1">
        <w:rPr>
          <w:rFonts w:ascii="Arial" w:hAnsi="Arial" w:cs="Arial"/>
          <w:sz w:val="24"/>
          <w:szCs w:val="24"/>
          <w:lang w:val="es-ES"/>
        </w:rPr>
        <w:t>tipos de uso permitidos, conforme a lo dispuesto en el Decreto 1076 de 2015.</w:t>
      </w:r>
    </w:p>
    <w:p w14:paraId="2A8E09C3" w14:textId="4B7AEF82" w:rsidR="007F21A8" w:rsidRPr="00D535E1" w:rsidRDefault="002366EC" w:rsidP="001372EB">
      <w:pPr>
        <w:spacing w:line="276" w:lineRule="auto"/>
        <w:jc w:val="both"/>
        <w:rPr>
          <w:rFonts w:ascii="Arial" w:hAnsi="Arial" w:cs="Arial"/>
          <w:b/>
          <w:bCs/>
          <w:i/>
          <w:iCs/>
          <w:sz w:val="24"/>
          <w:szCs w:val="24"/>
          <w:u w:val="single"/>
          <w:lang w:val="es-ES"/>
        </w:rPr>
      </w:pPr>
      <w:r>
        <w:rPr>
          <w:rFonts w:ascii="Arial" w:hAnsi="Arial" w:cs="Arial"/>
          <w:b/>
          <w:bCs/>
          <w:i/>
          <w:iCs/>
          <w:sz w:val="24"/>
          <w:szCs w:val="24"/>
          <w:u w:val="single"/>
          <w:lang w:val="es-ES"/>
        </w:rPr>
        <w:t xml:space="preserve">Definición de </w:t>
      </w:r>
      <w:r w:rsidR="009D0C46" w:rsidRPr="00D535E1">
        <w:rPr>
          <w:rFonts w:ascii="Arial" w:hAnsi="Arial" w:cs="Arial"/>
          <w:b/>
          <w:bCs/>
          <w:i/>
          <w:iCs/>
          <w:sz w:val="24"/>
          <w:szCs w:val="24"/>
          <w:u w:val="single"/>
          <w:lang w:val="es-ES"/>
        </w:rPr>
        <w:t>C</w:t>
      </w:r>
      <w:r w:rsidR="007F21A8" w:rsidRPr="00D535E1">
        <w:rPr>
          <w:rFonts w:ascii="Arial" w:hAnsi="Arial" w:cs="Arial"/>
          <w:b/>
          <w:bCs/>
          <w:i/>
          <w:iCs/>
          <w:sz w:val="24"/>
          <w:szCs w:val="24"/>
          <w:u w:val="single"/>
          <w:lang w:val="es-ES"/>
        </w:rPr>
        <w:t>riterios</w:t>
      </w:r>
      <w:r w:rsidR="00BA32AC">
        <w:rPr>
          <w:rFonts w:ascii="Arial" w:hAnsi="Arial" w:cs="Arial"/>
          <w:b/>
          <w:bCs/>
          <w:i/>
          <w:iCs/>
          <w:sz w:val="24"/>
          <w:szCs w:val="24"/>
          <w:u w:val="single"/>
          <w:lang w:val="es-ES"/>
        </w:rPr>
        <w:t xml:space="preserve"> para el proceso</w:t>
      </w:r>
      <w:r w:rsidR="007F21A8" w:rsidRPr="00D535E1">
        <w:rPr>
          <w:rFonts w:ascii="Arial" w:hAnsi="Arial" w:cs="Arial"/>
          <w:b/>
          <w:bCs/>
          <w:i/>
          <w:iCs/>
          <w:sz w:val="24"/>
          <w:szCs w:val="24"/>
          <w:u w:val="single"/>
          <w:lang w:val="es-ES"/>
        </w:rPr>
        <w:t xml:space="preserve"> de zonificación</w:t>
      </w:r>
    </w:p>
    <w:p w14:paraId="30015C8A" w14:textId="32120BFB" w:rsidR="007F21A8" w:rsidRPr="00D535E1" w:rsidRDefault="007F21A8" w:rsidP="001372EB">
      <w:pPr>
        <w:spacing w:line="276" w:lineRule="auto"/>
        <w:jc w:val="both"/>
        <w:rPr>
          <w:rFonts w:ascii="Arial" w:hAnsi="Arial" w:cs="Arial"/>
          <w:sz w:val="24"/>
          <w:szCs w:val="24"/>
          <w:lang w:val="es-ES"/>
        </w:rPr>
      </w:pPr>
      <w:r w:rsidRPr="00D535E1">
        <w:rPr>
          <w:rFonts w:ascii="Arial" w:hAnsi="Arial" w:cs="Arial"/>
          <w:sz w:val="24"/>
          <w:szCs w:val="24"/>
          <w:lang w:val="es-ES"/>
        </w:rPr>
        <w:t xml:space="preserve">Los criterios de zonificación son el conjunto de principios técnicos, ambientales, sociales y normativos que se utilizan para </w:t>
      </w:r>
      <w:r w:rsidR="00E043D9">
        <w:rPr>
          <w:rFonts w:ascii="Arial" w:hAnsi="Arial" w:cs="Arial"/>
          <w:sz w:val="24"/>
          <w:szCs w:val="24"/>
          <w:lang w:val="es-ES"/>
        </w:rPr>
        <w:t>clasificar</w:t>
      </w:r>
      <w:r w:rsidRPr="00D535E1">
        <w:rPr>
          <w:rFonts w:ascii="Arial" w:hAnsi="Arial" w:cs="Arial"/>
          <w:sz w:val="24"/>
          <w:szCs w:val="24"/>
          <w:lang w:val="es-ES"/>
        </w:rPr>
        <w:t xml:space="preserve"> el territorio en diferentes zonas de manejo. Estos criterios permiten tomar decisiones fundamentadas sobre qué actividades se pueden realizar en cada sector y cuáles deben restringirse o prohibirse, con el fin de garantizar la conservación del área protegida y su uso adecuado.</w:t>
      </w:r>
    </w:p>
    <w:p w14:paraId="42C6F2E7" w14:textId="3118A009" w:rsidR="007F21A8" w:rsidRDefault="007F21A8" w:rsidP="001372EB">
      <w:pPr>
        <w:spacing w:line="276" w:lineRule="auto"/>
        <w:jc w:val="both"/>
        <w:rPr>
          <w:rFonts w:ascii="Arial" w:hAnsi="Arial" w:cs="Arial"/>
          <w:sz w:val="24"/>
          <w:szCs w:val="24"/>
          <w:lang w:val="es-ES"/>
        </w:rPr>
      </w:pPr>
      <w:r w:rsidRPr="00D535E1">
        <w:rPr>
          <w:rFonts w:ascii="Arial" w:hAnsi="Arial" w:cs="Arial"/>
          <w:sz w:val="24"/>
          <w:szCs w:val="24"/>
          <w:lang w:val="es-ES"/>
        </w:rPr>
        <w:t>En el caso de</w:t>
      </w:r>
      <w:r w:rsidR="00E25A54" w:rsidRPr="00D535E1">
        <w:rPr>
          <w:rFonts w:ascii="Arial" w:hAnsi="Arial" w:cs="Arial"/>
          <w:sz w:val="24"/>
          <w:szCs w:val="24"/>
          <w:lang w:val="es-ES"/>
        </w:rPr>
        <w:t xml:space="preserve"> </w:t>
      </w:r>
      <w:r w:rsidRPr="00D535E1">
        <w:rPr>
          <w:rFonts w:ascii="Arial" w:hAnsi="Arial" w:cs="Arial"/>
          <w:sz w:val="24"/>
          <w:szCs w:val="24"/>
          <w:lang w:val="es-ES"/>
        </w:rPr>
        <w:t>l</w:t>
      </w:r>
      <w:r w:rsidR="00E25A54" w:rsidRPr="00D535E1">
        <w:rPr>
          <w:rFonts w:ascii="Arial" w:hAnsi="Arial" w:cs="Arial"/>
          <w:sz w:val="24"/>
          <w:szCs w:val="24"/>
          <w:lang w:val="es-ES"/>
        </w:rPr>
        <w:t>a</w:t>
      </w:r>
      <w:r w:rsidRPr="00D535E1">
        <w:rPr>
          <w:rFonts w:ascii="Arial" w:hAnsi="Arial" w:cs="Arial"/>
          <w:sz w:val="24"/>
          <w:szCs w:val="24"/>
          <w:lang w:val="es-ES"/>
        </w:rPr>
        <w:t xml:space="preserve"> </w:t>
      </w:r>
      <w:r w:rsidR="00E25A54" w:rsidRPr="00D535E1">
        <w:rPr>
          <w:rFonts w:ascii="Arial" w:hAnsi="Arial" w:cs="Arial"/>
          <w:sz w:val="24"/>
          <w:szCs w:val="24"/>
          <w:lang w:val="es-ES"/>
        </w:rPr>
        <w:t>Reserva Forestal Productora Protectora de Cuenca Alta del Río Bogotá RFPPCARB</w:t>
      </w:r>
      <w:r w:rsidRPr="00D535E1">
        <w:rPr>
          <w:rFonts w:ascii="Arial" w:hAnsi="Arial" w:cs="Arial"/>
          <w:sz w:val="24"/>
          <w:szCs w:val="24"/>
          <w:lang w:val="es-ES"/>
        </w:rPr>
        <w:t>, la definición de las zonas no se realizó de manera arbitraria.</w:t>
      </w:r>
      <w:r w:rsidR="003A7D9D">
        <w:rPr>
          <w:rFonts w:ascii="Arial" w:hAnsi="Arial" w:cs="Arial"/>
          <w:sz w:val="24"/>
          <w:szCs w:val="24"/>
          <w:lang w:val="es-ES"/>
        </w:rPr>
        <w:t>, p</w:t>
      </w:r>
      <w:r w:rsidRPr="00D535E1">
        <w:rPr>
          <w:rFonts w:ascii="Arial" w:hAnsi="Arial" w:cs="Arial"/>
          <w:sz w:val="24"/>
          <w:szCs w:val="24"/>
          <w:lang w:val="es-ES"/>
        </w:rPr>
        <w:t>or el contrario, se basó en un análisis integral del territorio, considerando los siguientes aspectos:</w:t>
      </w:r>
    </w:p>
    <w:p w14:paraId="406D3511" w14:textId="77777777" w:rsidR="003D0D39" w:rsidRPr="00D535E1" w:rsidRDefault="003D0D39" w:rsidP="003D0D39">
      <w:pPr>
        <w:spacing w:after="0" w:line="276" w:lineRule="auto"/>
        <w:jc w:val="both"/>
        <w:rPr>
          <w:rFonts w:ascii="Arial" w:hAnsi="Arial" w:cs="Arial"/>
          <w:b/>
          <w:bCs/>
          <w:sz w:val="24"/>
          <w:szCs w:val="24"/>
          <w:lang w:val="es-ES"/>
        </w:rPr>
      </w:pPr>
      <w:r w:rsidRPr="00317098">
        <w:rPr>
          <w:rFonts w:ascii="Arial" w:hAnsi="Arial" w:cs="Arial"/>
          <w:b/>
          <w:bCs/>
          <w:sz w:val="24"/>
          <w:szCs w:val="24"/>
          <w:highlight w:val="yellow"/>
          <w:lang w:val="es-ES"/>
        </w:rPr>
        <w:t>Limite área de estudio</w:t>
      </w:r>
      <w:r w:rsidRPr="00D535E1">
        <w:rPr>
          <w:rFonts w:ascii="Arial" w:hAnsi="Arial" w:cs="Arial"/>
          <w:b/>
          <w:bCs/>
          <w:sz w:val="24"/>
          <w:szCs w:val="24"/>
          <w:lang w:val="es-ES"/>
        </w:rPr>
        <w:t xml:space="preserve"> </w:t>
      </w:r>
    </w:p>
    <w:p w14:paraId="312D1611" w14:textId="77777777" w:rsidR="00C91E85" w:rsidRDefault="00C91E85" w:rsidP="003D0D39">
      <w:pPr>
        <w:spacing w:after="0" w:line="276" w:lineRule="auto"/>
        <w:jc w:val="both"/>
        <w:rPr>
          <w:rFonts w:ascii="Arial" w:hAnsi="Arial" w:cs="Arial"/>
          <w:sz w:val="24"/>
          <w:szCs w:val="24"/>
          <w:lang w:val="es-ES"/>
        </w:rPr>
      </w:pPr>
    </w:p>
    <w:p w14:paraId="7758F0C3" w14:textId="252E8AA6" w:rsidR="003D0D39" w:rsidRPr="00D535E1" w:rsidRDefault="003D0D39" w:rsidP="003D0D39">
      <w:pPr>
        <w:spacing w:after="0" w:line="276" w:lineRule="auto"/>
        <w:jc w:val="both"/>
        <w:rPr>
          <w:rFonts w:ascii="Arial" w:hAnsi="Arial" w:cs="Arial"/>
          <w:sz w:val="24"/>
          <w:szCs w:val="24"/>
          <w:lang w:val="es-ES"/>
        </w:rPr>
      </w:pPr>
      <w:r w:rsidRPr="00D535E1">
        <w:rPr>
          <w:rFonts w:ascii="Arial" w:hAnsi="Arial" w:cs="Arial"/>
          <w:sz w:val="24"/>
          <w:szCs w:val="24"/>
          <w:lang w:val="es-ES"/>
        </w:rPr>
        <w:t>Teniendo en cuenta que a la fecha no se cuenta con una delimitación espacial plenamente consolidada y armonizada del área protegida, debido a diferencias entre insumos cartográficos históricos, precisiones técnicas derivadas de actualizaciones normativas y la incorporación de actos administrativos de sustracción posteriores</w:t>
      </w:r>
      <w:r w:rsidR="004C24F8">
        <w:rPr>
          <w:rFonts w:ascii="Arial" w:hAnsi="Arial" w:cs="Arial"/>
          <w:sz w:val="24"/>
          <w:szCs w:val="24"/>
          <w:lang w:val="es-ES"/>
        </w:rPr>
        <w:t xml:space="preserve"> a la fecha de declaración del área protegida</w:t>
      </w:r>
      <w:r w:rsidRPr="00D535E1">
        <w:rPr>
          <w:rFonts w:ascii="Arial" w:hAnsi="Arial" w:cs="Arial"/>
          <w:sz w:val="24"/>
          <w:szCs w:val="24"/>
          <w:lang w:val="es-ES"/>
        </w:rPr>
        <w:t xml:space="preserve">, se acordó de manera interinstitucional adoptar como </w:t>
      </w:r>
      <w:r w:rsidR="004C24F8">
        <w:rPr>
          <w:rFonts w:ascii="Arial" w:hAnsi="Arial" w:cs="Arial"/>
          <w:sz w:val="24"/>
          <w:szCs w:val="24"/>
          <w:lang w:val="es-ES"/>
        </w:rPr>
        <w:t>límite</w:t>
      </w:r>
      <w:r w:rsidRPr="00D535E1">
        <w:rPr>
          <w:rFonts w:ascii="Arial" w:hAnsi="Arial" w:cs="Arial"/>
          <w:sz w:val="24"/>
          <w:szCs w:val="24"/>
          <w:lang w:val="es-ES"/>
        </w:rPr>
        <w:t xml:space="preserve"> </w:t>
      </w:r>
      <w:r w:rsidR="004C24F8">
        <w:rPr>
          <w:rFonts w:ascii="Arial" w:hAnsi="Arial" w:cs="Arial"/>
          <w:sz w:val="24"/>
          <w:szCs w:val="24"/>
          <w:lang w:val="es-ES"/>
        </w:rPr>
        <w:t>geográfico</w:t>
      </w:r>
      <w:r w:rsidRPr="00D535E1">
        <w:rPr>
          <w:rFonts w:ascii="Arial" w:hAnsi="Arial" w:cs="Arial"/>
          <w:sz w:val="24"/>
          <w:szCs w:val="24"/>
          <w:lang w:val="es-ES"/>
        </w:rPr>
        <w:t xml:space="preserve"> oficial el polígono </w:t>
      </w:r>
      <w:r w:rsidRPr="00D535E1">
        <w:rPr>
          <w:rFonts w:ascii="Arial" w:hAnsi="Arial" w:cs="Arial"/>
          <w:sz w:val="24"/>
          <w:szCs w:val="24"/>
          <w:lang w:val="es-ES"/>
        </w:rPr>
        <w:lastRenderedPageBreak/>
        <w:t>establecido en la Resolución 138 de 2014, expedida por el Ministerio de Ambiente y Desarrollo Sostenible.</w:t>
      </w:r>
    </w:p>
    <w:p w14:paraId="2A196D8A" w14:textId="77777777" w:rsidR="003D0D39" w:rsidRPr="00D535E1" w:rsidRDefault="003D0D39" w:rsidP="003D0D39">
      <w:pPr>
        <w:spacing w:after="0" w:line="276" w:lineRule="auto"/>
        <w:jc w:val="both"/>
        <w:rPr>
          <w:rFonts w:ascii="Arial" w:hAnsi="Arial" w:cs="Arial"/>
          <w:sz w:val="24"/>
          <w:szCs w:val="24"/>
          <w:lang w:val="es-ES"/>
        </w:rPr>
      </w:pPr>
    </w:p>
    <w:p w14:paraId="2C8C14FC" w14:textId="009A605B" w:rsidR="003D0D39" w:rsidRPr="00D535E1" w:rsidRDefault="003D0D39" w:rsidP="003D0D39">
      <w:pPr>
        <w:spacing w:after="0" w:line="276" w:lineRule="auto"/>
        <w:jc w:val="both"/>
        <w:rPr>
          <w:rFonts w:ascii="Arial" w:hAnsi="Arial" w:cs="Arial"/>
          <w:sz w:val="24"/>
          <w:szCs w:val="24"/>
          <w:lang w:val="es-ES"/>
        </w:rPr>
      </w:pPr>
      <w:r w:rsidRPr="00D535E1">
        <w:rPr>
          <w:rFonts w:ascii="Arial" w:hAnsi="Arial" w:cs="Arial"/>
          <w:sz w:val="24"/>
          <w:szCs w:val="24"/>
          <w:lang w:val="es-ES"/>
        </w:rPr>
        <w:t xml:space="preserve">Esta decisión obedece a la necesidad de contar con un </w:t>
      </w:r>
      <w:r w:rsidR="00317098">
        <w:rPr>
          <w:rFonts w:ascii="Arial" w:hAnsi="Arial" w:cs="Arial"/>
          <w:sz w:val="24"/>
          <w:szCs w:val="24"/>
          <w:lang w:val="es-ES"/>
        </w:rPr>
        <w:t>límite</w:t>
      </w:r>
      <w:r w:rsidRPr="00D535E1">
        <w:rPr>
          <w:rFonts w:ascii="Arial" w:hAnsi="Arial" w:cs="Arial"/>
          <w:sz w:val="24"/>
          <w:szCs w:val="24"/>
          <w:lang w:val="es-ES"/>
        </w:rPr>
        <w:t xml:space="preserve"> espacial</w:t>
      </w:r>
      <w:r w:rsidR="00317098">
        <w:rPr>
          <w:rFonts w:ascii="Arial" w:hAnsi="Arial" w:cs="Arial"/>
          <w:sz w:val="24"/>
          <w:szCs w:val="24"/>
          <w:lang w:val="es-ES"/>
        </w:rPr>
        <w:t xml:space="preserve"> del área</w:t>
      </w:r>
      <w:r w:rsidRPr="00D535E1">
        <w:rPr>
          <w:rFonts w:ascii="Arial" w:hAnsi="Arial" w:cs="Arial"/>
          <w:sz w:val="24"/>
          <w:szCs w:val="24"/>
          <w:lang w:val="es-ES"/>
        </w:rPr>
        <w:t xml:space="preserve"> claro y verificable que permita desarrollar los </w:t>
      </w:r>
      <w:r w:rsidR="00317098">
        <w:rPr>
          <w:rFonts w:ascii="Arial" w:hAnsi="Arial" w:cs="Arial"/>
          <w:sz w:val="24"/>
          <w:szCs w:val="24"/>
          <w:lang w:val="es-ES"/>
        </w:rPr>
        <w:t xml:space="preserve">diferentes </w:t>
      </w:r>
      <w:r w:rsidRPr="00D535E1">
        <w:rPr>
          <w:rFonts w:ascii="Arial" w:hAnsi="Arial" w:cs="Arial"/>
          <w:sz w:val="24"/>
          <w:szCs w:val="24"/>
          <w:lang w:val="es-ES"/>
        </w:rPr>
        <w:t>análisis técnicos bajo un criterio homogéneo</w:t>
      </w:r>
      <w:r w:rsidR="00317098">
        <w:rPr>
          <w:rFonts w:ascii="Arial" w:hAnsi="Arial" w:cs="Arial"/>
          <w:sz w:val="24"/>
          <w:szCs w:val="24"/>
          <w:lang w:val="es-ES"/>
        </w:rPr>
        <w:t xml:space="preserve"> y siempre</w:t>
      </w:r>
      <w:r w:rsidRPr="00D535E1">
        <w:rPr>
          <w:rFonts w:ascii="Arial" w:hAnsi="Arial" w:cs="Arial"/>
          <w:sz w:val="24"/>
          <w:szCs w:val="24"/>
          <w:lang w:val="es-ES"/>
        </w:rPr>
        <w:t xml:space="preserve"> garantizando </w:t>
      </w:r>
      <w:r w:rsidR="00317098">
        <w:rPr>
          <w:rFonts w:ascii="Arial" w:hAnsi="Arial" w:cs="Arial"/>
          <w:sz w:val="24"/>
          <w:szCs w:val="24"/>
          <w:lang w:val="es-ES"/>
        </w:rPr>
        <w:t xml:space="preserve">la </w:t>
      </w:r>
      <w:r w:rsidRPr="00D535E1">
        <w:rPr>
          <w:rFonts w:ascii="Arial" w:hAnsi="Arial" w:cs="Arial"/>
          <w:sz w:val="24"/>
          <w:szCs w:val="24"/>
          <w:lang w:val="es-ES"/>
        </w:rPr>
        <w:t xml:space="preserve">consistencia metodológica, trazabilidad y </w:t>
      </w:r>
      <w:r w:rsidR="004C24F8">
        <w:rPr>
          <w:rFonts w:ascii="Arial" w:hAnsi="Arial" w:cs="Arial"/>
          <w:sz w:val="24"/>
          <w:szCs w:val="24"/>
          <w:lang w:val="es-ES"/>
        </w:rPr>
        <w:t>concordancia</w:t>
      </w:r>
      <w:r w:rsidRPr="00D535E1">
        <w:rPr>
          <w:rFonts w:ascii="Arial" w:hAnsi="Arial" w:cs="Arial"/>
          <w:sz w:val="24"/>
          <w:szCs w:val="24"/>
          <w:lang w:val="es-ES"/>
        </w:rPr>
        <w:t xml:space="preserve"> con el acto administrativo vigente que define la delimitación de la reserva.</w:t>
      </w:r>
    </w:p>
    <w:p w14:paraId="150DD6D3" w14:textId="77777777" w:rsidR="003D0D39" w:rsidRPr="00D535E1" w:rsidRDefault="003D0D39" w:rsidP="003D0D39">
      <w:pPr>
        <w:spacing w:after="0" w:line="276" w:lineRule="auto"/>
        <w:jc w:val="both"/>
        <w:rPr>
          <w:rFonts w:ascii="Arial" w:hAnsi="Arial" w:cs="Arial"/>
          <w:sz w:val="24"/>
          <w:szCs w:val="24"/>
          <w:lang w:val="es-ES"/>
        </w:rPr>
      </w:pPr>
    </w:p>
    <w:p w14:paraId="78354805" w14:textId="35B870D2" w:rsidR="003D0D39" w:rsidRDefault="009A44EF" w:rsidP="003D0D39">
      <w:pPr>
        <w:spacing w:after="0" w:line="276" w:lineRule="auto"/>
        <w:jc w:val="both"/>
        <w:rPr>
          <w:rFonts w:ascii="Arial" w:hAnsi="Arial" w:cs="Arial"/>
          <w:sz w:val="24"/>
          <w:szCs w:val="24"/>
          <w:lang w:val="es-ES"/>
        </w:rPr>
      </w:pPr>
      <w:r w:rsidRPr="009A44EF">
        <w:rPr>
          <w:rFonts w:ascii="Arial" w:hAnsi="Arial" w:cs="Arial"/>
          <w:sz w:val="24"/>
          <w:szCs w:val="24"/>
          <w:lang w:val="es-ES"/>
        </w:rPr>
        <w:t xml:space="preserve">Sobre este polígono se adelantó un proceso de depuración cartográfica mediante </w:t>
      </w:r>
      <w:r>
        <w:rPr>
          <w:rFonts w:ascii="Arial" w:hAnsi="Arial" w:cs="Arial"/>
          <w:sz w:val="24"/>
          <w:szCs w:val="24"/>
          <w:lang w:val="es-ES"/>
        </w:rPr>
        <w:t>la</w:t>
      </w:r>
      <w:r w:rsidRPr="009A44EF">
        <w:rPr>
          <w:rFonts w:ascii="Arial" w:hAnsi="Arial" w:cs="Arial"/>
          <w:sz w:val="24"/>
          <w:szCs w:val="24"/>
          <w:lang w:val="es-ES"/>
        </w:rPr>
        <w:t xml:space="preserve"> cual se excluyeron</w:t>
      </w:r>
      <w:r>
        <w:rPr>
          <w:rFonts w:ascii="Arial" w:hAnsi="Arial" w:cs="Arial"/>
          <w:sz w:val="24"/>
          <w:szCs w:val="24"/>
          <w:lang w:val="es-ES"/>
        </w:rPr>
        <w:t xml:space="preserve"> todas</w:t>
      </w:r>
      <w:r w:rsidRPr="009A44EF">
        <w:rPr>
          <w:rFonts w:ascii="Arial" w:hAnsi="Arial" w:cs="Arial"/>
          <w:sz w:val="24"/>
          <w:szCs w:val="24"/>
          <w:lang w:val="es-ES"/>
        </w:rPr>
        <w:t xml:space="preserve"> las áreas objeto de sustracción formalmente aprobada, con el propósito de garantizar la consistencia</w:t>
      </w:r>
      <w:r>
        <w:rPr>
          <w:rFonts w:ascii="Arial" w:hAnsi="Arial" w:cs="Arial"/>
          <w:sz w:val="24"/>
          <w:szCs w:val="24"/>
          <w:lang w:val="es-ES"/>
        </w:rPr>
        <w:t xml:space="preserve"> espacial</w:t>
      </w:r>
      <w:r w:rsidRPr="009A44EF">
        <w:rPr>
          <w:rFonts w:ascii="Arial" w:hAnsi="Arial" w:cs="Arial"/>
          <w:sz w:val="24"/>
          <w:szCs w:val="24"/>
          <w:lang w:val="es-ES"/>
        </w:rPr>
        <w:t xml:space="preserve"> y completitud de la información correspondiente al área de estudio.</w:t>
      </w:r>
    </w:p>
    <w:p w14:paraId="784D703C" w14:textId="77777777" w:rsidR="009A44EF" w:rsidRPr="00D535E1" w:rsidRDefault="009A44EF" w:rsidP="003D0D39">
      <w:pPr>
        <w:spacing w:after="0" w:line="276" w:lineRule="auto"/>
        <w:jc w:val="both"/>
        <w:rPr>
          <w:rFonts w:ascii="Arial" w:hAnsi="Arial" w:cs="Arial"/>
          <w:sz w:val="24"/>
          <w:szCs w:val="24"/>
          <w:lang w:val="es-ES"/>
        </w:rPr>
      </w:pPr>
    </w:p>
    <w:p w14:paraId="2F18CDF2" w14:textId="2D2EBB2C" w:rsidR="003D0D39" w:rsidRPr="00D535E1" w:rsidRDefault="003D0D39" w:rsidP="003D0D39">
      <w:pPr>
        <w:spacing w:after="0" w:line="276" w:lineRule="auto"/>
        <w:jc w:val="both"/>
        <w:rPr>
          <w:rFonts w:ascii="Arial" w:hAnsi="Arial" w:cs="Arial"/>
          <w:sz w:val="24"/>
          <w:szCs w:val="24"/>
          <w:lang w:val="es-ES"/>
        </w:rPr>
      </w:pPr>
      <w:r w:rsidRPr="00D535E1">
        <w:rPr>
          <w:rFonts w:ascii="Arial" w:hAnsi="Arial" w:cs="Arial"/>
          <w:sz w:val="24"/>
          <w:szCs w:val="24"/>
          <w:lang w:val="es-ES"/>
        </w:rPr>
        <w:t>Adicionalmente, y como medida metodológica preventiva para evitar omisiones de información en sectores limítrofes, se generó una zona de influencia mediante la aplicación de un buffer</w:t>
      </w:r>
      <w:r w:rsidR="000C19EA">
        <w:rPr>
          <w:rFonts w:ascii="Arial" w:hAnsi="Arial" w:cs="Arial"/>
          <w:sz w:val="24"/>
          <w:szCs w:val="24"/>
          <w:lang w:val="es-ES"/>
        </w:rPr>
        <w:t xml:space="preserve"> cartográfico</w:t>
      </w:r>
      <w:r w:rsidRPr="00D535E1">
        <w:rPr>
          <w:rFonts w:ascii="Arial" w:hAnsi="Arial" w:cs="Arial"/>
          <w:sz w:val="24"/>
          <w:szCs w:val="24"/>
          <w:lang w:val="es-ES"/>
        </w:rPr>
        <w:t xml:space="preserve"> de cien (100) metros alrededor del perímetro resultante. Este procedimiento tuvo como finalidad asegurar que los análisis espaciales incorporaran información suficiente en las áreas adyacentes, minimizando el riesgo de vacíos cartográficos, errores de borde o exclusiones involuntarias derivadas de diferencias de escala, proyección o precisión geométrica de las capas utilizadas.</w:t>
      </w:r>
    </w:p>
    <w:p w14:paraId="65A18691" w14:textId="77777777" w:rsidR="003D0D39" w:rsidRPr="00D535E1" w:rsidRDefault="003D0D39" w:rsidP="003D0D39">
      <w:pPr>
        <w:spacing w:after="0" w:line="276" w:lineRule="auto"/>
        <w:jc w:val="both"/>
        <w:rPr>
          <w:rFonts w:ascii="Arial" w:hAnsi="Arial" w:cs="Arial"/>
          <w:sz w:val="24"/>
          <w:szCs w:val="24"/>
          <w:lang w:val="es-ES"/>
        </w:rPr>
      </w:pPr>
    </w:p>
    <w:p w14:paraId="14CB4994" w14:textId="77777777" w:rsidR="003D0D39" w:rsidRPr="004F6A9E" w:rsidRDefault="003D0D39" w:rsidP="00C91E85">
      <w:pPr>
        <w:spacing w:after="0" w:line="276" w:lineRule="auto"/>
        <w:jc w:val="both"/>
        <w:rPr>
          <w:rFonts w:ascii="Arial" w:hAnsi="Arial" w:cs="Arial"/>
          <w:sz w:val="24"/>
          <w:szCs w:val="24"/>
          <w:lang w:val="es-ES"/>
        </w:rPr>
      </w:pPr>
      <w:r w:rsidRPr="009C7088">
        <w:rPr>
          <w:rFonts w:ascii="Arial" w:hAnsi="Arial" w:cs="Arial"/>
          <w:sz w:val="24"/>
          <w:szCs w:val="24"/>
          <w:highlight w:val="yellow"/>
        </w:rPr>
        <w:t>Es importante aclarar que los cálculos relacionados con la extensión de las áreas correspondientes a cada una de las zonas definidas en la zonificación se realizaron tomando como referencia el polígono oficial del límite del área protegida, con fecha de corte al 25 de diciembre de 2025. En consecuencia, cualquier sustracción, ajuste o modificación posterior al límite del área protegida que se haya realizado después de dicha fecha no fue considerada dentro de los cálculos presentados en este documento, y su gestión, actualización y validación corresponden al Ministerio de Ambiente y Desarrollo Sostenible, en el marco de sus competencias.</w:t>
      </w:r>
    </w:p>
    <w:p w14:paraId="02490A0B" w14:textId="77777777" w:rsidR="003D0D39" w:rsidRDefault="003D0D39" w:rsidP="00C91E85">
      <w:pPr>
        <w:spacing w:line="276" w:lineRule="auto"/>
        <w:jc w:val="both"/>
        <w:rPr>
          <w:rFonts w:ascii="Arial" w:hAnsi="Arial" w:cs="Arial"/>
          <w:b/>
          <w:bCs/>
          <w:sz w:val="24"/>
          <w:szCs w:val="24"/>
        </w:rPr>
      </w:pPr>
    </w:p>
    <w:p w14:paraId="6193E228" w14:textId="55D25D10" w:rsidR="002D4934" w:rsidRPr="00D535E1" w:rsidRDefault="002D4934" w:rsidP="00C91E85">
      <w:pPr>
        <w:spacing w:line="276" w:lineRule="auto"/>
        <w:jc w:val="both"/>
        <w:rPr>
          <w:rFonts w:ascii="Arial" w:hAnsi="Arial" w:cs="Arial"/>
          <w:sz w:val="24"/>
          <w:szCs w:val="24"/>
        </w:rPr>
      </w:pPr>
      <w:r w:rsidRPr="00D535E1">
        <w:rPr>
          <w:rFonts w:ascii="Arial" w:hAnsi="Arial" w:cs="Arial"/>
          <w:b/>
          <w:bCs/>
          <w:sz w:val="24"/>
          <w:szCs w:val="24"/>
        </w:rPr>
        <w:t>Criterio 1. Cobertura de la tierra</w:t>
      </w:r>
    </w:p>
    <w:p w14:paraId="0158033C" w14:textId="3627A11F" w:rsidR="002D4934" w:rsidRPr="00D535E1" w:rsidRDefault="002D4934" w:rsidP="001372EB">
      <w:pPr>
        <w:spacing w:line="276" w:lineRule="auto"/>
        <w:jc w:val="both"/>
        <w:rPr>
          <w:rFonts w:ascii="Arial" w:hAnsi="Arial" w:cs="Arial"/>
          <w:sz w:val="24"/>
          <w:szCs w:val="24"/>
        </w:rPr>
      </w:pPr>
      <w:r w:rsidRPr="00D535E1">
        <w:rPr>
          <w:rFonts w:ascii="Arial" w:hAnsi="Arial" w:cs="Arial"/>
          <w:sz w:val="24"/>
          <w:szCs w:val="24"/>
        </w:rPr>
        <w:t xml:space="preserve">Para la definición de la zonificación </w:t>
      </w:r>
      <w:r w:rsidR="006760C7">
        <w:rPr>
          <w:rFonts w:ascii="Arial" w:hAnsi="Arial" w:cs="Arial"/>
          <w:sz w:val="24"/>
          <w:szCs w:val="24"/>
        </w:rPr>
        <w:t xml:space="preserve">de manejo </w:t>
      </w:r>
      <w:r w:rsidRPr="00D535E1">
        <w:rPr>
          <w:rFonts w:ascii="Arial" w:hAnsi="Arial" w:cs="Arial"/>
          <w:sz w:val="24"/>
          <w:szCs w:val="24"/>
        </w:rPr>
        <w:t>se utilizó como insumo principal la capa de coberturas de la tierra correspondiente al año 2023, elaborada a escala 1:25.000 por la Corporación Autónoma Regional de Cundinamarca (CAR).</w:t>
      </w:r>
    </w:p>
    <w:p w14:paraId="2880BB16" w14:textId="4209E2E9" w:rsidR="002D4934" w:rsidRPr="00D535E1" w:rsidRDefault="002D4934" w:rsidP="001372EB">
      <w:pPr>
        <w:spacing w:line="276" w:lineRule="auto"/>
        <w:jc w:val="both"/>
        <w:rPr>
          <w:rFonts w:ascii="Arial" w:hAnsi="Arial" w:cs="Arial"/>
          <w:sz w:val="24"/>
          <w:szCs w:val="24"/>
        </w:rPr>
      </w:pPr>
      <w:r w:rsidRPr="00D535E1">
        <w:rPr>
          <w:rFonts w:ascii="Arial" w:hAnsi="Arial" w:cs="Arial"/>
          <w:sz w:val="24"/>
          <w:szCs w:val="24"/>
        </w:rPr>
        <w:t xml:space="preserve">Esta información fue estructurada y clasificada utilizando el modelo de clasificación de coberturas de la tierra </w:t>
      </w:r>
      <w:r w:rsidR="001B05C2" w:rsidRPr="00D535E1">
        <w:rPr>
          <w:rFonts w:ascii="Arial" w:hAnsi="Arial" w:cs="Arial"/>
          <w:i/>
          <w:iCs/>
          <w:sz w:val="24"/>
          <w:szCs w:val="24"/>
        </w:rPr>
        <w:t xml:space="preserve">Corine </w:t>
      </w:r>
      <w:r w:rsidRPr="00D535E1">
        <w:rPr>
          <w:rFonts w:ascii="Arial" w:hAnsi="Arial" w:cs="Arial"/>
          <w:i/>
          <w:iCs/>
          <w:sz w:val="24"/>
          <w:szCs w:val="24"/>
        </w:rPr>
        <w:t>Land Cover</w:t>
      </w:r>
      <w:r w:rsidRPr="00D535E1">
        <w:rPr>
          <w:rFonts w:ascii="Arial" w:hAnsi="Arial" w:cs="Arial"/>
          <w:sz w:val="24"/>
          <w:szCs w:val="24"/>
        </w:rPr>
        <w:t xml:space="preserve">, el cual organiza el territorio en categorías estandarizadas según el tipo de superficie presente. Este modelo </w:t>
      </w:r>
      <w:r w:rsidRPr="00D535E1">
        <w:rPr>
          <w:rFonts w:ascii="Arial" w:hAnsi="Arial" w:cs="Arial"/>
          <w:sz w:val="24"/>
          <w:szCs w:val="24"/>
        </w:rPr>
        <w:lastRenderedPageBreak/>
        <w:t>permite identificar y diferenciar de manera técnica y homogénea los distintos tipos de cobertura existentes en el área.</w:t>
      </w:r>
    </w:p>
    <w:p w14:paraId="6E9A7C3C" w14:textId="0610DBC6" w:rsidR="002D4934" w:rsidRPr="00D535E1" w:rsidRDefault="002D4934" w:rsidP="00686611">
      <w:pPr>
        <w:spacing w:after="0" w:line="276" w:lineRule="auto"/>
        <w:jc w:val="both"/>
        <w:rPr>
          <w:rFonts w:ascii="Arial" w:hAnsi="Arial" w:cs="Arial"/>
          <w:sz w:val="24"/>
          <w:szCs w:val="24"/>
        </w:rPr>
      </w:pPr>
      <w:r w:rsidRPr="00D535E1">
        <w:rPr>
          <w:rFonts w:ascii="Arial" w:hAnsi="Arial" w:cs="Arial"/>
          <w:sz w:val="24"/>
          <w:szCs w:val="24"/>
        </w:rPr>
        <w:t xml:space="preserve">La cobertura de la tierra describe qué tipo de superficie ocupa cada sector del territorio, por </w:t>
      </w:r>
      <w:r w:rsidR="004B5123" w:rsidRPr="00D535E1">
        <w:rPr>
          <w:rFonts w:ascii="Arial" w:hAnsi="Arial" w:cs="Arial"/>
          <w:sz w:val="24"/>
          <w:szCs w:val="24"/>
        </w:rPr>
        <w:t>ejemplo,</w:t>
      </w:r>
      <w:r w:rsidR="004B5123">
        <w:rPr>
          <w:rFonts w:ascii="Arial" w:hAnsi="Arial" w:cs="Arial"/>
          <w:sz w:val="24"/>
          <w:szCs w:val="24"/>
        </w:rPr>
        <w:t xml:space="preserve"> donde se ubican los b</w:t>
      </w:r>
      <w:r w:rsidRPr="00D535E1">
        <w:rPr>
          <w:rFonts w:ascii="Arial" w:hAnsi="Arial" w:cs="Arial"/>
          <w:sz w:val="24"/>
          <w:szCs w:val="24"/>
        </w:rPr>
        <w:t>osques naturales</w:t>
      </w:r>
      <w:r w:rsidR="004B5123">
        <w:rPr>
          <w:rFonts w:ascii="Arial" w:hAnsi="Arial" w:cs="Arial"/>
          <w:sz w:val="24"/>
          <w:szCs w:val="24"/>
        </w:rPr>
        <w:t>, cuerpos de agua, z</w:t>
      </w:r>
      <w:r w:rsidRPr="00D535E1">
        <w:rPr>
          <w:rFonts w:ascii="Arial" w:hAnsi="Arial" w:cs="Arial"/>
          <w:sz w:val="24"/>
          <w:szCs w:val="24"/>
        </w:rPr>
        <w:t>onas con vegetación secundaria</w:t>
      </w:r>
      <w:r w:rsidR="004B5123">
        <w:rPr>
          <w:rFonts w:ascii="Arial" w:hAnsi="Arial" w:cs="Arial"/>
          <w:sz w:val="24"/>
          <w:szCs w:val="24"/>
        </w:rPr>
        <w:t xml:space="preserve"> entre otros.</w:t>
      </w:r>
    </w:p>
    <w:p w14:paraId="7FC4E114" w14:textId="77777777" w:rsidR="0043798B" w:rsidRPr="00D535E1" w:rsidRDefault="0043798B" w:rsidP="00686611">
      <w:pPr>
        <w:spacing w:after="0" w:line="240" w:lineRule="auto"/>
        <w:jc w:val="both"/>
        <w:rPr>
          <w:rFonts w:ascii="Arial" w:hAnsi="Arial" w:cs="Arial"/>
          <w:sz w:val="24"/>
          <w:szCs w:val="24"/>
        </w:rPr>
      </w:pPr>
    </w:p>
    <w:p w14:paraId="240C27D8" w14:textId="2955AF12" w:rsidR="002D4934" w:rsidRDefault="00783F07" w:rsidP="007C7F22">
      <w:pPr>
        <w:spacing w:after="0" w:line="240" w:lineRule="auto"/>
        <w:jc w:val="both"/>
        <w:rPr>
          <w:rFonts w:ascii="Arial" w:hAnsi="Arial" w:cs="Arial"/>
          <w:sz w:val="24"/>
          <w:szCs w:val="24"/>
        </w:rPr>
      </w:pPr>
      <w:r>
        <w:rPr>
          <w:rFonts w:ascii="Arial" w:hAnsi="Arial" w:cs="Arial"/>
          <w:sz w:val="24"/>
          <w:szCs w:val="24"/>
        </w:rPr>
        <w:t>La utilización</w:t>
      </w:r>
      <w:r w:rsidR="002D4934" w:rsidRPr="00D535E1">
        <w:rPr>
          <w:rFonts w:ascii="Arial" w:hAnsi="Arial" w:cs="Arial"/>
          <w:sz w:val="24"/>
          <w:szCs w:val="24"/>
        </w:rPr>
        <w:t xml:space="preserve"> del modelo </w:t>
      </w:r>
      <w:r w:rsidR="001B05C2" w:rsidRPr="00D535E1">
        <w:rPr>
          <w:rFonts w:ascii="Arial" w:hAnsi="Arial" w:cs="Arial"/>
          <w:i/>
          <w:iCs/>
          <w:sz w:val="24"/>
          <w:szCs w:val="24"/>
        </w:rPr>
        <w:t>Corine</w:t>
      </w:r>
      <w:r w:rsidR="001B05C2" w:rsidRPr="00D535E1">
        <w:rPr>
          <w:rFonts w:ascii="Arial" w:hAnsi="Arial" w:cs="Arial"/>
          <w:sz w:val="24"/>
          <w:szCs w:val="24"/>
        </w:rPr>
        <w:t xml:space="preserve"> </w:t>
      </w:r>
      <w:r w:rsidR="002D4934" w:rsidRPr="00D535E1">
        <w:rPr>
          <w:rFonts w:ascii="Arial" w:hAnsi="Arial" w:cs="Arial"/>
          <w:i/>
          <w:iCs/>
          <w:sz w:val="24"/>
          <w:szCs w:val="24"/>
        </w:rPr>
        <w:t>Land Cover</w:t>
      </w:r>
      <w:r w:rsidR="002D4934" w:rsidRPr="00D535E1">
        <w:rPr>
          <w:rFonts w:ascii="Arial" w:hAnsi="Arial" w:cs="Arial"/>
          <w:sz w:val="24"/>
          <w:szCs w:val="24"/>
        </w:rPr>
        <w:t xml:space="preserve"> garantiza</w:t>
      </w:r>
      <w:r>
        <w:rPr>
          <w:rFonts w:ascii="Arial" w:hAnsi="Arial" w:cs="Arial"/>
          <w:sz w:val="24"/>
          <w:szCs w:val="24"/>
        </w:rPr>
        <w:t xml:space="preserve"> la</w:t>
      </w:r>
      <w:r w:rsidR="002D4934" w:rsidRPr="00D535E1">
        <w:rPr>
          <w:rFonts w:ascii="Arial" w:hAnsi="Arial" w:cs="Arial"/>
          <w:sz w:val="24"/>
          <w:szCs w:val="24"/>
        </w:rPr>
        <w:t xml:space="preserve"> coherencia metodológica en la interpretación de las coberturas y facilita la comparación con otros estudios ambientales, ya que emplea criterios técnicos reconocidos para la delimitación y clasificación del territorio</w:t>
      </w:r>
      <w:r w:rsidR="009733DF">
        <w:rPr>
          <w:rFonts w:ascii="Arial" w:hAnsi="Arial" w:cs="Arial"/>
          <w:sz w:val="24"/>
          <w:szCs w:val="24"/>
        </w:rPr>
        <w:t xml:space="preserve"> en sus diferentes coberturas</w:t>
      </w:r>
      <w:r w:rsidR="002D4934" w:rsidRPr="00D535E1">
        <w:rPr>
          <w:rFonts w:ascii="Arial" w:hAnsi="Arial" w:cs="Arial"/>
          <w:sz w:val="24"/>
          <w:szCs w:val="24"/>
        </w:rPr>
        <w:t>.</w:t>
      </w:r>
      <w:r w:rsidR="007C7F22">
        <w:rPr>
          <w:rFonts w:ascii="Arial" w:hAnsi="Arial" w:cs="Arial"/>
          <w:sz w:val="24"/>
          <w:szCs w:val="24"/>
        </w:rPr>
        <w:t xml:space="preserve"> </w:t>
      </w:r>
    </w:p>
    <w:p w14:paraId="63BCEE60" w14:textId="77777777" w:rsidR="007C7F22" w:rsidRPr="00D535E1" w:rsidRDefault="007C7F22" w:rsidP="007C7F22">
      <w:pPr>
        <w:spacing w:after="0" w:line="240" w:lineRule="auto"/>
        <w:jc w:val="both"/>
        <w:rPr>
          <w:rFonts w:ascii="Arial" w:hAnsi="Arial" w:cs="Arial"/>
          <w:sz w:val="24"/>
          <w:szCs w:val="24"/>
        </w:rPr>
      </w:pPr>
    </w:p>
    <w:p w14:paraId="54D290FF" w14:textId="05B26B21" w:rsidR="007D36E0" w:rsidRDefault="002D4934" w:rsidP="00DC18C5">
      <w:pPr>
        <w:spacing w:after="0" w:line="276" w:lineRule="auto"/>
        <w:jc w:val="both"/>
        <w:rPr>
          <w:rFonts w:ascii="Arial" w:hAnsi="Arial" w:cs="Arial"/>
          <w:sz w:val="24"/>
          <w:szCs w:val="24"/>
        </w:rPr>
      </w:pPr>
      <w:r w:rsidRPr="00D535E1">
        <w:rPr>
          <w:rFonts w:ascii="Arial" w:hAnsi="Arial" w:cs="Arial"/>
          <w:sz w:val="24"/>
          <w:szCs w:val="24"/>
        </w:rPr>
        <w:t>Este criterio es fundamental porque</w:t>
      </w:r>
      <w:r w:rsidR="00ED6FBB">
        <w:rPr>
          <w:rFonts w:ascii="Arial" w:hAnsi="Arial" w:cs="Arial"/>
          <w:sz w:val="24"/>
          <w:szCs w:val="24"/>
        </w:rPr>
        <w:t xml:space="preserve"> p</w:t>
      </w:r>
      <w:r w:rsidRPr="00D535E1">
        <w:rPr>
          <w:rFonts w:ascii="Arial" w:hAnsi="Arial" w:cs="Arial"/>
          <w:sz w:val="24"/>
          <w:szCs w:val="24"/>
        </w:rPr>
        <w:t>ermite conocer con claridad el estado actual del territorio</w:t>
      </w:r>
      <w:r w:rsidR="00ED6FBB">
        <w:rPr>
          <w:rFonts w:ascii="Arial" w:hAnsi="Arial" w:cs="Arial"/>
          <w:sz w:val="24"/>
          <w:szCs w:val="24"/>
        </w:rPr>
        <w:t>, así como proporciona</w:t>
      </w:r>
      <w:r w:rsidRPr="00D535E1">
        <w:rPr>
          <w:rFonts w:ascii="Arial" w:hAnsi="Arial" w:cs="Arial"/>
          <w:sz w:val="24"/>
          <w:szCs w:val="24"/>
        </w:rPr>
        <w:t xml:space="preserve"> la identificación de áreas conservadas que pueden destinarse a preservación</w:t>
      </w:r>
      <w:r w:rsidR="00ED6FBB">
        <w:rPr>
          <w:rFonts w:ascii="Arial" w:hAnsi="Arial" w:cs="Arial"/>
          <w:sz w:val="24"/>
          <w:szCs w:val="24"/>
        </w:rPr>
        <w:t xml:space="preserve">, ayuda a determinar </w:t>
      </w:r>
      <w:r w:rsidR="00ED6FBB" w:rsidRPr="00D535E1">
        <w:rPr>
          <w:rFonts w:ascii="Arial" w:hAnsi="Arial" w:cs="Arial"/>
          <w:sz w:val="24"/>
          <w:szCs w:val="24"/>
        </w:rPr>
        <w:t>sectores que requieren procesos de restauración ecológica</w:t>
      </w:r>
      <w:r w:rsidR="00ED6FBB">
        <w:rPr>
          <w:rFonts w:ascii="Arial" w:hAnsi="Arial" w:cs="Arial"/>
          <w:sz w:val="24"/>
          <w:szCs w:val="24"/>
        </w:rPr>
        <w:t xml:space="preserve"> y facilita</w:t>
      </w:r>
      <w:r w:rsidRPr="00D535E1">
        <w:rPr>
          <w:rFonts w:ascii="Arial" w:hAnsi="Arial" w:cs="Arial"/>
          <w:sz w:val="24"/>
          <w:szCs w:val="24"/>
        </w:rPr>
        <w:t xml:space="preserve"> reconocer zonas donde existen actividades productivas, que pueden orientarse hacia un uso sostenible.</w:t>
      </w:r>
    </w:p>
    <w:p w14:paraId="1AEE0B1C" w14:textId="77777777" w:rsidR="00DC18C5" w:rsidRPr="00D535E1" w:rsidRDefault="00DC18C5" w:rsidP="00DC18C5">
      <w:pPr>
        <w:spacing w:after="0" w:line="276" w:lineRule="auto"/>
        <w:jc w:val="both"/>
        <w:rPr>
          <w:rFonts w:ascii="Arial" w:hAnsi="Arial" w:cs="Arial"/>
          <w:sz w:val="24"/>
          <w:szCs w:val="24"/>
        </w:rPr>
      </w:pPr>
    </w:p>
    <w:p w14:paraId="24C65E3E" w14:textId="28C4879D" w:rsidR="004947B0" w:rsidRDefault="007D36E0" w:rsidP="00DC18C5">
      <w:pPr>
        <w:spacing w:after="0" w:line="276" w:lineRule="auto"/>
        <w:jc w:val="both"/>
        <w:rPr>
          <w:rFonts w:ascii="Arial" w:hAnsi="Arial" w:cs="Arial"/>
          <w:b/>
          <w:bCs/>
          <w:sz w:val="24"/>
          <w:szCs w:val="24"/>
        </w:rPr>
      </w:pPr>
      <w:r w:rsidRPr="00D535E1">
        <w:rPr>
          <w:rFonts w:ascii="Arial" w:hAnsi="Arial" w:cs="Arial"/>
          <w:b/>
          <w:bCs/>
          <w:sz w:val="24"/>
          <w:szCs w:val="24"/>
        </w:rPr>
        <w:t xml:space="preserve">Criterio 2. </w:t>
      </w:r>
      <w:r w:rsidR="005A472D" w:rsidRPr="00D535E1">
        <w:rPr>
          <w:rFonts w:ascii="Arial" w:hAnsi="Arial" w:cs="Arial"/>
          <w:b/>
          <w:bCs/>
          <w:sz w:val="24"/>
          <w:szCs w:val="24"/>
        </w:rPr>
        <w:t>Actividad agropecuaria preexistente en Páramo a 2011</w:t>
      </w:r>
    </w:p>
    <w:p w14:paraId="2D42C8B7" w14:textId="77777777" w:rsidR="00DC18C5" w:rsidRPr="00DC18C5" w:rsidRDefault="00DC18C5" w:rsidP="00DC18C5">
      <w:pPr>
        <w:spacing w:after="0" w:line="276" w:lineRule="auto"/>
        <w:jc w:val="both"/>
        <w:rPr>
          <w:rFonts w:ascii="Arial" w:hAnsi="Arial" w:cs="Arial"/>
          <w:b/>
          <w:bCs/>
          <w:sz w:val="24"/>
          <w:szCs w:val="24"/>
        </w:rPr>
      </w:pPr>
    </w:p>
    <w:p w14:paraId="1B3056CE" w14:textId="269E0E68" w:rsidR="007D36E0" w:rsidRPr="00D535E1" w:rsidRDefault="007D36E0" w:rsidP="00DC18C5">
      <w:pPr>
        <w:spacing w:after="0" w:line="276" w:lineRule="auto"/>
        <w:jc w:val="both"/>
        <w:rPr>
          <w:rFonts w:ascii="Arial" w:hAnsi="Arial" w:cs="Arial"/>
          <w:sz w:val="24"/>
          <w:szCs w:val="24"/>
        </w:rPr>
      </w:pPr>
      <w:r w:rsidRPr="00D535E1">
        <w:rPr>
          <w:rFonts w:ascii="Arial" w:hAnsi="Arial" w:cs="Arial"/>
          <w:sz w:val="24"/>
          <w:szCs w:val="24"/>
        </w:rPr>
        <w:t>Para la aplicación de este criterio se utilizó la capa de coberturas de la tierra correspondiente al año 2011, elaborada a escala 1:10.000 para el Complejo de páramos del altiplano cundiboyacense</w:t>
      </w:r>
      <w:r w:rsidR="00A577FE" w:rsidRPr="00D535E1">
        <w:rPr>
          <w:rFonts w:ascii="Arial" w:hAnsi="Arial" w:cs="Arial"/>
          <w:sz w:val="24"/>
          <w:szCs w:val="24"/>
        </w:rPr>
        <w:t>,</w:t>
      </w:r>
      <w:r w:rsidRPr="00D535E1">
        <w:rPr>
          <w:rFonts w:ascii="Arial" w:hAnsi="Arial" w:cs="Arial"/>
          <w:sz w:val="24"/>
          <w:szCs w:val="24"/>
        </w:rPr>
        <w:t xml:space="preserve"> </w:t>
      </w:r>
      <w:r w:rsidR="00A577FE" w:rsidRPr="00D535E1">
        <w:rPr>
          <w:rFonts w:ascii="Arial" w:hAnsi="Arial" w:cs="Arial"/>
          <w:sz w:val="24"/>
          <w:szCs w:val="24"/>
        </w:rPr>
        <w:t>Chingaza, Cruz Verde-Sumapaz, Guerrero y Rabanal y Río Bogotá</w:t>
      </w:r>
      <w:r w:rsidR="00530DAB" w:rsidRPr="00D535E1">
        <w:rPr>
          <w:rFonts w:ascii="Arial" w:hAnsi="Arial" w:cs="Arial"/>
          <w:sz w:val="24"/>
          <w:szCs w:val="24"/>
        </w:rPr>
        <w:t xml:space="preserve"> por</w:t>
      </w:r>
      <w:r w:rsidRPr="00D535E1">
        <w:rPr>
          <w:rFonts w:ascii="Arial" w:hAnsi="Arial" w:cs="Arial"/>
          <w:sz w:val="24"/>
          <w:szCs w:val="24"/>
        </w:rPr>
        <w:t xml:space="preserve"> la Corporación Autónoma Regional de Cundinamarca (CAR).</w:t>
      </w:r>
    </w:p>
    <w:p w14:paraId="7284AC8F" w14:textId="77777777" w:rsidR="00E04846" w:rsidRPr="00D535E1" w:rsidRDefault="00E04846" w:rsidP="001372EB">
      <w:pPr>
        <w:spacing w:after="0" w:line="276" w:lineRule="auto"/>
        <w:jc w:val="both"/>
        <w:rPr>
          <w:rFonts w:ascii="Arial" w:hAnsi="Arial" w:cs="Arial"/>
          <w:sz w:val="24"/>
          <w:szCs w:val="24"/>
        </w:rPr>
      </w:pPr>
    </w:p>
    <w:p w14:paraId="287EEE5C" w14:textId="68BE0B7A" w:rsidR="007D36E0" w:rsidRPr="00D535E1" w:rsidRDefault="004E6FD2" w:rsidP="001372EB">
      <w:pPr>
        <w:spacing w:after="0" w:line="276" w:lineRule="auto"/>
        <w:jc w:val="both"/>
        <w:rPr>
          <w:rFonts w:ascii="Arial" w:hAnsi="Arial" w:cs="Arial"/>
          <w:sz w:val="24"/>
          <w:szCs w:val="24"/>
        </w:rPr>
      </w:pPr>
      <w:r>
        <w:rPr>
          <w:rFonts w:ascii="Arial" w:hAnsi="Arial" w:cs="Arial"/>
          <w:sz w:val="24"/>
          <w:szCs w:val="24"/>
        </w:rPr>
        <w:t>Con esta</w:t>
      </w:r>
      <w:r w:rsidR="007D36E0" w:rsidRPr="00D535E1">
        <w:rPr>
          <w:rFonts w:ascii="Arial" w:hAnsi="Arial" w:cs="Arial"/>
          <w:sz w:val="24"/>
          <w:szCs w:val="24"/>
        </w:rPr>
        <w:t xml:space="preserve"> información </w:t>
      </w:r>
      <w:r>
        <w:rPr>
          <w:rFonts w:ascii="Arial" w:hAnsi="Arial" w:cs="Arial"/>
          <w:sz w:val="24"/>
          <w:szCs w:val="24"/>
        </w:rPr>
        <w:t>se</w:t>
      </w:r>
      <w:r w:rsidR="007D36E0" w:rsidRPr="00D535E1">
        <w:rPr>
          <w:rFonts w:ascii="Arial" w:hAnsi="Arial" w:cs="Arial"/>
          <w:sz w:val="24"/>
          <w:szCs w:val="24"/>
        </w:rPr>
        <w:t xml:space="preserve"> identificar</w:t>
      </w:r>
      <w:r>
        <w:rPr>
          <w:rFonts w:ascii="Arial" w:hAnsi="Arial" w:cs="Arial"/>
          <w:sz w:val="24"/>
          <w:szCs w:val="24"/>
        </w:rPr>
        <w:t>on</w:t>
      </w:r>
      <w:r w:rsidR="007D36E0" w:rsidRPr="00D535E1">
        <w:rPr>
          <w:rFonts w:ascii="Arial" w:hAnsi="Arial" w:cs="Arial"/>
          <w:sz w:val="24"/>
          <w:szCs w:val="24"/>
        </w:rPr>
        <w:t xml:space="preserve"> las áreas que ya presentaban uso agrícola antes del año 2011 dentro de zonas definidas como ecosistemas de páramo. La identificación de esta preexistencia es </w:t>
      </w:r>
      <w:r>
        <w:rPr>
          <w:rFonts w:ascii="Arial" w:hAnsi="Arial" w:cs="Arial"/>
          <w:sz w:val="24"/>
          <w:szCs w:val="24"/>
        </w:rPr>
        <w:t>relevante</w:t>
      </w:r>
      <w:r w:rsidR="007D36E0" w:rsidRPr="00D535E1">
        <w:rPr>
          <w:rFonts w:ascii="Arial" w:hAnsi="Arial" w:cs="Arial"/>
          <w:sz w:val="24"/>
          <w:szCs w:val="24"/>
        </w:rPr>
        <w:t xml:space="preserve"> para diferenciar entre actividades productivas consolidadas con anterioridad a ese año y aquellas que se establecieron posteriormente.</w:t>
      </w:r>
    </w:p>
    <w:p w14:paraId="3657964C" w14:textId="77777777" w:rsidR="00A27532" w:rsidRPr="00D535E1" w:rsidRDefault="00A27532" w:rsidP="001372EB">
      <w:pPr>
        <w:spacing w:after="0" w:line="276" w:lineRule="auto"/>
        <w:jc w:val="both"/>
        <w:rPr>
          <w:rFonts w:ascii="Arial" w:hAnsi="Arial" w:cs="Arial"/>
          <w:sz w:val="24"/>
          <w:szCs w:val="24"/>
        </w:rPr>
      </w:pPr>
    </w:p>
    <w:p w14:paraId="288B0AE0" w14:textId="5DC34A60" w:rsidR="007D36E0" w:rsidRPr="00D535E1" w:rsidRDefault="008E51CA" w:rsidP="001372EB">
      <w:pPr>
        <w:spacing w:after="0" w:line="276" w:lineRule="auto"/>
        <w:jc w:val="both"/>
        <w:rPr>
          <w:rFonts w:ascii="Arial" w:hAnsi="Arial" w:cs="Arial"/>
          <w:sz w:val="24"/>
          <w:szCs w:val="24"/>
        </w:rPr>
      </w:pPr>
      <w:r>
        <w:rPr>
          <w:rFonts w:ascii="Arial" w:hAnsi="Arial" w:cs="Arial"/>
          <w:sz w:val="24"/>
          <w:szCs w:val="24"/>
        </w:rPr>
        <w:t>Con la implementación de este criterio se logra:</w:t>
      </w:r>
    </w:p>
    <w:p w14:paraId="4B32144D" w14:textId="77777777" w:rsidR="00A27532" w:rsidRPr="00D535E1" w:rsidRDefault="00A27532" w:rsidP="001372EB">
      <w:pPr>
        <w:spacing w:after="0" w:line="276" w:lineRule="auto"/>
        <w:jc w:val="both"/>
        <w:rPr>
          <w:rFonts w:ascii="Arial" w:hAnsi="Arial" w:cs="Arial"/>
          <w:sz w:val="24"/>
          <w:szCs w:val="24"/>
        </w:rPr>
      </w:pPr>
    </w:p>
    <w:p w14:paraId="792D09D7" w14:textId="77777777" w:rsidR="007D36E0" w:rsidRPr="00D535E1" w:rsidRDefault="007D36E0" w:rsidP="001372EB">
      <w:pPr>
        <w:numPr>
          <w:ilvl w:val="0"/>
          <w:numId w:val="43"/>
        </w:numPr>
        <w:spacing w:after="0" w:line="276" w:lineRule="auto"/>
        <w:jc w:val="both"/>
        <w:rPr>
          <w:rFonts w:ascii="Arial" w:hAnsi="Arial" w:cs="Arial"/>
          <w:sz w:val="24"/>
          <w:szCs w:val="24"/>
        </w:rPr>
      </w:pPr>
      <w:r w:rsidRPr="00D535E1">
        <w:rPr>
          <w:rFonts w:ascii="Arial" w:hAnsi="Arial" w:cs="Arial"/>
          <w:sz w:val="24"/>
          <w:szCs w:val="24"/>
        </w:rPr>
        <w:t>Reconocer territorios agrícolas que estaban establecidos antes de 2011, lo cual es relevante para su análisis técnico, jurídico y ambiental dentro del proceso de zonificación.</w:t>
      </w:r>
    </w:p>
    <w:p w14:paraId="4FDF6E79" w14:textId="055E85CF" w:rsidR="007D36E0" w:rsidRPr="00E61B26" w:rsidRDefault="007D36E0" w:rsidP="001372EB">
      <w:pPr>
        <w:numPr>
          <w:ilvl w:val="0"/>
          <w:numId w:val="43"/>
        </w:numPr>
        <w:spacing w:after="0" w:line="276" w:lineRule="auto"/>
        <w:jc w:val="both"/>
        <w:rPr>
          <w:rFonts w:ascii="Arial" w:hAnsi="Arial" w:cs="Arial"/>
          <w:sz w:val="24"/>
          <w:szCs w:val="24"/>
        </w:rPr>
      </w:pPr>
      <w:r w:rsidRPr="00E61B26">
        <w:rPr>
          <w:rFonts w:ascii="Arial" w:hAnsi="Arial" w:cs="Arial"/>
          <w:sz w:val="24"/>
          <w:szCs w:val="24"/>
        </w:rPr>
        <w:t>Identificar áreas agrícolas que surgieron después de</w:t>
      </w:r>
      <w:r w:rsidR="00983CD5" w:rsidRPr="00E61B26">
        <w:rPr>
          <w:rFonts w:ascii="Arial" w:hAnsi="Arial" w:cs="Arial"/>
          <w:sz w:val="24"/>
          <w:szCs w:val="24"/>
        </w:rPr>
        <w:t>l año</w:t>
      </w:r>
      <w:r w:rsidRPr="00E61B26">
        <w:rPr>
          <w:rFonts w:ascii="Arial" w:hAnsi="Arial" w:cs="Arial"/>
          <w:sz w:val="24"/>
          <w:szCs w:val="24"/>
        </w:rPr>
        <w:t xml:space="preserve"> 2011 en zonas de páramo, con el fin de orientar decisiones relacionadas con su manejo.</w:t>
      </w:r>
    </w:p>
    <w:p w14:paraId="021479A0" w14:textId="77777777" w:rsidR="00A27532" w:rsidRPr="00E61B26" w:rsidRDefault="00A27532" w:rsidP="001372EB">
      <w:pPr>
        <w:spacing w:after="0" w:line="276" w:lineRule="auto"/>
        <w:ind w:left="720"/>
        <w:jc w:val="both"/>
        <w:rPr>
          <w:rFonts w:ascii="Arial" w:hAnsi="Arial" w:cs="Arial"/>
          <w:sz w:val="24"/>
          <w:szCs w:val="24"/>
        </w:rPr>
      </w:pPr>
    </w:p>
    <w:p w14:paraId="10E10E18" w14:textId="77777777" w:rsidR="00C1603C" w:rsidRPr="00D535E1" w:rsidRDefault="00C1603C" w:rsidP="001372EB">
      <w:pPr>
        <w:spacing w:line="276" w:lineRule="auto"/>
        <w:jc w:val="both"/>
        <w:rPr>
          <w:rFonts w:ascii="Arial" w:hAnsi="Arial" w:cs="Arial"/>
          <w:sz w:val="24"/>
          <w:szCs w:val="24"/>
        </w:rPr>
      </w:pPr>
      <w:r w:rsidRPr="00E61B26">
        <w:rPr>
          <w:rFonts w:ascii="Arial" w:hAnsi="Arial" w:cs="Arial"/>
          <w:b/>
          <w:bCs/>
          <w:sz w:val="24"/>
          <w:szCs w:val="24"/>
        </w:rPr>
        <w:t>Criterio 3. Conflicto de uso del suelo</w:t>
      </w:r>
    </w:p>
    <w:p w14:paraId="312B7D9B" w14:textId="67FF498C" w:rsidR="006568D4" w:rsidRDefault="00C1603C" w:rsidP="008146FB">
      <w:pPr>
        <w:spacing w:after="0" w:line="276" w:lineRule="auto"/>
        <w:jc w:val="both"/>
        <w:rPr>
          <w:rFonts w:ascii="Arial" w:hAnsi="Arial" w:cs="Arial"/>
          <w:sz w:val="24"/>
          <w:szCs w:val="24"/>
        </w:rPr>
      </w:pPr>
      <w:r w:rsidRPr="00D535E1">
        <w:rPr>
          <w:rFonts w:ascii="Arial" w:hAnsi="Arial" w:cs="Arial"/>
          <w:sz w:val="24"/>
          <w:szCs w:val="24"/>
        </w:rPr>
        <w:lastRenderedPageBreak/>
        <w:t>Este criterio se construyó a partir del análisis comparativo entre</w:t>
      </w:r>
      <w:r w:rsidR="00CD389D">
        <w:rPr>
          <w:rFonts w:ascii="Arial" w:hAnsi="Arial" w:cs="Arial"/>
          <w:sz w:val="24"/>
          <w:szCs w:val="24"/>
        </w:rPr>
        <w:t xml:space="preserve"> </w:t>
      </w:r>
      <w:r w:rsidR="009A363A">
        <w:rPr>
          <w:rFonts w:ascii="Arial" w:hAnsi="Arial" w:cs="Arial"/>
          <w:sz w:val="24"/>
          <w:szCs w:val="24"/>
        </w:rPr>
        <w:t>la información de</w:t>
      </w:r>
      <w:r w:rsidRPr="00D535E1">
        <w:rPr>
          <w:rFonts w:ascii="Arial" w:hAnsi="Arial" w:cs="Arial"/>
          <w:sz w:val="24"/>
          <w:szCs w:val="24"/>
        </w:rPr>
        <w:t xml:space="preserve"> uso actual del suelo, </w:t>
      </w:r>
      <w:r w:rsidR="009A363A">
        <w:rPr>
          <w:rFonts w:ascii="Arial" w:hAnsi="Arial" w:cs="Arial"/>
          <w:sz w:val="24"/>
          <w:szCs w:val="24"/>
        </w:rPr>
        <w:t>identificado</w:t>
      </w:r>
      <w:r w:rsidRPr="00D535E1">
        <w:rPr>
          <w:rFonts w:ascii="Arial" w:hAnsi="Arial" w:cs="Arial"/>
          <w:sz w:val="24"/>
          <w:szCs w:val="24"/>
        </w:rPr>
        <w:t xml:space="preserve"> con base en la capa de coberturas de la tierra del año 2023</w:t>
      </w:r>
      <w:r w:rsidR="002F4D37" w:rsidRPr="00D535E1">
        <w:rPr>
          <w:rFonts w:ascii="Arial" w:hAnsi="Arial" w:cs="Arial"/>
          <w:sz w:val="24"/>
          <w:szCs w:val="24"/>
        </w:rPr>
        <w:t xml:space="preserve"> </w:t>
      </w:r>
      <w:r w:rsidR="009A363A">
        <w:rPr>
          <w:rFonts w:ascii="Arial" w:hAnsi="Arial" w:cs="Arial"/>
          <w:sz w:val="24"/>
          <w:szCs w:val="24"/>
        </w:rPr>
        <w:t>elaborada por</w:t>
      </w:r>
      <w:r w:rsidR="002F4D37" w:rsidRPr="00D535E1">
        <w:rPr>
          <w:rFonts w:ascii="Arial" w:hAnsi="Arial" w:cs="Arial"/>
          <w:sz w:val="24"/>
          <w:szCs w:val="24"/>
        </w:rPr>
        <w:t xml:space="preserve"> la CAR</w:t>
      </w:r>
      <w:r w:rsidR="00CD389D">
        <w:rPr>
          <w:rFonts w:ascii="Arial" w:hAnsi="Arial" w:cs="Arial"/>
          <w:sz w:val="24"/>
          <w:szCs w:val="24"/>
        </w:rPr>
        <w:t xml:space="preserve"> y l</w:t>
      </w:r>
      <w:r w:rsidRPr="00D535E1">
        <w:rPr>
          <w:rFonts w:ascii="Arial" w:hAnsi="Arial" w:cs="Arial"/>
          <w:sz w:val="24"/>
          <w:szCs w:val="24"/>
        </w:rPr>
        <w:t>a</w:t>
      </w:r>
      <w:r w:rsidR="009A363A">
        <w:rPr>
          <w:rFonts w:ascii="Arial" w:hAnsi="Arial" w:cs="Arial"/>
          <w:sz w:val="24"/>
          <w:szCs w:val="24"/>
        </w:rPr>
        <w:t xml:space="preserve"> capa de</w:t>
      </w:r>
      <w:r w:rsidRPr="00D535E1">
        <w:rPr>
          <w:rFonts w:ascii="Arial" w:hAnsi="Arial" w:cs="Arial"/>
          <w:sz w:val="24"/>
          <w:szCs w:val="24"/>
        </w:rPr>
        <w:t xml:space="preserve"> capacidad de uso del suelo, ajustada a partir de la información técnica contenida en los POMCAS (Planes de Ordenación y Manejo de Cuencas Hidrográficas).</w:t>
      </w:r>
      <w:r w:rsidR="006568D4">
        <w:rPr>
          <w:rFonts w:ascii="Arial" w:hAnsi="Arial" w:cs="Arial"/>
          <w:sz w:val="24"/>
          <w:szCs w:val="24"/>
        </w:rPr>
        <w:t xml:space="preserve"> </w:t>
      </w:r>
      <w:r w:rsidR="006568D4" w:rsidRPr="00D535E1">
        <w:rPr>
          <w:rFonts w:ascii="Arial" w:hAnsi="Arial" w:cs="Arial"/>
          <w:sz w:val="24"/>
          <w:szCs w:val="24"/>
        </w:rPr>
        <w:t xml:space="preserve">La incorporación de la información proveniente de los POMCAS garantiza que el análisis esté respaldado por estudios técnicos de cuenca, integrando </w:t>
      </w:r>
      <w:r w:rsidR="006568D4">
        <w:rPr>
          <w:rFonts w:ascii="Arial" w:hAnsi="Arial" w:cs="Arial"/>
          <w:sz w:val="24"/>
          <w:szCs w:val="24"/>
        </w:rPr>
        <w:t xml:space="preserve">diferentes </w:t>
      </w:r>
      <w:r w:rsidR="006568D4" w:rsidRPr="00D535E1">
        <w:rPr>
          <w:rFonts w:ascii="Arial" w:hAnsi="Arial" w:cs="Arial"/>
          <w:sz w:val="24"/>
          <w:szCs w:val="24"/>
        </w:rPr>
        <w:t xml:space="preserve">variables como </w:t>
      </w:r>
      <w:r w:rsidR="006568D4">
        <w:rPr>
          <w:rFonts w:ascii="Arial" w:hAnsi="Arial" w:cs="Arial"/>
          <w:sz w:val="24"/>
          <w:szCs w:val="24"/>
        </w:rPr>
        <w:t xml:space="preserve">lo son </w:t>
      </w:r>
      <w:r w:rsidR="006568D4" w:rsidRPr="00D535E1">
        <w:rPr>
          <w:rFonts w:ascii="Arial" w:hAnsi="Arial" w:cs="Arial"/>
          <w:sz w:val="24"/>
          <w:szCs w:val="24"/>
        </w:rPr>
        <w:t>pendientes, suelos, oferta hídrica</w:t>
      </w:r>
      <w:r w:rsidR="006568D4">
        <w:rPr>
          <w:rFonts w:ascii="Arial" w:hAnsi="Arial" w:cs="Arial"/>
          <w:sz w:val="24"/>
          <w:szCs w:val="24"/>
        </w:rPr>
        <w:t>,</w:t>
      </w:r>
      <w:r w:rsidR="006568D4" w:rsidRPr="00D535E1">
        <w:rPr>
          <w:rFonts w:ascii="Arial" w:hAnsi="Arial" w:cs="Arial"/>
          <w:sz w:val="24"/>
          <w:szCs w:val="24"/>
        </w:rPr>
        <w:t xml:space="preserve"> restricciones ambientales</w:t>
      </w:r>
      <w:r w:rsidR="006568D4">
        <w:rPr>
          <w:rFonts w:ascii="Arial" w:hAnsi="Arial" w:cs="Arial"/>
          <w:sz w:val="24"/>
          <w:szCs w:val="24"/>
        </w:rPr>
        <w:t xml:space="preserve"> entre otras</w:t>
      </w:r>
      <w:r w:rsidR="006568D4" w:rsidRPr="00D535E1">
        <w:rPr>
          <w:rFonts w:ascii="Arial" w:hAnsi="Arial" w:cs="Arial"/>
          <w:sz w:val="24"/>
          <w:szCs w:val="24"/>
        </w:rPr>
        <w:t>.</w:t>
      </w:r>
    </w:p>
    <w:p w14:paraId="47E516E5" w14:textId="77777777" w:rsidR="006568D4" w:rsidRPr="00D535E1" w:rsidRDefault="006568D4" w:rsidP="008146FB">
      <w:pPr>
        <w:spacing w:after="0" w:line="276" w:lineRule="auto"/>
        <w:jc w:val="both"/>
        <w:rPr>
          <w:rFonts w:ascii="Arial" w:hAnsi="Arial" w:cs="Arial"/>
          <w:sz w:val="24"/>
          <w:szCs w:val="24"/>
        </w:rPr>
      </w:pPr>
    </w:p>
    <w:p w14:paraId="2261F35A" w14:textId="77777777" w:rsidR="00C1603C" w:rsidRDefault="00C1603C" w:rsidP="008146FB">
      <w:pPr>
        <w:spacing w:after="0" w:line="276" w:lineRule="auto"/>
        <w:jc w:val="both"/>
        <w:rPr>
          <w:rFonts w:ascii="Arial" w:hAnsi="Arial" w:cs="Arial"/>
          <w:sz w:val="24"/>
          <w:szCs w:val="24"/>
        </w:rPr>
      </w:pPr>
      <w:r w:rsidRPr="00D535E1">
        <w:rPr>
          <w:rFonts w:ascii="Arial" w:hAnsi="Arial" w:cs="Arial"/>
          <w:sz w:val="24"/>
          <w:szCs w:val="24"/>
        </w:rPr>
        <w:t>El análisis se realizó a escala 1:25.000, lo que permite un nivel de detalle adecuado para procesos de planificación ambiental y zonificación dentro del área protegida.</w:t>
      </w:r>
    </w:p>
    <w:p w14:paraId="37EE130C" w14:textId="77777777" w:rsidR="007F59A9" w:rsidRPr="00D535E1" w:rsidRDefault="007F59A9" w:rsidP="008146FB">
      <w:pPr>
        <w:spacing w:after="0" w:line="276" w:lineRule="auto"/>
        <w:jc w:val="both"/>
        <w:rPr>
          <w:rFonts w:ascii="Arial" w:hAnsi="Arial" w:cs="Arial"/>
          <w:sz w:val="24"/>
          <w:szCs w:val="24"/>
        </w:rPr>
      </w:pPr>
    </w:p>
    <w:p w14:paraId="22C197C4" w14:textId="77777777" w:rsidR="00C1603C" w:rsidRPr="00D535E1" w:rsidRDefault="00C1603C" w:rsidP="001372EB">
      <w:pPr>
        <w:spacing w:line="276" w:lineRule="auto"/>
        <w:jc w:val="both"/>
        <w:rPr>
          <w:rFonts w:ascii="Arial" w:hAnsi="Arial" w:cs="Arial"/>
          <w:sz w:val="24"/>
          <w:szCs w:val="24"/>
        </w:rPr>
      </w:pPr>
      <w:r w:rsidRPr="00D535E1">
        <w:rPr>
          <w:rFonts w:ascii="Arial" w:hAnsi="Arial" w:cs="Arial"/>
          <w:sz w:val="24"/>
          <w:szCs w:val="24"/>
        </w:rPr>
        <w:t>El conflicto de uso del suelo se presenta cuando el uso actual que se está dando a un terreno no coincide con su capacidad natural. En otras palabras, ocurre cuando el suelo se utiliza para actividades que superan sus condiciones físicas, químicas o ecológicas, lo que puede generar procesos de degradación, erosión, pérdida de fertilidad o afectación de fuentes hídricas.</w:t>
      </w:r>
    </w:p>
    <w:p w14:paraId="36074322" w14:textId="2AEBF089" w:rsidR="00C1603C" w:rsidRPr="00D535E1" w:rsidRDefault="00C1603C" w:rsidP="00E27C19">
      <w:pPr>
        <w:spacing w:after="0" w:line="276" w:lineRule="auto"/>
        <w:jc w:val="both"/>
        <w:rPr>
          <w:rFonts w:ascii="Arial" w:hAnsi="Arial" w:cs="Arial"/>
          <w:sz w:val="24"/>
          <w:szCs w:val="24"/>
        </w:rPr>
      </w:pPr>
      <w:r w:rsidRPr="00D535E1">
        <w:rPr>
          <w:rFonts w:ascii="Arial" w:hAnsi="Arial" w:cs="Arial"/>
          <w:sz w:val="24"/>
          <w:szCs w:val="24"/>
        </w:rPr>
        <w:t>Mediante este criterio es posible</w:t>
      </w:r>
      <w:r w:rsidR="00FB0E78">
        <w:rPr>
          <w:rFonts w:ascii="Arial" w:hAnsi="Arial" w:cs="Arial"/>
          <w:sz w:val="24"/>
          <w:szCs w:val="24"/>
        </w:rPr>
        <w:t xml:space="preserve"> fue posible determinar las</w:t>
      </w:r>
      <w:r w:rsidR="00FB0E78" w:rsidRPr="00FB0E78">
        <w:rPr>
          <w:rFonts w:ascii="Arial" w:hAnsi="Arial" w:cs="Arial"/>
          <w:sz w:val="24"/>
          <w:szCs w:val="24"/>
        </w:rPr>
        <w:t xml:space="preserve"> </w:t>
      </w:r>
      <w:r w:rsidR="00FB0E78" w:rsidRPr="00D535E1">
        <w:rPr>
          <w:rFonts w:ascii="Arial" w:hAnsi="Arial" w:cs="Arial"/>
          <w:sz w:val="24"/>
          <w:szCs w:val="24"/>
        </w:rPr>
        <w:t>áreas donde el uso actual es compatible con la capacidad del suelo</w:t>
      </w:r>
      <w:r w:rsidR="00FB0E78">
        <w:rPr>
          <w:rFonts w:ascii="Arial" w:hAnsi="Arial" w:cs="Arial"/>
          <w:sz w:val="24"/>
          <w:szCs w:val="24"/>
        </w:rPr>
        <w:t>, d</w:t>
      </w:r>
      <w:r w:rsidRPr="00D535E1">
        <w:rPr>
          <w:rFonts w:ascii="Arial" w:hAnsi="Arial" w:cs="Arial"/>
          <w:sz w:val="24"/>
          <w:szCs w:val="24"/>
        </w:rPr>
        <w:t>etectar zonas en sobreuso, es decir, donde las actividades desarrolladas pueden estar generando impactos negativos.</w:t>
      </w:r>
      <w:r w:rsidR="00FB0E78">
        <w:rPr>
          <w:rFonts w:ascii="Arial" w:hAnsi="Arial" w:cs="Arial"/>
          <w:sz w:val="24"/>
          <w:szCs w:val="24"/>
        </w:rPr>
        <w:t xml:space="preserve"> Y r</w:t>
      </w:r>
      <w:r w:rsidRPr="00D535E1">
        <w:rPr>
          <w:rFonts w:ascii="Arial" w:hAnsi="Arial" w:cs="Arial"/>
          <w:sz w:val="24"/>
          <w:szCs w:val="24"/>
        </w:rPr>
        <w:t xml:space="preserve">econocer </w:t>
      </w:r>
      <w:r w:rsidR="00FB0E78">
        <w:rPr>
          <w:rFonts w:ascii="Arial" w:hAnsi="Arial" w:cs="Arial"/>
          <w:sz w:val="24"/>
          <w:szCs w:val="24"/>
        </w:rPr>
        <w:t xml:space="preserve">e identificar </w:t>
      </w:r>
      <w:r w:rsidRPr="00D535E1">
        <w:rPr>
          <w:rFonts w:ascii="Arial" w:hAnsi="Arial" w:cs="Arial"/>
          <w:sz w:val="24"/>
          <w:szCs w:val="24"/>
        </w:rPr>
        <w:t xml:space="preserve">sectores en </w:t>
      </w:r>
      <w:r w:rsidR="005B3271" w:rsidRPr="00D535E1">
        <w:rPr>
          <w:rFonts w:ascii="Arial" w:hAnsi="Arial" w:cs="Arial"/>
          <w:sz w:val="24"/>
          <w:szCs w:val="24"/>
        </w:rPr>
        <w:t>sub</w:t>
      </w:r>
      <w:r w:rsidR="005B3271">
        <w:rPr>
          <w:rFonts w:ascii="Arial" w:hAnsi="Arial" w:cs="Arial"/>
          <w:sz w:val="24"/>
          <w:szCs w:val="24"/>
        </w:rPr>
        <w:t>u</w:t>
      </w:r>
      <w:r w:rsidR="005B3271" w:rsidRPr="00D535E1">
        <w:rPr>
          <w:rFonts w:ascii="Arial" w:hAnsi="Arial" w:cs="Arial"/>
          <w:sz w:val="24"/>
          <w:szCs w:val="24"/>
        </w:rPr>
        <w:t>so</w:t>
      </w:r>
      <w:r w:rsidRPr="00D535E1">
        <w:rPr>
          <w:rFonts w:ascii="Arial" w:hAnsi="Arial" w:cs="Arial"/>
          <w:sz w:val="24"/>
          <w:szCs w:val="24"/>
        </w:rPr>
        <w:t>, donde el suelo podría destinarse a actividades más acordes con su potencial.</w:t>
      </w:r>
    </w:p>
    <w:p w14:paraId="2D12231B" w14:textId="77777777" w:rsidR="000303DE" w:rsidRPr="00D535E1" w:rsidRDefault="000303DE" w:rsidP="00E27C19">
      <w:pPr>
        <w:spacing w:after="0" w:line="276" w:lineRule="auto"/>
        <w:jc w:val="both"/>
        <w:rPr>
          <w:rFonts w:ascii="Arial" w:hAnsi="Arial" w:cs="Arial"/>
          <w:sz w:val="24"/>
          <w:szCs w:val="24"/>
        </w:rPr>
      </w:pPr>
    </w:p>
    <w:p w14:paraId="5FA9EEBB" w14:textId="22CA3BDD" w:rsidR="00C1603C" w:rsidRDefault="00936C97" w:rsidP="00E27C19">
      <w:pPr>
        <w:spacing w:after="0" w:line="276" w:lineRule="auto"/>
        <w:jc w:val="both"/>
        <w:rPr>
          <w:rFonts w:ascii="Arial" w:hAnsi="Arial" w:cs="Arial"/>
          <w:sz w:val="24"/>
          <w:szCs w:val="24"/>
        </w:rPr>
      </w:pPr>
      <w:r>
        <w:rPr>
          <w:rFonts w:ascii="Arial" w:hAnsi="Arial" w:cs="Arial"/>
          <w:sz w:val="24"/>
          <w:szCs w:val="24"/>
        </w:rPr>
        <w:t>Este criterio</w:t>
      </w:r>
      <w:r w:rsidR="00E27C19">
        <w:rPr>
          <w:rFonts w:ascii="Arial" w:hAnsi="Arial" w:cs="Arial"/>
          <w:sz w:val="24"/>
          <w:szCs w:val="24"/>
        </w:rPr>
        <w:t xml:space="preserve"> </w:t>
      </w:r>
      <w:r w:rsidR="00C1603C" w:rsidRPr="00D535E1">
        <w:rPr>
          <w:rFonts w:ascii="Arial" w:hAnsi="Arial" w:cs="Arial"/>
          <w:sz w:val="24"/>
          <w:szCs w:val="24"/>
        </w:rPr>
        <w:t>permite orientar decisiones de manejo hacia la sostenibilidad, promoviendo usos acordes con la capacidad natural del territorio y reduciendo riesgos de degradación ambiental.</w:t>
      </w:r>
    </w:p>
    <w:p w14:paraId="63F45A16" w14:textId="77777777" w:rsidR="00E27C19" w:rsidRPr="00D535E1" w:rsidRDefault="00E27C19" w:rsidP="00E27C19">
      <w:pPr>
        <w:spacing w:after="0" w:line="276" w:lineRule="auto"/>
        <w:jc w:val="both"/>
        <w:rPr>
          <w:rFonts w:ascii="Arial" w:hAnsi="Arial" w:cs="Arial"/>
          <w:sz w:val="24"/>
          <w:szCs w:val="24"/>
        </w:rPr>
      </w:pPr>
    </w:p>
    <w:p w14:paraId="1CA55DCA" w14:textId="77777777" w:rsidR="00F1090B" w:rsidRPr="00D535E1" w:rsidRDefault="00F1090B" w:rsidP="00E27C19">
      <w:pPr>
        <w:spacing w:line="360" w:lineRule="auto"/>
        <w:jc w:val="both"/>
        <w:rPr>
          <w:rFonts w:ascii="Arial" w:hAnsi="Arial" w:cs="Arial"/>
          <w:sz w:val="24"/>
          <w:szCs w:val="24"/>
        </w:rPr>
      </w:pPr>
      <w:r w:rsidRPr="00791240">
        <w:rPr>
          <w:rFonts w:ascii="Arial" w:hAnsi="Arial" w:cs="Arial"/>
          <w:b/>
          <w:bCs/>
          <w:sz w:val="24"/>
          <w:szCs w:val="24"/>
        </w:rPr>
        <w:t>Criterio 4. Áreas estratégicas para el recurso hídrico</w:t>
      </w:r>
    </w:p>
    <w:p w14:paraId="5F1493F1" w14:textId="21DA66F4" w:rsidR="00300DF3" w:rsidRPr="00300DF3" w:rsidRDefault="00300DF3" w:rsidP="00300DF3">
      <w:pPr>
        <w:spacing w:line="276" w:lineRule="auto"/>
        <w:jc w:val="both"/>
        <w:rPr>
          <w:rFonts w:ascii="Arial" w:hAnsi="Arial" w:cs="Arial"/>
          <w:sz w:val="24"/>
          <w:szCs w:val="24"/>
        </w:rPr>
      </w:pPr>
      <w:r w:rsidRPr="00300DF3">
        <w:rPr>
          <w:rFonts w:ascii="Arial" w:hAnsi="Arial" w:cs="Arial"/>
          <w:sz w:val="24"/>
          <w:szCs w:val="24"/>
        </w:rPr>
        <w:t xml:space="preserve">Este criterio tiene como objetivo </w:t>
      </w:r>
      <w:r w:rsidR="0053446D">
        <w:rPr>
          <w:rFonts w:ascii="Arial" w:hAnsi="Arial" w:cs="Arial"/>
          <w:sz w:val="24"/>
          <w:szCs w:val="24"/>
        </w:rPr>
        <w:t xml:space="preserve">principal </w:t>
      </w:r>
      <w:r w:rsidRPr="00300DF3">
        <w:rPr>
          <w:rFonts w:ascii="Arial" w:hAnsi="Arial" w:cs="Arial"/>
          <w:sz w:val="24"/>
          <w:szCs w:val="24"/>
        </w:rPr>
        <w:t xml:space="preserve">identificar y delimitar las áreas del territorio que cumplen una función fundamental en la conservación, regulación y provisión del recurso hídrico. Para su definición se integraron diferentes insumos cartográficos y normativos, analizados a </w:t>
      </w:r>
      <w:r w:rsidR="00A35D27">
        <w:rPr>
          <w:rFonts w:ascii="Arial" w:hAnsi="Arial" w:cs="Arial"/>
          <w:sz w:val="24"/>
          <w:szCs w:val="24"/>
        </w:rPr>
        <w:t>diferentes</w:t>
      </w:r>
      <w:r w:rsidRPr="00300DF3">
        <w:rPr>
          <w:rFonts w:ascii="Arial" w:hAnsi="Arial" w:cs="Arial"/>
          <w:sz w:val="24"/>
          <w:szCs w:val="24"/>
        </w:rPr>
        <w:t xml:space="preserve"> escalas, con el fin de </w:t>
      </w:r>
      <w:r w:rsidR="00A35D27">
        <w:rPr>
          <w:rFonts w:ascii="Arial" w:hAnsi="Arial" w:cs="Arial"/>
          <w:sz w:val="24"/>
          <w:szCs w:val="24"/>
        </w:rPr>
        <w:t>identificar</w:t>
      </w:r>
      <w:r w:rsidRPr="00300DF3">
        <w:rPr>
          <w:rFonts w:ascii="Arial" w:hAnsi="Arial" w:cs="Arial"/>
          <w:sz w:val="24"/>
          <w:szCs w:val="24"/>
        </w:rPr>
        <w:t xml:space="preserve"> los elementos asociados a la red hídrica y sus </w:t>
      </w:r>
      <w:r w:rsidR="00A35D27">
        <w:rPr>
          <w:rFonts w:ascii="Arial" w:hAnsi="Arial" w:cs="Arial"/>
          <w:sz w:val="24"/>
          <w:szCs w:val="24"/>
        </w:rPr>
        <w:t>correspondientes</w:t>
      </w:r>
      <w:r w:rsidRPr="00300DF3">
        <w:rPr>
          <w:rFonts w:ascii="Arial" w:hAnsi="Arial" w:cs="Arial"/>
          <w:sz w:val="24"/>
          <w:szCs w:val="24"/>
        </w:rPr>
        <w:t xml:space="preserve"> áreas de protección.</w:t>
      </w:r>
    </w:p>
    <w:p w14:paraId="337C7BEA" w14:textId="0F53C7A2" w:rsidR="00300DF3" w:rsidRPr="00646F59" w:rsidRDefault="00300DF3" w:rsidP="00646F59">
      <w:pPr>
        <w:pStyle w:val="Prrafodelista"/>
        <w:numPr>
          <w:ilvl w:val="0"/>
          <w:numId w:val="61"/>
        </w:numPr>
        <w:spacing w:line="276" w:lineRule="auto"/>
        <w:jc w:val="both"/>
        <w:rPr>
          <w:rFonts w:ascii="Arial" w:hAnsi="Arial" w:cs="Arial"/>
          <w:b/>
          <w:bCs/>
          <w:sz w:val="24"/>
          <w:szCs w:val="24"/>
          <w:u w:val="single"/>
        </w:rPr>
      </w:pPr>
      <w:r w:rsidRPr="00646F59">
        <w:rPr>
          <w:rFonts w:ascii="Arial" w:hAnsi="Arial" w:cs="Arial"/>
          <w:b/>
          <w:bCs/>
          <w:sz w:val="24"/>
          <w:szCs w:val="24"/>
          <w:u w:val="single"/>
        </w:rPr>
        <w:t>Cuerpos de agua y drenajes</w:t>
      </w:r>
    </w:p>
    <w:p w14:paraId="49AA810C" w14:textId="77777777" w:rsidR="00300DF3" w:rsidRPr="00300DF3" w:rsidRDefault="00300DF3" w:rsidP="00300DF3">
      <w:pPr>
        <w:spacing w:line="276" w:lineRule="auto"/>
        <w:jc w:val="both"/>
        <w:rPr>
          <w:rFonts w:ascii="Arial" w:hAnsi="Arial" w:cs="Arial"/>
          <w:sz w:val="24"/>
          <w:szCs w:val="24"/>
        </w:rPr>
      </w:pPr>
      <w:r w:rsidRPr="00300DF3">
        <w:rPr>
          <w:rFonts w:ascii="Arial" w:hAnsi="Arial" w:cs="Arial"/>
          <w:sz w:val="24"/>
          <w:szCs w:val="24"/>
        </w:rPr>
        <w:t>Para la identificación de estos elementos se utilizaron diferentes capas de información cartográfica, entre las que se incluyen:</w:t>
      </w:r>
    </w:p>
    <w:p w14:paraId="2D257650" w14:textId="1AFCFB6B" w:rsidR="00300DF3" w:rsidRPr="00300DF3" w:rsidRDefault="00300DF3" w:rsidP="00300DF3">
      <w:pPr>
        <w:numPr>
          <w:ilvl w:val="0"/>
          <w:numId w:val="57"/>
        </w:numPr>
        <w:spacing w:line="276" w:lineRule="auto"/>
        <w:jc w:val="both"/>
        <w:rPr>
          <w:rFonts w:ascii="Arial" w:hAnsi="Arial" w:cs="Arial"/>
          <w:sz w:val="24"/>
          <w:szCs w:val="24"/>
        </w:rPr>
      </w:pPr>
      <w:r w:rsidRPr="00300DF3">
        <w:rPr>
          <w:rFonts w:ascii="Arial" w:hAnsi="Arial" w:cs="Arial"/>
          <w:sz w:val="24"/>
          <w:szCs w:val="24"/>
        </w:rPr>
        <w:t>Drenajes permanentes e intermitentes a escala 1:10.000</w:t>
      </w:r>
      <w:r w:rsidR="00E5520F">
        <w:rPr>
          <w:rFonts w:ascii="Arial" w:hAnsi="Arial" w:cs="Arial"/>
          <w:sz w:val="24"/>
          <w:szCs w:val="24"/>
        </w:rPr>
        <w:t xml:space="preserve"> (IGAC)</w:t>
      </w:r>
      <w:r w:rsidRPr="00300DF3">
        <w:rPr>
          <w:rFonts w:ascii="Arial" w:hAnsi="Arial" w:cs="Arial"/>
          <w:sz w:val="24"/>
          <w:szCs w:val="24"/>
        </w:rPr>
        <w:t>.</w:t>
      </w:r>
    </w:p>
    <w:p w14:paraId="1138A372" w14:textId="17AEA978" w:rsidR="00300DF3" w:rsidRDefault="00300DF3" w:rsidP="00300DF3">
      <w:pPr>
        <w:numPr>
          <w:ilvl w:val="0"/>
          <w:numId w:val="57"/>
        </w:numPr>
        <w:spacing w:line="276" w:lineRule="auto"/>
        <w:jc w:val="both"/>
        <w:rPr>
          <w:rFonts w:ascii="Arial" w:hAnsi="Arial" w:cs="Arial"/>
          <w:sz w:val="24"/>
          <w:szCs w:val="24"/>
        </w:rPr>
      </w:pPr>
      <w:r w:rsidRPr="00300DF3">
        <w:rPr>
          <w:rFonts w:ascii="Arial" w:hAnsi="Arial" w:cs="Arial"/>
          <w:sz w:val="24"/>
          <w:szCs w:val="24"/>
        </w:rPr>
        <w:lastRenderedPageBreak/>
        <w:t>Drenajes dobles a escala 1:10.000</w:t>
      </w:r>
      <w:r w:rsidR="00E5520F">
        <w:rPr>
          <w:rFonts w:ascii="Arial" w:hAnsi="Arial" w:cs="Arial"/>
          <w:sz w:val="24"/>
          <w:szCs w:val="24"/>
        </w:rPr>
        <w:t xml:space="preserve"> (IGAC)</w:t>
      </w:r>
      <w:r w:rsidRPr="00300DF3">
        <w:rPr>
          <w:rFonts w:ascii="Arial" w:hAnsi="Arial" w:cs="Arial"/>
          <w:sz w:val="24"/>
          <w:szCs w:val="24"/>
        </w:rPr>
        <w:t>.</w:t>
      </w:r>
    </w:p>
    <w:p w14:paraId="244CAF9B" w14:textId="61BBE36E" w:rsidR="00A833C5" w:rsidRDefault="00A833C5" w:rsidP="00300DF3">
      <w:pPr>
        <w:numPr>
          <w:ilvl w:val="0"/>
          <w:numId w:val="57"/>
        </w:numPr>
        <w:spacing w:line="276" w:lineRule="auto"/>
        <w:jc w:val="both"/>
        <w:rPr>
          <w:rFonts w:ascii="Arial" w:hAnsi="Arial" w:cs="Arial"/>
          <w:sz w:val="24"/>
          <w:szCs w:val="24"/>
        </w:rPr>
      </w:pPr>
      <w:r w:rsidRPr="00A833C5">
        <w:rPr>
          <w:rFonts w:ascii="Arial" w:hAnsi="Arial" w:cs="Arial"/>
          <w:sz w:val="24"/>
          <w:szCs w:val="24"/>
        </w:rPr>
        <w:t xml:space="preserve">Delimitación de zonas de rondas mediante actos administrativos </w:t>
      </w:r>
      <w:r>
        <w:rPr>
          <w:rFonts w:ascii="Arial" w:hAnsi="Arial" w:cs="Arial"/>
          <w:sz w:val="24"/>
          <w:szCs w:val="24"/>
        </w:rPr>
        <w:t>en la jurisdicción de</w:t>
      </w:r>
      <w:r w:rsidRPr="00A833C5">
        <w:rPr>
          <w:rFonts w:ascii="Arial" w:hAnsi="Arial" w:cs="Arial"/>
          <w:sz w:val="24"/>
          <w:szCs w:val="24"/>
        </w:rPr>
        <w:t xml:space="preserve"> la CAR</w:t>
      </w:r>
      <w:r>
        <w:rPr>
          <w:rFonts w:ascii="Arial" w:hAnsi="Arial" w:cs="Arial"/>
          <w:sz w:val="24"/>
          <w:szCs w:val="24"/>
        </w:rPr>
        <w:t>.</w:t>
      </w:r>
    </w:p>
    <w:p w14:paraId="44E311B9" w14:textId="4B4EACEC" w:rsidR="00300DF3" w:rsidRPr="00300DF3" w:rsidRDefault="00300DF3" w:rsidP="00300DF3">
      <w:pPr>
        <w:numPr>
          <w:ilvl w:val="0"/>
          <w:numId w:val="57"/>
        </w:numPr>
        <w:spacing w:line="276" w:lineRule="auto"/>
        <w:jc w:val="both"/>
        <w:rPr>
          <w:rFonts w:ascii="Arial" w:hAnsi="Arial" w:cs="Arial"/>
          <w:sz w:val="24"/>
          <w:szCs w:val="24"/>
        </w:rPr>
      </w:pPr>
      <w:r w:rsidRPr="00300DF3">
        <w:rPr>
          <w:rFonts w:ascii="Arial" w:hAnsi="Arial" w:cs="Arial"/>
          <w:sz w:val="24"/>
          <w:szCs w:val="24"/>
        </w:rPr>
        <w:t xml:space="preserve">Inventario de humedales y cuerpos de agua para la jurisdicción de la CAR, con fecha de corte </w:t>
      </w:r>
      <w:r w:rsidR="001A3EE6">
        <w:rPr>
          <w:rFonts w:ascii="Arial" w:hAnsi="Arial" w:cs="Arial"/>
          <w:sz w:val="24"/>
          <w:szCs w:val="24"/>
        </w:rPr>
        <w:t xml:space="preserve">diciembre de </w:t>
      </w:r>
      <w:r w:rsidRPr="00300DF3">
        <w:rPr>
          <w:rFonts w:ascii="Arial" w:hAnsi="Arial" w:cs="Arial"/>
          <w:sz w:val="24"/>
          <w:szCs w:val="24"/>
        </w:rPr>
        <w:t xml:space="preserve">2024, en el cual se incluyen elementos como humedales, lagunas, pantanos, embalses y </w:t>
      </w:r>
      <w:r w:rsidR="00BA06A7">
        <w:rPr>
          <w:rFonts w:ascii="Arial" w:hAnsi="Arial" w:cs="Arial"/>
          <w:sz w:val="24"/>
          <w:szCs w:val="24"/>
        </w:rPr>
        <w:t>demás</w:t>
      </w:r>
      <w:r w:rsidRPr="00300DF3">
        <w:rPr>
          <w:rFonts w:ascii="Arial" w:hAnsi="Arial" w:cs="Arial"/>
          <w:sz w:val="24"/>
          <w:szCs w:val="24"/>
        </w:rPr>
        <w:t xml:space="preserve"> cuerpos de agua de origen natural o artificial.</w:t>
      </w:r>
    </w:p>
    <w:p w14:paraId="562BC0B8" w14:textId="07F525D0" w:rsidR="00300DF3" w:rsidRPr="00300DF3" w:rsidRDefault="00300DF3" w:rsidP="00300DF3">
      <w:pPr>
        <w:spacing w:line="276" w:lineRule="auto"/>
        <w:jc w:val="both"/>
        <w:rPr>
          <w:rFonts w:ascii="Arial" w:hAnsi="Arial" w:cs="Arial"/>
          <w:sz w:val="24"/>
          <w:szCs w:val="24"/>
        </w:rPr>
      </w:pPr>
      <w:r w:rsidRPr="00300DF3">
        <w:rPr>
          <w:rFonts w:ascii="Arial" w:hAnsi="Arial" w:cs="Arial"/>
          <w:sz w:val="24"/>
          <w:szCs w:val="24"/>
        </w:rPr>
        <w:t xml:space="preserve">En relación con la delimitación de las zonas de ronda o franjas de protección asociadas a estos elementos hídricos, es importante precisar que, de acuerdo con lo establecido en el Acuerdo CAR No. 16 de 1998, se aplicó una franja de protección de treinta (30) metros para los cuerpos de agua de origen natural, así como para los embalses, aun cuando estos últimos corresponden a cuerpos de agua de origen artificial. Por su parte, para </w:t>
      </w:r>
      <w:r w:rsidR="00272605">
        <w:rPr>
          <w:rFonts w:ascii="Arial" w:hAnsi="Arial" w:cs="Arial"/>
          <w:sz w:val="24"/>
          <w:szCs w:val="24"/>
        </w:rPr>
        <w:t xml:space="preserve">los </w:t>
      </w:r>
      <w:r w:rsidRPr="00300DF3">
        <w:rPr>
          <w:rFonts w:ascii="Arial" w:hAnsi="Arial" w:cs="Arial"/>
          <w:sz w:val="24"/>
          <w:szCs w:val="24"/>
        </w:rPr>
        <w:t xml:space="preserve">otros cuerpos de agua de origen artificial no se contempló la aplicación de </w:t>
      </w:r>
      <w:r w:rsidR="00272605">
        <w:rPr>
          <w:rFonts w:ascii="Arial" w:hAnsi="Arial" w:cs="Arial"/>
          <w:sz w:val="24"/>
          <w:szCs w:val="24"/>
        </w:rPr>
        <w:t xml:space="preserve">esta </w:t>
      </w:r>
      <w:r w:rsidRPr="00300DF3">
        <w:rPr>
          <w:rFonts w:ascii="Arial" w:hAnsi="Arial" w:cs="Arial"/>
          <w:sz w:val="24"/>
          <w:szCs w:val="24"/>
        </w:rPr>
        <w:t>zona de ronda.</w:t>
      </w:r>
    </w:p>
    <w:p w14:paraId="678D3CDD" w14:textId="756C5471" w:rsidR="00300DF3" w:rsidRPr="00300DF3" w:rsidRDefault="00300DF3" w:rsidP="00300DF3">
      <w:pPr>
        <w:spacing w:line="276" w:lineRule="auto"/>
        <w:jc w:val="both"/>
        <w:rPr>
          <w:rFonts w:ascii="Arial" w:hAnsi="Arial" w:cs="Arial"/>
          <w:sz w:val="24"/>
          <w:szCs w:val="24"/>
        </w:rPr>
      </w:pPr>
      <w:r w:rsidRPr="00300DF3">
        <w:rPr>
          <w:rFonts w:ascii="Arial" w:hAnsi="Arial" w:cs="Arial"/>
          <w:sz w:val="24"/>
          <w:szCs w:val="24"/>
        </w:rPr>
        <w:t xml:space="preserve">En el caso específico de las </w:t>
      </w:r>
      <w:r w:rsidR="00361DAA">
        <w:rPr>
          <w:rFonts w:ascii="Arial" w:hAnsi="Arial" w:cs="Arial"/>
          <w:sz w:val="24"/>
          <w:szCs w:val="24"/>
        </w:rPr>
        <w:t xml:space="preserve">zonas de </w:t>
      </w:r>
      <w:r w:rsidRPr="00300DF3">
        <w:rPr>
          <w:rFonts w:ascii="Arial" w:hAnsi="Arial" w:cs="Arial"/>
          <w:sz w:val="24"/>
          <w:szCs w:val="24"/>
        </w:rPr>
        <w:t>ronda hídricas</w:t>
      </w:r>
      <w:r w:rsidR="00272605">
        <w:rPr>
          <w:rFonts w:ascii="Arial" w:hAnsi="Arial" w:cs="Arial"/>
          <w:sz w:val="24"/>
          <w:szCs w:val="24"/>
        </w:rPr>
        <w:t xml:space="preserve"> para drenajes sencillos y dobles</w:t>
      </w:r>
      <w:r w:rsidRPr="00300DF3">
        <w:rPr>
          <w:rFonts w:ascii="Arial" w:hAnsi="Arial" w:cs="Arial"/>
          <w:sz w:val="24"/>
          <w:szCs w:val="24"/>
        </w:rPr>
        <w:t>, entendidas como las franjas de protección alrededor de los cuerpos de agua, se aplicaron dos criterios normativos</w:t>
      </w:r>
      <w:r w:rsidR="00361DAA">
        <w:rPr>
          <w:rFonts w:ascii="Arial" w:hAnsi="Arial" w:cs="Arial"/>
          <w:sz w:val="24"/>
          <w:szCs w:val="24"/>
        </w:rPr>
        <w:t>, estos son</w:t>
      </w:r>
      <w:r w:rsidRPr="00300DF3">
        <w:rPr>
          <w:rFonts w:ascii="Arial" w:hAnsi="Arial" w:cs="Arial"/>
          <w:sz w:val="24"/>
          <w:szCs w:val="24"/>
        </w:rPr>
        <w:t>:</w:t>
      </w:r>
    </w:p>
    <w:p w14:paraId="3064EB50" w14:textId="77777777" w:rsidR="00300DF3" w:rsidRPr="00300DF3" w:rsidRDefault="00300DF3" w:rsidP="00300DF3">
      <w:pPr>
        <w:numPr>
          <w:ilvl w:val="0"/>
          <w:numId w:val="58"/>
        </w:numPr>
        <w:spacing w:line="276" w:lineRule="auto"/>
        <w:jc w:val="both"/>
        <w:rPr>
          <w:rFonts w:ascii="Arial" w:hAnsi="Arial" w:cs="Arial"/>
          <w:sz w:val="24"/>
          <w:szCs w:val="24"/>
        </w:rPr>
      </w:pPr>
      <w:r w:rsidRPr="00300DF3">
        <w:rPr>
          <w:rFonts w:ascii="Arial" w:hAnsi="Arial" w:cs="Arial"/>
          <w:sz w:val="24"/>
          <w:szCs w:val="24"/>
        </w:rPr>
        <w:t>Para los cuerpos de agua que cuentan con delimitación oficial, se consideraron las rondas hídricas definidas conforme a la guía técnica adoptada mediante el Decreto 2245 de 2017.</w:t>
      </w:r>
    </w:p>
    <w:p w14:paraId="2AA42DA9" w14:textId="77777777" w:rsidR="00300DF3" w:rsidRDefault="00300DF3" w:rsidP="00300DF3">
      <w:pPr>
        <w:numPr>
          <w:ilvl w:val="0"/>
          <w:numId w:val="58"/>
        </w:numPr>
        <w:spacing w:line="276" w:lineRule="auto"/>
        <w:jc w:val="both"/>
        <w:rPr>
          <w:rFonts w:ascii="Arial" w:hAnsi="Arial" w:cs="Arial"/>
          <w:sz w:val="24"/>
          <w:szCs w:val="24"/>
        </w:rPr>
      </w:pPr>
      <w:r w:rsidRPr="00300DF3">
        <w:rPr>
          <w:rFonts w:ascii="Arial" w:hAnsi="Arial" w:cs="Arial"/>
          <w:sz w:val="24"/>
          <w:szCs w:val="24"/>
        </w:rPr>
        <w:t>Para aquellos cuerpos de agua que no cuentan con delimitación específica, se aplicó el área de influencia reglamentaria establecida en el Decreto 1449 de 1977, compilado en el Decreto 1076 de 2015, así como lo dispuesto en el Acuerdo CAR No. 16 de 1998, lo cual corresponde a una franja de treinta (30) metros de ancho, paralela a las líneas de mareas máximas o a los cauces de ríos, quebradas y arroyos, así como alrededor de depósitos de agua como lagunas y ciénagas, destinada a la protección y conservación de estos ecosistemas.</w:t>
      </w:r>
    </w:p>
    <w:p w14:paraId="3522B945" w14:textId="26D11107" w:rsidR="006F64F7" w:rsidRPr="006F64F7" w:rsidRDefault="006F64F7" w:rsidP="00772AAB">
      <w:pPr>
        <w:spacing w:line="276" w:lineRule="auto"/>
        <w:jc w:val="both"/>
        <w:rPr>
          <w:rFonts w:ascii="Arial" w:hAnsi="Arial" w:cs="Arial"/>
          <w:sz w:val="24"/>
          <w:szCs w:val="24"/>
        </w:rPr>
      </w:pPr>
      <w:r w:rsidRPr="006F64F7">
        <w:rPr>
          <w:rFonts w:ascii="Arial" w:hAnsi="Arial" w:cs="Arial"/>
          <w:sz w:val="24"/>
          <w:szCs w:val="24"/>
        </w:rPr>
        <w:t xml:space="preserve">La aplicación de </w:t>
      </w:r>
      <w:r w:rsidR="00E5591B">
        <w:rPr>
          <w:rFonts w:ascii="Arial" w:hAnsi="Arial" w:cs="Arial"/>
          <w:sz w:val="24"/>
          <w:szCs w:val="24"/>
        </w:rPr>
        <w:t>estas variables</w:t>
      </w:r>
      <w:r w:rsidRPr="006F64F7">
        <w:rPr>
          <w:rFonts w:ascii="Arial" w:hAnsi="Arial" w:cs="Arial"/>
          <w:sz w:val="24"/>
          <w:szCs w:val="24"/>
        </w:rPr>
        <w:t xml:space="preserve"> dentro del análisis </w:t>
      </w:r>
      <w:r w:rsidR="00FF4237">
        <w:rPr>
          <w:rFonts w:ascii="Arial" w:hAnsi="Arial" w:cs="Arial"/>
          <w:sz w:val="24"/>
          <w:szCs w:val="24"/>
        </w:rPr>
        <w:t xml:space="preserve">espacial </w:t>
      </w:r>
      <w:r w:rsidRPr="006F64F7">
        <w:rPr>
          <w:rFonts w:ascii="Arial" w:hAnsi="Arial" w:cs="Arial"/>
          <w:sz w:val="24"/>
          <w:szCs w:val="24"/>
        </w:rPr>
        <w:t>permite asegurar la protección de las franjas estratégicas asociadas a los sistemas hídricos, contribuyendo a mantener su estabilidad ecológica, la regulación de los flujos de agua y la conservación de los ecosistemas vinculados al recurso hídrico.</w:t>
      </w:r>
    </w:p>
    <w:p w14:paraId="54754138" w14:textId="68F4794B" w:rsidR="00A94A1A" w:rsidRPr="00646F59" w:rsidRDefault="004C55C6" w:rsidP="00646F59">
      <w:pPr>
        <w:pStyle w:val="Prrafodelista"/>
        <w:numPr>
          <w:ilvl w:val="0"/>
          <w:numId w:val="63"/>
        </w:numPr>
        <w:spacing w:line="276" w:lineRule="auto"/>
        <w:jc w:val="both"/>
        <w:rPr>
          <w:rFonts w:ascii="Arial" w:hAnsi="Arial" w:cs="Arial"/>
          <w:b/>
          <w:bCs/>
          <w:sz w:val="24"/>
          <w:szCs w:val="24"/>
          <w:u w:val="single"/>
        </w:rPr>
      </w:pPr>
      <w:r w:rsidRPr="00646F59">
        <w:rPr>
          <w:rFonts w:ascii="Arial" w:hAnsi="Arial" w:cs="Arial"/>
          <w:b/>
          <w:bCs/>
          <w:sz w:val="24"/>
          <w:szCs w:val="24"/>
          <w:u w:val="single"/>
        </w:rPr>
        <w:t>Ecosistemas de páramo</w:t>
      </w:r>
    </w:p>
    <w:p w14:paraId="6A7D17C9" w14:textId="7104F418" w:rsidR="00CD0B22" w:rsidRPr="00CD0B22" w:rsidRDefault="00CD0B22" w:rsidP="00CD0B22">
      <w:pPr>
        <w:spacing w:line="276" w:lineRule="auto"/>
        <w:jc w:val="both"/>
        <w:rPr>
          <w:rFonts w:ascii="Arial" w:hAnsi="Arial" w:cs="Arial"/>
          <w:sz w:val="24"/>
          <w:szCs w:val="24"/>
        </w:rPr>
      </w:pPr>
      <w:r w:rsidRPr="00335969">
        <w:rPr>
          <w:rFonts w:ascii="Arial" w:hAnsi="Arial" w:cs="Arial"/>
          <w:sz w:val="24"/>
          <w:szCs w:val="24"/>
        </w:rPr>
        <w:t>In</w:t>
      </w:r>
      <w:r w:rsidRPr="00CD0B22">
        <w:rPr>
          <w:rFonts w:ascii="Arial" w:hAnsi="Arial" w:cs="Arial"/>
          <w:sz w:val="24"/>
          <w:szCs w:val="24"/>
        </w:rPr>
        <w:t xml:space="preserve">corpora las áreas correspondientes a ecosistemas de páramo, reconocidos como ecosistemas estratégicos de alta importancia para la regulación hídrica, conservación de la biodiversidad y provisión de servicios ecosistémicos. Para su </w:t>
      </w:r>
      <w:r w:rsidRPr="00CD0B22">
        <w:rPr>
          <w:rFonts w:ascii="Arial" w:hAnsi="Arial" w:cs="Arial"/>
          <w:sz w:val="24"/>
          <w:szCs w:val="24"/>
        </w:rPr>
        <w:lastRenderedPageBreak/>
        <w:t>identificación dentro del análisis cartográfico se utilizó la delimitación oficial de páramos establecida por el Ministerio de Ambiente y Desarrollo Sostenible</w:t>
      </w:r>
      <w:r w:rsidR="00FA7F07">
        <w:rPr>
          <w:rFonts w:ascii="Arial" w:hAnsi="Arial" w:cs="Arial"/>
          <w:sz w:val="24"/>
          <w:szCs w:val="24"/>
        </w:rPr>
        <w:t xml:space="preserve"> </w:t>
      </w:r>
      <w:r w:rsidR="00FA7F07" w:rsidRPr="00335969">
        <w:rPr>
          <w:rFonts w:ascii="Arial" w:hAnsi="Arial" w:cs="Arial"/>
          <w:sz w:val="24"/>
          <w:szCs w:val="24"/>
        </w:rPr>
        <w:t>con fecha de corte del 25 de septiembre del 2018</w:t>
      </w:r>
      <w:r w:rsidR="00FA7F07">
        <w:rPr>
          <w:rFonts w:ascii="Arial" w:hAnsi="Arial" w:cs="Arial"/>
          <w:sz w:val="24"/>
          <w:szCs w:val="24"/>
        </w:rPr>
        <w:t>.</w:t>
      </w:r>
    </w:p>
    <w:p w14:paraId="5C067247" w14:textId="40F24D61" w:rsidR="00CD0B22" w:rsidRPr="00CD0B22" w:rsidRDefault="00CD0B22" w:rsidP="00CD0B22">
      <w:pPr>
        <w:spacing w:line="276" w:lineRule="auto"/>
        <w:jc w:val="both"/>
        <w:rPr>
          <w:rFonts w:ascii="Arial" w:hAnsi="Arial" w:cs="Arial"/>
          <w:sz w:val="24"/>
          <w:szCs w:val="24"/>
        </w:rPr>
      </w:pPr>
      <w:r w:rsidRPr="00CD0B22">
        <w:rPr>
          <w:rFonts w:ascii="Arial" w:hAnsi="Arial" w:cs="Arial"/>
          <w:sz w:val="24"/>
          <w:szCs w:val="24"/>
        </w:rPr>
        <w:t xml:space="preserve">La información utilizada corresponde a la cartografía oficial actualizada de delimitación de páramos, la cual define con precisión los límites de estos ecosistemas con base en criterios biofísicos, ecológicos y socioambientales. </w:t>
      </w:r>
    </w:p>
    <w:p w14:paraId="7E5AFC15" w14:textId="547EC987" w:rsidR="00CD0B22" w:rsidRPr="00CD0B22" w:rsidRDefault="00CD0B22" w:rsidP="00CD0B22">
      <w:pPr>
        <w:spacing w:line="276" w:lineRule="auto"/>
        <w:jc w:val="both"/>
        <w:rPr>
          <w:rFonts w:ascii="Arial" w:hAnsi="Arial" w:cs="Arial"/>
          <w:sz w:val="24"/>
          <w:szCs w:val="24"/>
        </w:rPr>
      </w:pPr>
      <w:r w:rsidRPr="00CD0B22">
        <w:rPr>
          <w:rFonts w:ascii="Arial" w:hAnsi="Arial" w:cs="Arial"/>
          <w:sz w:val="24"/>
          <w:szCs w:val="24"/>
        </w:rPr>
        <w:t xml:space="preserve">En el proceso de zonificación, las áreas que se encuentran dentro de la delimitación oficial de páramos fueron consideradas como zonas de especial importancia ambiental, dadas las restricciones de uso establecidas por la normativa vigente y su prioridad dentro de las estrategias de conservación y manejo sostenible del territorio. </w:t>
      </w:r>
    </w:p>
    <w:p w14:paraId="0C012568" w14:textId="4806EAF9" w:rsidR="008E3CCA" w:rsidRPr="00646F59" w:rsidRDefault="008E3CCA" w:rsidP="00646F59">
      <w:pPr>
        <w:pStyle w:val="Prrafodelista"/>
        <w:numPr>
          <w:ilvl w:val="0"/>
          <w:numId w:val="63"/>
        </w:numPr>
        <w:spacing w:line="276" w:lineRule="auto"/>
        <w:jc w:val="both"/>
        <w:rPr>
          <w:rFonts w:ascii="Arial" w:hAnsi="Arial" w:cs="Arial"/>
          <w:b/>
          <w:bCs/>
          <w:sz w:val="24"/>
          <w:szCs w:val="24"/>
          <w:u w:val="single"/>
        </w:rPr>
      </w:pPr>
      <w:r w:rsidRPr="00646F59">
        <w:rPr>
          <w:rFonts w:ascii="Arial" w:hAnsi="Arial" w:cs="Arial"/>
          <w:b/>
          <w:bCs/>
          <w:sz w:val="24"/>
          <w:szCs w:val="24"/>
          <w:u w:val="single"/>
        </w:rPr>
        <w:t>Predios públicos</w:t>
      </w:r>
    </w:p>
    <w:p w14:paraId="4324C669" w14:textId="48F720C8" w:rsidR="00C97563" w:rsidRPr="00E24D42" w:rsidRDefault="00ED7721" w:rsidP="00C97563">
      <w:pPr>
        <w:spacing w:line="276" w:lineRule="auto"/>
        <w:jc w:val="both"/>
        <w:rPr>
          <w:rFonts w:ascii="Arial" w:hAnsi="Arial" w:cs="Arial"/>
          <w:sz w:val="24"/>
          <w:szCs w:val="24"/>
        </w:rPr>
      </w:pPr>
      <w:r w:rsidRPr="00DB3FE9">
        <w:rPr>
          <w:rFonts w:ascii="Arial" w:hAnsi="Arial" w:cs="Arial"/>
          <w:sz w:val="24"/>
          <w:szCs w:val="24"/>
          <w:highlight w:val="magenta"/>
        </w:rPr>
        <w:t xml:space="preserve">Pendiente metadato </w:t>
      </w:r>
      <w:r w:rsidR="00772AAB" w:rsidRPr="00DB3FE9">
        <w:rPr>
          <w:rFonts w:ascii="Arial" w:hAnsi="Arial" w:cs="Arial"/>
          <w:sz w:val="24"/>
          <w:szCs w:val="24"/>
          <w:highlight w:val="magenta"/>
        </w:rPr>
        <w:t>Jonathan</w:t>
      </w:r>
      <w:r w:rsidR="00DB3FE9" w:rsidRPr="00DB3FE9">
        <w:rPr>
          <w:rFonts w:ascii="Arial" w:hAnsi="Arial" w:cs="Arial"/>
          <w:sz w:val="24"/>
          <w:szCs w:val="24"/>
          <w:highlight w:val="magenta"/>
        </w:rPr>
        <w:t xml:space="preserve"> y complementar capa geografica</w:t>
      </w:r>
      <w:r w:rsidR="00C97563" w:rsidRPr="00C97563">
        <w:rPr>
          <w:rFonts w:ascii="Arial" w:hAnsi="Arial" w:cs="Arial"/>
          <w:sz w:val="24"/>
          <w:szCs w:val="24"/>
          <w:highlight w:val="magenta"/>
        </w:rPr>
        <w:t xml:space="preserve"> </w:t>
      </w:r>
      <w:r w:rsidR="00C97563" w:rsidRPr="00FB4749">
        <w:rPr>
          <w:rFonts w:ascii="Arial" w:hAnsi="Arial" w:cs="Arial"/>
          <w:sz w:val="24"/>
          <w:szCs w:val="24"/>
          <w:highlight w:val="magenta"/>
        </w:rPr>
        <w:t>Pendiente que otros predios se incorporaron, revisar capa con predios car para ajustar tematicamente</w:t>
      </w:r>
    </w:p>
    <w:p w14:paraId="1EBB5181" w14:textId="72A35B3C" w:rsidR="00E24D42" w:rsidRPr="00E24D42" w:rsidRDefault="00D54C97" w:rsidP="00E24D42">
      <w:pPr>
        <w:spacing w:line="276" w:lineRule="auto"/>
        <w:jc w:val="both"/>
        <w:rPr>
          <w:rFonts w:ascii="Arial" w:hAnsi="Arial" w:cs="Arial"/>
          <w:sz w:val="24"/>
          <w:szCs w:val="24"/>
        </w:rPr>
      </w:pPr>
      <w:r>
        <w:rPr>
          <w:rFonts w:ascii="Arial" w:hAnsi="Arial" w:cs="Arial"/>
          <w:sz w:val="24"/>
          <w:szCs w:val="24"/>
        </w:rPr>
        <w:t xml:space="preserve">La capa de </w:t>
      </w:r>
      <w:r w:rsidR="00E24D42" w:rsidRPr="00E24D42">
        <w:rPr>
          <w:rFonts w:ascii="Arial" w:hAnsi="Arial" w:cs="Arial"/>
          <w:sz w:val="24"/>
          <w:szCs w:val="24"/>
        </w:rPr>
        <w:t xml:space="preserve">predios públicos hace referencia a </w:t>
      </w:r>
      <w:r w:rsidR="00EA2D30">
        <w:rPr>
          <w:rFonts w:ascii="Arial" w:hAnsi="Arial" w:cs="Arial"/>
          <w:sz w:val="24"/>
          <w:szCs w:val="24"/>
        </w:rPr>
        <w:t xml:space="preserve">todos </w:t>
      </w:r>
      <w:r w:rsidR="00E24D42" w:rsidRPr="00E24D42">
        <w:rPr>
          <w:rFonts w:ascii="Arial" w:hAnsi="Arial" w:cs="Arial"/>
          <w:sz w:val="24"/>
          <w:szCs w:val="24"/>
        </w:rPr>
        <w:t xml:space="preserve">aquellos bienes inmuebles que, por su naturaleza jurídica y por los objetivos de manejo asociados a su administración, pertenecen en toda su extensión a la categoría de </w:t>
      </w:r>
      <w:r>
        <w:rPr>
          <w:rFonts w:ascii="Arial" w:hAnsi="Arial" w:cs="Arial"/>
          <w:sz w:val="24"/>
          <w:szCs w:val="24"/>
        </w:rPr>
        <w:t>preservación</w:t>
      </w:r>
      <w:r w:rsidR="00E24D42" w:rsidRPr="00E24D42">
        <w:rPr>
          <w:rFonts w:ascii="Arial" w:hAnsi="Arial" w:cs="Arial"/>
          <w:sz w:val="24"/>
          <w:szCs w:val="24"/>
        </w:rPr>
        <w:t xml:space="preserve"> dentro del proceso de zonificación. Estos predios corresponden a áreas de propiedad pública destinadas a la protección y manejo de los recursos naturales, en las cuales el uso del suelo se orienta prioritariamente hacia la conservación, preservación y restauración de los ecosistemas.</w:t>
      </w:r>
    </w:p>
    <w:p w14:paraId="13328826" w14:textId="24E25503" w:rsidR="00E24D42" w:rsidRDefault="00E24D42" w:rsidP="00E24D42">
      <w:pPr>
        <w:spacing w:line="276" w:lineRule="auto"/>
        <w:jc w:val="both"/>
        <w:rPr>
          <w:rFonts w:ascii="Arial" w:hAnsi="Arial" w:cs="Arial"/>
          <w:sz w:val="24"/>
          <w:szCs w:val="24"/>
        </w:rPr>
      </w:pPr>
      <w:r w:rsidRPr="00B43C2E">
        <w:rPr>
          <w:rFonts w:ascii="Arial" w:hAnsi="Arial" w:cs="Arial"/>
          <w:sz w:val="24"/>
          <w:szCs w:val="24"/>
        </w:rPr>
        <w:t>Para efectos del análisis cartográfico se tuvieron en cuenta predios propiedad de la Corporación Autónoma Regional de Cundinamarc</w:t>
      </w:r>
      <w:r w:rsidR="00B43C2E" w:rsidRPr="00B43C2E">
        <w:rPr>
          <w:rFonts w:ascii="Arial" w:hAnsi="Arial" w:cs="Arial"/>
          <w:sz w:val="24"/>
          <w:szCs w:val="24"/>
        </w:rPr>
        <w:t>a</w:t>
      </w:r>
      <w:r w:rsidRPr="00B43C2E">
        <w:rPr>
          <w:rFonts w:ascii="Arial" w:hAnsi="Arial" w:cs="Arial"/>
          <w:sz w:val="24"/>
          <w:szCs w:val="24"/>
        </w:rPr>
        <w:t xml:space="preserve">, los cuales han sido adquiridos o administrados por la entidad con fines de protección ambiental, conservación de áreas estratégicas para el recurso hídrico y mantenimiento de servicios ecosistémicos. Estos predios, debido a su función ambiental y a las restricciones de uso que los caracterizan, se incorporan dentro de la zonificación como áreas destinadas a la </w:t>
      </w:r>
      <w:r w:rsidR="00B20812">
        <w:rPr>
          <w:rFonts w:ascii="Arial" w:hAnsi="Arial" w:cs="Arial"/>
          <w:sz w:val="24"/>
          <w:szCs w:val="24"/>
        </w:rPr>
        <w:t>preservación</w:t>
      </w:r>
      <w:r w:rsidRPr="00B43C2E">
        <w:rPr>
          <w:rFonts w:ascii="Arial" w:hAnsi="Arial" w:cs="Arial"/>
          <w:sz w:val="24"/>
          <w:szCs w:val="24"/>
        </w:rPr>
        <w:t>, contribuyendo al fortalecimiento de la estructura ecológica del territorio y a la protección de ecosistemas estratégicos presentes en la jurisdicción.</w:t>
      </w:r>
    </w:p>
    <w:p w14:paraId="28EC2C1B" w14:textId="58D54694" w:rsidR="00F1090B" w:rsidRPr="00646F59" w:rsidRDefault="00F1090B" w:rsidP="00646F59">
      <w:pPr>
        <w:pStyle w:val="Prrafodelista"/>
        <w:numPr>
          <w:ilvl w:val="0"/>
          <w:numId w:val="63"/>
        </w:numPr>
        <w:spacing w:line="276" w:lineRule="auto"/>
        <w:jc w:val="both"/>
        <w:rPr>
          <w:rFonts w:ascii="Arial" w:hAnsi="Arial" w:cs="Arial"/>
          <w:b/>
          <w:bCs/>
          <w:sz w:val="24"/>
          <w:szCs w:val="24"/>
          <w:u w:val="single"/>
        </w:rPr>
      </w:pPr>
      <w:r w:rsidRPr="00646F59">
        <w:rPr>
          <w:rFonts w:ascii="Arial" w:hAnsi="Arial" w:cs="Arial"/>
          <w:b/>
          <w:bCs/>
          <w:sz w:val="24"/>
          <w:szCs w:val="24"/>
          <w:u w:val="single"/>
        </w:rPr>
        <w:t>Capa de rendimiento hídrico</w:t>
      </w:r>
    </w:p>
    <w:p w14:paraId="0764CAE0" w14:textId="02EF0AD8" w:rsidR="00F1090B" w:rsidRPr="00D535E1" w:rsidRDefault="008A4DF3" w:rsidP="001372EB">
      <w:pPr>
        <w:spacing w:line="276" w:lineRule="auto"/>
        <w:jc w:val="both"/>
        <w:rPr>
          <w:rFonts w:ascii="Arial" w:hAnsi="Arial" w:cs="Arial"/>
          <w:sz w:val="24"/>
          <w:szCs w:val="24"/>
        </w:rPr>
      </w:pPr>
      <w:r>
        <w:rPr>
          <w:rFonts w:ascii="Arial" w:hAnsi="Arial" w:cs="Arial"/>
          <w:sz w:val="24"/>
          <w:szCs w:val="24"/>
        </w:rPr>
        <w:t>L</w:t>
      </w:r>
      <w:r w:rsidR="00F1090B" w:rsidRPr="00D535E1">
        <w:rPr>
          <w:rFonts w:ascii="Arial" w:hAnsi="Arial" w:cs="Arial"/>
          <w:sz w:val="24"/>
          <w:szCs w:val="24"/>
        </w:rPr>
        <w:t xml:space="preserve">a capa de rendimiento hídrico </w:t>
      </w:r>
      <w:r>
        <w:rPr>
          <w:rFonts w:ascii="Arial" w:hAnsi="Arial" w:cs="Arial"/>
          <w:sz w:val="24"/>
          <w:szCs w:val="24"/>
        </w:rPr>
        <w:t xml:space="preserve">fue </w:t>
      </w:r>
      <w:r w:rsidR="00F1090B" w:rsidRPr="00D535E1">
        <w:rPr>
          <w:rFonts w:ascii="Arial" w:hAnsi="Arial" w:cs="Arial"/>
          <w:sz w:val="24"/>
          <w:szCs w:val="24"/>
        </w:rPr>
        <w:t>elaborada por la Corporación Autónoma Regional de Cundinamarca (CAR), a escala 1:100.000, correspondiente al periodo 2017–2024.</w:t>
      </w:r>
    </w:p>
    <w:p w14:paraId="40C7964B" w14:textId="77777777" w:rsidR="00F1090B" w:rsidRPr="00D535E1" w:rsidRDefault="00F1090B" w:rsidP="001372EB">
      <w:pPr>
        <w:spacing w:line="276" w:lineRule="auto"/>
        <w:jc w:val="both"/>
        <w:rPr>
          <w:rFonts w:ascii="Arial" w:hAnsi="Arial" w:cs="Arial"/>
          <w:sz w:val="24"/>
          <w:szCs w:val="24"/>
        </w:rPr>
      </w:pPr>
      <w:r w:rsidRPr="00D535E1">
        <w:rPr>
          <w:rFonts w:ascii="Arial" w:hAnsi="Arial" w:cs="Arial"/>
          <w:sz w:val="24"/>
          <w:szCs w:val="24"/>
        </w:rPr>
        <w:t xml:space="preserve">Esta información fue generada mediante el modelo InVEST (Integrated Valuation of Ecosystem Services and Tradeoffs), una herramienta técnica que permite evaluar </w:t>
      </w:r>
      <w:r w:rsidRPr="00D535E1">
        <w:rPr>
          <w:rFonts w:ascii="Arial" w:hAnsi="Arial" w:cs="Arial"/>
          <w:sz w:val="24"/>
          <w:szCs w:val="24"/>
        </w:rPr>
        <w:lastRenderedPageBreak/>
        <w:t>cómo los cambios en el uso del suelo o en el manejo del paisaje afectan los servicios ecosistémicos, particularmente la oferta y regulación del agua.</w:t>
      </w:r>
    </w:p>
    <w:p w14:paraId="43DD8773" w14:textId="77777777" w:rsidR="00F1090B" w:rsidRDefault="00F1090B" w:rsidP="001372EB">
      <w:pPr>
        <w:spacing w:line="276" w:lineRule="auto"/>
        <w:jc w:val="both"/>
        <w:rPr>
          <w:rFonts w:ascii="Arial" w:hAnsi="Arial" w:cs="Arial"/>
          <w:sz w:val="24"/>
          <w:szCs w:val="24"/>
        </w:rPr>
      </w:pPr>
      <w:r w:rsidRPr="00D535E1">
        <w:rPr>
          <w:rFonts w:ascii="Arial" w:hAnsi="Arial" w:cs="Arial"/>
          <w:sz w:val="24"/>
          <w:szCs w:val="24"/>
        </w:rPr>
        <w:t>El uso de este modelo facilita identificar áreas que aportan mayor producción hídrica y que, por tanto, requieren especial atención dentro del proceso de zonificación.</w:t>
      </w:r>
    </w:p>
    <w:p w14:paraId="2C2DFA24" w14:textId="2DE83C75" w:rsidR="00B27816" w:rsidRDefault="002445C7" w:rsidP="001372EB">
      <w:pPr>
        <w:spacing w:line="276" w:lineRule="auto"/>
        <w:jc w:val="both"/>
        <w:rPr>
          <w:rFonts w:ascii="Arial" w:hAnsi="Arial" w:cs="Arial"/>
          <w:sz w:val="24"/>
          <w:szCs w:val="24"/>
        </w:rPr>
      </w:pPr>
      <w:r>
        <w:rPr>
          <w:rFonts w:ascii="Arial" w:hAnsi="Arial" w:cs="Arial"/>
          <w:sz w:val="24"/>
          <w:szCs w:val="24"/>
        </w:rPr>
        <w:t>E</w:t>
      </w:r>
      <w:r w:rsidR="00B27816" w:rsidRPr="00B27816">
        <w:rPr>
          <w:rFonts w:ascii="Arial" w:hAnsi="Arial" w:cs="Arial"/>
          <w:sz w:val="24"/>
          <w:szCs w:val="24"/>
        </w:rPr>
        <w:t>n el anexo denominado “</w:t>
      </w:r>
      <w:r w:rsidR="00B27816" w:rsidRPr="0086559F">
        <w:rPr>
          <w:rFonts w:ascii="Arial" w:hAnsi="Arial" w:cs="Arial"/>
          <w:b/>
          <w:bCs/>
          <w:i/>
          <w:iCs/>
          <w:sz w:val="24"/>
          <w:szCs w:val="24"/>
        </w:rPr>
        <w:t>Informe Ejecutivo InVEST Cuenca Alta</w:t>
      </w:r>
      <w:r w:rsidR="00B27816" w:rsidRPr="00B27816">
        <w:rPr>
          <w:rFonts w:ascii="Arial" w:hAnsi="Arial" w:cs="Arial"/>
          <w:sz w:val="24"/>
          <w:szCs w:val="24"/>
        </w:rPr>
        <w:t xml:space="preserve">” se </w:t>
      </w:r>
      <w:r>
        <w:rPr>
          <w:rFonts w:ascii="Arial" w:hAnsi="Arial" w:cs="Arial"/>
          <w:sz w:val="24"/>
          <w:szCs w:val="24"/>
        </w:rPr>
        <w:t>muestran</w:t>
      </w:r>
      <w:r w:rsidR="00B27816" w:rsidRPr="00B27816">
        <w:rPr>
          <w:rFonts w:ascii="Arial" w:hAnsi="Arial" w:cs="Arial"/>
          <w:sz w:val="24"/>
          <w:szCs w:val="24"/>
        </w:rPr>
        <w:t xml:space="preserve"> de forma </w:t>
      </w:r>
      <w:r w:rsidR="006A0FD1">
        <w:rPr>
          <w:rFonts w:ascii="Arial" w:hAnsi="Arial" w:cs="Arial"/>
          <w:sz w:val="24"/>
          <w:szCs w:val="24"/>
        </w:rPr>
        <w:t>detallada</w:t>
      </w:r>
      <w:r w:rsidR="00B27816" w:rsidRPr="00B27816">
        <w:rPr>
          <w:rFonts w:ascii="Arial" w:hAnsi="Arial" w:cs="Arial"/>
          <w:sz w:val="24"/>
          <w:szCs w:val="24"/>
        </w:rPr>
        <w:t xml:space="preserve"> los fundamentos metodológicos del modelo, las fuentes de información utilizadas, los procedimientos de procesamiento espacial y la interpretación de los resultados obtenidos, los cuales constituyen el soporte técnico para la incorporación de esta capa dentro del análisis territorial realizado.</w:t>
      </w:r>
    </w:p>
    <w:p w14:paraId="24A21634" w14:textId="7BC9FF76" w:rsidR="00F1090B" w:rsidRPr="00646F59" w:rsidRDefault="00F1090B" w:rsidP="00646F59">
      <w:pPr>
        <w:pStyle w:val="Prrafodelista"/>
        <w:numPr>
          <w:ilvl w:val="0"/>
          <w:numId w:val="63"/>
        </w:numPr>
        <w:spacing w:line="276" w:lineRule="auto"/>
        <w:jc w:val="both"/>
        <w:rPr>
          <w:rFonts w:ascii="Arial" w:hAnsi="Arial" w:cs="Arial"/>
          <w:b/>
          <w:bCs/>
          <w:sz w:val="24"/>
          <w:szCs w:val="24"/>
          <w:u w:val="single"/>
        </w:rPr>
      </w:pPr>
      <w:r w:rsidRPr="00646F59">
        <w:rPr>
          <w:rFonts w:ascii="Arial" w:hAnsi="Arial" w:cs="Arial"/>
          <w:b/>
          <w:bCs/>
          <w:sz w:val="24"/>
          <w:szCs w:val="24"/>
          <w:highlight w:val="yellow"/>
          <w:u w:val="single"/>
        </w:rPr>
        <w:t>Capa de recarga hídrica</w:t>
      </w:r>
    </w:p>
    <w:p w14:paraId="793A910B" w14:textId="060B813B" w:rsidR="00F1090B" w:rsidRPr="00D535E1" w:rsidRDefault="00CE0DC7" w:rsidP="001372EB">
      <w:pPr>
        <w:spacing w:line="276" w:lineRule="auto"/>
        <w:jc w:val="both"/>
        <w:rPr>
          <w:rFonts w:ascii="Arial" w:hAnsi="Arial" w:cs="Arial"/>
          <w:sz w:val="24"/>
          <w:szCs w:val="24"/>
        </w:rPr>
      </w:pPr>
      <w:r>
        <w:rPr>
          <w:rFonts w:ascii="Arial" w:hAnsi="Arial" w:cs="Arial"/>
          <w:sz w:val="24"/>
          <w:szCs w:val="24"/>
        </w:rPr>
        <w:t>L</w:t>
      </w:r>
      <w:r w:rsidR="00F1090B" w:rsidRPr="00D535E1">
        <w:rPr>
          <w:rFonts w:ascii="Arial" w:hAnsi="Arial" w:cs="Arial"/>
          <w:sz w:val="24"/>
          <w:szCs w:val="24"/>
        </w:rPr>
        <w:t>a capa de recarga hídrica a escala 1:25.000, correspondiente al periodo 2019–2024</w:t>
      </w:r>
      <w:r w:rsidR="006174E1">
        <w:rPr>
          <w:rFonts w:ascii="Arial" w:hAnsi="Arial" w:cs="Arial"/>
          <w:sz w:val="24"/>
          <w:szCs w:val="24"/>
        </w:rPr>
        <w:t xml:space="preserve"> </w:t>
      </w:r>
      <w:r w:rsidR="00F1090B" w:rsidRPr="00D535E1">
        <w:rPr>
          <w:rFonts w:ascii="Arial" w:hAnsi="Arial" w:cs="Arial"/>
          <w:sz w:val="24"/>
          <w:szCs w:val="24"/>
        </w:rPr>
        <w:t>permite identificar las zonas donde el agua se infiltra y alimenta los acuíferos, cumpliendo una función esencial en el mantenimiento de caudales y en la disponibilidad del recurso a largo plazo.</w:t>
      </w:r>
    </w:p>
    <w:p w14:paraId="369DC2A7" w14:textId="77777777" w:rsidR="00F1090B" w:rsidRDefault="00F1090B" w:rsidP="001372EB">
      <w:pPr>
        <w:spacing w:line="276" w:lineRule="auto"/>
        <w:jc w:val="both"/>
        <w:rPr>
          <w:rFonts w:ascii="Arial" w:hAnsi="Arial" w:cs="Arial"/>
          <w:sz w:val="24"/>
          <w:szCs w:val="24"/>
        </w:rPr>
      </w:pPr>
      <w:r w:rsidRPr="00D535E1">
        <w:rPr>
          <w:rFonts w:ascii="Arial" w:hAnsi="Arial" w:cs="Arial"/>
          <w:sz w:val="24"/>
          <w:szCs w:val="24"/>
        </w:rPr>
        <w:t>En conjunto, estos insumos permiten delimitar las áreas estratégicas para el recurso hídrico dentro del territorio, priorizando su conservación y manejo especial. Este criterio es fundamental para garantizar la sostenibilidad ambiental, la protección de los ecosistemas asociados al agua y la seguridad hídrica de las comunidades que dependen de ella.</w:t>
      </w:r>
    </w:p>
    <w:p w14:paraId="752CEC59" w14:textId="4A239991" w:rsidR="003D2744" w:rsidRPr="003D2744" w:rsidRDefault="00AB3D49" w:rsidP="001372EB">
      <w:pPr>
        <w:spacing w:line="276" w:lineRule="auto"/>
        <w:jc w:val="both"/>
        <w:rPr>
          <w:rFonts w:ascii="Arial" w:hAnsi="Arial" w:cs="Arial"/>
          <w:sz w:val="24"/>
          <w:szCs w:val="24"/>
        </w:rPr>
      </w:pPr>
      <w:r>
        <w:rPr>
          <w:rFonts w:ascii="Arial" w:hAnsi="Arial" w:cs="Arial"/>
          <w:sz w:val="24"/>
          <w:szCs w:val="24"/>
        </w:rPr>
        <w:t>E</w:t>
      </w:r>
      <w:r w:rsidRPr="00B27816">
        <w:rPr>
          <w:rFonts w:ascii="Arial" w:hAnsi="Arial" w:cs="Arial"/>
          <w:sz w:val="24"/>
          <w:szCs w:val="24"/>
        </w:rPr>
        <w:t xml:space="preserve">n el anexo denominado </w:t>
      </w:r>
      <w:r w:rsidR="003D2744" w:rsidRPr="003D2744">
        <w:rPr>
          <w:rFonts w:ascii="Arial" w:hAnsi="Arial" w:cs="Arial"/>
          <w:sz w:val="24"/>
          <w:szCs w:val="24"/>
        </w:rPr>
        <w:t>“</w:t>
      </w:r>
      <w:r w:rsidR="003D2744" w:rsidRPr="00A16C90">
        <w:rPr>
          <w:rFonts w:ascii="Arial" w:hAnsi="Arial" w:cs="Arial"/>
          <w:b/>
          <w:bCs/>
          <w:i/>
          <w:iCs/>
          <w:sz w:val="24"/>
          <w:szCs w:val="24"/>
        </w:rPr>
        <w:t>Documento técnico de soporte Recarga</w:t>
      </w:r>
      <w:r w:rsidR="003D2744" w:rsidRPr="003D2744">
        <w:rPr>
          <w:rFonts w:ascii="Arial" w:hAnsi="Arial" w:cs="Arial"/>
          <w:sz w:val="24"/>
          <w:szCs w:val="24"/>
        </w:rPr>
        <w:t>”</w:t>
      </w:r>
      <w:r>
        <w:rPr>
          <w:rFonts w:ascii="Arial" w:hAnsi="Arial" w:cs="Arial"/>
          <w:sz w:val="24"/>
          <w:szCs w:val="24"/>
        </w:rPr>
        <w:t xml:space="preserve"> </w:t>
      </w:r>
      <w:r w:rsidR="003D2744" w:rsidRPr="003D2744">
        <w:rPr>
          <w:rFonts w:ascii="Arial" w:hAnsi="Arial" w:cs="Arial"/>
          <w:sz w:val="24"/>
          <w:szCs w:val="24"/>
        </w:rPr>
        <w:t xml:space="preserve">se describen los criterios utilizados para la identificación y delimitación de las zonas de recarga hídrica, las fuentes de información empleadas, así como los procedimientos de análisis y procesamiento espacial aplicados </w:t>
      </w:r>
      <w:r>
        <w:rPr>
          <w:rFonts w:ascii="Arial" w:hAnsi="Arial" w:cs="Arial"/>
          <w:sz w:val="24"/>
          <w:szCs w:val="24"/>
        </w:rPr>
        <w:t>en</w:t>
      </w:r>
      <w:r w:rsidR="003D2744" w:rsidRPr="003D2744">
        <w:rPr>
          <w:rFonts w:ascii="Arial" w:hAnsi="Arial" w:cs="Arial"/>
          <w:sz w:val="24"/>
          <w:szCs w:val="24"/>
        </w:rPr>
        <w:t xml:space="preserve"> su construcción. </w:t>
      </w:r>
    </w:p>
    <w:p w14:paraId="594F9949" w14:textId="4C47AFB7" w:rsidR="001456BF" w:rsidRPr="00646F59" w:rsidRDefault="001456BF" w:rsidP="001372EB">
      <w:pPr>
        <w:spacing w:line="276" w:lineRule="auto"/>
        <w:jc w:val="both"/>
        <w:rPr>
          <w:rFonts w:ascii="Arial" w:hAnsi="Arial" w:cs="Arial"/>
          <w:b/>
          <w:bCs/>
          <w:sz w:val="24"/>
          <w:szCs w:val="24"/>
          <w:u w:val="single"/>
          <w:lang w:val="es-ES"/>
        </w:rPr>
      </w:pPr>
      <w:r w:rsidRPr="00646F59">
        <w:rPr>
          <w:rFonts w:ascii="Arial" w:hAnsi="Arial" w:cs="Arial"/>
          <w:b/>
          <w:bCs/>
          <w:sz w:val="24"/>
          <w:szCs w:val="24"/>
          <w:u w:val="single"/>
          <w:lang w:val="es-ES"/>
        </w:rPr>
        <w:t>Criterio 5</w:t>
      </w:r>
      <w:r w:rsidR="000366B3" w:rsidRPr="00646F59">
        <w:rPr>
          <w:rFonts w:ascii="Arial" w:hAnsi="Arial" w:cs="Arial"/>
          <w:b/>
          <w:bCs/>
          <w:sz w:val="24"/>
          <w:szCs w:val="24"/>
          <w:u w:val="single"/>
          <w:lang w:val="es-ES"/>
        </w:rPr>
        <w:t>.</w:t>
      </w:r>
      <w:r w:rsidRPr="00646F59">
        <w:rPr>
          <w:rFonts w:ascii="Arial" w:hAnsi="Arial" w:cs="Arial"/>
          <w:b/>
          <w:bCs/>
          <w:sz w:val="24"/>
          <w:szCs w:val="24"/>
          <w:u w:val="single"/>
          <w:lang w:val="es-ES"/>
        </w:rPr>
        <w:t xml:space="preserve"> </w:t>
      </w:r>
      <w:r w:rsidR="000366B3" w:rsidRPr="00646F59">
        <w:rPr>
          <w:rFonts w:ascii="Arial" w:hAnsi="Arial" w:cs="Arial"/>
          <w:b/>
          <w:bCs/>
          <w:sz w:val="24"/>
          <w:szCs w:val="24"/>
          <w:u w:val="single"/>
          <w:lang w:val="es-ES"/>
        </w:rPr>
        <w:t>C</w:t>
      </w:r>
      <w:r w:rsidRPr="00646F59">
        <w:rPr>
          <w:rFonts w:ascii="Arial" w:hAnsi="Arial" w:cs="Arial"/>
          <w:b/>
          <w:bCs/>
          <w:sz w:val="24"/>
          <w:szCs w:val="24"/>
          <w:u w:val="single"/>
          <w:lang w:val="es-ES"/>
        </w:rPr>
        <w:t>onectividad</w:t>
      </w:r>
      <w:r w:rsidR="000366B3" w:rsidRPr="00646F59">
        <w:rPr>
          <w:rFonts w:ascii="Arial" w:hAnsi="Arial" w:cs="Arial"/>
          <w:b/>
          <w:bCs/>
          <w:sz w:val="24"/>
          <w:szCs w:val="24"/>
          <w:u w:val="single"/>
          <w:lang w:val="es-ES"/>
        </w:rPr>
        <w:t xml:space="preserve"> Ecológica </w:t>
      </w:r>
    </w:p>
    <w:p w14:paraId="6ED078FE" w14:textId="77777777" w:rsidR="005D1AF0" w:rsidRDefault="001456BF" w:rsidP="001372EB">
      <w:pPr>
        <w:spacing w:line="276" w:lineRule="auto"/>
        <w:jc w:val="both"/>
        <w:rPr>
          <w:rFonts w:ascii="Arial" w:hAnsi="Arial" w:cs="Arial"/>
          <w:sz w:val="24"/>
          <w:szCs w:val="24"/>
          <w:lang w:val="es-ES"/>
        </w:rPr>
      </w:pPr>
      <w:r w:rsidRPr="00D535E1">
        <w:rPr>
          <w:rFonts w:ascii="Arial" w:hAnsi="Arial" w:cs="Arial"/>
          <w:sz w:val="24"/>
          <w:szCs w:val="24"/>
          <w:lang w:val="es-ES"/>
        </w:rPr>
        <w:t xml:space="preserve">Este criterio se fundamenta en el análisis de la conectividad ecológica del paisaje, con el propósito de identificar áreas que facilitan el movimiento de especies, el flujo de procesos ecológicos y la continuidad de los ecosistemas dentro del territorio. </w:t>
      </w:r>
    </w:p>
    <w:p w14:paraId="078DA2CF" w14:textId="4CF1A138" w:rsidR="001456BF" w:rsidRPr="00D535E1" w:rsidRDefault="001456BF" w:rsidP="001372EB">
      <w:pPr>
        <w:spacing w:line="276" w:lineRule="auto"/>
        <w:jc w:val="both"/>
        <w:rPr>
          <w:rFonts w:ascii="Arial" w:hAnsi="Arial" w:cs="Arial"/>
          <w:sz w:val="24"/>
          <w:szCs w:val="24"/>
          <w:lang w:val="es-ES"/>
        </w:rPr>
      </w:pPr>
      <w:r w:rsidRPr="00D535E1">
        <w:rPr>
          <w:rFonts w:ascii="Arial" w:hAnsi="Arial" w:cs="Arial"/>
          <w:sz w:val="24"/>
          <w:szCs w:val="24"/>
          <w:lang w:val="es-ES"/>
        </w:rPr>
        <w:t xml:space="preserve">Para su aplicación se utilizó la capa de corredores potenciales, la cual fue generada a partir de un análisis de conectividad estructural basado en la </w:t>
      </w:r>
      <w:r w:rsidR="009C20E8" w:rsidRPr="00D535E1">
        <w:rPr>
          <w:rFonts w:ascii="Arial" w:hAnsi="Arial" w:cs="Arial"/>
          <w:sz w:val="24"/>
          <w:szCs w:val="24"/>
          <w:lang w:val="es-ES"/>
        </w:rPr>
        <w:t xml:space="preserve">capa </w:t>
      </w:r>
      <w:r w:rsidRPr="00D535E1">
        <w:rPr>
          <w:rFonts w:ascii="Arial" w:hAnsi="Arial" w:cs="Arial"/>
          <w:sz w:val="24"/>
          <w:szCs w:val="24"/>
          <w:lang w:val="es-ES"/>
        </w:rPr>
        <w:t xml:space="preserve">cobertura de la tierra </w:t>
      </w:r>
      <w:r w:rsidR="005D1AF0">
        <w:rPr>
          <w:rFonts w:ascii="Arial" w:hAnsi="Arial" w:cs="Arial"/>
          <w:sz w:val="24"/>
          <w:szCs w:val="24"/>
          <w:lang w:val="es-ES"/>
        </w:rPr>
        <w:t xml:space="preserve">elaborada por la CAR par el año </w:t>
      </w:r>
      <w:r w:rsidRPr="00D535E1">
        <w:rPr>
          <w:rFonts w:ascii="Arial" w:hAnsi="Arial" w:cs="Arial"/>
          <w:sz w:val="24"/>
          <w:szCs w:val="24"/>
          <w:lang w:val="es-ES"/>
        </w:rPr>
        <w:t>2023</w:t>
      </w:r>
      <w:r w:rsidR="005D1AF0">
        <w:rPr>
          <w:rFonts w:ascii="Arial" w:hAnsi="Arial" w:cs="Arial"/>
          <w:sz w:val="24"/>
          <w:szCs w:val="24"/>
          <w:lang w:val="es-ES"/>
        </w:rPr>
        <w:t>.</w:t>
      </w:r>
    </w:p>
    <w:p w14:paraId="5601132E" w14:textId="22A71686" w:rsidR="001456BF" w:rsidRPr="00D535E1" w:rsidRDefault="001456BF" w:rsidP="001372EB">
      <w:pPr>
        <w:spacing w:line="276" w:lineRule="auto"/>
        <w:jc w:val="both"/>
        <w:rPr>
          <w:rFonts w:ascii="Arial" w:hAnsi="Arial" w:cs="Arial"/>
          <w:sz w:val="24"/>
          <w:szCs w:val="24"/>
          <w:lang w:val="es-ES"/>
        </w:rPr>
      </w:pPr>
      <w:r w:rsidRPr="00D535E1">
        <w:rPr>
          <w:rFonts w:ascii="Arial" w:hAnsi="Arial" w:cs="Arial"/>
          <w:sz w:val="24"/>
          <w:szCs w:val="24"/>
          <w:lang w:val="es-ES"/>
        </w:rPr>
        <w:t xml:space="preserve">La conectividad estructural se refiere al grado en que los diferentes elementos del paisaje como bosques, matorrales, áreas naturales o coberturas seminaturales se encuentran físicamente conectados o próximos entre sí, permitiendo el desplazamiento de la fauna, la dispersión de semillas y el mantenimiento de los procesos ecológicos. Este tipo de análisis se basa principalmente en la distribución </w:t>
      </w:r>
      <w:r w:rsidRPr="00D535E1">
        <w:rPr>
          <w:rFonts w:ascii="Arial" w:hAnsi="Arial" w:cs="Arial"/>
          <w:sz w:val="24"/>
          <w:szCs w:val="24"/>
          <w:lang w:val="es-ES"/>
        </w:rPr>
        <w:lastRenderedPageBreak/>
        <w:t>espacial de las coberturas naturales y en la identificación de parches de hábitat que pueden funcionar como nodos de conectividad dentro del territorio.</w:t>
      </w:r>
    </w:p>
    <w:p w14:paraId="5816C7DD" w14:textId="77777777" w:rsidR="00DC1F49" w:rsidRDefault="00DC1F49" w:rsidP="001372EB">
      <w:pPr>
        <w:spacing w:line="276" w:lineRule="auto"/>
        <w:jc w:val="both"/>
        <w:rPr>
          <w:rFonts w:ascii="Arial" w:hAnsi="Arial" w:cs="Arial"/>
          <w:b/>
          <w:bCs/>
          <w:sz w:val="24"/>
          <w:szCs w:val="24"/>
        </w:rPr>
      </w:pPr>
      <w:r w:rsidRPr="00F430D3">
        <w:rPr>
          <w:rFonts w:ascii="Arial" w:hAnsi="Arial" w:cs="Arial"/>
          <w:b/>
          <w:bCs/>
          <w:sz w:val="24"/>
          <w:szCs w:val="24"/>
        </w:rPr>
        <w:t>Criterio 6. Amenazas por fenómenos naturales en grado alto</w:t>
      </w:r>
    </w:p>
    <w:p w14:paraId="74038E5F" w14:textId="3359A108" w:rsidR="00024CCD" w:rsidRPr="00D535E1" w:rsidRDefault="00024CCD" w:rsidP="00024CCD">
      <w:pPr>
        <w:spacing w:line="276" w:lineRule="auto"/>
        <w:jc w:val="both"/>
        <w:rPr>
          <w:rFonts w:ascii="Arial" w:hAnsi="Arial" w:cs="Arial"/>
          <w:sz w:val="24"/>
          <w:szCs w:val="24"/>
        </w:rPr>
      </w:pPr>
      <w:r w:rsidRPr="00D535E1">
        <w:rPr>
          <w:rFonts w:ascii="Arial" w:hAnsi="Arial" w:cs="Arial"/>
          <w:sz w:val="24"/>
          <w:szCs w:val="24"/>
        </w:rPr>
        <w:t xml:space="preserve">La delimitación de las áreas con grado alto de amenaza se realizó a partir de la información técnica contenida en los Planes de Ordenación y Manejo de Cuencas Hidrográficas (POMCA), </w:t>
      </w:r>
      <w:r w:rsidR="00271EB0">
        <w:rPr>
          <w:rFonts w:ascii="Arial" w:hAnsi="Arial" w:cs="Arial"/>
          <w:sz w:val="24"/>
          <w:szCs w:val="24"/>
        </w:rPr>
        <w:t xml:space="preserve">que son </w:t>
      </w:r>
      <w:r w:rsidRPr="00D535E1">
        <w:rPr>
          <w:rFonts w:ascii="Arial" w:hAnsi="Arial" w:cs="Arial"/>
          <w:sz w:val="24"/>
          <w:szCs w:val="24"/>
        </w:rPr>
        <w:t>instrumentos de planificación ambiental que integran estudios detallados sobre las condiciones biofísicas, geomorfológicas e hidrológicas de las cuencas</w:t>
      </w:r>
      <w:r>
        <w:rPr>
          <w:rFonts w:ascii="Arial" w:hAnsi="Arial" w:cs="Arial"/>
          <w:sz w:val="24"/>
          <w:szCs w:val="24"/>
        </w:rPr>
        <w:t xml:space="preserve"> y son elaborados en escala 1:25.000</w:t>
      </w:r>
      <w:r w:rsidRPr="00D535E1">
        <w:rPr>
          <w:rFonts w:ascii="Arial" w:hAnsi="Arial" w:cs="Arial"/>
          <w:sz w:val="24"/>
          <w:szCs w:val="24"/>
        </w:rPr>
        <w:t xml:space="preserve">. </w:t>
      </w:r>
    </w:p>
    <w:p w14:paraId="52B645D4" w14:textId="07BCA17B" w:rsidR="007F07DA" w:rsidRPr="00D535E1" w:rsidRDefault="007F07DA" w:rsidP="001372EB">
      <w:pPr>
        <w:spacing w:line="276" w:lineRule="auto"/>
        <w:jc w:val="both"/>
        <w:rPr>
          <w:rFonts w:ascii="Arial" w:hAnsi="Arial" w:cs="Arial"/>
          <w:sz w:val="24"/>
          <w:szCs w:val="24"/>
        </w:rPr>
      </w:pPr>
      <w:r w:rsidRPr="00D535E1">
        <w:rPr>
          <w:rFonts w:ascii="Arial" w:hAnsi="Arial" w:cs="Arial"/>
          <w:sz w:val="24"/>
          <w:szCs w:val="24"/>
        </w:rPr>
        <w:t xml:space="preserve">Este criterio considera las áreas del territorio que presentan niveles altos de amenaza asociados a fenómenos naturales, con el fin de incorporarlas dentro del análisis para </w:t>
      </w:r>
      <w:r w:rsidR="00A24D83">
        <w:rPr>
          <w:rFonts w:ascii="Arial" w:hAnsi="Arial" w:cs="Arial"/>
          <w:sz w:val="24"/>
          <w:szCs w:val="24"/>
        </w:rPr>
        <w:t xml:space="preserve">el </w:t>
      </w:r>
      <w:r w:rsidR="00A24D83" w:rsidRPr="00D535E1">
        <w:rPr>
          <w:rFonts w:ascii="Arial" w:hAnsi="Arial" w:cs="Arial"/>
          <w:sz w:val="24"/>
          <w:szCs w:val="24"/>
        </w:rPr>
        <w:t xml:space="preserve">proceso de </w:t>
      </w:r>
      <w:r w:rsidRPr="00D535E1">
        <w:rPr>
          <w:rFonts w:ascii="Arial" w:hAnsi="Arial" w:cs="Arial"/>
          <w:sz w:val="24"/>
          <w:szCs w:val="24"/>
        </w:rPr>
        <w:t>zonificación. La identificación de estas zonas permite reconocer sectores donde las condiciones físicas del terreno y los procesos naturales pueden generar riesgos significativos para los ecosistemas, la infraestructura y las actividades humanas.</w:t>
      </w:r>
    </w:p>
    <w:p w14:paraId="35A1BDA4" w14:textId="1A7BFD46" w:rsidR="007F07DA" w:rsidRDefault="007F07DA" w:rsidP="001372EB">
      <w:pPr>
        <w:spacing w:line="276" w:lineRule="auto"/>
        <w:jc w:val="both"/>
        <w:rPr>
          <w:rFonts w:ascii="Arial" w:hAnsi="Arial" w:cs="Arial"/>
          <w:sz w:val="24"/>
          <w:szCs w:val="24"/>
        </w:rPr>
      </w:pPr>
      <w:r w:rsidRPr="00D535E1">
        <w:rPr>
          <w:rFonts w:ascii="Arial" w:hAnsi="Arial" w:cs="Arial"/>
          <w:sz w:val="24"/>
          <w:szCs w:val="24"/>
        </w:rPr>
        <w:t xml:space="preserve">Las amenazas por fenómenos naturales corresponden a la probabilidad de ocurrencia de eventos naturales potencialmente dañinos que pueden afectar la estabilidad del suelo, la integridad de los ecosistemas y la seguridad de las actividades desarrolladas en el territorio. Para la aplicación de este criterio se tuvieron en cuenta </w:t>
      </w:r>
      <w:r w:rsidR="003E1C01" w:rsidRPr="00D535E1">
        <w:rPr>
          <w:rFonts w:ascii="Arial" w:hAnsi="Arial" w:cs="Arial"/>
          <w:sz w:val="24"/>
          <w:szCs w:val="24"/>
        </w:rPr>
        <w:t>concretamente</w:t>
      </w:r>
      <w:r w:rsidRPr="00D535E1">
        <w:rPr>
          <w:rFonts w:ascii="Arial" w:hAnsi="Arial" w:cs="Arial"/>
          <w:sz w:val="24"/>
          <w:szCs w:val="24"/>
        </w:rPr>
        <w:t xml:space="preserve"> las amenazas por movimientos en masa, avenidas torrenciales e inundaciones, fenómenos que pueden presentarse como consecuencia de factores como pendientes pronunciadas, condiciones geológicas inestables, características del suelo, dinámica hidrológica de las cuencas y eventos de precipitación intensa.</w:t>
      </w:r>
    </w:p>
    <w:p w14:paraId="77BF1B09" w14:textId="3160DD5C" w:rsidR="00DA6100" w:rsidRPr="00DA6100" w:rsidRDefault="00DA6100" w:rsidP="001372EB">
      <w:pPr>
        <w:spacing w:line="276" w:lineRule="auto"/>
        <w:jc w:val="both"/>
        <w:rPr>
          <w:rFonts w:ascii="Arial" w:hAnsi="Arial" w:cs="Arial"/>
          <w:sz w:val="24"/>
          <w:szCs w:val="24"/>
        </w:rPr>
      </w:pPr>
      <w:r w:rsidRPr="00DA6100">
        <w:rPr>
          <w:rFonts w:ascii="Arial" w:hAnsi="Arial" w:cs="Arial"/>
          <w:sz w:val="24"/>
          <w:szCs w:val="24"/>
        </w:rPr>
        <w:t>Es importante aclarar que no se incluyeron dentro de este análisis las zonas de amenaza</w:t>
      </w:r>
      <w:r w:rsidR="003E1C01">
        <w:rPr>
          <w:rFonts w:ascii="Arial" w:hAnsi="Arial" w:cs="Arial"/>
          <w:sz w:val="24"/>
          <w:szCs w:val="24"/>
        </w:rPr>
        <w:t xml:space="preserve"> alta</w:t>
      </w:r>
      <w:r w:rsidRPr="00DA6100">
        <w:rPr>
          <w:rFonts w:ascii="Arial" w:hAnsi="Arial" w:cs="Arial"/>
          <w:sz w:val="24"/>
          <w:szCs w:val="24"/>
        </w:rPr>
        <w:t xml:space="preserve"> por incendios, dado que la incorporación de esta variable generaría modificaciones en prácticamente la totalidad del área protegida</w:t>
      </w:r>
      <w:r w:rsidR="00D46B05">
        <w:rPr>
          <w:rFonts w:ascii="Arial" w:hAnsi="Arial" w:cs="Arial"/>
          <w:sz w:val="24"/>
          <w:szCs w:val="24"/>
        </w:rPr>
        <w:t xml:space="preserve"> </w:t>
      </w:r>
      <w:r w:rsidRPr="00DA6100">
        <w:rPr>
          <w:rFonts w:ascii="Arial" w:hAnsi="Arial" w:cs="Arial"/>
          <w:sz w:val="24"/>
          <w:szCs w:val="24"/>
        </w:rPr>
        <w:t>y dificultaría la diferenciación efectiva de las zonas de manejo.</w:t>
      </w:r>
    </w:p>
    <w:p w14:paraId="7210FE18" w14:textId="77777777" w:rsidR="0009083F" w:rsidRPr="00CE500C" w:rsidRDefault="0009083F" w:rsidP="001372EB">
      <w:pPr>
        <w:spacing w:line="276" w:lineRule="auto"/>
        <w:jc w:val="both"/>
        <w:rPr>
          <w:rFonts w:ascii="Arial" w:hAnsi="Arial" w:cs="Arial"/>
          <w:b/>
          <w:bCs/>
          <w:sz w:val="24"/>
          <w:szCs w:val="24"/>
        </w:rPr>
      </w:pPr>
      <w:r w:rsidRPr="00CE500C">
        <w:rPr>
          <w:rFonts w:ascii="Arial" w:hAnsi="Arial" w:cs="Arial"/>
          <w:b/>
          <w:bCs/>
          <w:sz w:val="24"/>
          <w:szCs w:val="24"/>
        </w:rPr>
        <w:t>Criterio 7. Infraestructura preexistente</w:t>
      </w:r>
    </w:p>
    <w:p w14:paraId="7D8D67FD" w14:textId="3B1D8259" w:rsidR="00452AAB" w:rsidRPr="00D535E1" w:rsidRDefault="00452AAB" w:rsidP="00452AAB">
      <w:pPr>
        <w:spacing w:line="276" w:lineRule="auto"/>
        <w:jc w:val="both"/>
        <w:rPr>
          <w:rFonts w:ascii="Arial" w:hAnsi="Arial" w:cs="Arial"/>
          <w:sz w:val="24"/>
          <w:szCs w:val="24"/>
        </w:rPr>
      </w:pPr>
      <w:r w:rsidRPr="00CE500C">
        <w:rPr>
          <w:rFonts w:ascii="Arial" w:hAnsi="Arial" w:cs="Arial"/>
          <w:sz w:val="24"/>
          <w:szCs w:val="24"/>
        </w:rPr>
        <w:t>Este criterio considera la infraestructura existente dentro del territorio, con el propósito de identificar aquellas obras físicas y elementos construidos que hacen parte de la ocupación actual del área y que cumplen funciones esenciales para el desarrollo de actividades humanas y la prestación de servicios a la población. La inclusión de este criterio dentro del proceso de zonificación permite reconocer la presencia de estructuras que ya se encuentran establecidas en el territorio y que influyen en la dinámica del uso del suelo.</w:t>
      </w:r>
    </w:p>
    <w:p w14:paraId="5FA4A5DE" w14:textId="7380C63D" w:rsidR="00041218" w:rsidRPr="00041218" w:rsidRDefault="00041218" w:rsidP="00041218">
      <w:pPr>
        <w:spacing w:line="276" w:lineRule="auto"/>
        <w:jc w:val="both"/>
        <w:rPr>
          <w:rFonts w:ascii="Arial" w:hAnsi="Arial" w:cs="Arial"/>
          <w:sz w:val="24"/>
          <w:szCs w:val="24"/>
        </w:rPr>
      </w:pPr>
      <w:r w:rsidRPr="00041218">
        <w:rPr>
          <w:rFonts w:ascii="Arial" w:hAnsi="Arial" w:cs="Arial"/>
          <w:sz w:val="24"/>
          <w:szCs w:val="24"/>
        </w:rPr>
        <w:t>Como insumo base se empleó la capa de coberturas de la tierra elaborada por la CAR</w:t>
      </w:r>
      <w:r w:rsidR="004B5D22">
        <w:rPr>
          <w:rFonts w:ascii="Arial" w:hAnsi="Arial" w:cs="Arial"/>
          <w:sz w:val="24"/>
          <w:szCs w:val="24"/>
        </w:rPr>
        <w:t xml:space="preserve"> - 2023</w:t>
      </w:r>
      <w:r w:rsidRPr="00041218">
        <w:rPr>
          <w:rFonts w:ascii="Arial" w:hAnsi="Arial" w:cs="Arial"/>
          <w:sz w:val="24"/>
          <w:szCs w:val="24"/>
        </w:rPr>
        <w:t xml:space="preserve">, específicamente la correspondiente al modelo de clasificación Corine </w:t>
      </w:r>
      <w:r w:rsidRPr="00041218">
        <w:rPr>
          <w:rFonts w:ascii="Arial" w:hAnsi="Arial" w:cs="Arial"/>
          <w:sz w:val="24"/>
          <w:szCs w:val="24"/>
        </w:rPr>
        <w:lastRenderedPageBreak/>
        <w:t xml:space="preserve">Land Cover, en su nivel 3, que </w:t>
      </w:r>
      <w:r w:rsidR="004B5D22">
        <w:rPr>
          <w:rFonts w:ascii="Arial" w:hAnsi="Arial" w:cs="Arial"/>
          <w:sz w:val="24"/>
          <w:szCs w:val="24"/>
        </w:rPr>
        <w:t>corresponde a</w:t>
      </w:r>
      <w:r w:rsidRPr="00041218">
        <w:rPr>
          <w:rFonts w:ascii="Arial" w:hAnsi="Arial" w:cs="Arial"/>
          <w:sz w:val="24"/>
          <w:szCs w:val="24"/>
        </w:rPr>
        <w:t xml:space="preserve"> la categoría “</w:t>
      </w:r>
      <w:r w:rsidRPr="00243EBA">
        <w:rPr>
          <w:rFonts w:ascii="Arial" w:hAnsi="Arial" w:cs="Arial"/>
          <w:i/>
          <w:iCs/>
          <w:sz w:val="24"/>
          <w:szCs w:val="24"/>
        </w:rPr>
        <w:t>Red vial, ferroviaria y terrenos asociados</w:t>
      </w:r>
      <w:r w:rsidRPr="00041218">
        <w:rPr>
          <w:rFonts w:ascii="Arial" w:hAnsi="Arial" w:cs="Arial"/>
          <w:sz w:val="24"/>
          <w:szCs w:val="24"/>
        </w:rPr>
        <w:t xml:space="preserve">”. Esta información permitió identificar de manera preliminar los elementos de infraestructura vial y férrea presentes en </w:t>
      </w:r>
      <w:r w:rsidR="00E734BD">
        <w:rPr>
          <w:rFonts w:ascii="Arial" w:hAnsi="Arial" w:cs="Arial"/>
          <w:sz w:val="24"/>
          <w:szCs w:val="24"/>
        </w:rPr>
        <w:t>todo el</w:t>
      </w:r>
      <w:r w:rsidRPr="00041218">
        <w:rPr>
          <w:rFonts w:ascii="Arial" w:hAnsi="Arial" w:cs="Arial"/>
          <w:sz w:val="24"/>
          <w:szCs w:val="24"/>
        </w:rPr>
        <w:t xml:space="preserve"> territorio.</w:t>
      </w:r>
    </w:p>
    <w:p w14:paraId="3098B1D2" w14:textId="5236B297" w:rsidR="00046610" w:rsidRDefault="00041218" w:rsidP="00041218">
      <w:pPr>
        <w:spacing w:line="276" w:lineRule="auto"/>
        <w:jc w:val="both"/>
        <w:rPr>
          <w:rFonts w:ascii="Arial" w:hAnsi="Arial" w:cs="Arial"/>
          <w:sz w:val="24"/>
          <w:szCs w:val="24"/>
        </w:rPr>
      </w:pPr>
      <w:r w:rsidRPr="00041218">
        <w:rPr>
          <w:rFonts w:ascii="Arial" w:hAnsi="Arial" w:cs="Arial"/>
          <w:sz w:val="24"/>
          <w:szCs w:val="24"/>
        </w:rPr>
        <w:t xml:space="preserve">Posteriormente, esta información fue complementada mediante la integración de diferentes fuentes cartográficas oficiales. En primer lugar, se incorporó la Cartografía Básica del Departamento de Cundinamarca a escala 1:25.000, elaborada en junio de 2015 por el Instituto Geográfico Agustín Codazzi (IGAC. A partir de este insumo se realizó la clasificación de las vías tipo 3, de acuerdo con la metodología correspondiente, incorporando posteriormente dichos elementos a la capa principal. </w:t>
      </w:r>
    </w:p>
    <w:p w14:paraId="02418BB2" w14:textId="1BEDC36E" w:rsidR="00845226" w:rsidRDefault="00041218" w:rsidP="00041218">
      <w:pPr>
        <w:spacing w:line="276" w:lineRule="auto"/>
        <w:jc w:val="both"/>
        <w:rPr>
          <w:rFonts w:ascii="Arial" w:hAnsi="Arial" w:cs="Arial"/>
          <w:sz w:val="24"/>
          <w:szCs w:val="24"/>
        </w:rPr>
      </w:pPr>
      <w:r w:rsidRPr="00041218">
        <w:rPr>
          <w:rFonts w:ascii="Arial" w:hAnsi="Arial" w:cs="Arial"/>
          <w:sz w:val="24"/>
          <w:szCs w:val="24"/>
        </w:rPr>
        <w:t xml:space="preserve">Previamente a su integración, se efectuó una revisión y ajuste de los </w:t>
      </w:r>
      <w:r w:rsidR="008E1F7C">
        <w:rPr>
          <w:rFonts w:ascii="Arial" w:hAnsi="Arial" w:cs="Arial"/>
          <w:sz w:val="24"/>
          <w:szCs w:val="24"/>
        </w:rPr>
        <w:t>elementos</w:t>
      </w:r>
      <w:r w:rsidRPr="00041218">
        <w:rPr>
          <w:rFonts w:ascii="Arial" w:hAnsi="Arial" w:cs="Arial"/>
          <w:sz w:val="24"/>
          <w:szCs w:val="24"/>
        </w:rPr>
        <w:t xml:space="preserve"> que así lo requerían, con el fin de garantizar la consistencia geométrica y la coherencia topológica de la información dentro de la base cartográfic</w:t>
      </w:r>
      <w:r w:rsidR="008E1F7C">
        <w:rPr>
          <w:rFonts w:ascii="Arial" w:hAnsi="Arial" w:cs="Arial"/>
          <w:sz w:val="24"/>
          <w:szCs w:val="24"/>
        </w:rPr>
        <w:t>a</w:t>
      </w:r>
      <w:r w:rsidRPr="00041218">
        <w:rPr>
          <w:rFonts w:ascii="Arial" w:hAnsi="Arial" w:cs="Arial"/>
          <w:sz w:val="24"/>
          <w:szCs w:val="24"/>
        </w:rPr>
        <w:t>.</w:t>
      </w:r>
    </w:p>
    <w:p w14:paraId="221B7D34" w14:textId="089C3043" w:rsidR="00CB19CD" w:rsidRPr="002161A7" w:rsidRDefault="00CB19CD" w:rsidP="006864D6">
      <w:pPr>
        <w:spacing w:line="276" w:lineRule="auto"/>
        <w:jc w:val="both"/>
        <w:rPr>
          <w:rFonts w:ascii="Arial" w:hAnsi="Arial" w:cs="Arial"/>
          <w:sz w:val="24"/>
          <w:szCs w:val="24"/>
        </w:rPr>
      </w:pPr>
      <w:r w:rsidRPr="002161A7">
        <w:rPr>
          <w:rFonts w:ascii="Arial" w:hAnsi="Arial" w:cs="Arial"/>
          <w:sz w:val="24"/>
          <w:szCs w:val="24"/>
        </w:rPr>
        <w:t>En segundo lugar, la información fue complementada con la capa temática de infraestructura vial del departamento de Cundinamarca, correspondiente al Mapa de infraestructura vial del departamento, cuya última actualización fue registrada el 29 de agosto de 2022. Este insumo cartográfico fue revisado con el fin de identificar tramos viales que no se encontraban representados en la base de datos principal</w:t>
      </w:r>
      <w:r w:rsidR="00000A7A">
        <w:rPr>
          <w:rFonts w:ascii="Arial" w:hAnsi="Arial" w:cs="Arial"/>
          <w:sz w:val="24"/>
          <w:szCs w:val="24"/>
        </w:rPr>
        <w:t>, u</w:t>
      </w:r>
      <w:r w:rsidRPr="002161A7">
        <w:rPr>
          <w:rFonts w:ascii="Arial" w:hAnsi="Arial" w:cs="Arial"/>
          <w:sz w:val="24"/>
          <w:szCs w:val="24"/>
        </w:rPr>
        <w:t>na vez identificados, dichos tramos fueron incorporados a la base cartográfica del pr</w:t>
      </w:r>
      <w:r w:rsidR="00000A7A">
        <w:rPr>
          <w:rFonts w:ascii="Arial" w:hAnsi="Arial" w:cs="Arial"/>
          <w:sz w:val="24"/>
          <w:szCs w:val="24"/>
        </w:rPr>
        <w:t>oceso</w:t>
      </w:r>
      <w:r w:rsidRPr="002161A7">
        <w:rPr>
          <w:rFonts w:ascii="Arial" w:hAnsi="Arial" w:cs="Arial"/>
          <w:sz w:val="24"/>
          <w:szCs w:val="24"/>
        </w:rPr>
        <w:t>, con el propósito de mejorar la completitud y consistencia de la información utilizada en el análisis.</w:t>
      </w:r>
    </w:p>
    <w:p w14:paraId="5A2F1B4C" w14:textId="348390A2" w:rsidR="006864D6" w:rsidRPr="006864D6" w:rsidRDefault="00821CCB" w:rsidP="006864D6">
      <w:pPr>
        <w:spacing w:line="276" w:lineRule="auto"/>
        <w:jc w:val="both"/>
        <w:rPr>
          <w:rFonts w:ascii="Arial" w:hAnsi="Arial" w:cs="Arial"/>
          <w:sz w:val="24"/>
          <w:szCs w:val="24"/>
        </w:rPr>
      </w:pPr>
      <w:r w:rsidRPr="00E43245">
        <w:rPr>
          <w:rFonts w:ascii="Arial" w:hAnsi="Arial" w:cs="Arial"/>
          <w:sz w:val="24"/>
          <w:szCs w:val="24"/>
        </w:rPr>
        <w:t xml:space="preserve">Finalmente, </w:t>
      </w:r>
      <w:r w:rsidR="00611229">
        <w:rPr>
          <w:rFonts w:ascii="Arial" w:hAnsi="Arial" w:cs="Arial"/>
          <w:sz w:val="24"/>
          <w:szCs w:val="24"/>
        </w:rPr>
        <w:t xml:space="preserve">para </w:t>
      </w:r>
      <w:r w:rsidR="006864D6" w:rsidRPr="006864D6">
        <w:rPr>
          <w:rFonts w:ascii="Arial" w:hAnsi="Arial" w:cs="Arial"/>
          <w:sz w:val="24"/>
          <w:szCs w:val="24"/>
        </w:rPr>
        <w:t>el caso de la infraestructura férrea, se tuvo en cuenta lo establecido en la Ley 76 de 1920, específicamente en su artículo 3, donde señala que en los terrenos contiguos a la zona de un ferrocarril no podrán ejecutarse, a una distancia menor de veinte (20) metros a partir del eje de la vía, obras que puedan afectar su estabilidad, tales como excavaciones, represas, estanques, explotación de canteras u otras actividades similares. Asimismo, se establece la restricción para la construcción de edificaciones elaboradas con materiales combustibles o el depósito de sustancias inflamables dentro de dicha franja. En concordancia con esta disposición normativa, se generó un buffer de 20 metros a partir del eje de la línea férrea, con el fin de representar adecuadamente la zona de restricción asociada a esta infraestructura.</w:t>
      </w:r>
    </w:p>
    <w:p w14:paraId="6FA4C1A0" w14:textId="32789CF3" w:rsidR="00B2310F" w:rsidRPr="00603552" w:rsidRDefault="00B2310F" w:rsidP="001372EB">
      <w:pPr>
        <w:spacing w:line="276" w:lineRule="auto"/>
        <w:jc w:val="both"/>
        <w:rPr>
          <w:rFonts w:ascii="Arial" w:hAnsi="Arial" w:cs="Arial"/>
          <w:sz w:val="24"/>
          <w:szCs w:val="24"/>
          <w:highlight w:val="red"/>
        </w:rPr>
      </w:pPr>
      <w:r w:rsidRPr="00603552">
        <w:rPr>
          <w:rFonts w:ascii="Arial" w:hAnsi="Arial" w:cs="Arial"/>
          <w:b/>
          <w:bCs/>
          <w:sz w:val="24"/>
          <w:szCs w:val="24"/>
          <w:highlight w:val="red"/>
        </w:rPr>
        <w:t>Criterio 8. Cobertura</w:t>
      </w:r>
      <w:r w:rsidR="00820FA8" w:rsidRPr="00603552">
        <w:rPr>
          <w:rFonts w:ascii="Arial" w:hAnsi="Arial" w:cs="Arial"/>
          <w:b/>
          <w:bCs/>
          <w:sz w:val="24"/>
          <w:szCs w:val="24"/>
          <w:highlight w:val="red"/>
        </w:rPr>
        <w:t xml:space="preserve"> 2023</w:t>
      </w:r>
      <w:r w:rsidR="00DD5D8D" w:rsidRPr="00603552">
        <w:rPr>
          <w:rFonts w:ascii="Arial" w:hAnsi="Arial" w:cs="Arial"/>
          <w:b/>
          <w:bCs/>
          <w:sz w:val="24"/>
          <w:szCs w:val="24"/>
          <w:highlight w:val="red"/>
        </w:rPr>
        <w:t xml:space="preserve"> </w:t>
      </w:r>
      <w:r w:rsidRPr="00603552">
        <w:rPr>
          <w:rFonts w:ascii="Arial" w:hAnsi="Arial" w:cs="Arial"/>
          <w:b/>
          <w:bCs/>
          <w:sz w:val="24"/>
          <w:szCs w:val="24"/>
          <w:highlight w:val="red"/>
        </w:rPr>
        <w:t>uso sostenible sin conflicto de uso</w:t>
      </w:r>
    </w:p>
    <w:p w14:paraId="4C88D186" w14:textId="549D5C0A" w:rsidR="00042757" w:rsidRDefault="00B2310F" w:rsidP="001372EB">
      <w:pPr>
        <w:spacing w:line="276" w:lineRule="auto"/>
        <w:jc w:val="both"/>
        <w:rPr>
          <w:rFonts w:ascii="Arial" w:hAnsi="Arial" w:cs="Arial"/>
          <w:sz w:val="24"/>
          <w:szCs w:val="24"/>
        </w:rPr>
      </w:pPr>
      <w:r w:rsidRPr="00603552">
        <w:rPr>
          <w:rFonts w:ascii="Arial" w:hAnsi="Arial" w:cs="Arial"/>
          <w:sz w:val="24"/>
          <w:szCs w:val="24"/>
          <w:highlight w:val="red"/>
        </w:rPr>
        <w:t>Este criterio tiene como objetivo identificar las áreas del territorio donde las condiciones actuales de uso del suelo son compatibles con su capacidad de uso, permitiendo el desarrollo de actividades productivas o de aprovechamiento sostenible sin generar procesos significativos de degradación ambiental</w:t>
      </w:r>
      <w:r w:rsidR="00042757" w:rsidRPr="00603552">
        <w:rPr>
          <w:rFonts w:ascii="Arial" w:hAnsi="Arial" w:cs="Arial"/>
          <w:sz w:val="24"/>
          <w:szCs w:val="24"/>
          <w:highlight w:val="red"/>
        </w:rPr>
        <w:t xml:space="preserve"> </w:t>
      </w:r>
      <w:r w:rsidR="0059788C" w:rsidRPr="00603552">
        <w:rPr>
          <w:rFonts w:ascii="Arial" w:hAnsi="Arial" w:cs="Arial"/>
          <w:sz w:val="24"/>
          <w:szCs w:val="24"/>
          <w:highlight w:val="red"/>
        </w:rPr>
        <w:t xml:space="preserve">permitiendo su </w:t>
      </w:r>
      <w:r w:rsidR="00042757" w:rsidRPr="00603552">
        <w:rPr>
          <w:rFonts w:ascii="Arial" w:hAnsi="Arial" w:cs="Arial"/>
          <w:sz w:val="24"/>
          <w:szCs w:val="24"/>
          <w:highlight w:val="red"/>
        </w:rPr>
        <w:t xml:space="preserve">incorporación </w:t>
      </w:r>
      <w:r w:rsidR="0059788C" w:rsidRPr="00603552">
        <w:rPr>
          <w:rFonts w:ascii="Arial" w:hAnsi="Arial" w:cs="Arial"/>
          <w:sz w:val="24"/>
          <w:szCs w:val="24"/>
          <w:highlight w:val="red"/>
        </w:rPr>
        <w:t>en</w:t>
      </w:r>
      <w:r w:rsidR="00042757" w:rsidRPr="00D535E1">
        <w:rPr>
          <w:rFonts w:ascii="Arial" w:hAnsi="Arial" w:cs="Arial"/>
          <w:sz w:val="24"/>
          <w:szCs w:val="24"/>
        </w:rPr>
        <w:t xml:space="preserve"> zonas de manejo orientadas al uso sostenible</w:t>
      </w:r>
      <w:r w:rsidR="0059788C">
        <w:rPr>
          <w:rFonts w:ascii="Arial" w:hAnsi="Arial" w:cs="Arial"/>
          <w:sz w:val="24"/>
          <w:szCs w:val="24"/>
        </w:rPr>
        <w:t>.</w:t>
      </w:r>
    </w:p>
    <w:p w14:paraId="3D96CD9C" w14:textId="3A0F891E" w:rsidR="00B2310F" w:rsidRPr="00D535E1" w:rsidRDefault="00B2310F" w:rsidP="001372EB">
      <w:pPr>
        <w:spacing w:line="276" w:lineRule="auto"/>
        <w:jc w:val="both"/>
        <w:rPr>
          <w:rFonts w:ascii="Arial" w:hAnsi="Arial" w:cs="Arial"/>
          <w:sz w:val="24"/>
          <w:szCs w:val="24"/>
        </w:rPr>
      </w:pPr>
      <w:r w:rsidRPr="00D535E1">
        <w:rPr>
          <w:rFonts w:ascii="Arial" w:hAnsi="Arial" w:cs="Arial"/>
          <w:sz w:val="24"/>
          <w:szCs w:val="24"/>
        </w:rPr>
        <w:lastRenderedPageBreak/>
        <w:t>Para su definición se realizó un cruce de información espacial entre la capa de coberturas de la tierra</w:t>
      </w:r>
      <w:r w:rsidR="003F5CC4" w:rsidRPr="00D535E1">
        <w:rPr>
          <w:rFonts w:ascii="Arial" w:hAnsi="Arial" w:cs="Arial"/>
          <w:sz w:val="24"/>
          <w:szCs w:val="24"/>
        </w:rPr>
        <w:t xml:space="preserve"> CAR</w:t>
      </w:r>
      <w:r w:rsidR="008331D4">
        <w:rPr>
          <w:rFonts w:ascii="Arial" w:hAnsi="Arial" w:cs="Arial"/>
          <w:sz w:val="24"/>
          <w:szCs w:val="24"/>
        </w:rPr>
        <w:t xml:space="preserve"> -</w:t>
      </w:r>
      <w:r w:rsidR="003F5CC4" w:rsidRPr="00D535E1">
        <w:rPr>
          <w:rFonts w:ascii="Arial" w:hAnsi="Arial" w:cs="Arial"/>
          <w:sz w:val="24"/>
          <w:szCs w:val="24"/>
        </w:rPr>
        <w:t xml:space="preserve"> 2023</w:t>
      </w:r>
      <w:r w:rsidRPr="00D535E1">
        <w:rPr>
          <w:rFonts w:ascii="Arial" w:hAnsi="Arial" w:cs="Arial"/>
          <w:sz w:val="24"/>
          <w:szCs w:val="24"/>
        </w:rPr>
        <w:t xml:space="preserve"> y la capa de conflictos de uso del suelo. En este proceso se seleccionaron </w:t>
      </w:r>
      <w:r w:rsidR="008331D4">
        <w:rPr>
          <w:rFonts w:ascii="Arial" w:hAnsi="Arial" w:cs="Arial"/>
          <w:sz w:val="24"/>
          <w:szCs w:val="24"/>
        </w:rPr>
        <w:t xml:space="preserve">únicamente </w:t>
      </w:r>
      <w:r w:rsidRPr="00D535E1">
        <w:rPr>
          <w:rFonts w:ascii="Arial" w:hAnsi="Arial" w:cs="Arial"/>
          <w:sz w:val="24"/>
          <w:szCs w:val="24"/>
        </w:rPr>
        <w:t>aquellas coberturas</w:t>
      </w:r>
      <w:r w:rsidR="008331D4">
        <w:rPr>
          <w:rFonts w:ascii="Arial" w:hAnsi="Arial" w:cs="Arial"/>
          <w:sz w:val="24"/>
          <w:szCs w:val="24"/>
        </w:rPr>
        <w:t xml:space="preserve"> de la tierra</w:t>
      </w:r>
      <w:r w:rsidRPr="00D535E1">
        <w:rPr>
          <w:rFonts w:ascii="Arial" w:hAnsi="Arial" w:cs="Arial"/>
          <w:sz w:val="24"/>
          <w:szCs w:val="24"/>
        </w:rPr>
        <w:t xml:space="preserve"> cuyos elementos corresponden a usos asociados a actividades sostenibles</w:t>
      </w:r>
      <w:r w:rsidR="008331D4">
        <w:rPr>
          <w:rFonts w:ascii="Arial" w:hAnsi="Arial" w:cs="Arial"/>
          <w:sz w:val="24"/>
          <w:szCs w:val="24"/>
        </w:rPr>
        <w:t>.</w:t>
      </w:r>
    </w:p>
    <w:p w14:paraId="5D5AAA71" w14:textId="648AC0B3" w:rsidR="00B2310F" w:rsidRPr="00D535E1" w:rsidRDefault="00B2310F" w:rsidP="001372EB">
      <w:pPr>
        <w:spacing w:line="276" w:lineRule="auto"/>
        <w:jc w:val="both"/>
        <w:rPr>
          <w:rFonts w:ascii="Arial" w:hAnsi="Arial" w:cs="Arial"/>
          <w:sz w:val="24"/>
          <w:szCs w:val="24"/>
        </w:rPr>
      </w:pPr>
      <w:r w:rsidRPr="00D535E1">
        <w:rPr>
          <w:rFonts w:ascii="Arial" w:hAnsi="Arial" w:cs="Arial"/>
          <w:sz w:val="24"/>
          <w:szCs w:val="24"/>
        </w:rPr>
        <w:t xml:space="preserve">Posteriormente, estas coberturas fueron analizadas en conjunto con la información de conflicto de uso del suelo, con el fin de identificar </w:t>
      </w:r>
      <w:r w:rsidR="00061310">
        <w:rPr>
          <w:rFonts w:ascii="Arial" w:hAnsi="Arial" w:cs="Arial"/>
          <w:sz w:val="24"/>
          <w:szCs w:val="24"/>
        </w:rPr>
        <w:t>exclusivamente</w:t>
      </w:r>
      <w:r w:rsidRPr="00D535E1">
        <w:rPr>
          <w:rFonts w:ascii="Arial" w:hAnsi="Arial" w:cs="Arial"/>
          <w:sz w:val="24"/>
          <w:szCs w:val="24"/>
        </w:rPr>
        <w:t xml:space="preserve"> aquellas áreas donde el uso actual coincide con la capacidad de uso del suelo, es decir, donde no se presentan situaciones de sobreutilización o subutilización que puedan generar impactos negativos sobre el recurso suelo o sobre los ecosistemas asociados.</w:t>
      </w:r>
    </w:p>
    <w:p w14:paraId="7A49A9E8" w14:textId="77777777" w:rsidR="00B2310F" w:rsidRPr="00D535E1" w:rsidRDefault="00B2310F" w:rsidP="001372EB">
      <w:pPr>
        <w:spacing w:line="276" w:lineRule="auto"/>
        <w:jc w:val="both"/>
        <w:rPr>
          <w:rFonts w:ascii="Arial" w:hAnsi="Arial" w:cs="Arial"/>
          <w:sz w:val="24"/>
          <w:szCs w:val="24"/>
        </w:rPr>
      </w:pPr>
      <w:r w:rsidRPr="00D535E1">
        <w:rPr>
          <w:rFonts w:ascii="Arial" w:hAnsi="Arial" w:cs="Arial"/>
          <w:sz w:val="24"/>
          <w:szCs w:val="24"/>
        </w:rPr>
        <w:t>Como resultado de este análisis se obtuvieron polígonos correspondientes a zonas de uso sostenible, los cuales representan áreas donde las actividades productivas existentes pueden mantenerse bajo criterios de manejo adecuado y buenas prácticas, garantizando la conservación de los recursos naturales y la funcionalidad ecológica del territorio.</w:t>
      </w:r>
    </w:p>
    <w:p w14:paraId="2F59AAB2" w14:textId="5322DE9E" w:rsidR="00D3246F" w:rsidRPr="00D3246F" w:rsidRDefault="00D3246F" w:rsidP="00D3246F">
      <w:pPr>
        <w:spacing w:line="276" w:lineRule="auto"/>
        <w:jc w:val="both"/>
        <w:rPr>
          <w:rFonts w:ascii="Arial" w:hAnsi="Arial" w:cs="Arial"/>
          <w:b/>
          <w:bCs/>
          <w:sz w:val="24"/>
          <w:szCs w:val="24"/>
          <w:highlight w:val="yellow"/>
        </w:rPr>
      </w:pPr>
      <w:r w:rsidRPr="00D3246F">
        <w:rPr>
          <w:rFonts w:ascii="Arial" w:hAnsi="Arial" w:cs="Arial"/>
          <w:b/>
          <w:bCs/>
          <w:sz w:val="24"/>
          <w:szCs w:val="24"/>
          <w:highlight w:val="yellow"/>
        </w:rPr>
        <w:t>Criterio</w:t>
      </w:r>
      <w:r w:rsidR="005F0CF2" w:rsidRPr="005F0CF2">
        <w:rPr>
          <w:rFonts w:ascii="Arial" w:hAnsi="Arial" w:cs="Arial"/>
          <w:b/>
          <w:bCs/>
          <w:sz w:val="24"/>
          <w:szCs w:val="24"/>
          <w:highlight w:val="yellow"/>
        </w:rPr>
        <w:t xml:space="preserve"> 9</w:t>
      </w:r>
      <w:r w:rsidRPr="00D3246F">
        <w:rPr>
          <w:rFonts w:ascii="Arial" w:hAnsi="Arial" w:cs="Arial"/>
          <w:b/>
          <w:bCs/>
          <w:sz w:val="24"/>
          <w:szCs w:val="24"/>
          <w:highlight w:val="yellow"/>
        </w:rPr>
        <w:t>: Reservas Naturales de la Sociedad Civil</w:t>
      </w:r>
    </w:p>
    <w:p w14:paraId="1DF6498E" w14:textId="77777777" w:rsidR="00D3246F" w:rsidRPr="00D3246F" w:rsidRDefault="00D3246F" w:rsidP="00D3246F">
      <w:pPr>
        <w:spacing w:line="276" w:lineRule="auto"/>
        <w:jc w:val="both"/>
        <w:rPr>
          <w:rFonts w:ascii="Arial" w:hAnsi="Arial" w:cs="Arial"/>
          <w:sz w:val="24"/>
          <w:szCs w:val="24"/>
          <w:highlight w:val="yellow"/>
        </w:rPr>
      </w:pPr>
      <w:r w:rsidRPr="00D3246F">
        <w:rPr>
          <w:rFonts w:ascii="Arial" w:hAnsi="Arial" w:cs="Arial"/>
          <w:sz w:val="24"/>
          <w:szCs w:val="24"/>
          <w:highlight w:val="yellow"/>
        </w:rPr>
        <w:t>Este criterio incorpora las Reservas Naturales de la Sociedad Civil (RNSC) presentes dentro del área de análisis, las cuales corresponden a predios de propiedad privada que voluntariamente han sido destinados por sus propietarios a la conservación de la biodiversidad y de los valores naturales del territorio. Estas áreas hacen parte del Sistema Nacional de Áreas Protegidas – SINAP y se caracterizan por promover la conservación de ecosistemas, la protección de especies de flora y fauna, y el mantenimiento de servicios ecosistémicos, mediante esquemas de manejo sostenible compatibles con los objetivos de conservación.</w:t>
      </w:r>
    </w:p>
    <w:p w14:paraId="0C708CBA" w14:textId="77777777" w:rsidR="00D3246F" w:rsidRPr="00D3246F" w:rsidRDefault="00D3246F" w:rsidP="00D3246F">
      <w:pPr>
        <w:spacing w:line="276" w:lineRule="auto"/>
        <w:jc w:val="both"/>
        <w:rPr>
          <w:rFonts w:ascii="Arial" w:hAnsi="Arial" w:cs="Arial"/>
          <w:sz w:val="24"/>
          <w:szCs w:val="24"/>
          <w:highlight w:val="yellow"/>
        </w:rPr>
      </w:pPr>
      <w:r w:rsidRPr="00D3246F">
        <w:rPr>
          <w:rFonts w:ascii="Arial" w:hAnsi="Arial" w:cs="Arial"/>
          <w:sz w:val="24"/>
          <w:szCs w:val="24"/>
          <w:highlight w:val="yellow"/>
        </w:rPr>
        <w:t>Para el análisis cartográfico se utilizó la capa oficial de Reservas Naturales de la Sociedad Civil registradas ante la autoridad ambiental competente, la cual contiene la delimitación espacial de los predios que han sido formalmente reconocidos bajo esta categoría de manejo. Estas reservas, al contar con un acto de registro y reconocimiento oficial, poseen un régimen de manejo orientado principalmente hacia la protección y conservación de los valores ambientales presentes en sus predios, razón por la cual se consideran dentro del proceso de zonificación como áreas con vocación de conservación.</w:t>
      </w:r>
    </w:p>
    <w:p w14:paraId="54D381A1" w14:textId="77777777" w:rsidR="00D3246F" w:rsidRPr="00D3246F" w:rsidRDefault="00D3246F" w:rsidP="00D3246F">
      <w:pPr>
        <w:spacing w:line="276" w:lineRule="auto"/>
        <w:jc w:val="both"/>
        <w:rPr>
          <w:rFonts w:ascii="Arial" w:hAnsi="Arial" w:cs="Arial"/>
          <w:sz w:val="24"/>
          <w:szCs w:val="24"/>
        </w:rPr>
      </w:pPr>
      <w:r w:rsidRPr="00D3246F">
        <w:rPr>
          <w:rFonts w:ascii="Arial" w:hAnsi="Arial" w:cs="Arial"/>
          <w:sz w:val="24"/>
          <w:szCs w:val="24"/>
          <w:highlight w:val="yellow"/>
        </w:rPr>
        <w:t xml:space="preserve">La inclusión de este criterio permite reconocer y articular los esfuerzos de conservación privada dentro de la planificación y ordenamiento ambiental del territorio, contribuyendo a fortalecer la conectividad ecológica, la protección de ecosistemas estratégicos y la consolidación de la estructura ecológica regional. De esta manera, las Reservas Naturales de la Sociedad Civil se integran como un componente relevante dentro del análisis espacial, al representar iniciativas </w:t>
      </w:r>
      <w:r w:rsidRPr="00D3246F">
        <w:rPr>
          <w:rFonts w:ascii="Arial" w:hAnsi="Arial" w:cs="Arial"/>
          <w:sz w:val="24"/>
          <w:szCs w:val="24"/>
          <w:highlight w:val="yellow"/>
        </w:rPr>
        <w:lastRenderedPageBreak/>
        <w:t>voluntarias que complementan las acciones de conservación adelantadas por las autoridades ambientales y otras figuras de protección existentes.</w:t>
      </w:r>
    </w:p>
    <w:p w14:paraId="51392DFC" w14:textId="77777777" w:rsidR="004A701C" w:rsidRPr="00D535E1" w:rsidRDefault="004A701C" w:rsidP="001372EB">
      <w:pPr>
        <w:spacing w:line="276" w:lineRule="auto"/>
        <w:jc w:val="both"/>
        <w:rPr>
          <w:rFonts w:ascii="Arial" w:hAnsi="Arial" w:cs="Arial"/>
          <w:sz w:val="24"/>
          <w:szCs w:val="24"/>
        </w:rPr>
      </w:pPr>
      <w:r w:rsidRPr="00D535E1">
        <w:rPr>
          <w:rFonts w:ascii="Arial" w:hAnsi="Arial" w:cs="Arial"/>
          <w:b/>
          <w:bCs/>
          <w:sz w:val="24"/>
          <w:szCs w:val="24"/>
        </w:rPr>
        <w:t>Aclaración sobre el criterio de Áreas de valor natural, escénico, cultural y/o histórico</w:t>
      </w:r>
    </w:p>
    <w:p w14:paraId="19A5F03F" w14:textId="287076BE" w:rsidR="004A701C" w:rsidRPr="00D535E1" w:rsidRDefault="004A701C" w:rsidP="001372EB">
      <w:pPr>
        <w:spacing w:line="276" w:lineRule="auto"/>
        <w:jc w:val="both"/>
        <w:rPr>
          <w:rFonts w:ascii="Arial" w:hAnsi="Arial" w:cs="Arial"/>
          <w:sz w:val="24"/>
          <w:szCs w:val="24"/>
        </w:rPr>
      </w:pPr>
      <w:r w:rsidRPr="00D535E1">
        <w:rPr>
          <w:rFonts w:ascii="Arial" w:hAnsi="Arial" w:cs="Arial"/>
          <w:sz w:val="24"/>
          <w:szCs w:val="24"/>
        </w:rPr>
        <w:t>Es importante señalar que el criterio correspondiente a Áreas de valor natural, escénico, cultural y/o histórico fue considerado dentro del proceso de análisis para la definición de la zonificación. Sin embargo, durante la revisión de la información cartográfica disponible se evidenció que los sitios asociados a este tipo de valores se encuentran representados mediante geometrías de tipo punto, lo cual limita su delimitación espacial como áreas o zonas dentro del territorio.</w:t>
      </w:r>
    </w:p>
    <w:p w14:paraId="0DFE503F" w14:textId="14A33E93" w:rsidR="004A701C" w:rsidRPr="00D535E1" w:rsidRDefault="004A701C" w:rsidP="001372EB">
      <w:pPr>
        <w:spacing w:line="276" w:lineRule="auto"/>
        <w:jc w:val="both"/>
        <w:rPr>
          <w:rFonts w:ascii="Arial" w:hAnsi="Arial" w:cs="Arial"/>
          <w:sz w:val="24"/>
          <w:szCs w:val="24"/>
        </w:rPr>
      </w:pPr>
      <w:r w:rsidRPr="00D535E1">
        <w:rPr>
          <w:rFonts w:ascii="Arial" w:hAnsi="Arial" w:cs="Arial"/>
          <w:sz w:val="24"/>
          <w:szCs w:val="24"/>
        </w:rPr>
        <w:t>Adicionalmente, no se cuenta con información cartográfica que permita identificar o diferenciar de manera precisa senderos o recorridos destinados al uso recreativo, turístico o de educación ambiental. Debido a esta limitación en la representación espacial de la información, no fue posible incorporar este criterio mediante polígonos o superficies claramente delimitadas dentro del proceso de zonificación.</w:t>
      </w:r>
    </w:p>
    <w:p w14:paraId="4276A698" w14:textId="1A98C34A" w:rsidR="007F760A" w:rsidRDefault="00E0700C" w:rsidP="00120AB8">
      <w:pPr>
        <w:tabs>
          <w:tab w:val="left" w:pos="2616"/>
        </w:tabs>
        <w:spacing w:line="276" w:lineRule="auto"/>
        <w:jc w:val="both"/>
        <w:rPr>
          <w:rFonts w:ascii="Arial" w:hAnsi="Arial" w:cs="Arial"/>
          <w:b/>
          <w:bCs/>
          <w:sz w:val="24"/>
          <w:szCs w:val="24"/>
          <w:u w:val="single"/>
          <w:lang w:val="es-ES"/>
        </w:rPr>
      </w:pPr>
      <w:r w:rsidRPr="00D535E1">
        <w:rPr>
          <w:rFonts w:ascii="Arial" w:hAnsi="Arial" w:cs="Arial"/>
          <w:b/>
          <w:bCs/>
          <w:sz w:val="24"/>
          <w:szCs w:val="24"/>
          <w:u w:val="single"/>
          <w:lang w:val="es-ES"/>
        </w:rPr>
        <w:t>Procesamiento</w:t>
      </w:r>
      <w:r w:rsidR="00120AB8">
        <w:rPr>
          <w:rFonts w:ascii="Arial" w:hAnsi="Arial" w:cs="Arial"/>
          <w:b/>
          <w:bCs/>
          <w:sz w:val="24"/>
          <w:szCs w:val="24"/>
          <w:u w:val="single"/>
          <w:lang w:val="es-ES"/>
        </w:rPr>
        <w:t xml:space="preserve"> y aplicación de </w:t>
      </w:r>
      <w:r w:rsidR="00730E5C">
        <w:rPr>
          <w:rFonts w:ascii="Arial" w:hAnsi="Arial" w:cs="Arial"/>
          <w:b/>
          <w:bCs/>
          <w:sz w:val="24"/>
          <w:szCs w:val="24"/>
          <w:u w:val="single"/>
          <w:lang w:val="es-ES"/>
        </w:rPr>
        <w:t>criterios</w:t>
      </w:r>
    </w:p>
    <w:p w14:paraId="71919EBB" w14:textId="78D7B693" w:rsidR="00056840" w:rsidRPr="00056840" w:rsidRDefault="00056840" w:rsidP="00056840">
      <w:pPr>
        <w:tabs>
          <w:tab w:val="left" w:pos="2616"/>
        </w:tabs>
        <w:spacing w:line="276" w:lineRule="auto"/>
        <w:jc w:val="both"/>
        <w:rPr>
          <w:rFonts w:ascii="Arial" w:hAnsi="Arial" w:cs="Arial"/>
          <w:sz w:val="24"/>
          <w:szCs w:val="24"/>
        </w:rPr>
      </w:pPr>
      <w:r w:rsidRPr="00056840">
        <w:rPr>
          <w:rFonts w:ascii="Arial" w:hAnsi="Arial" w:cs="Arial"/>
          <w:sz w:val="24"/>
          <w:szCs w:val="24"/>
        </w:rPr>
        <w:t>Con el fin de delimitar</w:t>
      </w:r>
      <w:r w:rsidR="00A124BB">
        <w:rPr>
          <w:rFonts w:ascii="Arial" w:hAnsi="Arial" w:cs="Arial"/>
          <w:sz w:val="24"/>
          <w:szCs w:val="24"/>
        </w:rPr>
        <w:t xml:space="preserve"> espacialmente</w:t>
      </w:r>
      <w:r w:rsidRPr="00056840">
        <w:rPr>
          <w:rFonts w:ascii="Arial" w:hAnsi="Arial" w:cs="Arial"/>
          <w:sz w:val="24"/>
          <w:szCs w:val="24"/>
        </w:rPr>
        <w:t xml:space="preserve"> las zonas de preservación, restauración y uso sostenible, se aplicó una metodología basada en matrices de decisión, orientada a analizar y relacionar de manera sistemática los diferentes criterios definidos</w:t>
      </w:r>
      <w:r w:rsidR="00BB621D">
        <w:rPr>
          <w:rFonts w:ascii="Arial" w:hAnsi="Arial" w:cs="Arial"/>
          <w:sz w:val="24"/>
          <w:szCs w:val="24"/>
        </w:rPr>
        <w:t xml:space="preserve"> anteriormente</w:t>
      </w:r>
      <w:r w:rsidRPr="00056840">
        <w:rPr>
          <w:rFonts w:ascii="Arial" w:hAnsi="Arial" w:cs="Arial"/>
          <w:sz w:val="24"/>
          <w:szCs w:val="24"/>
        </w:rPr>
        <w:t xml:space="preserve"> para la zonificación</w:t>
      </w:r>
      <w:r w:rsidR="00BB621D">
        <w:rPr>
          <w:rFonts w:ascii="Arial" w:hAnsi="Arial" w:cs="Arial"/>
          <w:sz w:val="24"/>
          <w:szCs w:val="24"/>
        </w:rPr>
        <w:t xml:space="preserve"> de </w:t>
      </w:r>
      <w:r w:rsidR="002470B1">
        <w:rPr>
          <w:rFonts w:ascii="Arial" w:hAnsi="Arial" w:cs="Arial"/>
          <w:sz w:val="24"/>
          <w:szCs w:val="24"/>
        </w:rPr>
        <w:t>manejo</w:t>
      </w:r>
      <w:r w:rsidRPr="00056840">
        <w:rPr>
          <w:rFonts w:ascii="Arial" w:hAnsi="Arial" w:cs="Arial"/>
          <w:sz w:val="24"/>
          <w:szCs w:val="24"/>
        </w:rPr>
        <w:t xml:space="preserve"> del área. Este enfoque permite evaluar la información espacial disponible mediante un proceso estructurado y secuencial, en el cual se establecen reglas de decisión que orientan la asignación del tipo de zona de manejo más adecuado para cada sector del territorio.</w:t>
      </w:r>
    </w:p>
    <w:p w14:paraId="7A836D55" w14:textId="2AC91692" w:rsidR="00056840" w:rsidRPr="00056840" w:rsidRDefault="00056840" w:rsidP="00056840">
      <w:pPr>
        <w:tabs>
          <w:tab w:val="left" w:pos="2616"/>
        </w:tabs>
        <w:spacing w:line="276" w:lineRule="auto"/>
        <w:jc w:val="both"/>
        <w:rPr>
          <w:rFonts w:ascii="Arial" w:hAnsi="Arial" w:cs="Arial"/>
          <w:sz w:val="24"/>
          <w:szCs w:val="24"/>
        </w:rPr>
      </w:pPr>
      <w:r w:rsidRPr="00056840">
        <w:rPr>
          <w:rFonts w:ascii="Arial" w:hAnsi="Arial" w:cs="Arial"/>
          <w:sz w:val="24"/>
          <w:szCs w:val="24"/>
        </w:rPr>
        <w:t xml:space="preserve">El procedimiento se desarrolló mediante un esquema de análisis paso a paso, en el que se integraron progresivamente las distintas capas de información geográfica consideradas como criterios </w:t>
      </w:r>
      <w:r w:rsidR="00234CB7">
        <w:rPr>
          <w:rFonts w:ascii="Arial" w:hAnsi="Arial" w:cs="Arial"/>
          <w:sz w:val="24"/>
          <w:szCs w:val="24"/>
        </w:rPr>
        <w:t xml:space="preserve">para el proceso </w:t>
      </w:r>
      <w:r w:rsidRPr="00056840">
        <w:rPr>
          <w:rFonts w:ascii="Arial" w:hAnsi="Arial" w:cs="Arial"/>
          <w:sz w:val="24"/>
          <w:szCs w:val="24"/>
        </w:rPr>
        <w:t xml:space="preserve">de zonificación. </w:t>
      </w:r>
    </w:p>
    <w:p w14:paraId="1F064A65" w14:textId="450EC68C" w:rsidR="00056840" w:rsidRPr="00056840" w:rsidRDefault="00056840" w:rsidP="00056840">
      <w:pPr>
        <w:tabs>
          <w:tab w:val="left" w:pos="2616"/>
        </w:tabs>
        <w:spacing w:line="276" w:lineRule="auto"/>
        <w:jc w:val="both"/>
        <w:rPr>
          <w:rFonts w:ascii="Arial" w:hAnsi="Arial" w:cs="Arial"/>
          <w:sz w:val="24"/>
          <w:szCs w:val="24"/>
        </w:rPr>
      </w:pPr>
      <w:r w:rsidRPr="00056840">
        <w:rPr>
          <w:rFonts w:ascii="Arial" w:hAnsi="Arial" w:cs="Arial"/>
          <w:sz w:val="24"/>
          <w:szCs w:val="24"/>
        </w:rPr>
        <w:t>A partir de este proceso, los diferentes sectores del área protegida fueron clasificados mediante reglas de decisión previamente definidas, las cuales permitieron establecer si cada unidad territorial debía orientarse hacia la preservación, la restauración o el uso sostenible, de acuerdo con la combinación de criterios analizados</w:t>
      </w:r>
      <w:r w:rsidR="00707D4E">
        <w:rPr>
          <w:rFonts w:ascii="Arial" w:hAnsi="Arial" w:cs="Arial"/>
          <w:sz w:val="24"/>
          <w:szCs w:val="24"/>
        </w:rPr>
        <w:t>.</w:t>
      </w:r>
    </w:p>
    <w:p w14:paraId="4F60C98D" w14:textId="77777777" w:rsidR="00056840" w:rsidRPr="00056840" w:rsidRDefault="00056840" w:rsidP="00056840">
      <w:pPr>
        <w:tabs>
          <w:tab w:val="left" w:pos="2616"/>
        </w:tabs>
        <w:spacing w:line="276" w:lineRule="auto"/>
        <w:jc w:val="both"/>
        <w:rPr>
          <w:rFonts w:ascii="Arial" w:hAnsi="Arial" w:cs="Arial"/>
          <w:sz w:val="24"/>
          <w:szCs w:val="24"/>
        </w:rPr>
      </w:pPr>
      <w:r w:rsidRPr="00056840">
        <w:rPr>
          <w:rFonts w:ascii="Arial" w:hAnsi="Arial" w:cs="Arial"/>
          <w:sz w:val="24"/>
          <w:szCs w:val="24"/>
        </w:rPr>
        <w:t>Las matrices de decisión constituyen la herramienta metodológica que permitió sistematizar este análisis, ya que en ellas se establecen las condiciones y combinaciones de criterios que conducen a la asignación de cada categoría de manejo dentro de la zonificación final. De esta manera, se garantiza que la delimitación de las zonas responda a un procedimiento técnico, transparente y replicable, basado en el análisis integrado de la información espacial disponible.</w:t>
      </w:r>
    </w:p>
    <w:p w14:paraId="4F20FD4A" w14:textId="77777777" w:rsidR="00056840" w:rsidRPr="00056840" w:rsidRDefault="00056840" w:rsidP="00056840">
      <w:pPr>
        <w:tabs>
          <w:tab w:val="left" w:pos="2616"/>
        </w:tabs>
        <w:spacing w:line="276" w:lineRule="auto"/>
        <w:jc w:val="both"/>
        <w:rPr>
          <w:rFonts w:ascii="Arial" w:hAnsi="Arial" w:cs="Arial"/>
          <w:sz w:val="24"/>
          <w:szCs w:val="24"/>
        </w:rPr>
      </w:pPr>
      <w:r w:rsidRPr="00056840">
        <w:rPr>
          <w:rFonts w:ascii="Arial" w:hAnsi="Arial" w:cs="Arial"/>
          <w:sz w:val="24"/>
          <w:szCs w:val="24"/>
        </w:rPr>
        <w:lastRenderedPageBreak/>
        <w:t>Como anexo al presente documento se incluyen las matrices de decisión utilizadas durante el proceso de zonificación, las cuales presentan de forma estructurada la relación entre los criterios analizados y las decisiones adoptadas para la delimitación de las zonas de manejo, constituyendo el soporte técnico del proceso desarrollado.</w:t>
      </w:r>
    </w:p>
    <w:p w14:paraId="3FA1DC45" w14:textId="77777777" w:rsidR="00056840" w:rsidRPr="00056840" w:rsidRDefault="00056840" w:rsidP="00056840">
      <w:pPr>
        <w:tabs>
          <w:tab w:val="left" w:pos="2616"/>
        </w:tabs>
        <w:spacing w:line="276" w:lineRule="auto"/>
        <w:jc w:val="both"/>
        <w:rPr>
          <w:rFonts w:ascii="Arial" w:hAnsi="Arial" w:cs="Arial"/>
          <w:sz w:val="24"/>
          <w:szCs w:val="24"/>
        </w:rPr>
      </w:pPr>
      <w:r w:rsidRPr="00056840">
        <w:rPr>
          <w:rFonts w:ascii="Arial" w:hAnsi="Arial" w:cs="Arial"/>
          <w:sz w:val="24"/>
          <w:szCs w:val="24"/>
        </w:rPr>
        <w:t>A continuación, se presenta el esquema metodológico del proceso de zonificación de manejo, el cual integra el análisis de todos los criterios técnicos aplicados.</w:t>
      </w:r>
    </w:p>
    <w:p w14:paraId="2599BC64" w14:textId="77777777" w:rsidR="00056840" w:rsidRPr="00D535E1" w:rsidRDefault="00056840" w:rsidP="00120AB8">
      <w:pPr>
        <w:tabs>
          <w:tab w:val="left" w:pos="2616"/>
        </w:tabs>
        <w:spacing w:line="276" w:lineRule="auto"/>
        <w:jc w:val="both"/>
        <w:rPr>
          <w:rFonts w:ascii="Arial" w:hAnsi="Arial" w:cs="Arial"/>
          <w:b/>
          <w:bCs/>
          <w:sz w:val="24"/>
          <w:szCs w:val="24"/>
          <w:u w:val="single"/>
          <w:lang w:val="es-ES"/>
        </w:rPr>
      </w:pPr>
    </w:p>
    <w:p w14:paraId="44645B6B" w14:textId="1AA8835A" w:rsidR="00494CCA" w:rsidRDefault="000D237A" w:rsidP="000D237A">
      <w:pPr>
        <w:spacing w:line="276" w:lineRule="auto"/>
        <w:jc w:val="center"/>
        <w:rPr>
          <w:rFonts w:ascii="Arial" w:hAnsi="Arial" w:cs="Arial"/>
          <w:sz w:val="24"/>
          <w:szCs w:val="24"/>
          <w:lang w:val="es-ES"/>
        </w:rPr>
      </w:pPr>
      <w:r w:rsidRPr="000D237A">
        <w:rPr>
          <w:noProof/>
        </w:rPr>
        <w:lastRenderedPageBreak/>
        <w:drawing>
          <wp:inline distT="0" distB="0" distL="0" distR="0" wp14:anchorId="42B36BC8" wp14:editId="482BD99E">
            <wp:extent cx="5305425" cy="7296009"/>
            <wp:effectExtent l="19050" t="19050" r="9525" b="19685"/>
            <wp:docPr id="7608848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3577" cy="7307220"/>
                    </a:xfrm>
                    <a:prstGeom prst="rect">
                      <a:avLst/>
                    </a:prstGeom>
                    <a:noFill/>
                    <a:ln w="19050">
                      <a:solidFill>
                        <a:schemeClr val="tx1"/>
                      </a:solidFill>
                    </a:ln>
                  </pic:spPr>
                </pic:pic>
              </a:graphicData>
            </a:graphic>
          </wp:inline>
        </w:drawing>
      </w:r>
    </w:p>
    <w:p w14:paraId="0A515741" w14:textId="77777777" w:rsidR="009B08D8" w:rsidRDefault="009B08D8" w:rsidP="000D237A">
      <w:pPr>
        <w:spacing w:line="276" w:lineRule="auto"/>
        <w:jc w:val="center"/>
        <w:rPr>
          <w:rFonts w:ascii="Arial" w:hAnsi="Arial" w:cs="Arial"/>
          <w:sz w:val="24"/>
          <w:szCs w:val="24"/>
          <w:lang w:val="es-ES"/>
        </w:rPr>
      </w:pPr>
    </w:p>
    <w:p w14:paraId="555DD3D0" w14:textId="77777777" w:rsidR="009B08D8" w:rsidRDefault="009B08D8" w:rsidP="000D237A">
      <w:pPr>
        <w:spacing w:line="276" w:lineRule="auto"/>
        <w:jc w:val="center"/>
        <w:rPr>
          <w:rFonts w:ascii="Arial" w:hAnsi="Arial" w:cs="Arial"/>
          <w:sz w:val="24"/>
          <w:szCs w:val="24"/>
          <w:lang w:val="es-ES"/>
        </w:rPr>
      </w:pPr>
    </w:p>
    <w:p w14:paraId="3DBC60E6" w14:textId="77777777" w:rsidR="009B08D8" w:rsidRPr="00D535E1" w:rsidRDefault="009B08D8" w:rsidP="000D237A">
      <w:pPr>
        <w:spacing w:line="276" w:lineRule="auto"/>
        <w:jc w:val="center"/>
        <w:rPr>
          <w:rFonts w:ascii="Arial" w:hAnsi="Arial" w:cs="Arial"/>
          <w:sz w:val="24"/>
          <w:szCs w:val="24"/>
          <w:lang w:val="es-ES"/>
        </w:rPr>
      </w:pPr>
    </w:p>
    <w:p w14:paraId="6B2D0A31" w14:textId="589E8F10" w:rsidR="00494CCA" w:rsidRPr="0010133A" w:rsidRDefault="009B08D8" w:rsidP="009B08D8">
      <w:pPr>
        <w:pStyle w:val="Prrafodelista"/>
        <w:numPr>
          <w:ilvl w:val="0"/>
          <w:numId w:val="59"/>
        </w:numPr>
        <w:spacing w:line="276" w:lineRule="auto"/>
        <w:jc w:val="both"/>
        <w:rPr>
          <w:rFonts w:ascii="Arial" w:hAnsi="Arial" w:cs="Arial"/>
          <w:b/>
          <w:bCs/>
          <w:sz w:val="24"/>
          <w:szCs w:val="24"/>
          <w:lang w:val="es-ES"/>
        </w:rPr>
      </w:pPr>
      <w:r w:rsidRPr="0010133A">
        <w:rPr>
          <w:rFonts w:ascii="Arial" w:hAnsi="Arial" w:cs="Arial"/>
          <w:b/>
          <w:bCs/>
          <w:sz w:val="24"/>
          <w:szCs w:val="24"/>
          <w:lang w:val="es-ES"/>
        </w:rPr>
        <w:lastRenderedPageBreak/>
        <w:t>Criterio coberturas de la tierra</w:t>
      </w:r>
    </w:p>
    <w:p w14:paraId="77A22789" w14:textId="6703040F" w:rsidR="00A92693" w:rsidRPr="00A92693" w:rsidRDefault="00A92693" w:rsidP="00A92693">
      <w:pPr>
        <w:spacing w:line="276" w:lineRule="auto"/>
        <w:jc w:val="both"/>
        <w:rPr>
          <w:rFonts w:ascii="Arial" w:hAnsi="Arial" w:cs="Arial"/>
          <w:sz w:val="24"/>
          <w:szCs w:val="24"/>
        </w:rPr>
      </w:pPr>
      <w:r w:rsidRPr="00A92693">
        <w:rPr>
          <w:rFonts w:ascii="Arial" w:hAnsi="Arial" w:cs="Arial"/>
          <w:sz w:val="24"/>
          <w:szCs w:val="24"/>
        </w:rPr>
        <w:t>De acuerdo con la matriz de decisión establecida para el proceso de zonificación, el criterio inicial de análisis dentro del área protegida corresponde a la</w:t>
      </w:r>
      <w:r w:rsidR="004944E6">
        <w:rPr>
          <w:rFonts w:ascii="Arial" w:hAnsi="Arial" w:cs="Arial"/>
          <w:sz w:val="24"/>
          <w:szCs w:val="24"/>
        </w:rPr>
        <w:t>s</w:t>
      </w:r>
      <w:r w:rsidRPr="00A92693">
        <w:rPr>
          <w:rFonts w:ascii="Arial" w:hAnsi="Arial" w:cs="Arial"/>
          <w:sz w:val="24"/>
          <w:szCs w:val="24"/>
        </w:rPr>
        <w:t xml:space="preserve"> cobertura</w:t>
      </w:r>
      <w:r w:rsidR="004944E6">
        <w:rPr>
          <w:rFonts w:ascii="Arial" w:hAnsi="Arial" w:cs="Arial"/>
          <w:sz w:val="24"/>
          <w:szCs w:val="24"/>
        </w:rPr>
        <w:t>s</w:t>
      </w:r>
      <w:r w:rsidRPr="00A92693">
        <w:rPr>
          <w:rFonts w:ascii="Arial" w:hAnsi="Arial" w:cs="Arial"/>
          <w:sz w:val="24"/>
          <w:szCs w:val="24"/>
        </w:rPr>
        <w:t xml:space="preserve"> de la tierra, </w:t>
      </w:r>
      <w:r w:rsidR="004944E6">
        <w:rPr>
          <w:rFonts w:ascii="Arial" w:hAnsi="Arial" w:cs="Arial"/>
          <w:sz w:val="24"/>
          <w:szCs w:val="24"/>
        </w:rPr>
        <w:t>el</w:t>
      </w:r>
      <w:r w:rsidRPr="00A92693">
        <w:rPr>
          <w:rFonts w:ascii="Arial" w:hAnsi="Arial" w:cs="Arial"/>
          <w:sz w:val="24"/>
          <w:szCs w:val="24"/>
        </w:rPr>
        <w:t xml:space="preserve"> cual constituye el insumo base para la identificación de las diferentes condiciones de uso y estado de los ecosistemas presentes en el territorio. A partir de este criterio se realiza la clasificación inicial de las unidades espaciales, permitiendo establecer las categorías preliminares que posteriormente serán evaluadas mediante el cruce con los demás criterios definidos en la metodología.</w:t>
      </w:r>
    </w:p>
    <w:p w14:paraId="22D39D9F" w14:textId="77777777" w:rsidR="00A92693" w:rsidRDefault="00A92693" w:rsidP="00A92693">
      <w:pPr>
        <w:spacing w:line="276" w:lineRule="auto"/>
        <w:jc w:val="both"/>
        <w:rPr>
          <w:rFonts w:ascii="Arial" w:hAnsi="Arial" w:cs="Arial"/>
          <w:sz w:val="24"/>
          <w:szCs w:val="24"/>
        </w:rPr>
      </w:pPr>
      <w:r w:rsidRPr="00A92693">
        <w:rPr>
          <w:rFonts w:ascii="Arial" w:hAnsi="Arial" w:cs="Arial"/>
          <w:sz w:val="24"/>
          <w:szCs w:val="24"/>
        </w:rPr>
        <w:t>En este sentido, la cobertura de la tierra debe ser clasificada de acuerdo con las categorías definidas en la matriz de decisión, las cuales permiten diferenciar los distintos tipos de coberturas presentes en el área de estudio y orientar su análisis dentro del proceso de zonificación. Esta clasificación constituye el primer paso del esquema metodológico, ya que a partir de ella se inicia la aplicación secuencial de los demás criterios que conducen a la delimitación final de las zonas de preservación, restauración y uso sostenible.</w:t>
      </w:r>
    </w:p>
    <w:p w14:paraId="36D3C3C7" w14:textId="79762F2A" w:rsidR="007C3DE6" w:rsidRPr="00A92693" w:rsidRDefault="007C3DE6" w:rsidP="00A92693">
      <w:pPr>
        <w:spacing w:line="276" w:lineRule="auto"/>
        <w:jc w:val="both"/>
        <w:rPr>
          <w:rFonts w:ascii="Arial" w:hAnsi="Arial" w:cs="Arial"/>
          <w:sz w:val="24"/>
          <w:szCs w:val="24"/>
        </w:rPr>
      </w:pPr>
      <w:r w:rsidRPr="007C3DE6">
        <w:rPr>
          <w:rFonts w:ascii="Arial" w:hAnsi="Arial" w:cs="Arial"/>
          <w:sz w:val="24"/>
          <w:szCs w:val="24"/>
        </w:rPr>
        <w:t xml:space="preserve">En la </w:t>
      </w:r>
      <w:r w:rsidR="004944E6" w:rsidRPr="007C3DE6">
        <w:rPr>
          <w:rFonts w:ascii="Arial" w:hAnsi="Arial" w:cs="Arial"/>
          <w:sz w:val="24"/>
          <w:szCs w:val="24"/>
        </w:rPr>
        <w:t xml:space="preserve">siguiente </w:t>
      </w:r>
      <w:r w:rsidRPr="007C3DE6">
        <w:rPr>
          <w:rFonts w:ascii="Arial" w:hAnsi="Arial" w:cs="Arial"/>
          <w:sz w:val="24"/>
          <w:szCs w:val="24"/>
        </w:rPr>
        <w:t xml:space="preserve">imagen se presenta, de manera general, </w:t>
      </w:r>
      <w:r w:rsidR="00E86064">
        <w:rPr>
          <w:rFonts w:ascii="Arial" w:hAnsi="Arial" w:cs="Arial"/>
          <w:sz w:val="24"/>
          <w:szCs w:val="24"/>
        </w:rPr>
        <w:t xml:space="preserve">un ejemplo de </w:t>
      </w:r>
      <w:r w:rsidRPr="007C3DE6">
        <w:rPr>
          <w:rFonts w:ascii="Arial" w:hAnsi="Arial" w:cs="Arial"/>
          <w:sz w:val="24"/>
          <w:szCs w:val="24"/>
        </w:rPr>
        <w:t>la clasificación de las coberturas de la tierra asociadas a cada una de las zonas definidas dentro del proceso de zonificación, permitiendo visualizar la forma en que los diferentes tipos de cobertura se distribuyen y se relacionan con las categorías de manejo establecidas para el área protegida. Esta representación gráfica facilita la comprensión del criterio aplicado en la matriz de decisión y permite identificar cómo las distintas coberturas del territorio se integran en las zonas de preservación, restauración y uso sostenible definidas en el análisis.</w:t>
      </w:r>
    </w:p>
    <w:p w14:paraId="2A5BEE0F" w14:textId="0182DE23" w:rsidR="00A92693" w:rsidRPr="00A92693" w:rsidRDefault="007C3DE6" w:rsidP="00A92693">
      <w:pPr>
        <w:spacing w:line="276" w:lineRule="auto"/>
        <w:jc w:val="both"/>
        <w:rPr>
          <w:rFonts w:ascii="Arial" w:hAnsi="Arial" w:cs="Arial"/>
          <w:sz w:val="24"/>
          <w:szCs w:val="24"/>
          <w:lang w:val="es-ES"/>
        </w:rPr>
      </w:pPr>
      <w:r w:rsidRPr="007C3DE6">
        <w:rPr>
          <w:noProof/>
        </w:rPr>
        <w:drawing>
          <wp:inline distT="0" distB="0" distL="0" distR="0" wp14:anchorId="12757B87" wp14:editId="7CB319E2">
            <wp:extent cx="5612130" cy="1662430"/>
            <wp:effectExtent l="0" t="0" r="7620" b="0"/>
            <wp:docPr id="1371414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1662430"/>
                    </a:xfrm>
                    <a:prstGeom prst="rect">
                      <a:avLst/>
                    </a:prstGeom>
                    <a:noFill/>
                    <a:ln>
                      <a:noFill/>
                    </a:ln>
                  </pic:spPr>
                </pic:pic>
              </a:graphicData>
            </a:graphic>
          </wp:inline>
        </w:drawing>
      </w:r>
    </w:p>
    <w:p w14:paraId="0447BB7A" w14:textId="3E4ADB86" w:rsidR="008B74A9" w:rsidRDefault="007176D8" w:rsidP="001372EB">
      <w:pPr>
        <w:spacing w:after="0" w:line="276" w:lineRule="auto"/>
        <w:jc w:val="both"/>
        <w:rPr>
          <w:rFonts w:ascii="Arial" w:hAnsi="Arial" w:cs="Arial"/>
          <w:sz w:val="24"/>
          <w:szCs w:val="24"/>
        </w:rPr>
      </w:pPr>
      <w:r w:rsidRPr="007176D8">
        <w:rPr>
          <w:rFonts w:ascii="Arial" w:hAnsi="Arial" w:cs="Arial"/>
          <w:sz w:val="24"/>
          <w:szCs w:val="24"/>
        </w:rPr>
        <w:t>Como resultado de la aplicación de este criterio, en la siguiente tabla se presentan las extensiones correspondientes a cada una de las zonas definidas dentro del área protegida, permitiendo identificar la distribución espacial y la superficie asociada a las zonas de preservación, restauración y uso sostenible derivadas del proceso de zonificación. Esta información resume cuantitativamente los resultados obtenidos a partir del análisis de las coberturas de la tierra y su clasificación dentro del esquema metodológico aplicado.</w:t>
      </w:r>
    </w:p>
    <w:tbl>
      <w:tblPr>
        <w:tblW w:w="5000" w:type="pct"/>
        <w:jc w:val="center"/>
        <w:tblCellMar>
          <w:left w:w="70" w:type="dxa"/>
          <w:right w:w="70" w:type="dxa"/>
        </w:tblCellMar>
        <w:tblLook w:val="04A0" w:firstRow="1" w:lastRow="0" w:firstColumn="1" w:lastColumn="0" w:noHBand="0" w:noVBand="1"/>
      </w:tblPr>
      <w:tblGrid>
        <w:gridCol w:w="2531"/>
        <w:gridCol w:w="2975"/>
        <w:gridCol w:w="3286"/>
      </w:tblGrid>
      <w:tr w:rsidR="00A21777" w:rsidRPr="00A21777" w14:paraId="3008A9AF" w14:textId="77777777" w:rsidTr="00A21777">
        <w:trPr>
          <w:trHeight w:val="330"/>
          <w:jc w:val="center"/>
        </w:trPr>
        <w:tc>
          <w:tcPr>
            <w:tcW w:w="1439" w:type="pct"/>
            <w:tcBorders>
              <w:top w:val="double" w:sz="6" w:space="0" w:color="auto"/>
              <w:left w:val="double" w:sz="6" w:space="0" w:color="auto"/>
              <w:bottom w:val="double" w:sz="6" w:space="0" w:color="auto"/>
              <w:right w:val="double" w:sz="6" w:space="0" w:color="auto"/>
            </w:tcBorders>
            <w:shd w:val="clear" w:color="000000" w:fill="D9D9D9"/>
            <w:noWrap/>
            <w:vAlign w:val="bottom"/>
            <w:hideMark/>
          </w:tcPr>
          <w:p w14:paraId="56984CC1" w14:textId="77777777" w:rsidR="00A21777" w:rsidRPr="00A21777" w:rsidRDefault="00A21777" w:rsidP="00A21777">
            <w:pPr>
              <w:spacing w:after="0" w:line="240" w:lineRule="auto"/>
              <w:jc w:val="center"/>
              <w:rPr>
                <w:rFonts w:ascii="Calibri" w:eastAsia="Times New Roman" w:hAnsi="Calibri" w:cs="Calibri"/>
                <w:b/>
                <w:bCs/>
                <w:color w:val="000000"/>
                <w:sz w:val="24"/>
                <w:szCs w:val="24"/>
                <w:lang w:eastAsia="es-CO"/>
              </w:rPr>
            </w:pPr>
            <w:r w:rsidRPr="00A21777">
              <w:rPr>
                <w:rFonts w:ascii="Calibri" w:eastAsia="Times New Roman" w:hAnsi="Calibri" w:cs="Calibri"/>
                <w:b/>
                <w:bCs/>
                <w:color w:val="000000"/>
                <w:sz w:val="24"/>
                <w:szCs w:val="24"/>
                <w:lang w:eastAsia="es-CO"/>
              </w:rPr>
              <w:lastRenderedPageBreak/>
              <w:t>Zona</w:t>
            </w:r>
          </w:p>
        </w:tc>
        <w:tc>
          <w:tcPr>
            <w:tcW w:w="1692" w:type="pct"/>
            <w:tcBorders>
              <w:top w:val="double" w:sz="6" w:space="0" w:color="auto"/>
              <w:left w:val="nil"/>
              <w:bottom w:val="double" w:sz="6" w:space="0" w:color="auto"/>
              <w:right w:val="double" w:sz="6" w:space="0" w:color="000000"/>
            </w:tcBorders>
            <w:shd w:val="clear" w:color="000000" w:fill="D9D9D9"/>
            <w:noWrap/>
            <w:vAlign w:val="bottom"/>
            <w:hideMark/>
          </w:tcPr>
          <w:p w14:paraId="2BC574FC" w14:textId="77777777" w:rsidR="00A21777" w:rsidRPr="00A21777" w:rsidRDefault="00A21777" w:rsidP="00A21777">
            <w:pPr>
              <w:spacing w:after="0" w:line="240" w:lineRule="auto"/>
              <w:jc w:val="center"/>
              <w:rPr>
                <w:rFonts w:ascii="Calibri" w:eastAsia="Times New Roman" w:hAnsi="Calibri" w:cs="Calibri"/>
                <w:b/>
                <w:bCs/>
                <w:color w:val="000000"/>
                <w:sz w:val="24"/>
                <w:szCs w:val="24"/>
                <w:lang w:eastAsia="es-CO"/>
              </w:rPr>
            </w:pPr>
            <w:r w:rsidRPr="00A21777">
              <w:rPr>
                <w:rFonts w:ascii="Calibri" w:eastAsia="Times New Roman" w:hAnsi="Calibri" w:cs="Calibri"/>
                <w:b/>
                <w:bCs/>
                <w:color w:val="000000"/>
                <w:sz w:val="24"/>
                <w:szCs w:val="24"/>
                <w:lang w:eastAsia="es-CO"/>
              </w:rPr>
              <w:t>Extensión (ha)</w:t>
            </w:r>
          </w:p>
        </w:tc>
        <w:tc>
          <w:tcPr>
            <w:tcW w:w="1869" w:type="pct"/>
            <w:tcBorders>
              <w:top w:val="double" w:sz="6" w:space="0" w:color="auto"/>
              <w:left w:val="nil"/>
              <w:bottom w:val="double" w:sz="6" w:space="0" w:color="auto"/>
              <w:right w:val="double" w:sz="6" w:space="0" w:color="auto"/>
            </w:tcBorders>
            <w:shd w:val="clear" w:color="000000" w:fill="D9D9D9"/>
            <w:noWrap/>
            <w:vAlign w:val="bottom"/>
            <w:hideMark/>
          </w:tcPr>
          <w:p w14:paraId="5125BE77" w14:textId="77777777" w:rsidR="00A21777" w:rsidRPr="00A21777" w:rsidRDefault="00A21777" w:rsidP="00A21777">
            <w:pPr>
              <w:spacing w:after="0" w:line="240" w:lineRule="auto"/>
              <w:jc w:val="center"/>
              <w:rPr>
                <w:rFonts w:ascii="Calibri" w:eastAsia="Times New Roman" w:hAnsi="Calibri" w:cs="Calibri"/>
                <w:b/>
                <w:bCs/>
                <w:color w:val="000000"/>
                <w:sz w:val="24"/>
                <w:szCs w:val="24"/>
                <w:lang w:eastAsia="es-CO"/>
              </w:rPr>
            </w:pPr>
            <w:r w:rsidRPr="00A21777">
              <w:rPr>
                <w:rFonts w:ascii="Calibri" w:eastAsia="Times New Roman" w:hAnsi="Calibri" w:cs="Calibri"/>
                <w:b/>
                <w:bCs/>
                <w:color w:val="000000"/>
                <w:sz w:val="24"/>
                <w:szCs w:val="24"/>
                <w:lang w:eastAsia="es-CO"/>
              </w:rPr>
              <w:t>Porcentaje</w:t>
            </w:r>
          </w:p>
        </w:tc>
      </w:tr>
      <w:tr w:rsidR="00A21777" w:rsidRPr="00A21777" w14:paraId="440A804E" w14:textId="77777777" w:rsidTr="00A21777">
        <w:trPr>
          <w:trHeight w:val="310"/>
          <w:jc w:val="center"/>
        </w:trPr>
        <w:tc>
          <w:tcPr>
            <w:tcW w:w="1439" w:type="pct"/>
            <w:tcBorders>
              <w:top w:val="nil"/>
              <w:left w:val="double" w:sz="6" w:space="0" w:color="auto"/>
              <w:bottom w:val="double" w:sz="6" w:space="0" w:color="auto"/>
              <w:right w:val="double" w:sz="6" w:space="0" w:color="auto"/>
            </w:tcBorders>
            <w:shd w:val="clear" w:color="000000" w:fill="00B050"/>
            <w:noWrap/>
            <w:vAlign w:val="bottom"/>
            <w:hideMark/>
          </w:tcPr>
          <w:p w14:paraId="576258DE"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 xml:space="preserve">Preservación </w:t>
            </w:r>
          </w:p>
        </w:tc>
        <w:tc>
          <w:tcPr>
            <w:tcW w:w="1692" w:type="pct"/>
            <w:tcBorders>
              <w:top w:val="double" w:sz="6" w:space="0" w:color="auto"/>
              <w:left w:val="nil"/>
              <w:bottom w:val="double" w:sz="6" w:space="0" w:color="auto"/>
              <w:right w:val="double" w:sz="6" w:space="0" w:color="000000"/>
            </w:tcBorders>
            <w:noWrap/>
            <w:vAlign w:val="bottom"/>
            <w:hideMark/>
          </w:tcPr>
          <w:p w14:paraId="72F822A0"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52.026,877</w:t>
            </w:r>
          </w:p>
        </w:tc>
        <w:tc>
          <w:tcPr>
            <w:tcW w:w="1869" w:type="pct"/>
            <w:tcBorders>
              <w:top w:val="nil"/>
              <w:left w:val="nil"/>
              <w:bottom w:val="double" w:sz="6" w:space="0" w:color="auto"/>
              <w:right w:val="double" w:sz="6" w:space="0" w:color="auto"/>
            </w:tcBorders>
            <w:noWrap/>
            <w:vAlign w:val="bottom"/>
            <w:hideMark/>
          </w:tcPr>
          <w:p w14:paraId="34553622"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48,83%</w:t>
            </w:r>
          </w:p>
        </w:tc>
      </w:tr>
      <w:tr w:rsidR="00A21777" w:rsidRPr="00A21777" w14:paraId="2665637A" w14:textId="77777777" w:rsidTr="00A21777">
        <w:trPr>
          <w:trHeight w:val="310"/>
          <w:jc w:val="center"/>
        </w:trPr>
        <w:tc>
          <w:tcPr>
            <w:tcW w:w="1439" w:type="pct"/>
            <w:tcBorders>
              <w:top w:val="nil"/>
              <w:left w:val="double" w:sz="6" w:space="0" w:color="auto"/>
              <w:bottom w:val="double" w:sz="6" w:space="0" w:color="auto"/>
              <w:right w:val="double" w:sz="6" w:space="0" w:color="auto"/>
            </w:tcBorders>
            <w:shd w:val="clear" w:color="000000" w:fill="FFC000"/>
            <w:noWrap/>
            <w:vAlign w:val="bottom"/>
            <w:hideMark/>
          </w:tcPr>
          <w:p w14:paraId="61E914E3"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Restauración</w:t>
            </w:r>
          </w:p>
        </w:tc>
        <w:tc>
          <w:tcPr>
            <w:tcW w:w="1692" w:type="pct"/>
            <w:tcBorders>
              <w:top w:val="double" w:sz="6" w:space="0" w:color="auto"/>
              <w:left w:val="nil"/>
              <w:bottom w:val="double" w:sz="6" w:space="0" w:color="auto"/>
              <w:right w:val="double" w:sz="6" w:space="0" w:color="000000"/>
            </w:tcBorders>
            <w:noWrap/>
            <w:vAlign w:val="bottom"/>
            <w:hideMark/>
          </w:tcPr>
          <w:p w14:paraId="45D33F87"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10.180,266</w:t>
            </w:r>
          </w:p>
        </w:tc>
        <w:tc>
          <w:tcPr>
            <w:tcW w:w="1869" w:type="pct"/>
            <w:tcBorders>
              <w:top w:val="nil"/>
              <w:left w:val="nil"/>
              <w:bottom w:val="double" w:sz="6" w:space="0" w:color="auto"/>
              <w:right w:val="double" w:sz="6" w:space="0" w:color="auto"/>
            </w:tcBorders>
            <w:noWrap/>
            <w:vAlign w:val="bottom"/>
            <w:hideMark/>
          </w:tcPr>
          <w:p w14:paraId="5438E992"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9,55%</w:t>
            </w:r>
          </w:p>
        </w:tc>
      </w:tr>
      <w:tr w:rsidR="00A21777" w:rsidRPr="00A21777" w14:paraId="05737E1B" w14:textId="77777777" w:rsidTr="00A21777">
        <w:trPr>
          <w:trHeight w:val="310"/>
          <w:jc w:val="center"/>
        </w:trPr>
        <w:tc>
          <w:tcPr>
            <w:tcW w:w="1439" w:type="pct"/>
            <w:tcBorders>
              <w:top w:val="nil"/>
              <w:left w:val="double" w:sz="6" w:space="0" w:color="auto"/>
              <w:bottom w:val="double" w:sz="6" w:space="0" w:color="auto"/>
              <w:right w:val="double" w:sz="6" w:space="0" w:color="auto"/>
            </w:tcBorders>
            <w:shd w:val="clear" w:color="000000" w:fill="FFFF00"/>
            <w:noWrap/>
            <w:vAlign w:val="bottom"/>
            <w:hideMark/>
          </w:tcPr>
          <w:p w14:paraId="1AA60635"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Uso Sostenible</w:t>
            </w:r>
          </w:p>
        </w:tc>
        <w:tc>
          <w:tcPr>
            <w:tcW w:w="1692" w:type="pct"/>
            <w:tcBorders>
              <w:top w:val="double" w:sz="6" w:space="0" w:color="auto"/>
              <w:left w:val="nil"/>
              <w:bottom w:val="double" w:sz="6" w:space="0" w:color="auto"/>
              <w:right w:val="double" w:sz="6" w:space="0" w:color="000000"/>
            </w:tcBorders>
            <w:noWrap/>
            <w:vAlign w:val="bottom"/>
            <w:hideMark/>
          </w:tcPr>
          <w:p w14:paraId="6E48CC49"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44.345,141</w:t>
            </w:r>
          </w:p>
        </w:tc>
        <w:tc>
          <w:tcPr>
            <w:tcW w:w="1869" w:type="pct"/>
            <w:tcBorders>
              <w:top w:val="nil"/>
              <w:left w:val="nil"/>
              <w:bottom w:val="double" w:sz="6" w:space="0" w:color="auto"/>
              <w:right w:val="double" w:sz="6" w:space="0" w:color="auto"/>
            </w:tcBorders>
            <w:noWrap/>
            <w:vAlign w:val="bottom"/>
            <w:hideMark/>
          </w:tcPr>
          <w:p w14:paraId="79D1ECB9"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41,62%</w:t>
            </w:r>
          </w:p>
        </w:tc>
      </w:tr>
      <w:tr w:rsidR="00A21777" w:rsidRPr="00A21777" w14:paraId="45A24F80" w14:textId="77777777" w:rsidTr="00A21777">
        <w:trPr>
          <w:trHeight w:val="310"/>
          <w:jc w:val="center"/>
        </w:trPr>
        <w:tc>
          <w:tcPr>
            <w:tcW w:w="1439" w:type="pct"/>
            <w:tcBorders>
              <w:top w:val="nil"/>
              <w:left w:val="double" w:sz="6" w:space="0" w:color="auto"/>
              <w:bottom w:val="double" w:sz="6" w:space="0" w:color="auto"/>
              <w:right w:val="double" w:sz="6" w:space="0" w:color="auto"/>
            </w:tcBorders>
            <w:noWrap/>
            <w:vAlign w:val="bottom"/>
            <w:hideMark/>
          </w:tcPr>
          <w:p w14:paraId="3AB97FE4" w14:textId="77777777" w:rsidR="00A21777" w:rsidRPr="00A21777" w:rsidRDefault="00A21777" w:rsidP="00A21777">
            <w:pPr>
              <w:spacing w:after="0" w:line="240" w:lineRule="auto"/>
              <w:jc w:val="right"/>
              <w:rPr>
                <w:rFonts w:ascii="Calibri" w:eastAsia="Times New Roman" w:hAnsi="Calibri" w:cs="Calibri"/>
                <w:b/>
                <w:bCs/>
                <w:color w:val="000000"/>
                <w:lang w:eastAsia="es-CO"/>
              </w:rPr>
            </w:pPr>
            <w:r w:rsidRPr="00A21777">
              <w:rPr>
                <w:rFonts w:ascii="Calibri" w:eastAsia="Times New Roman" w:hAnsi="Calibri" w:cs="Calibri"/>
                <w:b/>
                <w:bCs/>
                <w:color w:val="000000"/>
                <w:lang w:eastAsia="es-CO"/>
              </w:rPr>
              <w:t>Total</w:t>
            </w:r>
          </w:p>
        </w:tc>
        <w:tc>
          <w:tcPr>
            <w:tcW w:w="1692" w:type="pct"/>
            <w:tcBorders>
              <w:top w:val="double" w:sz="6" w:space="0" w:color="auto"/>
              <w:left w:val="nil"/>
              <w:bottom w:val="double" w:sz="6" w:space="0" w:color="auto"/>
              <w:right w:val="double" w:sz="6" w:space="0" w:color="000000"/>
            </w:tcBorders>
            <w:noWrap/>
            <w:vAlign w:val="bottom"/>
            <w:hideMark/>
          </w:tcPr>
          <w:p w14:paraId="796C1C80" w14:textId="77777777" w:rsidR="00A21777" w:rsidRPr="00A21777" w:rsidRDefault="00A21777" w:rsidP="00A21777">
            <w:pPr>
              <w:spacing w:after="0" w:line="240" w:lineRule="auto"/>
              <w:jc w:val="center"/>
              <w:rPr>
                <w:rFonts w:ascii="Calibri" w:eastAsia="Times New Roman" w:hAnsi="Calibri" w:cs="Calibri"/>
                <w:b/>
                <w:bCs/>
                <w:color w:val="000000"/>
                <w:lang w:eastAsia="es-CO"/>
              </w:rPr>
            </w:pPr>
            <w:r w:rsidRPr="00A21777">
              <w:rPr>
                <w:rFonts w:ascii="Calibri" w:eastAsia="Times New Roman" w:hAnsi="Calibri" w:cs="Calibri"/>
                <w:b/>
                <w:bCs/>
                <w:color w:val="000000"/>
                <w:lang w:eastAsia="es-CO"/>
              </w:rPr>
              <w:t>106.552,2840</w:t>
            </w:r>
          </w:p>
        </w:tc>
        <w:tc>
          <w:tcPr>
            <w:tcW w:w="1869" w:type="pct"/>
            <w:tcBorders>
              <w:top w:val="nil"/>
              <w:left w:val="nil"/>
              <w:bottom w:val="double" w:sz="6" w:space="0" w:color="auto"/>
              <w:right w:val="double" w:sz="6" w:space="0" w:color="auto"/>
            </w:tcBorders>
            <w:noWrap/>
            <w:vAlign w:val="bottom"/>
            <w:hideMark/>
          </w:tcPr>
          <w:p w14:paraId="438E5010" w14:textId="77777777" w:rsidR="00A21777" w:rsidRPr="00A21777" w:rsidRDefault="00A21777" w:rsidP="00A21777">
            <w:pPr>
              <w:spacing w:after="0" w:line="240" w:lineRule="auto"/>
              <w:jc w:val="center"/>
              <w:rPr>
                <w:rFonts w:ascii="Calibri" w:eastAsia="Times New Roman" w:hAnsi="Calibri" w:cs="Calibri"/>
                <w:color w:val="000000"/>
                <w:lang w:eastAsia="es-CO"/>
              </w:rPr>
            </w:pPr>
            <w:r w:rsidRPr="00A21777">
              <w:rPr>
                <w:rFonts w:ascii="Calibri" w:eastAsia="Times New Roman" w:hAnsi="Calibri" w:cs="Calibri"/>
                <w:color w:val="000000"/>
                <w:lang w:eastAsia="es-CO"/>
              </w:rPr>
              <w:t>100</w:t>
            </w:r>
          </w:p>
        </w:tc>
      </w:tr>
    </w:tbl>
    <w:p w14:paraId="7CAF5224" w14:textId="77777777" w:rsidR="00A21777" w:rsidRPr="007176D8" w:rsidRDefault="00A21777" w:rsidP="001372EB">
      <w:pPr>
        <w:spacing w:after="0" w:line="276" w:lineRule="auto"/>
        <w:jc w:val="both"/>
        <w:rPr>
          <w:rFonts w:ascii="Arial" w:hAnsi="Arial" w:cs="Arial"/>
          <w:sz w:val="24"/>
          <w:szCs w:val="24"/>
          <w:lang w:val="es-ES"/>
        </w:rPr>
      </w:pPr>
    </w:p>
    <w:p w14:paraId="192F8D3B" w14:textId="77777777" w:rsidR="00D10B32" w:rsidRDefault="00D10B32" w:rsidP="00D10B32">
      <w:pPr>
        <w:spacing w:after="0" w:line="276" w:lineRule="auto"/>
        <w:jc w:val="both"/>
        <w:rPr>
          <w:rFonts w:ascii="Arial" w:hAnsi="Arial" w:cs="Arial"/>
          <w:b/>
          <w:bCs/>
          <w:sz w:val="24"/>
          <w:szCs w:val="24"/>
        </w:rPr>
      </w:pPr>
      <w:r w:rsidRPr="00D535E1">
        <w:rPr>
          <w:rFonts w:ascii="Arial" w:hAnsi="Arial" w:cs="Arial"/>
          <w:b/>
          <w:bCs/>
          <w:sz w:val="24"/>
          <w:szCs w:val="24"/>
        </w:rPr>
        <w:t>Criterio 2. Actividad agropecuaria preexistente en Páramo a 2011</w:t>
      </w:r>
    </w:p>
    <w:p w14:paraId="2B7AF0E0" w14:textId="77777777" w:rsidR="00633EF3" w:rsidRDefault="00633EF3" w:rsidP="00D10B32">
      <w:pPr>
        <w:spacing w:after="0" w:line="276" w:lineRule="auto"/>
        <w:jc w:val="both"/>
        <w:rPr>
          <w:rFonts w:ascii="Arial" w:hAnsi="Arial" w:cs="Arial"/>
          <w:b/>
          <w:bCs/>
          <w:sz w:val="24"/>
          <w:szCs w:val="24"/>
        </w:rPr>
      </w:pPr>
    </w:p>
    <w:p w14:paraId="071490CF" w14:textId="6696E4B3" w:rsidR="00633EF3" w:rsidRDefault="00002A96" w:rsidP="00633EF3">
      <w:pPr>
        <w:spacing w:after="0" w:line="276" w:lineRule="auto"/>
        <w:jc w:val="both"/>
        <w:rPr>
          <w:rFonts w:ascii="Arial" w:hAnsi="Arial" w:cs="Arial"/>
          <w:sz w:val="24"/>
          <w:szCs w:val="24"/>
        </w:rPr>
      </w:pPr>
      <w:r>
        <w:rPr>
          <w:rFonts w:ascii="Arial" w:hAnsi="Arial" w:cs="Arial"/>
          <w:sz w:val="24"/>
          <w:szCs w:val="24"/>
        </w:rPr>
        <w:t>O</w:t>
      </w:r>
      <w:r w:rsidR="00633EF3" w:rsidRPr="00633EF3">
        <w:rPr>
          <w:rFonts w:ascii="Arial" w:hAnsi="Arial" w:cs="Arial"/>
          <w:sz w:val="24"/>
          <w:szCs w:val="24"/>
        </w:rPr>
        <w:t>btenida la clasificación inicial de las zonas a partir del criterio de cobertura</w:t>
      </w:r>
      <w:r>
        <w:rPr>
          <w:rFonts w:ascii="Arial" w:hAnsi="Arial" w:cs="Arial"/>
          <w:sz w:val="24"/>
          <w:szCs w:val="24"/>
        </w:rPr>
        <w:t>s</w:t>
      </w:r>
      <w:r w:rsidR="00633EF3" w:rsidRPr="00633EF3">
        <w:rPr>
          <w:rFonts w:ascii="Arial" w:hAnsi="Arial" w:cs="Arial"/>
          <w:sz w:val="24"/>
          <w:szCs w:val="24"/>
        </w:rPr>
        <w:t xml:space="preserve"> de la tierra, se procede a incorporar el </w:t>
      </w:r>
      <w:r w:rsidR="006976E4">
        <w:rPr>
          <w:rFonts w:ascii="Arial" w:hAnsi="Arial" w:cs="Arial"/>
          <w:sz w:val="24"/>
          <w:szCs w:val="24"/>
        </w:rPr>
        <w:t xml:space="preserve">criterio de </w:t>
      </w:r>
      <w:r w:rsidR="00633EF3" w:rsidRPr="00633EF3">
        <w:rPr>
          <w:rFonts w:ascii="Arial" w:hAnsi="Arial" w:cs="Arial"/>
          <w:sz w:val="24"/>
          <w:szCs w:val="24"/>
        </w:rPr>
        <w:t>Actividad agropecuaria preexistente en páramo a 2011 dentro del proceso de análisis.</w:t>
      </w:r>
    </w:p>
    <w:p w14:paraId="55C15C5E" w14:textId="77777777" w:rsidR="006976E4" w:rsidRPr="00633EF3" w:rsidRDefault="006976E4" w:rsidP="00633EF3">
      <w:pPr>
        <w:spacing w:after="0" w:line="276" w:lineRule="auto"/>
        <w:jc w:val="both"/>
        <w:rPr>
          <w:rFonts w:ascii="Arial" w:hAnsi="Arial" w:cs="Arial"/>
          <w:sz w:val="24"/>
          <w:szCs w:val="24"/>
        </w:rPr>
      </w:pPr>
    </w:p>
    <w:p w14:paraId="54E5C1A0" w14:textId="77777777" w:rsidR="006976E4" w:rsidRDefault="00633EF3" w:rsidP="00633EF3">
      <w:pPr>
        <w:spacing w:after="0" w:line="276" w:lineRule="auto"/>
        <w:jc w:val="both"/>
        <w:rPr>
          <w:rFonts w:ascii="Arial" w:hAnsi="Arial" w:cs="Arial"/>
          <w:sz w:val="24"/>
          <w:szCs w:val="24"/>
        </w:rPr>
      </w:pPr>
      <w:r w:rsidRPr="00633EF3">
        <w:rPr>
          <w:rFonts w:ascii="Arial" w:hAnsi="Arial" w:cs="Arial"/>
          <w:sz w:val="24"/>
          <w:szCs w:val="24"/>
        </w:rPr>
        <w:t xml:space="preserve">Este criterio se integra al esquema metodológico mediante el cruce de la clasificación inicial con la capa correspondiente a la actividad agropecuaria preexistente, permitiendo ajustar y complementar la delimitación preliminar de las zonas definidas, de acuerdo con las reglas establecidas en la matriz de decisión. </w:t>
      </w:r>
    </w:p>
    <w:p w14:paraId="3791F0B6" w14:textId="77777777" w:rsidR="006976E4" w:rsidRDefault="006976E4" w:rsidP="00633EF3">
      <w:pPr>
        <w:spacing w:after="0" w:line="276" w:lineRule="auto"/>
        <w:jc w:val="both"/>
        <w:rPr>
          <w:rFonts w:ascii="Arial" w:hAnsi="Arial" w:cs="Arial"/>
          <w:sz w:val="24"/>
          <w:szCs w:val="24"/>
        </w:rPr>
      </w:pPr>
    </w:p>
    <w:p w14:paraId="274CE7B3" w14:textId="77777777" w:rsidR="009E2AD3" w:rsidRPr="009E2AD3" w:rsidRDefault="009E2AD3" w:rsidP="009E2AD3">
      <w:pPr>
        <w:spacing w:after="0" w:line="276" w:lineRule="auto"/>
        <w:jc w:val="both"/>
        <w:rPr>
          <w:rFonts w:ascii="Arial" w:hAnsi="Arial" w:cs="Arial"/>
          <w:sz w:val="24"/>
          <w:szCs w:val="24"/>
        </w:rPr>
      </w:pPr>
      <w:r w:rsidRPr="009E2AD3">
        <w:rPr>
          <w:rFonts w:ascii="Arial" w:hAnsi="Arial" w:cs="Arial"/>
          <w:sz w:val="24"/>
          <w:szCs w:val="24"/>
        </w:rPr>
        <w:t>De acuerdo con las matrices de decisión definidas para el proceso de zonificación, la regla establecida para la aplicación de este criterio se presenta a continuación, en la cual se especifican las condiciones bajo las cuales se realiza el ajuste de las zonas de manejo dentro del área protegida. En este caso, la aplicación del criterio únicamente genera modificaciones sobre las áreas clasificadas inicialmente como zonas de uso sostenible, las cuales, al cumplir con la condición definida en la matriz de decisión, pasan a ser reclasificadas como zonas de restauración.</w:t>
      </w:r>
    </w:p>
    <w:p w14:paraId="13E5B691" w14:textId="77777777" w:rsidR="009E2AD3" w:rsidRPr="009E2AD3" w:rsidRDefault="009E2AD3" w:rsidP="009E2AD3">
      <w:pPr>
        <w:spacing w:after="0" w:line="276" w:lineRule="auto"/>
        <w:jc w:val="both"/>
        <w:rPr>
          <w:rFonts w:ascii="Arial" w:hAnsi="Arial" w:cs="Arial"/>
          <w:sz w:val="24"/>
          <w:szCs w:val="24"/>
        </w:rPr>
      </w:pPr>
    </w:p>
    <w:p w14:paraId="4C6177CC" w14:textId="23605C86" w:rsidR="009E2AD3" w:rsidRPr="009E2AD3" w:rsidRDefault="009E2AD3" w:rsidP="009E2AD3">
      <w:pPr>
        <w:spacing w:after="0" w:line="276" w:lineRule="auto"/>
        <w:jc w:val="both"/>
        <w:rPr>
          <w:rFonts w:ascii="Arial" w:hAnsi="Arial" w:cs="Arial"/>
          <w:sz w:val="24"/>
          <w:szCs w:val="24"/>
        </w:rPr>
      </w:pPr>
      <w:r w:rsidRPr="009E2AD3">
        <w:rPr>
          <w:rFonts w:ascii="Arial" w:hAnsi="Arial" w:cs="Arial"/>
          <w:sz w:val="24"/>
          <w:szCs w:val="24"/>
        </w:rPr>
        <w:t>De esta manera, el criterio se integra al análisis secuencial de la zonificación permitiendo refinar la clasificación preliminar de las coberturas.</w:t>
      </w:r>
    </w:p>
    <w:p w14:paraId="140A0691" w14:textId="77777777" w:rsidR="009E2AD3" w:rsidRDefault="009E2AD3">
      <w:pPr>
        <w:spacing w:after="0" w:line="276" w:lineRule="auto"/>
        <w:jc w:val="both"/>
        <w:rPr>
          <w:rFonts w:ascii="Arial" w:hAnsi="Arial" w:cs="Arial"/>
          <w:sz w:val="24"/>
          <w:szCs w:val="24"/>
        </w:rPr>
      </w:pPr>
    </w:p>
    <w:tbl>
      <w:tblPr>
        <w:tblW w:w="8212" w:type="dxa"/>
        <w:jc w:val="center"/>
        <w:tblCellMar>
          <w:left w:w="70" w:type="dxa"/>
          <w:right w:w="70" w:type="dxa"/>
        </w:tblCellMar>
        <w:tblLook w:val="04A0" w:firstRow="1" w:lastRow="0" w:firstColumn="1" w:lastColumn="0" w:noHBand="0" w:noVBand="1"/>
      </w:tblPr>
      <w:tblGrid>
        <w:gridCol w:w="2542"/>
        <w:gridCol w:w="2551"/>
        <w:gridCol w:w="3119"/>
      </w:tblGrid>
      <w:tr w:rsidR="009E2AD3" w:rsidRPr="009E2AD3" w14:paraId="52D1EF4D" w14:textId="77777777" w:rsidTr="00AA1A03">
        <w:trPr>
          <w:trHeight w:val="300"/>
          <w:jc w:val="center"/>
        </w:trPr>
        <w:tc>
          <w:tcPr>
            <w:tcW w:w="8212" w:type="dxa"/>
            <w:gridSpan w:val="3"/>
            <w:tcBorders>
              <w:top w:val="single" w:sz="4" w:space="0" w:color="auto"/>
              <w:left w:val="single" w:sz="8" w:space="0" w:color="auto"/>
              <w:bottom w:val="single" w:sz="4" w:space="0" w:color="auto"/>
              <w:right w:val="single" w:sz="8" w:space="0" w:color="000000"/>
            </w:tcBorders>
            <w:shd w:val="clear" w:color="000000" w:fill="FCE4D6"/>
            <w:vAlign w:val="bottom"/>
            <w:hideMark/>
          </w:tcPr>
          <w:p w14:paraId="77A367CC" w14:textId="77777777" w:rsidR="009E2AD3" w:rsidRPr="009E2AD3" w:rsidRDefault="009E2AD3" w:rsidP="009E2AD3">
            <w:pPr>
              <w:spacing w:after="0" w:line="240" w:lineRule="auto"/>
              <w:jc w:val="center"/>
              <w:rPr>
                <w:rFonts w:ascii="Calibri" w:eastAsia="Times New Roman" w:hAnsi="Calibri" w:cs="Calibri"/>
                <w:b/>
                <w:bCs/>
                <w:color w:val="000000"/>
                <w:lang w:eastAsia="es-CO"/>
              </w:rPr>
            </w:pPr>
            <w:r w:rsidRPr="009E2AD3">
              <w:rPr>
                <w:rFonts w:ascii="Calibri" w:eastAsia="Times New Roman" w:hAnsi="Calibri" w:cs="Calibri"/>
                <w:b/>
                <w:bCs/>
                <w:color w:val="000000"/>
                <w:lang w:eastAsia="es-CO"/>
              </w:rPr>
              <w:t>Preexistencia de actividades agropecuarias en páramo a 2011</w:t>
            </w:r>
          </w:p>
        </w:tc>
      </w:tr>
      <w:tr w:rsidR="009E2AD3" w:rsidRPr="009E2AD3" w14:paraId="3531FB02" w14:textId="77777777" w:rsidTr="00AA1A03">
        <w:trPr>
          <w:trHeight w:val="290"/>
          <w:jc w:val="center"/>
        </w:trPr>
        <w:tc>
          <w:tcPr>
            <w:tcW w:w="2542" w:type="dxa"/>
            <w:tcBorders>
              <w:top w:val="nil"/>
              <w:left w:val="single" w:sz="8" w:space="0" w:color="auto"/>
              <w:bottom w:val="single" w:sz="4" w:space="0" w:color="auto"/>
              <w:right w:val="single" w:sz="4" w:space="0" w:color="auto"/>
            </w:tcBorders>
            <w:shd w:val="clear" w:color="000000" w:fill="auto"/>
            <w:noWrap/>
            <w:vAlign w:val="center"/>
            <w:hideMark/>
          </w:tcPr>
          <w:p w14:paraId="5AD62FEB" w14:textId="77777777" w:rsidR="009E2AD3" w:rsidRPr="009E2AD3" w:rsidRDefault="009E2AD3" w:rsidP="009E2AD3">
            <w:pPr>
              <w:spacing w:after="0" w:line="240" w:lineRule="auto"/>
              <w:jc w:val="center"/>
              <w:rPr>
                <w:rFonts w:ascii="Calibri" w:eastAsia="Times New Roman" w:hAnsi="Calibri" w:cs="Calibri"/>
                <w:b/>
                <w:bCs/>
                <w:color w:val="000000"/>
                <w:lang w:eastAsia="es-CO"/>
              </w:rPr>
            </w:pPr>
            <w:r w:rsidRPr="009E2AD3">
              <w:rPr>
                <w:rFonts w:ascii="Calibri" w:eastAsia="Times New Roman" w:hAnsi="Calibri" w:cs="Calibri"/>
                <w:b/>
                <w:bCs/>
                <w:color w:val="000000"/>
                <w:lang w:eastAsia="es-CO"/>
              </w:rPr>
              <w:t>Zona</w:t>
            </w:r>
          </w:p>
        </w:tc>
        <w:tc>
          <w:tcPr>
            <w:tcW w:w="2551" w:type="dxa"/>
            <w:tcBorders>
              <w:top w:val="nil"/>
              <w:left w:val="nil"/>
              <w:bottom w:val="single" w:sz="4" w:space="0" w:color="auto"/>
              <w:right w:val="single" w:sz="4" w:space="0" w:color="auto"/>
            </w:tcBorders>
            <w:shd w:val="clear" w:color="000000" w:fill="auto"/>
            <w:vAlign w:val="center"/>
            <w:hideMark/>
          </w:tcPr>
          <w:p w14:paraId="65F92721" w14:textId="77777777" w:rsidR="009E2AD3" w:rsidRPr="009E2AD3" w:rsidRDefault="009E2AD3" w:rsidP="009E2AD3">
            <w:pPr>
              <w:spacing w:after="0" w:line="240" w:lineRule="auto"/>
              <w:jc w:val="center"/>
              <w:rPr>
                <w:rFonts w:ascii="Calibri" w:eastAsia="Times New Roman" w:hAnsi="Calibri" w:cs="Calibri"/>
                <w:b/>
                <w:bCs/>
                <w:color w:val="000000"/>
                <w:lang w:eastAsia="es-CO"/>
              </w:rPr>
            </w:pPr>
            <w:r w:rsidRPr="009E2AD3">
              <w:rPr>
                <w:rFonts w:ascii="Calibri" w:eastAsia="Times New Roman" w:hAnsi="Calibri" w:cs="Calibri"/>
                <w:b/>
                <w:bCs/>
                <w:color w:val="000000"/>
                <w:lang w:eastAsia="es-CO"/>
              </w:rPr>
              <w:t>Actividad preexistente</w:t>
            </w:r>
          </w:p>
        </w:tc>
        <w:tc>
          <w:tcPr>
            <w:tcW w:w="3119" w:type="dxa"/>
            <w:tcBorders>
              <w:top w:val="nil"/>
              <w:left w:val="nil"/>
              <w:bottom w:val="single" w:sz="4" w:space="0" w:color="auto"/>
              <w:right w:val="single" w:sz="8" w:space="0" w:color="auto"/>
            </w:tcBorders>
            <w:shd w:val="clear" w:color="000000" w:fill="auto"/>
            <w:vAlign w:val="center"/>
            <w:hideMark/>
          </w:tcPr>
          <w:p w14:paraId="225F183F" w14:textId="77777777" w:rsidR="009E2AD3" w:rsidRPr="009E2AD3" w:rsidRDefault="009E2AD3" w:rsidP="009E2AD3">
            <w:pPr>
              <w:spacing w:after="0" w:line="240" w:lineRule="auto"/>
              <w:jc w:val="center"/>
              <w:rPr>
                <w:rFonts w:ascii="Calibri" w:eastAsia="Times New Roman" w:hAnsi="Calibri" w:cs="Calibri"/>
                <w:b/>
                <w:bCs/>
                <w:color w:val="000000"/>
                <w:lang w:eastAsia="es-CO"/>
              </w:rPr>
            </w:pPr>
            <w:r w:rsidRPr="009E2AD3">
              <w:rPr>
                <w:rFonts w:ascii="Calibri" w:eastAsia="Times New Roman" w:hAnsi="Calibri" w:cs="Calibri"/>
                <w:b/>
                <w:bCs/>
                <w:color w:val="000000"/>
                <w:lang w:eastAsia="es-CO"/>
              </w:rPr>
              <w:t>Actividad no preexistente</w:t>
            </w:r>
          </w:p>
        </w:tc>
      </w:tr>
      <w:tr w:rsidR="009E2AD3" w:rsidRPr="009E2AD3" w14:paraId="26CAB78B" w14:textId="77777777" w:rsidTr="00AA1A03">
        <w:trPr>
          <w:trHeight w:val="290"/>
          <w:jc w:val="center"/>
        </w:trPr>
        <w:tc>
          <w:tcPr>
            <w:tcW w:w="2542" w:type="dxa"/>
            <w:tcBorders>
              <w:top w:val="nil"/>
              <w:left w:val="single" w:sz="8" w:space="0" w:color="auto"/>
              <w:bottom w:val="single" w:sz="4" w:space="0" w:color="auto"/>
              <w:right w:val="single" w:sz="4" w:space="0" w:color="auto"/>
            </w:tcBorders>
            <w:shd w:val="clear" w:color="000000" w:fill="00B050"/>
            <w:noWrap/>
            <w:vAlign w:val="bottom"/>
            <w:hideMark/>
          </w:tcPr>
          <w:p w14:paraId="59775890"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 xml:space="preserve">Preservación </w:t>
            </w:r>
          </w:p>
        </w:tc>
        <w:tc>
          <w:tcPr>
            <w:tcW w:w="2551" w:type="dxa"/>
            <w:tcBorders>
              <w:top w:val="nil"/>
              <w:left w:val="nil"/>
              <w:bottom w:val="single" w:sz="4" w:space="0" w:color="auto"/>
              <w:right w:val="single" w:sz="4" w:space="0" w:color="auto"/>
            </w:tcBorders>
            <w:shd w:val="clear" w:color="000000" w:fill="FFFFFF"/>
            <w:noWrap/>
            <w:vAlign w:val="bottom"/>
            <w:hideMark/>
          </w:tcPr>
          <w:p w14:paraId="528D682C"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NA</w:t>
            </w:r>
          </w:p>
        </w:tc>
        <w:tc>
          <w:tcPr>
            <w:tcW w:w="3119" w:type="dxa"/>
            <w:tcBorders>
              <w:top w:val="nil"/>
              <w:left w:val="nil"/>
              <w:bottom w:val="single" w:sz="4" w:space="0" w:color="auto"/>
              <w:right w:val="single" w:sz="8" w:space="0" w:color="auto"/>
            </w:tcBorders>
            <w:shd w:val="clear" w:color="000000" w:fill="auto"/>
            <w:noWrap/>
            <w:vAlign w:val="bottom"/>
            <w:hideMark/>
          </w:tcPr>
          <w:p w14:paraId="15E2545A"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NA</w:t>
            </w:r>
          </w:p>
        </w:tc>
      </w:tr>
      <w:tr w:rsidR="009E2AD3" w:rsidRPr="009E2AD3" w14:paraId="4014F63A" w14:textId="77777777" w:rsidTr="00AA1A03">
        <w:trPr>
          <w:trHeight w:val="290"/>
          <w:jc w:val="center"/>
        </w:trPr>
        <w:tc>
          <w:tcPr>
            <w:tcW w:w="2542" w:type="dxa"/>
            <w:tcBorders>
              <w:top w:val="nil"/>
              <w:left w:val="single" w:sz="8" w:space="0" w:color="auto"/>
              <w:bottom w:val="single" w:sz="4" w:space="0" w:color="auto"/>
              <w:right w:val="single" w:sz="4" w:space="0" w:color="auto"/>
            </w:tcBorders>
            <w:shd w:val="clear" w:color="000000" w:fill="FFC000"/>
            <w:noWrap/>
            <w:vAlign w:val="bottom"/>
            <w:hideMark/>
          </w:tcPr>
          <w:p w14:paraId="49F027D6"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Restauración</w:t>
            </w:r>
          </w:p>
        </w:tc>
        <w:tc>
          <w:tcPr>
            <w:tcW w:w="2551" w:type="dxa"/>
            <w:tcBorders>
              <w:top w:val="nil"/>
              <w:left w:val="nil"/>
              <w:bottom w:val="single" w:sz="4" w:space="0" w:color="auto"/>
              <w:right w:val="single" w:sz="4" w:space="0" w:color="auto"/>
            </w:tcBorders>
            <w:shd w:val="clear" w:color="000000" w:fill="FFFFFF"/>
            <w:noWrap/>
            <w:vAlign w:val="bottom"/>
            <w:hideMark/>
          </w:tcPr>
          <w:p w14:paraId="1D351C81"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NA</w:t>
            </w:r>
          </w:p>
        </w:tc>
        <w:tc>
          <w:tcPr>
            <w:tcW w:w="3119" w:type="dxa"/>
            <w:tcBorders>
              <w:top w:val="nil"/>
              <w:left w:val="nil"/>
              <w:bottom w:val="single" w:sz="4" w:space="0" w:color="auto"/>
              <w:right w:val="single" w:sz="8" w:space="0" w:color="auto"/>
            </w:tcBorders>
            <w:shd w:val="clear" w:color="000000" w:fill="auto"/>
            <w:noWrap/>
            <w:vAlign w:val="bottom"/>
            <w:hideMark/>
          </w:tcPr>
          <w:p w14:paraId="19933996"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NA</w:t>
            </w:r>
          </w:p>
        </w:tc>
      </w:tr>
      <w:tr w:rsidR="009E2AD3" w:rsidRPr="009E2AD3" w14:paraId="1B3158D1" w14:textId="77777777" w:rsidTr="00AA1A03">
        <w:trPr>
          <w:trHeight w:val="300"/>
          <w:jc w:val="center"/>
        </w:trPr>
        <w:tc>
          <w:tcPr>
            <w:tcW w:w="2542" w:type="dxa"/>
            <w:tcBorders>
              <w:top w:val="nil"/>
              <w:left w:val="single" w:sz="8" w:space="0" w:color="auto"/>
              <w:bottom w:val="single" w:sz="8" w:space="0" w:color="auto"/>
              <w:right w:val="single" w:sz="4" w:space="0" w:color="auto"/>
            </w:tcBorders>
            <w:shd w:val="clear" w:color="000000" w:fill="FFFF00"/>
            <w:noWrap/>
            <w:vAlign w:val="bottom"/>
            <w:hideMark/>
          </w:tcPr>
          <w:p w14:paraId="7F36D486"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Uso Sostenible</w:t>
            </w:r>
          </w:p>
        </w:tc>
        <w:tc>
          <w:tcPr>
            <w:tcW w:w="2551" w:type="dxa"/>
            <w:tcBorders>
              <w:top w:val="nil"/>
              <w:left w:val="nil"/>
              <w:bottom w:val="single" w:sz="8" w:space="0" w:color="auto"/>
              <w:right w:val="single" w:sz="4" w:space="0" w:color="auto"/>
            </w:tcBorders>
            <w:shd w:val="clear" w:color="000000" w:fill="FFFF00"/>
            <w:noWrap/>
            <w:vAlign w:val="bottom"/>
            <w:hideMark/>
          </w:tcPr>
          <w:p w14:paraId="7584277D"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 xml:space="preserve">Uso sostenible </w:t>
            </w:r>
          </w:p>
        </w:tc>
        <w:tc>
          <w:tcPr>
            <w:tcW w:w="3119" w:type="dxa"/>
            <w:tcBorders>
              <w:top w:val="nil"/>
              <w:left w:val="nil"/>
              <w:bottom w:val="single" w:sz="8" w:space="0" w:color="auto"/>
              <w:right w:val="single" w:sz="8" w:space="0" w:color="auto"/>
            </w:tcBorders>
            <w:shd w:val="clear" w:color="000000" w:fill="FFC000"/>
            <w:noWrap/>
            <w:vAlign w:val="bottom"/>
            <w:hideMark/>
          </w:tcPr>
          <w:p w14:paraId="69EBEEB4" w14:textId="77777777" w:rsidR="009E2AD3" w:rsidRPr="009E2AD3" w:rsidRDefault="009E2AD3" w:rsidP="009E2AD3">
            <w:pPr>
              <w:spacing w:after="0" w:line="240" w:lineRule="auto"/>
              <w:jc w:val="center"/>
              <w:rPr>
                <w:rFonts w:ascii="Calibri" w:eastAsia="Times New Roman" w:hAnsi="Calibri" w:cs="Calibri"/>
                <w:color w:val="000000"/>
                <w:lang w:eastAsia="es-CO"/>
              </w:rPr>
            </w:pPr>
            <w:r w:rsidRPr="009E2AD3">
              <w:rPr>
                <w:rFonts w:ascii="Calibri" w:eastAsia="Times New Roman" w:hAnsi="Calibri" w:cs="Calibri"/>
                <w:color w:val="000000"/>
                <w:lang w:eastAsia="es-CO"/>
              </w:rPr>
              <w:t xml:space="preserve">Restauración </w:t>
            </w:r>
          </w:p>
        </w:tc>
      </w:tr>
    </w:tbl>
    <w:p w14:paraId="30CD837A" w14:textId="77777777" w:rsidR="009E2AD3" w:rsidRDefault="009E2AD3">
      <w:pPr>
        <w:spacing w:after="0" w:line="276" w:lineRule="auto"/>
        <w:jc w:val="both"/>
        <w:rPr>
          <w:rFonts w:ascii="Arial" w:hAnsi="Arial" w:cs="Arial"/>
          <w:sz w:val="24"/>
          <w:szCs w:val="24"/>
          <w:lang w:val="es-ES"/>
        </w:rPr>
      </w:pPr>
    </w:p>
    <w:p w14:paraId="051C96BC" w14:textId="01DBD775" w:rsidR="00FF76C3" w:rsidRDefault="006B05EC">
      <w:pPr>
        <w:spacing w:after="0" w:line="276" w:lineRule="auto"/>
        <w:jc w:val="both"/>
        <w:rPr>
          <w:rFonts w:ascii="Arial" w:hAnsi="Arial" w:cs="Arial"/>
          <w:sz w:val="24"/>
          <w:szCs w:val="24"/>
        </w:rPr>
      </w:pPr>
      <w:r w:rsidRPr="006B05EC">
        <w:rPr>
          <w:rFonts w:ascii="Arial" w:hAnsi="Arial" w:cs="Arial"/>
          <w:sz w:val="24"/>
          <w:szCs w:val="24"/>
        </w:rPr>
        <w:t xml:space="preserve">Una vez aplicada esta regla dentro del proceso de análisis, los resultados obtenidos para cada una de las zonas de manejo se presentan a continuación. En ellos se evidencia una ligera disminución en la extensión correspondiente a las zonas de uso sostenible, como resultado de la reclasificación de algunos sectores que, de acuerdo con la matriz de decisión, pasan a formar parte de las zonas de restauración. </w:t>
      </w:r>
    </w:p>
    <w:tbl>
      <w:tblPr>
        <w:tblW w:w="3546" w:type="pct"/>
        <w:jc w:val="center"/>
        <w:tblCellMar>
          <w:left w:w="70" w:type="dxa"/>
          <w:right w:w="70" w:type="dxa"/>
        </w:tblCellMar>
        <w:tblLook w:val="04A0" w:firstRow="1" w:lastRow="0" w:firstColumn="1" w:lastColumn="0" w:noHBand="0" w:noVBand="1"/>
      </w:tblPr>
      <w:tblGrid>
        <w:gridCol w:w="1963"/>
        <w:gridCol w:w="2289"/>
        <w:gridCol w:w="1983"/>
      </w:tblGrid>
      <w:tr w:rsidR="00FF76C3" w:rsidRPr="00FF76C3" w14:paraId="4C663418" w14:textId="77777777" w:rsidTr="00FF76C3">
        <w:trPr>
          <w:trHeight w:val="330"/>
          <w:jc w:val="center"/>
        </w:trPr>
        <w:tc>
          <w:tcPr>
            <w:tcW w:w="1573" w:type="pct"/>
            <w:tcBorders>
              <w:top w:val="double" w:sz="6" w:space="0" w:color="auto"/>
              <w:left w:val="double" w:sz="6" w:space="0" w:color="auto"/>
              <w:bottom w:val="double" w:sz="6" w:space="0" w:color="auto"/>
              <w:right w:val="double" w:sz="6" w:space="0" w:color="auto"/>
            </w:tcBorders>
            <w:shd w:val="clear" w:color="000000" w:fill="D9D9D9"/>
            <w:noWrap/>
            <w:vAlign w:val="bottom"/>
            <w:hideMark/>
          </w:tcPr>
          <w:p w14:paraId="0316E46F" w14:textId="77777777" w:rsidR="00FF76C3" w:rsidRPr="00FF76C3" w:rsidRDefault="00FF76C3" w:rsidP="00FF76C3">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lastRenderedPageBreak/>
              <w:t>Zona</w:t>
            </w:r>
          </w:p>
        </w:tc>
        <w:tc>
          <w:tcPr>
            <w:tcW w:w="1836" w:type="pct"/>
            <w:tcBorders>
              <w:top w:val="double" w:sz="6" w:space="0" w:color="auto"/>
              <w:left w:val="nil"/>
              <w:bottom w:val="double" w:sz="6" w:space="0" w:color="auto"/>
              <w:right w:val="double" w:sz="6" w:space="0" w:color="000000"/>
            </w:tcBorders>
            <w:shd w:val="clear" w:color="000000" w:fill="D9D9D9"/>
            <w:noWrap/>
            <w:vAlign w:val="bottom"/>
            <w:hideMark/>
          </w:tcPr>
          <w:p w14:paraId="20462216" w14:textId="77777777" w:rsidR="00FF76C3" w:rsidRPr="00FF76C3" w:rsidRDefault="00FF76C3" w:rsidP="00FF76C3">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Extensión (ha)</w:t>
            </w:r>
          </w:p>
        </w:tc>
        <w:tc>
          <w:tcPr>
            <w:tcW w:w="1590" w:type="pct"/>
            <w:tcBorders>
              <w:top w:val="double" w:sz="6" w:space="0" w:color="auto"/>
              <w:left w:val="nil"/>
              <w:bottom w:val="double" w:sz="6" w:space="0" w:color="auto"/>
              <w:right w:val="double" w:sz="6" w:space="0" w:color="auto"/>
            </w:tcBorders>
            <w:shd w:val="clear" w:color="000000" w:fill="D9D9D9"/>
            <w:noWrap/>
            <w:vAlign w:val="bottom"/>
            <w:hideMark/>
          </w:tcPr>
          <w:p w14:paraId="3D965C78" w14:textId="77777777" w:rsidR="00FF76C3" w:rsidRPr="00FF76C3" w:rsidRDefault="00FF76C3" w:rsidP="00FF76C3">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Porcentaje</w:t>
            </w:r>
          </w:p>
        </w:tc>
      </w:tr>
      <w:tr w:rsidR="00FF76C3" w:rsidRPr="00FF76C3" w14:paraId="55ADA3A3" w14:textId="77777777" w:rsidTr="00F938E7">
        <w:trPr>
          <w:trHeight w:val="310"/>
          <w:jc w:val="center"/>
        </w:trPr>
        <w:tc>
          <w:tcPr>
            <w:tcW w:w="1573" w:type="pct"/>
            <w:tcBorders>
              <w:top w:val="nil"/>
              <w:left w:val="double" w:sz="6" w:space="0" w:color="auto"/>
              <w:bottom w:val="double" w:sz="6" w:space="0" w:color="auto"/>
              <w:right w:val="double" w:sz="6" w:space="0" w:color="auto"/>
            </w:tcBorders>
            <w:shd w:val="clear" w:color="000000" w:fill="00B050"/>
            <w:noWrap/>
            <w:vAlign w:val="bottom"/>
            <w:hideMark/>
          </w:tcPr>
          <w:p w14:paraId="07E96805" w14:textId="77777777" w:rsidR="00FF76C3" w:rsidRPr="00FF76C3" w:rsidRDefault="00FF76C3" w:rsidP="00FF76C3">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 xml:space="preserve">Preservación </w:t>
            </w:r>
          </w:p>
        </w:tc>
        <w:tc>
          <w:tcPr>
            <w:tcW w:w="1836" w:type="pct"/>
            <w:tcBorders>
              <w:top w:val="double" w:sz="6" w:space="0" w:color="auto"/>
              <w:left w:val="nil"/>
              <w:bottom w:val="double" w:sz="6" w:space="0" w:color="auto"/>
              <w:right w:val="double" w:sz="6" w:space="0" w:color="000000"/>
            </w:tcBorders>
            <w:noWrap/>
            <w:vAlign w:val="bottom"/>
            <w:hideMark/>
          </w:tcPr>
          <w:p w14:paraId="20483F7E" w14:textId="38A08BD1" w:rsidR="00FF76C3" w:rsidRPr="00FF76C3" w:rsidRDefault="00FF76C3" w:rsidP="00FF76C3">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0EB876AE" w14:textId="149AF4F3" w:rsidR="00FF76C3" w:rsidRPr="00FF76C3" w:rsidRDefault="00FF76C3" w:rsidP="00FF76C3">
            <w:pPr>
              <w:spacing w:after="0" w:line="240" w:lineRule="auto"/>
              <w:jc w:val="center"/>
              <w:rPr>
                <w:rFonts w:ascii="Calibri" w:eastAsia="Times New Roman" w:hAnsi="Calibri" w:cs="Calibri"/>
                <w:color w:val="000000"/>
                <w:lang w:eastAsia="es-CO"/>
              </w:rPr>
            </w:pPr>
          </w:p>
        </w:tc>
      </w:tr>
      <w:tr w:rsidR="00FF76C3" w:rsidRPr="00FF76C3" w14:paraId="018ED6BA" w14:textId="77777777" w:rsidTr="00F938E7">
        <w:trPr>
          <w:trHeight w:val="310"/>
          <w:jc w:val="center"/>
        </w:trPr>
        <w:tc>
          <w:tcPr>
            <w:tcW w:w="1573" w:type="pct"/>
            <w:tcBorders>
              <w:top w:val="nil"/>
              <w:left w:val="double" w:sz="6" w:space="0" w:color="auto"/>
              <w:bottom w:val="double" w:sz="6" w:space="0" w:color="auto"/>
              <w:right w:val="double" w:sz="6" w:space="0" w:color="auto"/>
            </w:tcBorders>
            <w:shd w:val="clear" w:color="000000" w:fill="FFC000"/>
            <w:noWrap/>
            <w:vAlign w:val="bottom"/>
            <w:hideMark/>
          </w:tcPr>
          <w:p w14:paraId="016B876D" w14:textId="77777777" w:rsidR="00FF76C3" w:rsidRPr="00FF76C3" w:rsidRDefault="00FF76C3" w:rsidP="00FF76C3">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Restauración</w:t>
            </w:r>
          </w:p>
        </w:tc>
        <w:tc>
          <w:tcPr>
            <w:tcW w:w="1836" w:type="pct"/>
            <w:tcBorders>
              <w:top w:val="double" w:sz="6" w:space="0" w:color="auto"/>
              <w:left w:val="nil"/>
              <w:bottom w:val="double" w:sz="6" w:space="0" w:color="auto"/>
              <w:right w:val="double" w:sz="6" w:space="0" w:color="000000"/>
            </w:tcBorders>
            <w:noWrap/>
            <w:vAlign w:val="bottom"/>
          </w:tcPr>
          <w:p w14:paraId="15370098" w14:textId="02209DA8" w:rsidR="00FF76C3" w:rsidRPr="00FF76C3" w:rsidRDefault="00FF76C3" w:rsidP="00FF76C3">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7A1E9032" w14:textId="047BBC3A" w:rsidR="00FF76C3" w:rsidRPr="00FF76C3" w:rsidRDefault="00FF76C3" w:rsidP="00FF76C3">
            <w:pPr>
              <w:spacing w:after="0" w:line="240" w:lineRule="auto"/>
              <w:jc w:val="center"/>
              <w:rPr>
                <w:rFonts w:ascii="Calibri" w:eastAsia="Times New Roman" w:hAnsi="Calibri" w:cs="Calibri"/>
                <w:color w:val="000000"/>
                <w:lang w:eastAsia="es-CO"/>
              </w:rPr>
            </w:pPr>
          </w:p>
        </w:tc>
      </w:tr>
      <w:tr w:rsidR="00FF76C3" w:rsidRPr="00FF76C3" w14:paraId="4F6AAD9A" w14:textId="77777777" w:rsidTr="00F938E7">
        <w:trPr>
          <w:trHeight w:val="310"/>
          <w:jc w:val="center"/>
        </w:trPr>
        <w:tc>
          <w:tcPr>
            <w:tcW w:w="1573" w:type="pct"/>
            <w:tcBorders>
              <w:top w:val="nil"/>
              <w:left w:val="double" w:sz="6" w:space="0" w:color="auto"/>
              <w:bottom w:val="double" w:sz="6" w:space="0" w:color="auto"/>
              <w:right w:val="double" w:sz="6" w:space="0" w:color="auto"/>
            </w:tcBorders>
            <w:shd w:val="clear" w:color="000000" w:fill="FFFF00"/>
            <w:noWrap/>
            <w:vAlign w:val="bottom"/>
            <w:hideMark/>
          </w:tcPr>
          <w:p w14:paraId="5FD03F83" w14:textId="77777777" w:rsidR="00FF76C3" w:rsidRPr="00FF76C3" w:rsidRDefault="00FF76C3" w:rsidP="00FF76C3">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Uso Sostenible</w:t>
            </w:r>
          </w:p>
        </w:tc>
        <w:tc>
          <w:tcPr>
            <w:tcW w:w="1836" w:type="pct"/>
            <w:tcBorders>
              <w:top w:val="double" w:sz="6" w:space="0" w:color="auto"/>
              <w:left w:val="nil"/>
              <w:bottom w:val="double" w:sz="6" w:space="0" w:color="auto"/>
              <w:right w:val="double" w:sz="6" w:space="0" w:color="000000"/>
            </w:tcBorders>
            <w:noWrap/>
            <w:vAlign w:val="bottom"/>
          </w:tcPr>
          <w:p w14:paraId="5321694B" w14:textId="384CE982" w:rsidR="00FF76C3" w:rsidRPr="00FF76C3" w:rsidRDefault="00FF76C3" w:rsidP="00FF76C3">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43D14C58" w14:textId="24EBC89C" w:rsidR="00FF76C3" w:rsidRPr="00FF76C3" w:rsidRDefault="00FF76C3" w:rsidP="00FF76C3">
            <w:pPr>
              <w:spacing w:after="0" w:line="240" w:lineRule="auto"/>
              <w:jc w:val="center"/>
              <w:rPr>
                <w:rFonts w:ascii="Calibri" w:eastAsia="Times New Roman" w:hAnsi="Calibri" w:cs="Calibri"/>
                <w:color w:val="000000"/>
                <w:lang w:eastAsia="es-CO"/>
              </w:rPr>
            </w:pPr>
          </w:p>
        </w:tc>
      </w:tr>
      <w:tr w:rsidR="00FF76C3" w:rsidRPr="00FF76C3" w14:paraId="19D37412" w14:textId="77777777" w:rsidTr="00F938E7">
        <w:trPr>
          <w:trHeight w:val="310"/>
          <w:jc w:val="center"/>
        </w:trPr>
        <w:tc>
          <w:tcPr>
            <w:tcW w:w="1573" w:type="pct"/>
            <w:tcBorders>
              <w:top w:val="nil"/>
              <w:left w:val="double" w:sz="6" w:space="0" w:color="auto"/>
              <w:bottom w:val="double" w:sz="6" w:space="0" w:color="auto"/>
              <w:right w:val="double" w:sz="6" w:space="0" w:color="auto"/>
            </w:tcBorders>
            <w:noWrap/>
            <w:vAlign w:val="bottom"/>
            <w:hideMark/>
          </w:tcPr>
          <w:p w14:paraId="4A92BA6C" w14:textId="77777777" w:rsidR="00FF76C3" w:rsidRPr="00FF76C3" w:rsidRDefault="00FF76C3" w:rsidP="00FF76C3">
            <w:pPr>
              <w:spacing w:after="0" w:line="240" w:lineRule="auto"/>
              <w:jc w:val="right"/>
              <w:rPr>
                <w:rFonts w:ascii="Calibri" w:eastAsia="Times New Roman" w:hAnsi="Calibri" w:cs="Calibri"/>
                <w:b/>
                <w:bCs/>
                <w:color w:val="000000"/>
                <w:lang w:eastAsia="es-CO"/>
              </w:rPr>
            </w:pPr>
            <w:r w:rsidRPr="00FF76C3">
              <w:rPr>
                <w:rFonts w:ascii="Calibri" w:eastAsia="Times New Roman" w:hAnsi="Calibri" w:cs="Calibri"/>
                <w:b/>
                <w:bCs/>
                <w:color w:val="000000"/>
                <w:lang w:eastAsia="es-CO"/>
              </w:rPr>
              <w:t>Total</w:t>
            </w:r>
          </w:p>
        </w:tc>
        <w:tc>
          <w:tcPr>
            <w:tcW w:w="1836" w:type="pct"/>
            <w:tcBorders>
              <w:top w:val="double" w:sz="6" w:space="0" w:color="auto"/>
              <w:left w:val="nil"/>
              <w:bottom w:val="double" w:sz="6" w:space="0" w:color="auto"/>
              <w:right w:val="double" w:sz="6" w:space="0" w:color="000000"/>
            </w:tcBorders>
            <w:noWrap/>
            <w:vAlign w:val="bottom"/>
          </w:tcPr>
          <w:p w14:paraId="7A069407" w14:textId="79A6F1E6" w:rsidR="00FF76C3" w:rsidRPr="00FF76C3" w:rsidRDefault="00FF76C3" w:rsidP="00FF76C3">
            <w:pPr>
              <w:spacing w:after="0" w:line="240" w:lineRule="auto"/>
              <w:jc w:val="center"/>
              <w:rPr>
                <w:rFonts w:ascii="Calibri" w:eastAsia="Times New Roman" w:hAnsi="Calibri" w:cs="Calibri"/>
                <w:b/>
                <w:bCs/>
                <w:color w:val="000000"/>
                <w:lang w:eastAsia="es-CO"/>
              </w:rPr>
            </w:pPr>
          </w:p>
        </w:tc>
        <w:tc>
          <w:tcPr>
            <w:tcW w:w="1590" w:type="pct"/>
            <w:tcBorders>
              <w:top w:val="nil"/>
              <w:left w:val="nil"/>
              <w:bottom w:val="double" w:sz="6" w:space="0" w:color="auto"/>
              <w:right w:val="double" w:sz="6" w:space="0" w:color="auto"/>
            </w:tcBorders>
            <w:noWrap/>
            <w:vAlign w:val="bottom"/>
            <w:hideMark/>
          </w:tcPr>
          <w:p w14:paraId="6969C5BB" w14:textId="77777777" w:rsidR="00FF76C3" w:rsidRPr="00FF76C3" w:rsidRDefault="00FF76C3" w:rsidP="00FF76C3">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100</w:t>
            </w:r>
          </w:p>
        </w:tc>
      </w:tr>
    </w:tbl>
    <w:p w14:paraId="13A35737" w14:textId="77777777" w:rsidR="00FF76C3" w:rsidRDefault="00FF76C3">
      <w:pPr>
        <w:spacing w:after="0" w:line="276" w:lineRule="auto"/>
        <w:jc w:val="both"/>
        <w:rPr>
          <w:rFonts w:ascii="Arial" w:hAnsi="Arial" w:cs="Arial"/>
          <w:sz w:val="24"/>
          <w:szCs w:val="24"/>
          <w:lang w:val="es-ES"/>
        </w:rPr>
      </w:pPr>
    </w:p>
    <w:p w14:paraId="2AA746D2" w14:textId="77777777" w:rsidR="0089133A" w:rsidRPr="00D535E1" w:rsidRDefault="0089133A" w:rsidP="0089133A">
      <w:pPr>
        <w:spacing w:line="276" w:lineRule="auto"/>
        <w:jc w:val="both"/>
        <w:rPr>
          <w:rFonts w:ascii="Arial" w:hAnsi="Arial" w:cs="Arial"/>
          <w:sz w:val="24"/>
          <w:szCs w:val="24"/>
        </w:rPr>
      </w:pPr>
      <w:r w:rsidRPr="00D535E1">
        <w:rPr>
          <w:rFonts w:ascii="Arial" w:hAnsi="Arial" w:cs="Arial"/>
          <w:b/>
          <w:bCs/>
          <w:sz w:val="24"/>
          <w:szCs w:val="24"/>
        </w:rPr>
        <w:t>Criterio 3. Conflicto de uso del suelo</w:t>
      </w:r>
    </w:p>
    <w:p w14:paraId="270066C9" w14:textId="7ACC01FB" w:rsidR="00F45056" w:rsidRDefault="00F45056" w:rsidP="00F45056">
      <w:pPr>
        <w:spacing w:after="0" w:line="276" w:lineRule="auto"/>
        <w:jc w:val="both"/>
        <w:rPr>
          <w:rFonts w:ascii="Arial" w:hAnsi="Arial" w:cs="Arial"/>
          <w:sz w:val="24"/>
          <w:szCs w:val="24"/>
        </w:rPr>
      </w:pPr>
      <w:r w:rsidRPr="00F45056">
        <w:rPr>
          <w:rFonts w:ascii="Arial" w:hAnsi="Arial" w:cs="Arial"/>
          <w:sz w:val="24"/>
          <w:szCs w:val="24"/>
        </w:rPr>
        <w:t xml:space="preserve">La aplicación del criterio de uso del suelo genera un nuevo ajuste en la delimitación de las zonas definidas previamente, de acuerdo con los parámetros establecidos en la matriz de decisión. </w:t>
      </w:r>
    </w:p>
    <w:p w14:paraId="448007AE" w14:textId="77777777" w:rsidR="00533C0A" w:rsidRPr="00F45056" w:rsidRDefault="00533C0A" w:rsidP="00F45056">
      <w:pPr>
        <w:spacing w:after="0" w:line="276" w:lineRule="auto"/>
        <w:jc w:val="both"/>
        <w:rPr>
          <w:rFonts w:ascii="Arial" w:hAnsi="Arial" w:cs="Arial"/>
          <w:sz w:val="24"/>
          <w:szCs w:val="24"/>
        </w:rPr>
      </w:pPr>
    </w:p>
    <w:p w14:paraId="66E1A844" w14:textId="77777777" w:rsidR="00F45056" w:rsidRDefault="00F45056" w:rsidP="00F45056">
      <w:pPr>
        <w:spacing w:after="0" w:line="276" w:lineRule="auto"/>
        <w:jc w:val="both"/>
        <w:rPr>
          <w:rFonts w:ascii="Arial" w:hAnsi="Arial" w:cs="Arial"/>
          <w:sz w:val="24"/>
          <w:szCs w:val="24"/>
        </w:rPr>
      </w:pPr>
      <w:r w:rsidRPr="00F45056">
        <w:rPr>
          <w:rFonts w:ascii="Arial" w:hAnsi="Arial" w:cs="Arial"/>
          <w:sz w:val="24"/>
          <w:szCs w:val="24"/>
        </w:rPr>
        <w:t xml:space="preserve">Es importante precisar que, conforme a lo definido en la matriz de decisión, únicamente se contempla la modificación de zonas clasificadas inicialmente como uso sostenible hacia zonas de restauración, en aquellos casos en los que se identifique </w:t>
      </w:r>
      <w:r w:rsidRPr="00533C0A">
        <w:rPr>
          <w:rFonts w:ascii="Arial" w:hAnsi="Arial" w:cs="Arial"/>
          <w:b/>
          <w:bCs/>
          <w:sz w:val="24"/>
          <w:szCs w:val="24"/>
        </w:rPr>
        <w:t>sobreutilización severa del suelo</w:t>
      </w:r>
      <w:r w:rsidRPr="00F45056">
        <w:rPr>
          <w:rFonts w:ascii="Arial" w:hAnsi="Arial" w:cs="Arial"/>
          <w:sz w:val="24"/>
          <w:szCs w:val="24"/>
        </w:rPr>
        <w:t>. De esta manera, el criterio permite ajustar la zonificación con base en las condiciones reales de uso del territorio, orientando dichas áreas hacia procesos de recuperación y manejo adecuado del suelo.</w:t>
      </w:r>
    </w:p>
    <w:p w14:paraId="57C3805D" w14:textId="77777777" w:rsidR="00F45056" w:rsidRPr="00F45056" w:rsidRDefault="00F45056" w:rsidP="00F45056">
      <w:pPr>
        <w:spacing w:after="0" w:line="276" w:lineRule="auto"/>
        <w:jc w:val="both"/>
        <w:rPr>
          <w:rFonts w:ascii="Arial" w:hAnsi="Arial" w:cs="Arial"/>
          <w:sz w:val="24"/>
          <w:szCs w:val="24"/>
        </w:rPr>
      </w:pPr>
    </w:p>
    <w:p w14:paraId="43C65492" w14:textId="04DCE6AD" w:rsidR="0089133A" w:rsidRDefault="00F45056">
      <w:pPr>
        <w:spacing w:after="0" w:line="276" w:lineRule="auto"/>
        <w:jc w:val="both"/>
        <w:rPr>
          <w:rFonts w:ascii="Arial" w:hAnsi="Arial" w:cs="Arial"/>
          <w:sz w:val="24"/>
          <w:szCs w:val="24"/>
        </w:rPr>
      </w:pPr>
      <w:r w:rsidRPr="00F45056">
        <w:rPr>
          <w:rFonts w:ascii="Arial" w:hAnsi="Arial" w:cs="Arial"/>
          <w:sz w:val="24"/>
          <w:szCs w:val="24"/>
        </w:rPr>
        <w:t>Las reglas definidas en la matriz de decisión para la aplicación de este criterio se presentan a continuación</w:t>
      </w:r>
      <w:r w:rsidR="00970B0D">
        <w:rPr>
          <w:rFonts w:ascii="Arial" w:hAnsi="Arial" w:cs="Arial"/>
          <w:sz w:val="24"/>
          <w:szCs w:val="24"/>
        </w:rPr>
        <w:t>:</w:t>
      </w:r>
    </w:p>
    <w:p w14:paraId="35A20C6E" w14:textId="77777777" w:rsidR="00087A96" w:rsidRDefault="00087A96">
      <w:pPr>
        <w:spacing w:after="0" w:line="276" w:lineRule="auto"/>
        <w:jc w:val="both"/>
        <w:rPr>
          <w:rFonts w:ascii="Arial" w:hAnsi="Arial" w:cs="Arial"/>
          <w:sz w:val="24"/>
          <w:szCs w:val="24"/>
        </w:rPr>
      </w:pPr>
    </w:p>
    <w:p w14:paraId="00D10AEF" w14:textId="625C7EEB" w:rsidR="00087A96" w:rsidRDefault="00087A96">
      <w:pPr>
        <w:spacing w:after="0" w:line="276" w:lineRule="auto"/>
        <w:jc w:val="both"/>
        <w:rPr>
          <w:rFonts w:ascii="Arial" w:hAnsi="Arial" w:cs="Arial"/>
          <w:sz w:val="24"/>
          <w:szCs w:val="24"/>
          <w:lang w:val="es-ES"/>
        </w:rPr>
      </w:pPr>
      <w:r w:rsidRPr="00087A96">
        <w:rPr>
          <w:noProof/>
        </w:rPr>
        <w:drawing>
          <wp:inline distT="0" distB="0" distL="0" distR="0" wp14:anchorId="539E8F33" wp14:editId="2C794EC2">
            <wp:extent cx="5646420" cy="715545"/>
            <wp:effectExtent l="0" t="0" r="0" b="8890"/>
            <wp:docPr id="63962589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2317" cy="717560"/>
                    </a:xfrm>
                    <a:prstGeom prst="rect">
                      <a:avLst/>
                    </a:prstGeom>
                    <a:noFill/>
                    <a:ln>
                      <a:noFill/>
                    </a:ln>
                  </pic:spPr>
                </pic:pic>
              </a:graphicData>
            </a:graphic>
          </wp:inline>
        </w:drawing>
      </w:r>
    </w:p>
    <w:p w14:paraId="21D3BC6F" w14:textId="77777777" w:rsidR="00A550B4" w:rsidRDefault="00A550B4">
      <w:pPr>
        <w:spacing w:after="0" w:line="276" w:lineRule="auto"/>
        <w:jc w:val="both"/>
        <w:rPr>
          <w:rFonts w:ascii="Arial" w:hAnsi="Arial" w:cs="Arial"/>
          <w:sz w:val="24"/>
          <w:szCs w:val="24"/>
          <w:lang w:val="es-ES"/>
        </w:rPr>
      </w:pPr>
    </w:p>
    <w:p w14:paraId="10E118AC" w14:textId="2E824B45" w:rsidR="00A550B4" w:rsidRDefault="00A550B4">
      <w:pPr>
        <w:spacing w:after="0" w:line="276" w:lineRule="auto"/>
        <w:jc w:val="both"/>
        <w:rPr>
          <w:rFonts w:ascii="Arial" w:hAnsi="Arial" w:cs="Arial"/>
          <w:sz w:val="24"/>
          <w:szCs w:val="24"/>
        </w:rPr>
      </w:pPr>
      <w:r w:rsidRPr="00A550B4">
        <w:rPr>
          <w:rFonts w:ascii="Arial" w:hAnsi="Arial" w:cs="Arial"/>
          <w:sz w:val="24"/>
          <w:szCs w:val="24"/>
        </w:rPr>
        <w:t>Una vez surtido este proceso, y como se puede observar en la imagen presentada a continuación, se evidencia un cambio significativo en la extensión de las zonas definidas, particularmente en la disminución del área correspondiente a uso sostenible, como resultado de la reclasificación de sectores que presentan condiciones de sobreutilización severa del suelo. En consecuencia, estas áreas pasan a formar parte de la zona de restauración, generando un incremento en la extensión de esta categoría de manejo</w:t>
      </w:r>
      <w:r w:rsidR="00767E89">
        <w:rPr>
          <w:rFonts w:ascii="Arial" w:hAnsi="Arial" w:cs="Arial"/>
          <w:sz w:val="24"/>
          <w:szCs w:val="24"/>
        </w:rPr>
        <w:t>.</w:t>
      </w:r>
    </w:p>
    <w:p w14:paraId="14F9C6BF" w14:textId="77777777" w:rsidR="00E364A6" w:rsidRDefault="00E364A6">
      <w:pPr>
        <w:spacing w:after="0" w:line="276" w:lineRule="auto"/>
        <w:jc w:val="both"/>
        <w:rPr>
          <w:rFonts w:ascii="Arial" w:hAnsi="Arial" w:cs="Arial"/>
          <w:sz w:val="24"/>
          <w:szCs w:val="24"/>
        </w:rPr>
      </w:pPr>
    </w:p>
    <w:tbl>
      <w:tblPr>
        <w:tblW w:w="3546" w:type="pct"/>
        <w:jc w:val="center"/>
        <w:tblCellMar>
          <w:left w:w="70" w:type="dxa"/>
          <w:right w:w="70" w:type="dxa"/>
        </w:tblCellMar>
        <w:tblLook w:val="04A0" w:firstRow="1" w:lastRow="0" w:firstColumn="1" w:lastColumn="0" w:noHBand="0" w:noVBand="1"/>
      </w:tblPr>
      <w:tblGrid>
        <w:gridCol w:w="1963"/>
        <w:gridCol w:w="2289"/>
        <w:gridCol w:w="1983"/>
      </w:tblGrid>
      <w:tr w:rsidR="00E364A6" w:rsidRPr="00FF76C3" w14:paraId="3CB1C187" w14:textId="77777777" w:rsidTr="00457824">
        <w:trPr>
          <w:trHeight w:val="330"/>
          <w:jc w:val="center"/>
        </w:trPr>
        <w:tc>
          <w:tcPr>
            <w:tcW w:w="1573" w:type="pct"/>
            <w:tcBorders>
              <w:top w:val="double" w:sz="6" w:space="0" w:color="auto"/>
              <w:left w:val="double" w:sz="6" w:space="0" w:color="auto"/>
              <w:bottom w:val="double" w:sz="6" w:space="0" w:color="auto"/>
              <w:right w:val="double" w:sz="6" w:space="0" w:color="auto"/>
            </w:tcBorders>
            <w:shd w:val="clear" w:color="000000" w:fill="D9D9D9"/>
            <w:noWrap/>
            <w:vAlign w:val="bottom"/>
            <w:hideMark/>
          </w:tcPr>
          <w:p w14:paraId="73160899" w14:textId="77777777" w:rsidR="00E364A6" w:rsidRPr="00FF76C3" w:rsidRDefault="00E364A6"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Zona</w:t>
            </w:r>
          </w:p>
        </w:tc>
        <w:tc>
          <w:tcPr>
            <w:tcW w:w="1836" w:type="pct"/>
            <w:tcBorders>
              <w:top w:val="double" w:sz="6" w:space="0" w:color="auto"/>
              <w:left w:val="nil"/>
              <w:bottom w:val="double" w:sz="6" w:space="0" w:color="auto"/>
              <w:right w:val="double" w:sz="6" w:space="0" w:color="000000"/>
            </w:tcBorders>
            <w:shd w:val="clear" w:color="000000" w:fill="D9D9D9"/>
            <w:noWrap/>
            <w:vAlign w:val="bottom"/>
            <w:hideMark/>
          </w:tcPr>
          <w:p w14:paraId="2F54CFA4" w14:textId="77777777" w:rsidR="00E364A6" w:rsidRPr="00FF76C3" w:rsidRDefault="00E364A6"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Extensión (ha)</w:t>
            </w:r>
          </w:p>
        </w:tc>
        <w:tc>
          <w:tcPr>
            <w:tcW w:w="1590" w:type="pct"/>
            <w:tcBorders>
              <w:top w:val="double" w:sz="6" w:space="0" w:color="auto"/>
              <w:left w:val="nil"/>
              <w:bottom w:val="double" w:sz="6" w:space="0" w:color="auto"/>
              <w:right w:val="double" w:sz="6" w:space="0" w:color="auto"/>
            </w:tcBorders>
            <w:shd w:val="clear" w:color="000000" w:fill="D9D9D9"/>
            <w:noWrap/>
            <w:vAlign w:val="bottom"/>
            <w:hideMark/>
          </w:tcPr>
          <w:p w14:paraId="63AE9C5F" w14:textId="77777777" w:rsidR="00E364A6" w:rsidRPr="00FF76C3" w:rsidRDefault="00E364A6"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Porcentaje</w:t>
            </w:r>
          </w:p>
        </w:tc>
      </w:tr>
      <w:tr w:rsidR="00E364A6" w:rsidRPr="00FF76C3" w14:paraId="51FCEF1D" w14:textId="77777777" w:rsidTr="00457824">
        <w:trPr>
          <w:trHeight w:val="310"/>
          <w:jc w:val="center"/>
        </w:trPr>
        <w:tc>
          <w:tcPr>
            <w:tcW w:w="1573" w:type="pct"/>
            <w:tcBorders>
              <w:top w:val="nil"/>
              <w:left w:val="double" w:sz="6" w:space="0" w:color="auto"/>
              <w:bottom w:val="double" w:sz="6" w:space="0" w:color="auto"/>
              <w:right w:val="double" w:sz="6" w:space="0" w:color="auto"/>
            </w:tcBorders>
            <w:shd w:val="clear" w:color="000000" w:fill="00B050"/>
            <w:noWrap/>
            <w:vAlign w:val="bottom"/>
            <w:hideMark/>
          </w:tcPr>
          <w:p w14:paraId="0A5A29CB" w14:textId="77777777" w:rsidR="00E364A6" w:rsidRPr="00FF76C3" w:rsidRDefault="00E364A6"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 xml:space="preserve">Preservación </w:t>
            </w:r>
          </w:p>
        </w:tc>
        <w:tc>
          <w:tcPr>
            <w:tcW w:w="1836" w:type="pct"/>
            <w:tcBorders>
              <w:top w:val="double" w:sz="6" w:space="0" w:color="auto"/>
              <w:left w:val="nil"/>
              <w:bottom w:val="double" w:sz="6" w:space="0" w:color="auto"/>
              <w:right w:val="double" w:sz="6" w:space="0" w:color="000000"/>
            </w:tcBorders>
            <w:noWrap/>
            <w:vAlign w:val="bottom"/>
            <w:hideMark/>
          </w:tcPr>
          <w:p w14:paraId="40020ABE" w14:textId="77777777" w:rsidR="00E364A6" w:rsidRPr="00FF76C3" w:rsidRDefault="00E364A6"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2962E521" w14:textId="77777777" w:rsidR="00E364A6" w:rsidRPr="00FF76C3" w:rsidRDefault="00E364A6" w:rsidP="00457824">
            <w:pPr>
              <w:spacing w:after="0" w:line="240" w:lineRule="auto"/>
              <w:jc w:val="center"/>
              <w:rPr>
                <w:rFonts w:ascii="Calibri" w:eastAsia="Times New Roman" w:hAnsi="Calibri" w:cs="Calibri"/>
                <w:color w:val="000000"/>
                <w:lang w:eastAsia="es-CO"/>
              </w:rPr>
            </w:pPr>
          </w:p>
        </w:tc>
      </w:tr>
      <w:tr w:rsidR="00E364A6" w:rsidRPr="00FF76C3" w14:paraId="0123CF12" w14:textId="77777777" w:rsidTr="00457824">
        <w:trPr>
          <w:trHeight w:val="310"/>
          <w:jc w:val="center"/>
        </w:trPr>
        <w:tc>
          <w:tcPr>
            <w:tcW w:w="1573" w:type="pct"/>
            <w:tcBorders>
              <w:top w:val="nil"/>
              <w:left w:val="double" w:sz="6" w:space="0" w:color="auto"/>
              <w:bottom w:val="double" w:sz="6" w:space="0" w:color="auto"/>
              <w:right w:val="double" w:sz="6" w:space="0" w:color="auto"/>
            </w:tcBorders>
            <w:shd w:val="clear" w:color="000000" w:fill="FFC000"/>
            <w:noWrap/>
            <w:vAlign w:val="bottom"/>
            <w:hideMark/>
          </w:tcPr>
          <w:p w14:paraId="6F6E1A5A" w14:textId="77777777" w:rsidR="00E364A6" w:rsidRPr="00FF76C3" w:rsidRDefault="00E364A6"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Restauración</w:t>
            </w:r>
          </w:p>
        </w:tc>
        <w:tc>
          <w:tcPr>
            <w:tcW w:w="1836" w:type="pct"/>
            <w:tcBorders>
              <w:top w:val="double" w:sz="6" w:space="0" w:color="auto"/>
              <w:left w:val="nil"/>
              <w:bottom w:val="double" w:sz="6" w:space="0" w:color="auto"/>
              <w:right w:val="double" w:sz="6" w:space="0" w:color="000000"/>
            </w:tcBorders>
            <w:noWrap/>
            <w:vAlign w:val="bottom"/>
          </w:tcPr>
          <w:p w14:paraId="6DF5E155" w14:textId="77777777" w:rsidR="00E364A6" w:rsidRPr="00FF76C3" w:rsidRDefault="00E364A6"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0CD276CA" w14:textId="77777777" w:rsidR="00E364A6" w:rsidRPr="00FF76C3" w:rsidRDefault="00E364A6" w:rsidP="00457824">
            <w:pPr>
              <w:spacing w:after="0" w:line="240" w:lineRule="auto"/>
              <w:jc w:val="center"/>
              <w:rPr>
                <w:rFonts w:ascii="Calibri" w:eastAsia="Times New Roman" w:hAnsi="Calibri" w:cs="Calibri"/>
                <w:color w:val="000000"/>
                <w:lang w:eastAsia="es-CO"/>
              </w:rPr>
            </w:pPr>
          </w:p>
        </w:tc>
      </w:tr>
      <w:tr w:rsidR="00E364A6" w:rsidRPr="00FF76C3" w14:paraId="33E98A39" w14:textId="77777777" w:rsidTr="00457824">
        <w:trPr>
          <w:trHeight w:val="310"/>
          <w:jc w:val="center"/>
        </w:trPr>
        <w:tc>
          <w:tcPr>
            <w:tcW w:w="1573" w:type="pct"/>
            <w:tcBorders>
              <w:top w:val="nil"/>
              <w:left w:val="double" w:sz="6" w:space="0" w:color="auto"/>
              <w:bottom w:val="double" w:sz="6" w:space="0" w:color="auto"/>
              <w:right w:val="double" w:sz="6" w:space="0" w:color="auto"/>
            </w:tcBorders>
            <w:shd w:val="clear" w:color="000000" w:fill="FFFF00"/>
            <w:noWrap/>
            <w:vAlign w:val="bottom"/>
            <w:hideMark/>
          </w:tcPr>
          <w:p w14:paraId="55CB950B" w14:textId="77777777" w:rsidR="00E364A6" w:rsidRPr="00FF76C3" w:rsidRDefault="00E364A6"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Uso Sostenible</w:t>
            </w:r>
          </w:p>
        </w:tc>
        <w:tc>
          <w:tcPr>
            <w:tcW w:w="1836" w:type="pct"/>
            <w:tcBorders>
              <w:top w:val="double" w:sz="6" w:space="0" w:color="auto"/>
              <w:left w:val="nil"/>
              <w:bottom w:val="double" w:sz="6" w:space="0" w:color="auto"/>
              <w:right w:val="double" w:sz="6" w:space="0" w:color="000000"/>
            </w:tcBorders>
            <w:noWrap/>
            <w:vAlign w:val="bottom"/>
          </w:tcPr>
          <w:p w14:paraId="7E21A6FA" w14:textId="77777777" w:rsidR="00E364A6" w:rsidRPr="00FF76C3" w:rsidRDefault="00E364A6"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6C0FC445" w14:textId="77777777" w:rsidR="00E364A6" w:rsidRPr="00FF76C3" w:rsidRDefault="00E364A6" w:rsidP="00457824">
            <w:pPr>
              <w:spacing w:after="0" w:line="240" w:lineRule="auto"/>
              <w:jc w:val="center"/>
              <w:rPr>
                <w:rFonts w:ascii="Calibri" w:eastAsia="Times New Roman" w:hAnsi="Calibri" w:cs="Calibri"/>
                <w:color w:val="000000"/>
                <w:lang w:eastAsia="es-CO"/>
              </w:rPr>
            </w:pPr>
          </w:p>
        </w:tc>
      </w:tr>
      <w:tr w:rsidR="00E364A6" w:rsidRPr="00FF76C3" w14:paraId="22A84E12" w14:textId="77777777" w:rsidTr="00457824">
        <w:trPr>
          <w:trHeight w:val="310"/>
          <w:jc w:val="center"/>
        </w:trPr>
        <w:tc>
          <w:tcPr>
            <w:tcW w:w="1573" w:type="pct"/>
            <w:tcBorders>
              <w:top w:val="nil"/>
              <w:left w:val="double" w:sz="6" w:space="0" w:color="auto"/>
              <w:bottom w:val="double" w:sz="6" w:space="0" w:color="auto"/>
              <w:right w:val="double" w:sz="6" w:space="0" w:color="auto"/>
            </w:tcBorders>
            <w:noWrap/>
            <w:vAlign w:val="bottom"/>
            <w:hideMark/>
          </w:tcPr>
          <w:p w14:paraId="216869A0" w14:textId="77777777" w:rsidR="00E364A6" w:rsidRPr="00FF76C3" w:rsidRDefault="00E364A6" w:rsidP="00457824">
            <w:pPr>
              <w:spacing w:after="0" w:line="240" w:lineRule="auto"/>
              <w:jc w:val="right"/>
              <w:rPr>
                <w:rFonts w:ascii="Calibri" w:eastAsia="Times New Roman" w:hAnsi="Calibri" w:cs="Calibri"/>
                <w:b/>
                <w:bCs/>
                <w:color w:val="000000"/>
                <w:lang w:eastAsia="es-CO"/>
              </w:rPr>
            </w:pPr>
            <w:r w:rsidRPr="00FF76C3">
              <w:rPr>
                <w:rFonts w:ascii="Calibri" w:eastAsia="Times New Roman" w:hAnsi="Calibri" w:cs="Calibri"/>
                <w:b/>
                <w:bCs/>
                <w:color w:val="000000"/>
                <w:lang w:eastAsia="es-CO"/>
              </w:rPr>
              <w:lastRenderedPageBreak/>
              <w:t>Total</w:t>
            </w:r>
          </w:p>
        </w:tc>
        <w:tc>
          <w:tcPr>
            <w:tcW w:w="1836" w:type="pct"/>
            <w:tcBorders>
              <w:top w:val="double" w:sz="6" w:space="0" w:color="auto"/>
              <w:left w:val="nil"/>
              <w:bottom w:val="double" w:sz="6" w:space="0" w:color="auto"/>
              <w:right w:val="double" w:sz="6" w:space="0" w:color="000000"/>
            </w:tcBorders>
            <w:noWrap/>
            <w:vAlign w:val="bottom"/>
          </w:tcPr>
          <w:p w14:paraId="3DA8EC74" w14:textId="77777777" w:rsidR="00E364A6" w:rsidRPr="00FF76C3" w:rsidRDefault="00E364A6" w:rsidP="00457824">
            <w:pPr>
              <w:spacing w:after="0" w:line="240" w:lineRule="auto"/>
              <w:jc w:val="center"/>
              <w:rPr>
                <w:rFonts w:ascii="Calibri" w:eastAsia="Times New Roman" w:hAnsi="Calibri" w:cs="Calibri"/>
                <w:b/>
                <w:bCs/>
                <w:color w:val="000000"/>
                <w:lang w:eastAsia="es-CO"/>
              </w:rPr>
            </w:pPr>
          </w:p>
        </w:tc>
        <w:tc>
          <w:tcPr>
            <w:tcW w:w="1590" w:type="pct"/>
            <w:tcBorders>
              <w:top w:val="nil"/>
              <w:left w:val="nil"/>
              <w:bottom w:val="double" w:sz="6" w:space="0" w:color="auto"/>
              <w:right w:val="double" w:sz="6" w:space="0" w:color="auto"/>
            </w:tcBorders>
            <w:noWrap/>
            <w:vAlign w:val="bottom"/>
            <w:hideMark/>
          </w:tcPr>
          <w:p w14:paraId="1483E301" w14:textId="77777777" w:rsidR="00E364A6" w:rsidRPr="00FF76C3" w:rsidRDefault="00E364A6"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100</w:t>
            </w:r>
          </w:p>
        </w:tc>
      </w:tr>
    </w:tbl>
    <w:p w14:paraId="35F780D4" w14:textId="77777777" w:rsidR="00E364A6" w:rsidRDefault="00E364A6">
      <w:pPr>
        <w:spacing w:after="0" w:line="276" w:lineRule="auto"/>
        <w:jc w:val="both"/>
        <w:rPr>
          <w:rFonts w:ascii="Arial" w:hAnsi="Arial" w:cs="Arial"/>
          <w:sz w:val="24"/>
          <w:szCs w:val="24"/>
          <w:lang w:val="es-ES"/>
        </w:rPr>
      </w:pPr>
    </w:p>
    <w:p w14:paraId="23B62B76" w14:textId="77777777" w:rsidR="002252EC" w:rsidRPr="00D535E1" w:rsidRDefault="002252EC" w:rsidP="002252EC">
      <w:pPr>
        <w:spacing w:line="276" w:lineRule="auto"/>
        <w:jc w:val="both"/>
        <w:rPr>
          <w:rFonts w:ascii="Arial" w:hAnsi="Arial" w:cs="Arial"/>
          <w:sz w:val="24"/>
          <w:szCs w:val="24"/>
        </w:rPr>
      </w:pPr>
      <w:r w:rsidRPr="00791240">
        <w:rPr>
          <w:rFonts w:ascii="Arial" w:hAnsi="Arial" w:cs="Arial"/>
          <w:b/>
          <w:bCs/>
          <w:sz w:val="24"/>
          <w:szCs w:val="24"/>
        </w:rPr>
        <w:t>Criterio 4. Áreas estratégicas para el recurso hídrico</w:t>
      </w:r>
    </w:p>
    <w:p w14:paraId="19300D3A" w14:textId="77777777" w:rsidR="002252EC" w:rsidRPr="002252EC" w:rsidRDefault="002252EC" w:rsidP="002252EC">
      <w:pPr>
        <w:spacing w:after="0" w:line="276" w:lineRule="auto"/>
        <w:jc w:val="both"/>
        <w:rPr>
          <w:rFonts w:ascii="Arial" w:hAnsi="Arial" w:cs="Arial"/>
          <w:sz w:val="24"/>
          <w:szCs w:val="24"/>
        </w:rPr>
      </w:pPr>
      <w:r w:rsidRPr="002252EC">
        <w:rPr>
          <w:rFonts w:ascii="Arial" w:hAnsi="Arial" w:cs="Arial"/>
          <w:sz w:val="24"/>
          <w:szCs w:val="24"/>
        </w:rPr>
        <w:t>La incorporación del criterio de Áreas estratégicas para el recurso hídrico se considera uno de los componentes más relevantes dentro del proceso de zonificación, dado que, como se indicó previamente, este criterio integra información proveniente de diversas capas geográficas asociadas a la protección, regulación y conservación del recurso hídrico.</w:t>
      </w:r>
    </w:p>
    <w:p w14:paraId="0AC5CC79" w14:textId="77777777" w:rsidR="002252EC" w:rsidRPr="002252EC" w:rsidRDefault="002252EC" w:rsidP="002252EC">
      <w:pPr>
        <w:spacing w:after="0" w:line="276" w:lineRule="auto"/>
        <w:jc w:val="both"/>
        <w:rPr>
          <w:rFonts w:ascii="Arial" w:hAnsi="Arial" w:cs="Arial"/>
          <w:sz w:val="24"/>
          <w:szCs w:val="24"/>
        </w:rPr>
      </w:pPr>
    </w:p>
    <w:p w14:paraId="31E1C587" w14:textId="66BD682B" w:rsidR="007951B5" w:rsidRDefault="002252EC" w:rsidP="002252EC">
      <w:pPr>
        <w:spacing w:after="0" w:line="276" w:lineRule="auto"/>
        <w:jc w:val="both"/>
        <w:rPr>
          <w:rFonts w:ascii="Arial" w:hAnsi="Arial" w:cs="Arial"/>
          <w:sz w:val="24"/>
          <w:szCs w:val="24"/>
        </w:rPr>
      </w:pPr>
      <w:r w:rsidRPr="002252EC">
        <w:rPr>
          <w:rFonts w:ascii="Arial" w:hAnsi="Arial" w:cs="Arial"/>
          <w:sz w:val="24"/>
          <w:szCs w:val="24"/>
        </w:rPr>
        <w:t xml:space="preserve">De acuerdo con lo establecido en la matriz de decisión, la aplicación de este criterio implica que aquellas áreas clasificadas inicialmente como zonas de uso sostenible en las que se identifique la presencia de alguna de las variables definidas dentro del criterio de áreas estratégicas para el recurso hídrico deben ser reclasificadas como zonas de restauración. De esta manera, el criterio permite ajustar la zonificación priorizando la protección y recuperación de sectores que cumplen funciones estratégicas para la regulación </w:t>
      </w:r>
      <w:r w:rsidR="007B77E3" w:rsidRPr="002252EC">
        <w:rPr>
          <w:rFonts w:ascii="Arial" w:hAnsi="Arial" w:cs="Arial"/>
          <w:sz w:val="24"/>
          <w:szCs w:val="24"/>
        </w:rPr>
        <w:t>hídrica,</w:t>
      </w:r>
    </w:p>
    <w:p w14:paraId="773F4B10" w14:textId="77777777" w:rsidR="00175094" w:rsidRDefault="00175094" w:rsidP="002252EC">
      <w:pPr>
        <w:spacing w:after="0" w:line="276" w:lineRule="auto"/>
        <w:jc w:val="both"/>
        <w:rPr>
          <w:rFonts w:ascii="Arial" w:hAnsi="Arial" w:cs="Arial"/>
          <w:sz w:val="24"/>
          <w:szCs w:val="24"/>
        </w:rPr>
      </w:pPr>
    </w:p>
    <w:p w14:paraId="07B52965" w14:textId="66589655" w:rsidR="00175094" w:rsidRPr="00175094" w:rsidRDefault="00175094" w:rsidP="002252EC">
      <w:pPr>
        <w:spacing w:after="0" w:line="276" w:lineRule="auto"/>
        <w:jc w:val="both"/>
        <w:rPr>
          <w:rFonts w:ascii="Arial" w:hAnsi="Arial" w:cs="Arial"/>
          <w:sz w:val="24"/>
          <w:szCs w:val="24"/>
        </w:rPr>
      </w:pPr>
      <w:r w:rsidRPr="00175094">
        <w:rPr>
          <w:rFonts w:ascii="Arial" w:hAnsi="Arial" w:cs="Arial"/>
          <w:sz w:val="24"/>
          <w:szCs w:val="24"/>
        </w:rPr>
        <w:t>De acuerdo con la matriz de decisión definida para el proceso de zonificación, la regla establecida para la aplicación de este criterio se presenta a continuación, en la cual se determinan las condiciones bajo las cuales se realizan los ajustes en la clasificación de las zonas de manejo</w:t>
      </w:r>
    </w:p>
    <w:p w14:paraId="53214D42" w14:textId="77777777" w:rsidR="00175094" w:rsidRDefault="00175094" w:rsidP="002252EC">
      <w:pPr>
        <w:spacing w:after="0" w:line="276" w:lineRule="auto"/>
        <w:jc w:val="both"/>
        <w:rPr>
          <w:rFonts w:ascii="Arial" w:hAnsi="Arial" w:cs="Arial"/>
          <w:sz w:val="24"/>
          <w:szCs w:val="24"/>
        </w:rPr>
      </w:pPr>
    </w:p>
    <w:tbl>
      <w:tblPr>
        <w:tblW w:w="8240" w:type="dxa"/>
        <w:jc w:val="center"/>
        <w:tblCellMar>
          <w:left w:w="70" w:type="dxa"/>
          <w:right w:w="70" w:type="dxa"/>
        </w:tblCellMar>
        <w:tblLook w:val="04A0" w:firstRow="1" w:lastRow="0" w:firstColumn="1" w:lastColumn="0" w:noHBand="0" w:noVBand="1"/>
      </w:tblPr>
      <w:tblGrid>
        <w:gridCol w:w="2865"/>
        <w:gridCol w:w="2540"/>
        <w:gridCol w:w="2835"/>
      </w:tblGrid>
      <w:tr w:rsidR="007951B5" w:rsidRPr="007951B5" w14:paraId="61746352" w14:textId="77777777" w:rsidTr="007951B5">
        <w:trPr>
          <w:trHeight w:val="290"/>
          <w:jc w:val="center"/>
        </w:trPr>
        <w:tc>
          <w:tcPr>
            <w:tcW w:w="8240" w:type="dxa"/>
            <w:gridSpan w:val="3"/>
            <w:tcBorders>
              <w:top w:val="single" w:sz="4" w:space="0" w:color="auto"/>
              <w:left w:val="single" w:sz="8" w:space="0" w:color="auto"/>
              <w:bottom w:val="single" w:sz="4" w:space="0" w:color="auto"/>
              <w:right w:val="single" w:sz="8" w:space="0" w:color="000000"/>
            </w:tcBorders>
            <w:shd w:val="clear" w:color="000000" w:fill="FCE4D6"/>
            <w:noWrap/>
            <w:vAlign w:val="bottom"/>
            <w:hideMark/>
          </w:tcPr>
          <w:p w14:paraId="72D145EC" w14:textId="77777777" w:rsidR="007951B5" w:rsidRPr="007951B5" w:rsidRDefault="007951B5" w:rsidP="007951B5">
            <w:pPr>
              <w:spacing w:after="0" w:line="240" w:lineRule="auto"/>
              <w:jc w:val="center"/>
              <w:rPr>
                <w:rFonts w:ascii="Calibri" w:eastAsia="Times New Roman" w:hAnsi="Calibri" w:cs="Calibri"/>
                <w:b/>
                <w:bCs/>
                <w:color w:val="000000"/>
                <w:sz w:val="20"/>
                <w:szCs w:val="20"/>
                <w:lang w:eastAsia="es-CO"/>
              </w:rPr>
            </w:pPr>
            <w:r w:rsidRPr="007951B5">
              <w:rPr>
                <w:rFonts w:ascii="Calibri" w:eastAsia="Times New Roman" w:hAnsi="Calibri" w:cs="Calibri"/>
                <w:b/>
                <w:bCs/>
                <w:color w:val="000000"/>
                <w:sz w:val="20"/>
                <w:szCs w:val="20"/>
                <w:lang w:eastAsia="es-CO"/>
              </w:rPr>
              <w:t xml:space="preserve">Áreas estratégicas para el recurso hídrico </w:t>
            </w:r>
          </w:p>
        </w:tc>
      </w:tr>
      <w:tr w:rsidR="007951B5" w:rsidRPr="007951B5" w14:paraId="5BA30A71" w14:textId="77777777" w:rsidTr="007951B5">
        <w:trPr>
          <w:trHeight w:val="290"/>
          <w:jc w:val="center"/>
        </w:trPr>
        <w:tc>
          <w:tcPr>
            <w:tcW w:w="2865" w:type="dxa"/>
            <w:tcBorders>
              <w:top w:val="nil"/>
              <w:left w:val="single" w:sz="8" w:space="0" w:color="auto"/>
              <w:bottom w:val="single" w:sz="4" w:space="0" w:color="auto"/>
              <w:right w:val="single" w:sz="4" w:space="0" w:color="auto"/>
            </w:tcBorders>
            <w:shd w:val="clear" w:color="000000" w:fill="auto"/>
            <w:noWrap/>
            <w:vAlign w:val="bottom"/>
            <w:hideMark/>
          </w:tcPr>
          <w:p w14:paraId="491332E8" w14:textId="77777777" w:rsidR="007951B5" w:rsidRPr="007951B5" w:rsidRDefault="007951B5" w:rsidP="007951B5">
            <w:pPr>
              <w:spacing w:after="0" w:line="240" w:lineRule="auto"/>
              <w:jc w:val="center"/>
              <w:rPr>
                <w:rFonts w:ascii="Calibri" w:eastAsia="Times New Roman" w:hAnsi="Calibri" w:cs="Calibri"/>
                <w:b/>
                <w:bCs/>
                <w:color w:val="000000"/>
                <w:sz w:val="20"/>
                <w:szCs w:val="20"/>
                <w:lang w:eastAsia="es-CO"/>
              </w:rPr>
            </w:pPr>
            <w:r w:rsidRPr="007951B5">
              <w:rPr>
                <w:rFonts w:ascii="Calibri" w:eastAsia="Times New Roman" w:hAnsi="Calibri" w:cs="Calibri"/>
                <w:b/>
                <w:bCs/>
                <w:color w:val="000000"/>
                <w:sz w:val="20"/>
                <w:szCs w:val="20"/>
                <w:lang w:eastAsia="es-CO"/>
              </w:rPr>
              <w:t>Zona</w:t>
            </w:r>
          </w:p>
        </w:tc>
        <w:tc>
          <w:tcPr>
            <w:tcW w:w="2540" w:type="dxa"/>
            <w:tcBorders>
              <w:top w:val="nil"/>
              <w:left w:val="nil"/>
              <w:bottom w:val="single" w:sz="4" w:space="0" w:color="auto"/>
              <w:right w:val="single" w:sz="4" w:space="0" w:color="auto"/>
            </w:tcBorders>
            <w:shd w:val="clear" w:color="000000" w:fill="auto"/>
            <w:noWrap/>
            <w:vAlign w:val="bottom"/>
            <w:hideMark/>
          </w:tcPr>
          <w:p w14:paraId="0094BA43" w14:textId="77777777" w:rsidR="007951B5" w:rsidRPr="007951B5" w:rsidRDefault="007951B5" w:rsidP="007951B5">
            <w:pPr>
              <w:spacing w:after="0" w:line="240" w:lineRule="auto"/>
              <w:jc w:val="center"/>
              <w:rPr>
                <w:rFonts w:ascii="Calibri" w:eastAsia="Times New Roman" w:hAnsi="Calibri" w:cs="Calibri"/>
                <w:b/>
                <w:bCs/>
                <w:color w:val="000000"/>
                <w:sz w:val="20"/>
                <w:szCs w:val="20"/>
                <w:lang w:eastAsia="es-CO"/>
              </w:rPr>
            </w:pPr>
            <w:r w:rsidRPr="007951B5">
              <w:rPr>
                <w:rFonts w:ascii="Calibri" w:eastAsia="Times New Roman" w:hAnsi="Calibri" w:cs="Calibri"/>
                <w:b/>
                <w:bCs/>
                <w:color w:val="000000"/>
                <w:sz w:val="20"/>
                <w:szCs w:val="20"/>
                <w:lang w:eastAsia="es-CO"/>
              </w:rPr>
              <w:t xml:space="preserve">Presencia </w:t>
            </w:r>
          </w:p>
        </w:tc>
        <w:tc>
          <w:tcPr>
            <w:tcW w:w="2835" w:type="dxa"/>
            <w:tcBorders>
              <w:top w:val="nil"/>
              <w:left w:val="nil"/>
              <w:bottom w:val="single" w:sz="4" w:space="0" w:color="auto"/>
              <w:right w:val="single" w:sz="8" w:space="0" w:color="auto"/>
            </w:tcBorders>
            <w:shd w:val="clear" w:color="000000" w:fill="auto"/>
            <w:noWrap/>
            <w:vAlign w:val="bottom"/>
            <w:hideMark/>
          </w:tcPr>
          <w:p w14:paraId="64BA56DB" w14:textId="77777777" w:rsidR="007951B5" w:rsidRPr="007951B5" w:rsidRDefault="007951B5" w:rsidP="007951B5">
            <w:pPr>
              <w:spacing w:after="0" w:line="240" w:lineRule="auto"/>
              <w:jc w:val="center"/>
              <w:rPr>
                <w:rFonts w:ascii="Calibri" w:eastAsia="Times New Roman" w:hAnsi="Calibri" w:cs="Calibri"/>
                <w:b/>
                <w:bCs/>
                <w:color w:val="000000"/>
                <w:sz w:val="20"/>
                <w:szCs w:val="20"/>
                <w:lang w:eastAsia="es-CO"/>
              </w:rPr>
            </w:pPr>
            <w:r w:rsidRPr="007951B5">
              <w:rPr>
                <w:rFonts w:ascii="Calibri" w:eastAsia="Times New Roman" w:hAnsi="Calibri" w:cs="Calibri"/>
                <w:b/>
                <w:bCs/>
                <w:color w:val="000000"/>
                <w:sz w:val="20"/>
                <w:szCs w:val="20"/>
                <w:lang w:eastAsia="es-CO"/>
              </w:rPr>
              <w:t>Ausencia</w:t>
            </w:r>
          </w:p>
        </w:tc>
      </w:tr>
      <w:tr w:rsidR="007951B5" w:rsidRPr="007951B5" w14:paraId="4FABD5B9" w14:textId="77777777" w:rsidTr="007951B5">
        <w:trPr>
          <w:trHeight w:val="290"/>
          <w:jc w:val="center"/>
        </w:trPr>
        <w:tc>
          <w:tcPr>
            <w:tcW w:w="2865" w:type="dxa"/>
            <w:tcBorders>
              <w:top w:val="nil"/>
              <w:left w:val="single" w:sz="8" w:space="0" w:color="auto"/>
              <w:bottom w:val="single" w:sz="4" w:space="0" w:color="auto"/>
              <w:right w:val="single" w:sz="4" w:space="0" w:color="auto"/>
            </w:tcBorders>
            <w:shd w:val="clear" w:color="000000" w:fill="00B050"/>
            <w:noWrap/>
            <w:vAlign w:val="bottom"/>
            <w:hideMark/>
          </w:tcPr>
          <w:p w14:paraId="18D47229"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 xml:space="preserve">Preservación </w:t>
            </w:r>
          </w:p>
        </w:tc>
        <w:tc>
          <w:tcPr>
            <w:tcW w:w="2540" w:type="dxa"/>
            <w:tcBorders>
              <w:top w:val="nil"/>
              <w:left w:val="nil"/>
              <w:bottom w:val="single" w:sz="4" w:space="0" w:color="auto"/>
              <w:right w:val="single" w:sz="4" w:space="0" w:color="auto"/>
            </w:tcBorders>
            <w:shd w:val="clear" w:color="000000" w:fill="00B050"/>
            <w:noWrap/>
            <w:vAlign w:val="bottom"/>
            <w:hideMark/>
          </w:tcPr>
          <w:p w14:paraId="292C51F5"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 xml:space="preserve">Preservación </w:t>
            </w:r>
          </w:p>
        </w:tc>
        <w:tc>
          <w:tcPr>
            <w:tcW w:w="2835" w:type="dxa"/>
            <w:tcBorders>
              <w:top w:val="nil"/>
              <w:left w:val="nil"/>
              <w:bottom w:val="single" w:sz="4" w:space="0" w:color="auto"/>
              <w:right w:val="single" w:sz="8" w:space="0" w:color="auto"/>
            </w:tcBorders>
            <w:shd w:val="clear" w:color="000000" w:fill="00B050"/>
            <w:noWrap/>
            <w:vAlign w:val="bottom"/>
            <w:hideMark/>
          </w:tcPr>
          <w:p w14:paraId="2450ED49"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 xml:space="preserve">Preservación </w:t>
            </w:r>
          </w:p>
        </w:tc>
      </w:tr>
      <w:tr w:rsidR="007951B5" w:rsidRPr="007951B5" w14:paraId="5749D3A6" w14:textId="77777777" w:rsidTr="007951B5">
        <w:trPr>
          <w:trHeight w:val="290"/>
          <w:jc w:val="center"/>
        </w:trPr>
        <w:tc>
          <w:tcPr>
            <w:tcW w:w="2865" w:type="dxa"/>
            <w:tcBorders>
              <w:top w:val="nil"/>
              <w:left w:val="single" w:sz="8" w:space="0" w:color="auto"/>
              <w:bottom w:val="single" w:sz="4" w:space="0" w:color="auto"/>
              <w:right w:val="single" w:sz="4" w:space="0" w:color="auto"/>
            </w:tcBorders>
            <w:shd w:val="clear" w:color="000000" w:fill="FFC000"/>
            <w:noWrap/>
            <w:vAlign w:val="bottom"/>
            <w:hideMark/>
          </w:tcPr>
          <w:p w14:paraId="0E32E9A2"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Restauración</w:t>
            </w:r>
          </w:p>
        </w:tc>
        <w:tc>
          <w:tcPr>
            <w:tcW w:w="2540" w:type="dxa"/>
            <w:tcBorders>
              <w:top w:val="nil"/>
              <w:left w:val="nil"/>
              <w:bottom w:val="single" w:sz="4" w:space="0" w:color="auto"/>
              <w:right w:val="single" w:sz="4" w:space="0" w:color="auto"/>
            </w:tcBorders>
            <w:shd w:val="clear" w:color="000000" w:fill="FFC000"/>
            <w:noWrap/>
            <w:vAlign w:val="bottom"/>
            <w:hideMark/>
          </w:tcPr>
          <w:p w14:paraId="5239B402"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Restauración</w:t>
            </w:r>
          </w:p>
        </w:tc>
        <w:tc>
          <w:tcPr>
            <w:tcW w:w="2835" w:type="dxa"/>
            <w:tcBorders>
              <w:top w:val="nil"/>
              <w:left w:val="nil"/>
              <w:bottom w:val="single" w:sz="4" w:space="0" w:color="auto"/>
              <w:right w:val="single" w:sz="8" w:space="0" w:color="auto"/>
            </w:tcBorders>
            <w:shd w:val="clear" w:color="000000" w:fill="FFC000"/>
            <w:noWrap/>
            <w:vAlign w:val="bottom"/>
            <w:hideMark/>
          </w:tcPr>
          <w:p w14:paraId="0ABB877F"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Restauración</w:t>
            </w:r>
          </w:p>
        </w:tc>
      </w:tr>
      <w:tr w:rsidR="007951B5" w:rsidRPr="007951B5" w14:paraId="6DEB0214" w14:textId="77777777" w:rsidTr="007951B5">
        <w:trPr>
          <w:trHeight w:val="300"/>
          <w:jc w:val="center"/>
        </w:trPr>
        <w:tc>
          <w:tcPr>
            <w:tcW w:w="2865" w:type="dxa"/>
            <w:tcBorders>
              <w:top w:val="nil"/>
              <w:left w:val="single" w:sz="8" w:space="0" w:color="auto"/>
              <w:bottom w:val="single" w:sz="8" w:space="0" w:color="auto"/>
              <w:right w:val="single" w:sz="4" w:space="0" w:color="auto"/>
            </w:tcBorders>
            <w:shd w:val="clear" w:color="000000" w:fill="FFFF00"/>
            <w:noWrap/>
            <w:vAlign w:val="bottom"/>
            <w:hideMark/>
          </w:tcPr>
          <w:p w14:paraId="46497034"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Uso Sostenible</w:t>
            </w:r>
          </w:p>
        </w:tc>
        <w:tc>
          <w:tcPr>
            <w:tcW w:w="2540" w:type="dxa"/>
            <w:tcBorders>
              <w:top w:val="nil"/>
              <w:left w:val="nil"/>
              <w:bottom w:val="single" w:sz="8" w:space="0" w:color="auto"/>
              <w:right w:val="single" w:sz="4" w:space="0" w:color="auto"/>
            </w:tcBorders>
            <w:shd w:val="clear" w:color="000000" w:fill="FFC000"/>
            <w:noWrap/>
            <w:vAlign w:val="bottom"/>
            <w:hideMark/>
          </w:tcPr>
          <w:p w14:paraId="0A62601F"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Restauración</w:t>
            </w:r>
          </w:p>
        </w:tc>
        <w:tc>
          <w:tcPr>
            <w:tcW w:w="2835" w:type="dxa"/>
            <w:tcBorders>
              <w:top w:val="nil"/>
              <w:left w:val="nil"/>
              <w:bottom w:val="single" w:sz="8" w:space="0" w:color="auto"/>
              <w:right w:val="single" w:sz="8" w:space="0" w:color="auto"/>
            </w:tcBorders>
            <w:shd w:val="clear" w:color="000000" w:fill="FFFF00"/>
            <w:noWrap/>
            <w:vAlign w:val="bottom"/>
            <w:hideMark/>
          </w:tcPr>
          <w:p w14:paraId="7B0E47F2" w14:textId="77777777" w:rsidR="007951B5" w:rsidRPr="007951B5" w:rsidRDefault="007951B5" w:rsidP="007951B5">
            <w:pPr>
              <w:spacing w:after="0" w:line="240" w:lineRule="auto"/>
              <w:jc w:val="center"/>
              <w:rPr>
                <w:rFonts w:ascii="Calibri" w:eastAsia="Times New Roman" w:hAnsi="Calibri" w:cs="Calibri"/>
                <w:color w:val="000000"/>
                <w:sz w:val="20"/>
                <w:szCs w:val="20"/>
                <w:lang w:eastAsia="es-CO"/>
              </w:rPr>
            </w:pPr>
            <w:r w:rsidRPr="007951B5">
              <w:rPr>
                <w:rFonts w:ascii="Calibri" w:eastAsia="Times New Roman" w:hAnsi="Calibri" w:cs="Calibri"/>
                <w:color w:val="000000"/>
                <w:sz w:val="20"/>
                <w:szCs w:val="20"/>
                <w:lang w:eastAsia="es-CO"/>
              </w:rPr>
              <w:t>Uso sostenible</w:t>
            </w:r>
          </w:p>
        </w:tc>
      </w:tr>
    </w:tbl>
    <w:p w14:paraId="32ABE31A" w14:textId="77777777" w:rsidR="007951B5" w:rsidRPr="002252EC" w:rsidRDefault="007951B5" w:rsidP="002252EC">
      <w:pPr>
        <w:spacing w:after="0" w:line="276" w:lineRule="auto"/>
        <w:jc w:val="both"/>
        <w:rPr>
          <w:rFonts w:ascii="Arial" w:hAnsi="Arial" w:cs="Arial"/>
          <w:sz w:val="24"/>
          <w:szCs w:val="24"/>
        </w:rPr>
      </w:pPr>
    </w:p>
    <w:p w14:paraId="2EDD01D8" w14:textId="77777777" w:rsidR="008C480B" w:rsidRPr="008C480B" w:rsidRDefault="008C480B" w:rsidP="008C480B">
      <w:pPr>
        <w:spacing w:after="0" w:line="276" w:lineRule="auto"/>
        <w:jc w:val="both"/>
        <w:rPr>
          <w:rFonts w:ascii="Arial" w:hAnsi="Arial" w:cs="Arial"/>
          <w:sz w:val="24"/>
          <w:szCs w:val="24"/>
        </w:rPr>
      </w:pPr>
      <w:r w:rsidRPr="008C480B">
        <w:rPr>
          <w:rFonts w:ascii="Arial" w:hAnsi="Arial" w:cs="Arial"/>
          <w:sz w:val="24"/>
          <w:szCs w:val="24"/>
        </w:rPr>
        <w:t>Al aplicar este criterio dentro de los procesos de análisis cartográfico, se obtiene un cambio significativo en la distribución de las zonas de manejo. Como resultado, se evidencia una reducción considerable en la extensión correspondiente a la zona de uso sostenible, la cual pasa a representar aproximadamente el 10 % del área total, mientras que la zona de restauración presenta un incremento notable, alcanzando cerca del 41 % del área.</w:t>
      </w:r>
    </w:p>
    <w:p w14:paraId="70481D53" w14:textId="423992CE" w:rsidR="008C480B" w:rsidRPr="008C480B" w:rsidRDefault="008C480B" w:rsidP="008C480B">
      <w:pPr>
        <w:spacing w:after="0" w:line="276" w:lineRule="auto"/>
        <w:jc w:val="both"/>
        <w:rPr>
          <w:rFonts w:ascii="Arial" w:hAnsi="Arial" w:cs="Arial"/>
          <w:sz w:val="24"/>
          <w:szCs w:val="24"/>
        </w:rPr>
      </w:pPr>
    </w:p>
    <w:tbl>
      <w:tblPr>
        <w:tblW w:w="3546" w:type="pct"/>
        <w:jc w:val="center"/>
        <w:tblCellMar>
          <w:left w:w="70" w:type="dxa"/>
          <w:right w:w="70" w:type="dxa"/>
        </w:tblCellMar>
        <w:tblLook w:val="04A0" w:firstRow="1" w:lastRow="0" w:firstColumn="1" w:lastColumn="0" w:noHBand="0" w:noVBand="1"/>
      </w:tblPr>
      <w:tblGrid>
        <w:gridCol w:w="1963"/>
        <w:gridCol w:w="2289"/>
        <w:gridCol w:w="1983"/>
      </w:tblGrid>
      <w:tr w:rsidR="0050466D" w:rsidRPr="00FF76C3" w14:paraId="721BAC84" w14:textId="77777777" w:rsidTr="00061EA7">
        <w:trPr>
          <w:trHeight w:val="330"/>
          <w:jc w:val="center"/>
        </w:trPr>
        <w:tc>
          <w:tcPr>
            <w:tcW w:w="1574" w:type="pct"/>
            <w:tcBorders>
              <w:top w:val="double" w:sz="6" w:space="0" w:color="auto"/>
              <w:left w:val="double" w:sz="6" w:space="0" w:color="auto"/>
              <w:bottom w:val="double" w:sz="6" w:space="0" w:color="auto"/>
              <w:right w:val="double" w:sz="6" w:space="0" w:color="auto"/>
            </w:tcBorders>
            <w:shd w:val="clear" w:color="000000" w:fill="D9D9D9"/>
            <w:noWrap/>
            <w:vAlign w:val="bottom"/>
            <w:hideMark/>
          </w:tcPr>
          <w:p w14:paraId="3F260FBD" w14:textId="77777777" w:rsidR="0050466D" w:rsidRPr="00FF76C3" w:rsidRDefault="0050466D"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Zona</w:t>
            </w:r>
          </w:p>
        </w:tc>
        <w:tc>
          <w:tcPr>
            <w:tcW w:w="1836" w:type="pct"/>
            <w:tcBorders>
              <w:top w:val="double" w:sz="6" w:space="0" w:color="auto"/>
              <w:left w:val="nil"/>
              <w:bottom w:val="double" w:sz="6" w:space="0" w:color="auto"/>
              <w:right w:val="double" w:sz="6" w:space="0" w:color="000000"/>
            </w:tcBorders>
            <w:shd w:val="clear" w:color="000000" w:fill="D9D9D9"/>
            <w:noWrap/>
            <w:vAlign w:val="bottom"/>
            <w:hideMark/>
          </w:tcPr>
          <w:p w14:paraId="32368979" w14:textId="77777777" w:rsidR="0050466D" w:rsidRPr="00FF76C3" w:rsidRDefault="0050466D"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Extensión (ha)</w:t>
            </w:r>
          </w:p>
        </w:tc>
        <w:tc>
          <w:tcPr>
            <w:tcW w:w="1590" w:type="pct"/>
            <w:tcBorders>
              <w:top w:val="double" w:sz="6" w:space="0" w:color="auto"/>
              <w:left w:val="nil"/>
              <w:bottom w:val="double" w:sz="6" w:space="0" w:color="auto"/>
              <w:right w:val="double" w:sz="6" w:space="0" w:color="auto"/>
            </w:tcBorders>
            <w:shd w:val="clear" w:color="000000" w:fill="D9D9D9"/>
            <w:noWrap/>
            <w:vAlign w:val="bottom"/>
            <w:hideMark/>
          </w:tcPr>
          <w:p w14:paraId="7144A931" w14:textId="77777777" w:rsidR="0050466D" w:rsidRPr="00FF76C3" w:rsidRDefault="0050466D"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Porcentaje</w:t>
            </w:r>
          </w:p>
        </w:tc>
      </w:tr>
      <w:tr w:rsidR="0050466D" w:rsidRPr="00FF76C3" w14:paraId="69FEA86D" w14:textId="77777777" w:rsidTr="00061EA7">
        <w:trPr>
          <w:trHeight w:val="310"/>
          <w:jc w:val="center"/>
        </w:trPr>
        <w:tc>
          <w:tcPr>
            <w:tcW w:w="1574" w:type="pct"/>
            <w:tcBorders>
              <w:top w:val="nil"/>
              <w:left w:val="double" w:sz="6" w:space="0" w:color="auto"/>
              <w:bottom w:val="double" w:sz="6" w:space="0" w:color="auto"/>
              <w:right w:val="double" w:sz="6" w:space="0" w:color="auto"/>
            </w:tcBorders>
            <w:shd w:val="clear" w:color="000000" w:fill="00B050"/>
            <w:noWrap/>
            <w:vAlign w:val="bottom"/>
            <w:hideMark/>
          </w:tcPr>
          <w:p w14:paraId="2AB63D90" w14:textId="77777777" w:rsidR="0050466D" w:rsidRPr="00FF76C3" w:rsidRDefault="0050466D"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 xml:space="preserve">Preservación </w:t>
            </w:r>
          </w:p>
        </w:tc>
        <w:tc>
          <w:tcPr>
            <w:tcW w:w="1836" w:type="pct"/>
            <w:tcBorders>
              <w:top w:val="double" w:sz="6" w:space="0" w:color="auto"/>
              <w:left w:val="nil"/>
              <w:bottom w:val="double" w:sz="6" w:space="0" w:color="auto"/>
              <w:right w:val="double" w:sz="6" w:space="0" w:color="000000"/>
            </w:tcBorders>
            <w:noWrap/>
            <w:vAlign w:val="bottom"/>
            <w:hideMark/>
          </w:tcPr>
          <w:p w14:paraId="2C648FA9" w14:textId="77777777" w:rsidR="0050466D" w:rsidRPr="00FF76C3" w:rsidRDefault="0050466D"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28E811C6" w14:textId="77777777" w:rsidR="0050466D" w:rsidRPr="00FF76C3" w:rsidRDefault="0050466D" w:rsidP="00457824">
            <w:pPr>
              <w:spacing w:after="0" w:line="240" w:lineRule="auto"/>
              <w:jc w:val="center"/>
              <w:rPr>
                <w:rFonts w:ascii="Calibri" w:eastAsia="Times New Roman" w:hAnsi="Calibri" w:cs="Calibri"/>
                <w:color w:val="000000"/>
                <w:lang w:eastAsia="es-CO"/>
              </w:rPr>
            </w:pPr>
          </w:p>
        </w:tc>
      </w:tr>
      <w:tr w:rsidR="0050466D" w:rsidRPr="00FF76C3" w14:paraId="439D6B9C" w14:textId="77777777" w:rsidTr="00061EA7">
        <w:trPr>
          <w:trHeight w:val="310"/>
          <w:jc w:val="center"/>
        </w:trPr>
        <w:tc>
          <w:tcPr>
            <w:tcW w:w="1574" w:type="pct"/>
            <w:tcBorders>
              <w:top w:val="nil"/>
              <w:left w:val="double" w:sz="6" w:space="0" w:color="auto"/>
              <w:bottom w:val="double" w:sz="6" w:space="0" w:color="auto"/>
              <w:right w:val="double" w:sz="6" w:space="0" w:color="auto"/>
            </w:tcBorders>
            <w:shd w:val="clear" w:color="000000" w:fill="FFC000"/>
            <w:noWrap/>
            <w:vAlign w:val="bottom"/>
            <w:hideMark/>
          </w:tcPr>
          <w:p w14:paraId="69905315" w14:textId="77777777" w:rsidR="0050466D" w:rsidRPr="00FF76C3" w:rsidRDefault="0050466D"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Restauración</w:t>
            </w:r>
          </w:p>
        </w:tc>
        <w:tc>
          <w:tcPr>
            <w:tcW w:w="1836" w:type="pct"/>
            <w:tcBorders>
              <w:top w:val="double" w:sz="6" w:space="0" w:color="auto"/>
              <w:left w:val="nil"/>
              <w:bottom w:val="double" w:sz="6" w:space="0" w:color="auto"/>
              <w:right w:val="double" w:sz="6" w:space="0" w:color="000000"/>
            </w:tcBorders>
            <w:noWrap/>
            <w:vAlign w:val="bottom"/>
          </w:tcPr>
          <w:p w14:paraId="60D045A3" w14:textId="77777777" w:rsidR="0050466D" w:rsidRPr="00FF76C3" w:rsidRDefault="0050466D"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310C6578" w14:textId="77777777" w:rsidR="0050466D" w:rsidRPr="00FF76C3" w:rsidRDefault="0050466D" w:rsidP="00457824">
            <w:pPr>
              <w:spacing w:after="0" w:line="240" w:lineRule="auto"/>
              <w:jc w:val="center"/>
              <w:rPr>
                <w:rFonts w:ascii="Calibri" w:eastAsia="Times New Roman" w:hAnsi="Calibri" w:cs="Calibri"/>
                <w:color w:val="000000"/>
                <w:lang w:eastAsia="es-CO"/>
              </w:rPr>
            </w:pPr>
          </w:p>
        </w:tc>
      </w:tr>
      <w:tr w:rsidR="0050466D" w:rsidRPr="00FF76C3" w14:paraId="5D788A5E" w14:textId="77777777" w:rsidTr="00061EA7">
        <w:trPr>
          <w:trHeight w:val="310"/>
          <w:jc w:val="center"/>
        </w:trPr>
        <w:tc>
          <w:tcPr>
            <w:tcW w:w="1574" w:type="pct"/>
            <w:tcBorders>
              <w:top w:val="nil"/>
              <w:left w:val="double" w:sz="6" w:space="0" w:color="auto"/>
              <w:bottom w:val="double" w:sz="6" w:space="0" w:color="auto"/>
              <w:right w:val="double" w:sz="6" w:space="0" w:color="auto"/>
            </w:tcBorders>
            <w:shd w:val="clear" w:color="000000" w:fill="FFFF00"/>
            <w:noWrap/>
            <w:vAlign w:val="bottom"/>
            <w:hideMark/>
          </w:tcPr>
          <w:p w14:paraId="0936104C" w14:textId="77777777" w:rsidR="0050466D" w:rsidRPr="00FF76C3" w:rsidRDefault="0050466D"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Uso Sostenible</w:t>
            </w:r>
          </w:p>
        </w:tc>
        <w:tc>
          <w:tcPr>
            <w:tcW w:w="1836" w:type="pct"/>
            <w:tcBorders>
              <w:top w:val="double" w:sz="6" w:space="0" w:color="auto"/>
              <w:left w:val="nil"/>
              <w:bottom w:val="double" w:sz="6" w:space="0" w:color="auto"/>
              <w:right w:val="double" w:sz="6" w:space="0" w:color="000000"/>
            </w:tcBorders>
            <w:noWrap/>
            <w:vAlign w:val="bottom"/>
          </w:tcPr>
          <w:p w14:paraId="7A1BF82A" w14:textId="77777777" w:rsidR="0050466D" w:rsidRPr="00FF76C3" w:rsidRDefault="0050466D"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1E0C6B2E" w14:textId="77777777" w:rsidR="0050466D" w:rsidRPr="00FF76C3" w:rsidRDefault="0050466D" w:rsidP="00457824">
            <w:pPr>
              <w:spacing w:after="0" w:line="240" w:lineRule="auto"/>
              <w:jc w:val="center"/>
              <w:rPr>
                <w:rFonts w:ascii="Calibri" w:eastAsia="Times New Roman" w:hAnsi="Calibri" w:cs="Calibri"/>
                <w:color w:val="000000"/>
                <w:lang w:eastAsia="es-CO"/>
              </w:rPr>
            </w:pPr>
          </w:p>
        </w:tc>
      </w:tr>
      <w:tr w:rsidR="0050466D" w:rsidRPr="00FF76C3" w14:paraId="067C2B39" w14:textId="77777777" w:rsidTr="00061EA7">
        <w:trPr>
          <w:trHeight w:val="310"/>
          <w:jc w:val="center"/>
        </w:trPr>
        <w:tc>
          <w:tcPr>
            <w:tcW w:w="1574" w:type="pct"/>
            <w:tcBorders>
              <w:top w:val="nil"/>
              <w:left w:val="double" w:sz="6" w:space="0" w:color="auto"/>
              <w:bottom w:val="double" w:sz="6" w:space="0" w:color="auto"/>
              <w:right w:val="double" w:sz="6" w:space="0" w:color="auto"/>
            </w:tcBorders>
            <w:noWrap/>
            <w:vAlign w:val="bottom"/>
            <w:hideMark/>
          </w:tcPr>
          <w:p w14:paraId="74611D00" w14:textId="77777777" w:rsidR="0050466D" w:rsidRPr="00FF76C3" w:rsidRDefault="0050466D" w:rsidP="00457824">
            <w:pPr>
              <w:spacing w:after="0" w:line="240" w:lineRule="auto"/>
              <w:jc w:val="right"/>
              <w:rPr>
                <w:rFonts w:ascii="Calibri" w:eastAsia="Times New Roman" w:hAnsi="Calibri" w:cs="Calibri"/>
                <w:b/>
                <w:bCs/>
                <w:color w:val="000000"/>
                <w:lang w:eastAsia="es-CO"/>
              </w:rPr>
            </w:pPr>
            <w:r w:rsidRPr="00FF76C3">
              <w:rPr>
                <w:rFonts w:ascii="Calibri" w:eastAsia="Times New Roman" w:hAnsi="Calibri" w:cs="Calibri"/>
                <w:b/>
                <w:bCs/>
                <w:color w:val="000000"/>
                <w:lang w:eastAsia="es-CO"/>
              </w:rPr>
              <w:lastRenderedPageBreak/>
              <w:t>Total</w:t>
            </w:r>
          </w:p>
        </w:tc>
        <w:tc>
          <w:tcPr>
            <w:tcW w:w="1836" w:type="pct"/>
            <w:tcBorders>
              <w:top w:val="double" w:sz="6" w:space="0" w:color="auto"/>
              <w:left w:val="nil"/>
              <w:bottom w:val="double" w:sz="6" w:space="0" w:color="auto"/>
              <w:right w:val="double" w:sz="6" w:space="0" w:color="000000"/>
            </w:tcBorders>
            <w:noWrap/>
            <w:vAlign w:val="bottom"/>
          </w:tcPr>
          <w:p w14:paraId="4CA27592" w14:textId="77777777" w:rsidR="0050466D" w:rsidRPr="00FF76C3" w:rsidRDefault="0050466D" w:rsidP="00457824">
            <w:pPr>
              <w:spacing w:after="0" w:line="240" w:lineRule="auto"/>
              <w:jc w:val="center"/>
              <w:rPr>
                <w:rFonts w:ascii="Calibri" w:eastAsia="Times New Roman" w:hAnsi="Calibri" w:cs="Calibri"/>
                <w:b/>
                <w:bCs/>
                <w:color w:val="000000"/>
                <w:lang w:eastAsia="es-CO"/>
              </w:rPr>
            </w:pPr>
          </w:p>
        </w:tc>
        <w:tc>
          <w:tcPr>
            <w:tcW w:w="1590" w:type="pct"/>
            <w:tcBorders>
              <w:top w:val="nil"/>
              <w:left w:val="nil"/>
              <w:bottom w:val="double" w:sz="6" w:space="0" w:color="auto"/>
              <w:right w:val="double" w:sz="6" w:space="0" w:color="auto"/>
            </w:tcBorders>
            <w:noWrap/>
            <w:vAlign w:val="bottom"/>
            <w:hideMark/>
          </w:tcPr>
          <w:p w14:paraId="0F854386" w14:textId="77777777" w:rsidR="0050466D" w:rsidRPr="00FF76C3" w:rsidRDefault="0050466D"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100</w:t>
            </w:r>
          </w:p>
        </w:tc>
      </w:tr>
    </w:tbl>
    <w:p w14:paraId="577F066B" w14:textId="77777777" w:rsidR="0050466D" w:rsidRDefault="0050466D">
      <w:pPr>
        <w:spacing w:after="0" w:line="276" w:lineRule="auto"/>
        <w:jc w:val="both"/>
        <w:rPr>
          <w:rFonts w:ascii="Arial" w:hAnsi="Arial" w:cs="Arial"/>
          <w:sz w:val="24"/>
          <w:szCs w:val="24"/>
          <w:lang w:val="es-ES"/>
        </w:rPr>
      </w:pPr>
    </w:p>
    <w:p w14:paraId="2CC9F294" w14:textId="77777777" w:rsidR="00D32197" w:rsidRPr="00D535E1" w:rsidRDefault="00D32197" w:rsidP="00D32197">
      <w:pPr>
        <w:spacing w:line="276" w:lineRule="auto"/>
        <w:jc w:val="both"/>
        <w:rPr>
          <w:rFonts w:ascii="Arial" w:hAnsi="Arial" w:cs="Arial"/>
          <w:b/>
          <w:bCs/>
          <w:sz w:val="24"/>
          <w:szCs w:val="24"/>
          <w:lang w:val="es-ES"/>
        </w:rPr>
      </w:pPr>
      <w:r w:rsidRPr="00D535E1">
        <w:rPr>
          <w:rFonts w:ascii="Arial" w:hAnsi="Arial" w:cs="Arial"/>
          <w:b/>
          <w:bCs/>
          <w:sz w:val="24"/>
          <w:szCs w:val="24"/>
          <w:lang w:val="es-ES"/>
        </w:rPr>
        <w:t xml:space="preserve">Criterio 5. Conectividad Ecológica </w:t>
      </w:r>
    </w:p>
    <w:p w14:paraId="61DEB3C2" w14:textId="4101600F" w:rsidR="00D32197" w:rsidRPr="00D32197" w:rsidRDefault="00144B6B" w:rsidP="00D32197">
      <w:pPr>
        <w:spacing w:after="0" w:line="276" w:lineRule="auto"/>
        <w:jc w:val="both"/>
        <w:rPr>
          <w:rFonts w:ascii="Arial" w:hAnsi="Arial" w:cs="Arial"/>
          <w:sz w:val="24"/>
          <w:szCs w:val="24"/>
        </w:rPr>
      </w:pPr>
      <w:r>
        <w:rPr>
          <w:rFonts w:ascii="Arial" w:hAnsi="Arial" w:cs="Arial"/>
          <w:sz w:val="24"/>
          <w:szCs w:val="24"/>
        </w:rPr>
        <w:t>F</w:t>
      </w:r>
      <w:r w:rsidR="00D32197" w:rsidRPr="00D32197">
        <w:rPr>
          <w:rFonts w:ascii="Arial" w:hAnsi="Arial" w:cs="Arial"/>
          <w:sz w:val="24"/>
          <w:szCs w:val="24"/>
        </w:rPr>
        <w:t>ue considerado dentro del análisis general realizado para el área protegida, dado que constituye un componente relevante para la identificación de posibles corredores y la continuidad de los ecosistemas dentro del territorio.</w:t>
      </w:r>
    </w:p>
    <w:p w14:paraId="4D9F9952" w14:textId="77777777" w:rsidR="00D32197" w:rsidRPr="00D32197" w:rsidRDefault="00D32197" w:rsidP="00D32197">
      <w:pPr>
        <w:spacing w:after="0" w:line="276" w:lineRule="auto"/>
        <w:jc w:val="both"/>
        <w:rPr>
          <w:rFonts w:ascii="Arial" w:hAnsi="Arial" w:cs="Arial"/>
          <w:sz w:val="24"/>
          <w:szCs w:val="24"/>
        </w:rPr>
      </w:pPr>
    </w:p>
    <w:p w14:paraId="37A30034" w14:textId="77777777" w:rsidR="00D32197" w:rsidRPr="00D32197" w:rsidRDefault="00D32197" w:rsidP="00D32197">
      <w:pPr>
        <w:spacing w:after="0" w:line="276" w:lineRule="auto"/>
        <w:jc w:val="both"/>
        <w:rPr>
          <w:rFonts w:ascii="Arial" w:hAnsi="Arial" w:cs="Arial"/>
          <w:sz w:val="24"/>
          <w:szCs w:val="24"/>
        </w:rPr>
      </w:pPr>
      <w:r w:rsidRPr="00D32197">
        <w:rPr>
          <w:rFonts w:ascii="Arial" w:hAnsi="Arial" w:cs="Arial"/>
          <w:sz w:val="24"/>
          <w:szCs w:val="24"/>
        </w:rPr>
        <w:t>No obstante, de acuerdo con lo establecido en las matrices de decisión aplicadas en el proceso de zonificación, este criterio no genera modificaciones en la clasificación de las zonas de manejo previamente definidas. En consecuencia, aunque la información asociada a la conectividad ecológica fue analizada y tenida en cuenta como insumo técnico dentro del estudio, su aplicación no implica cambios en la delimitación de las zonas de preservación, restauración o uso sostenible obtenidas en las etapas anteriores del proceso.</w:t>
      </w:r>
    </w:p>
    <w:p w14:paraId="3508C713" w14:textId="77777777" w:rsidR="00D32197" w:rsidRDefault="00D32197">
      <w:pPr>
        <w:spacing w:after="0" w:line="276" w:lineRule="auto"/>
        <w:jc w:val="both"/>
        <w:rPr>
          <w:rFonts w:ascii="Arial" w:hAnsi="Arial" w:cs="Arial"/>
          <w:sz w:val="24"/>
          <w:szCs w:val="24"/>
          <w:lang w:val="es-ES"/>
        </w:rPr>
      </w:pPr>
    </w:p>
    <w:p w14:paraId="7A2B57FB" w14:textId="77777777" w:rsidR="00DA6100" w:rsidRDefault="00DA6100" w:rsidP="00DA6100">
      <w:pPr>
        <w:spacing w:line="276" w:lineRule="auto"/>
        <w:jc w:val="both"/>
        <w:rPr>
          <w:rFonts w:ascii="Arial" w:hAnsi="Arial" w:cs="Arial"/>
          <w:b/>
          <w:bCs/>
          <w:sz w:val="24"/>
          <w:szCs w:val="24"/>
        </w:rPr>
      </w:pPr>
      <w:r w:rsidRPr="00DA6100">
        <w:rPr>
          <w:rFonts w:ascii="Arial" w:hAnsi="Arial" w:cs="Arial"/>
          <w:b/>
          <w:bCs/>
          <w:sz w:val="24"/>
          <w:szCs w:val="24"/>
        </w:rPr>
        <w:t>Criterio 6. Amenazas por fenómenos naturales en grado alto</w:t>
      </w:r>
    </w:p>
    <w:p w14:paraId="3F1F5545" w14:textId="2F82F03D" w:rsidR="00DA6100" w:rsidRPr="00DA6100" w:rsidRDefault="00DA6100" w:rsidP="00DA6100">
      <w:pPr>
        <w:spacing w:after="0" w:line="276" w:lineRule="auto"/>
        <w:jc w:val="both"/>
        <w:rPr>
          <w:rFonts w:ascii="Arial" w:hAnsi="Arial" w:cs="Arial"/>
          <w:sz w:val="24"/>
          <w:szCs w:val="24"/>
        </w:rPr>
      </w:pPr>
      <w:r>
        <w:rPr>
          <w:rFonts w:ascii="Arial" w:hAnsi="Arial" w:cs="Arial"/>
          <w:sz w:val="24"/>
          <w:szCs w:val="24"/>
        </w:rPr>
        <w:t>S</w:t>
      </w:r>
      <w:r w:rsidRPr="00DA6100">
        <w:rPr>
          <w:rFonts w:ascii="Arial" w:hAnsi="Arial" w:cs="Arial"/>
          <w:sz w:val="24"/>
          <w:szCs w:val="24"/>
        </w:rPr>
        <w:t>e incorpora dentro del proceso de zonificación con el fin de identificar aquellas áreas del territorio que presentan condiciones de alta susceptibilidad frente a fenómenos naturales</w:t>
      </w:r>
      <w:r w:rsidR="00C60B13">
        <w:rPr>
          <w:rFonts w:ascii="Arial" w:hAnsi="Arial" w:cs="Arial"/>
          <w:sz w:val="24"/>
          <w:szCs w:val="24"/>
        </w:rPr>
        <w:t>.</w:t>
      </w:r>
    </w:p>
    <w:p w14:paraId="4E1AA7DE" w14:textId="77777777" w:rsidR="00DA6100" w:rsidRPr="00DA6100" w:rsidRDefault="00DA6100" w:rsidP="00DA6100">
      <w:pPr>
        <w:spacing w:after="0" w:line="276" w:lineRule="auto"/>
        <w:jc w:val="both"/>
        <w:rPr>
          <w:rFonts w:ascii="Arial" w:hAnsi="Arial" w:cs="Arial"/>
          <w:sz w:val="24"/>
          <w:szCs w:val="24"/>
        </w:rPr>
      </w:pPr>
    </w:p>
    <w:p w14:paraId="30171AE6" w14:textId="59F7E309" w:rsidR="00DA6100" w:rsidRPr="00DA6100" w:rsidRDefault="00DA6100" w:rsidP="00DA6100">
      <w:pPr>
        <w:spacing w:after="0" w:line="276" w:lineRule="auto"/>
        <w:jc w:val="both"/>
        <w:rPr>
          <w:rFonts w:ascii="Arial" w:hAnsi="Arial" w:cs="Arial"/>
          <w:sz w:val="24"/>
          <w:szCs w:val="24"/>
        </w:rPr>
      </w:pPr>
      <w:r w:rsidRPr="00DA6100">
        <w:rPr>
          <w:rFonts w:ascii="Arial" w:hAnsi="Arial" w:cs="Arial"/>
          <w:sz w:val="24"/>
          <w:szCs w:val="24"/>
        </w:rPr>
        <w:t>De acuerdo con lo establecido en las matrices de decisión, la regla definida para este criterio establece que todas las áreas previamente clasificadas como zonas de uso sostenible que presenten un grado alto de amenaza por fenómenos naturales deben ser reclasificadas como zonas de restauración.</w:t>
      </w:r>
    </w:p>
    <w:p w14:paraId="1ADBB7EA" w14:textId="77777777" w:rsidR="00DA6100" w:rsidRDefault="00DA6100">
      <w:pPr>
        <w:spacing w:after="0" w:line="276" w:lineRule="auto"/>
        <w:jc w:val="both"/>
        <w:rPr>
          <w:rFonts w:ascii="Arial" w:hAnsi="Arial" w:cs="Arial"/>
          <w:sz w:val="24"/>
          <w:szCs w:val="24"/>
          <w:lang w:val="es-ES"/>
        </w:rPr>
      </w:pPr>
    </w:p>
    <w:tbl>
      <w:tblPr>
        <w:tblW w:w="7180" w:type="dxa"/>
        <w:jc w:val="center"/>
        <w:tblCellMar>
          <w:left w:w="70" w:type="dxa"/>
          <w:right w:w="70" w:type="dxa"/>
        </w:tblCellMar>
        <w:tblLook w:val="04A0" w:firstRow="1" w:lastRow="0" w:firstColumn="1" w:lastColumn="0" w:noHBand="0" w:noVBand="1"/>
      </w:tblPr>
      <w:tblGrid>
        <w:gridCol w:w="1666"/>
        <w:gridCol w:w="2825"/>
        <w:gridCol w:w="2689"/>
      </w:tblGrid>
      <w:tr w:rsidR="008A2E0A" w:rsidRPr="008A2E0A" w14:paraId="1F596E4A" w14:textId="77777777" w:rsidTr="008A2E0A">
        <w:trPr>
          <w:trHeight w:val="295"/>
          <w:jc w:val="center"/>
        </w:trPr>
        <w:tc>
          <w:tcPr>
            <w:tcW w:w="7180" w:type="dxa"/>
            <w:gridSpan w:val="3"/>
            <w:tcBorders>
              <w:top w:val="nil"/>
              <w:left w:val="single" w:sz="8" w:space="0" w:color="auto"/>
              <w:bottom w:val="single" w:sz="4" w:space="0" w:color="auto"/>
              <w:right w:val="single" w:sz="8" w:space="0" w:color="000000"/>
            </w:tcBorders>
            <w:shd w:val="clear" w:color="000000" w:fill="FF3300"/>
            <w:noWrap/>
            <w:vAlign w:val="bottom"/>
            <w:hideMark/>
          </w:tcPr>
          <w:p w14:paraId="014DC3B4" w14:textId="77777777" w:rsidR="008A2E0A" w:rsidRPr="008A2E0A" w:rsidRDefault="008A2E0A" w:rsidP="008A2E0A">
            <w:pPr>
              <w:spacing w:after="0" w:line="240" w:lineRule="auto"/>
              <w:jc w:val="center"/>
              <w:rPr>
                <w:rFonts w:ascii="Calibri" w:eastAsia="Times New Roman" w:hAnsi="Calibri" w:cs="Calibri"/>
                <w:b/>
                <w:bCs/>
                <w:color w:val="000000"/>
                <w:lang w:eastAsia="es-CO"/>
              </w:rPr>
            </w:pPr>
            <w:r w:rsidRPr="008A2E0A">
              <w:rPr>
                <w:rFonts w:ascii="Calibri" w:eastAsia="Times New Roman" w:hAnsi="Calibri" w:cs="Calibri"/>
                <w:b/>
                <w:bCs/>
                <w:color w:val="000000"/>
                <w:lang w:eastAsia="es-CO"/>
              </w:rPr>
              <w:t xml:space="preserve">Amenaza de fenómenos naturales </w:t>
            </w:r>
          </w:p>
        </w:tc>
      </w:tr>
      <w:tr w:rsidR="008A2E0A" w:rsidRPr="008A2E0A" w14:paraId="217EECD3" w14:textId="77777777" w:rsidTr="008A2E0A">
        <w:trPr>
          <w:trHeight w:val="580"/>
          <w:jc w:val="center"/>
        </w:trPr>
        <w:tc>
          <w:tcPr>
            <w:tcW w:w="1666" w:type="dxa"/>
            <w:tcBorders>
              <w:top w:val="nil"/>
              <w:left w:val="single" w:sz="8" w:space="0" w:color="auto"/>
              <w:bottom w:val="single" w:sz="4" w:space="0" w:color="auto"/>
              <w:right w:val="single" w:sz="4" w:space="0" w:color="auto"/>
            </w:tcBorders>
            <w:shd w:val="clear" w:color="000000" w:fill="auto"/>
            <w:noWrap/>
            <w:vAlign w:val="center"/>
            <w:hideMark/>
          </w:tcPr>
          <w:p w14:paraId="44E8D291" w14:textId="77777777" w:rsidR="008A2E0A" w:rsidRPr="008A2E0A" w:rsidRDefault="008A2E0A" w:rsidP="008A2E0A">
            <w:pPr>
              <w:spacing w:after="0" w:line="240" w:lineRule="auto"/>
              <w:jc w:val="center"/>
              <w:rPr>
                <w:rFonts w:ascii="Calibri" w:eastAsia="Times New Roman" w:hAnsi="Calibri" w:cs="Calibri"/>
                <w:b/>
                <w:bCs/>
                <w:color w:val="000000"/>
                <w:lang w:eastAsia="es-CO"/>
              </w:rPr>
            </w:pPr>
            <w:r w:rsidRPr="008A2E0A">
              <w:rPr>
                <w:rFonts w:ascii="Calibri" w:eastAsia="Times New Roman" w:hAnsi="Calibri" w:cs="Calibri"/>
                <w:b/>
                <w:bCs/>
                <w:color w:val="000000"/>
                <w:lang w:eastAsia="es-CO"/>
              </w:rPr>
              <w:t>Zona</w:t>
            </w:r>
          </w:p>
        </w:tc>
        <w:tc>
          <w:tcPr>
            <w:tcW w:w="2825" w:type="dxa"/>
            <w:tcBorders>
              <w:top w:val="nil"/>
              <w:left w:val="nil"/>
              <w:bottom w:val="single" w:sz="4" w:space="0" w:color="auto"/>
              <w:right w:val="single" w:sz="4" w:space="0" w:color="auto"/>
            </w:tcBorders>
            <w:shd w:val="clear" w:color="000000" w:fill="auto"/>
            <w:vAlign w:val="center"/>
            <w:hideMark/>
          </w:tcPr>
          <w:p w14:paraId="32E2E72C" w14:textId="1D61C840" w:rsidR="008A2E0A" w:rsidRPr="008A2E0A" w:rsidRDefault="008A2E0A" w:rsidP="008A2E0A">
            <w:pPr>
              <w:spacing w:after="0" w:line="240" w:lineRule="auto"/>
              <w:jc w:val="center"/>
              <w:rPr>
                <w:rFonts w:ascii="Calibri" w:eastAsia="Times New Roman" w:hAnsi="Calibri" w:cs="Calibri"/>
                <w:b/>
                <w:bCs/>
                <w:color w:val="000000"/>
                <w:lang w:eastAsia="es-CO"/>
              </w:rPr>
            </w:pPr>
            <w:r w:rsidRPr="008A2E0A">
              <w:rPr>
                <w:rFonts w:ascii="Calibri" w:eastAsia="Times New Roman" w:hAnsi="Calibri" w:cs="Calibri"/>
                <w:b/>
                <w:bCs/>
                <w:color w:val="000000"/>
                <w:lang w:eastAsia="es-CO"/>
              </w:rPr>
              <w:t xml:space="preserve">Presencia de áreas con condición de riesgo alto </w:t>
            </w:r>
          </w:p>
        </w:tc>
        <w:tc>
          <w:tcPr>
            <w:tcW w:w="2689" w:type="dxa"/>
            <w:tcBorders>
              <w:top w:val="nil"/>
              <w:left w:val="nil"/>
              <w:bottom w:val="single" w:sz="4" w:space="0" w:color="auto"/>
              <w:right w:val="single" w:sz="8" w:space="0" w:color="auto"/>
            </w:tcBorders>
            <w:shd w:val="clear" w:color="000000" w:fill="auto"/>
            <w:vAlign w:val="center"/>
            <w:hideMark/>
          </w:tcPr>
          <w:p w14:paraId="45CB40BA" w14:textId="4006E910" w:rsidR="008A2E0A" w:rsidRPr="008A2E0A" w:rsidRDefault="008A2E0A" w:rsidP="008A2E0A">
            <w:pPr>
              <w:spacing w:after="0" w:line="240" w:lineRule="auto"/>
              <w:jc w:val="center"/>
              <w:rPr>
                <w:rFonts w:ascii="Calibri" w:eastAsia="Times New Roman" w:hAnsi="Calibri" w:cs="Calibri"/>
                <w:b/>
                <w:bCs/>
                <w:color w:val="000000"/>
                <w:lang w:eastAsia="es-CO"/>
              </w:rPr>
            </w:pPr>
            <w:r w:rsidRPr="008A2E0A">
              <w:rPr>
                <w:rFonts w:ascii="Calibri" w:eastAsia="Times New Roman" w:hAnsi="Calibri" w:cs="Calibri"/>
                <w:b/>
                <w:bCs/>
                <w:color w:val="000000"/>
                <w:lang w:eastAsia="es-CO"/>
              </w:rPr>
              <w:t xml:space="preserve">Ausencia de áreas con condición de riesgo alto </w:t>
            </w:r>
          </w:p>
        </w:tc>
      </w:tr>
      <w:tr w:rsidR="008A2E0A" w:rsidRPr="008A2E0A" w14:paraId="6F69D66D" w14:textId="77777777" w:rsidTr="008A2E0A">
        <w:trPr>
          <w:trHeight w:val="290"/>
          <w:jc w:val="center"/>
        </w:trPr>
        <w:tc>
          <w:tcPr>
            <w:tcW w:w="1666" w:type="dxa"/>
            <w:tcBorders>
              <w:top w:val="nil"/>
              <w:left w:val="single" w:sz="8" w:space="0" w:color="auto"/>
              <w:bottom w:val="single" w:sz="4" w:space="0" w:color="auto"/>
              <w:right w:val="single" w:sz="4" w:space="0" w:color="auto"/>
            </w:tcBorders>
            <w:shd w:val="clear" w:color="000000" w:fill="00B050"/>
            <w:noWrap/>
            <w:vAlign w:val="center"/>
            <w:hideMark/>
          </w:tcPr>
          <w:p w14:paraId="1D50188C" w14:textId="77777777" w:rsidR="008A2E0A" w:rsidRPr="008A2E0A" w:rsidRDefault="008A2E0A" w:rsidP="008A2E0A">
            <w:pPr>
              <w:spacing w:after="0" w:line="240" w:lineRule="auto"/>
              <w:jc w:val="center"/>
              <w:rPr>
                <w:rFonts w:ascii="Calibri" w:eastAsia="Times New Roman" w:hAnsi="Calibri" w:cs="Calibri"/>
                <w:color w:val="000000"/>
                <w:sz w:val="20"/>
                <w:szCs w:val="20"/>
                <w:lang w:eastAsia="es-CO"/>
              </w:rPr>
            </w:pPr>
            <w:r w:rsidRPr="008A2E0A">
              <w:rPr>
                <w:rFonts w:ascii="Calibri" w:eastAsia="Times New Roman" w:hAnsi="Calibri" w:cs="Calibri"/>
                <w:color w:val="000000"/>
                <w:sz w:val="20"/>
                <w:szCs w:val="20"/>
                <w:lang w:eastAsia="es-CO"/>
              </w:rPr>
              <w:t xml:space="preserve">Preservación </w:t>
            </w:r>
          </w:p>
        </w:tc>
        <w:tc>
          <w:tcPr>
            <w:tcW w:w="2825" w:type="dxa"/>
            <w:tcBorders>
              <w:top w:val="nil"/>
              <w:left w:val="nil"/>
              <w:bottom w:val="single" w:sz="4" w:space="0" w:color="auto"/>
              <w:right w:val="single" w:sz="4" w:space="0" w:color="auto"/>
            </w:tcBorders>
            <w:shd w:val="clear" w:color="000000" w:fill="00B050"/>
            <w:noWrap/>
            <w:vAlign w:val="bottom"/>
            <w:hideMark/>
          </w:tcPr>
          <w:p w14:paraId="24CA67B0" w14:textId="77777777" w:rsidR="008A2E0A" w:rsidRPr="008A2E0A" w:rsidRDefault="008A2E0A" w:rsidP="008A2E0A">
            <w:pPr>
              <w:spacing w:after="0" w:line="240" w:lineRule="auto"/>
              <w:jc w:val="center"/>
              <w:rPr>
                <w:rFonts w:ascii="Calibri" w:eastAsia="Times New Roman" w:hAnsi="Calibri" w:cs="Calibri"/>
                <w:color w:val="000000"/>
                <w:lang w:eastAsia="es-CO"/>
              </w:rPr>
            </w:pPr>
            <w:r w:rsidRPr="008A2E0A">
              <w:rPr>
                <w:rFonts w:ascii="Calibri" w:eastAsia="Times New Roman" w:hAnsi="Calibri" w:cs="Calibri"/>
                <w:color w:val="000000"/>
                <w:lang w:eastAsia="es-CO"/>
              </w:rPr>
              <w:t xml:space="preserve">Preservación </w:t>
            </w:r>
          </w:p>
        </w:tc>
        <w:tc>
          <w:tcPr>
            <w:tcW w:w="2689" w:type="dxa"/>
            <w:tcBorders>
              <w:top w:val="nil"/>
              <w:left w:val="nil"/>
              <w:bottom w:val="single" w:sz="4" w:space="0" w:color="auto"/>
              <w:right w:val="single" w:sz="8" w:space="0" w:color="auto"/>
            </w:tcBorders>
            <w:shd w:val="clear" w:color="000000" w:fill="00B050"/>
            <w:noWrap/>
            <w:vAlign w:val="bottom"/>
            <w:hideMark/>
          </w:tcPr>
          <w:p w14:paraId="03F88097" w14:textId="77777777" w:rsidR="008A2E0A" w:rsidRPr="008A2E0A" w:rsidRDefault="008A2E0A" w:rsidP="008A2E0A">
            <w:pPr>
              <w:spacing w:after="0" w:line="240" w:lineRule="auto"/>
              <w:jc w:val="center"/>
              <w:rPr>
                <w:rFonts w:ascii="Calibri" w:eastAsia="Times New Roman" w:hAnsi="Calibri" w:cs="Calibri"/>
                <w:color w:val="000000"/>
                <w:lang w:eastAsia="es-CO"/>
              </w:rPr>
            </w:pPr>
            <w:r w:rsidRPr="008A2E0A">
              <w:rPr>
                <w:rFonts w:ascii="Calibri" w:eastAsia="Times New Roman" w:hAnsi="Calibri" w:cs="Calibri"/>
                <w:color w:val="000000"/>
                <w:lang w:eastAsia="es-CO"/>
              </w:rPr>
              <w:t xml:space="preserve">Preservación </w:t>
            </w:r>
          </w:p>
        </w:tc>
      </w:tr>
      <w:tr w:rsidR="008A2E0A" w:rsidRPr="008A2E0A" w14:paraId="6D6D3D34" w14:textId="77777777" w:rsidTr="008A2E0A">
        <w:trPr>
          <w:trHeight w:val="290"/>
          <w:jc w:val="center"/>
        </w:trPr>
        <w:tc>
          <w:tcPr>
            <w:tcW w:w="1666" w:type="dxa"/>
            <w:tcBorders>
              <w:top w:val="nil"/>
              <w:left w:val="single" w:sz="8" w:space="0" w:color="auto"/>
              <w:bottom w:val="single" w:sz="4" w:space="0" w:color="auto"/>
              <w:right w:val="single" w:sz="4" w:space="0" w:color="auto"/>
            </w:tcBorders>
            <w:shd w:val="clear" w:color="000000" w:fill="FFC000"/>
            <w:noWrap/>
            <w:vAlign w:val="center"/>
            <w:hideMark/>
          </w:tcPr>
          <w:p w14:paraId="4A540EEE" w14:textId="77777777" w:rsidR="008A2E0A" w:rsidRPr="008A2E0A" w:rsidRDefault="008A2E0A" w:rsidP="008A2E0A">
            <w:pPr>
              <w:spacing w:after="0" w:line="240" w:lineRule="auto"/>
              <w:jc w:val="center"/>
              <w:rPr>
                <w:rFonts w:ascii="Calibri" w:eastAsia="Times New Roman" w:hAnsi="Calibri" w:cs="Calibri"/>
                <w:color w:val="000000"/>
                <w:sz w:val="20"/>
                <w:szCs w:val="20"/>
                <w:lang w:eastAsia="es-CO"/>
              </w:rPr>
            </w:pPr>
            <w:r w:rsidRPr="008A2E0A">
              <w:rPr>
                <w:rFonts w:ascii="Calibri" w:eastAsia="Times New Roman" w:hAnsi="Calibri" w:cs="Calibri"/>
                <w:color w:val="000000"/>
                <w:sz w:val="20"/>
                <w:szCs w:val="20"/>
                <w:lang w:eastAsia="es-CO"/>
              </w:rPr>
              <w:t>Restauración</w:t>
            </w:r>
          </w:p>
        </w:tc>
        <w:tc>
          <w:tcPr>
            <w:tcW w:w="2825" w:type="dxa"/>
            <w:tcBorders>
              <w:top w:val="nil"/>
              <w:left w:val="nil"/>
              <w:bottom w:val="single" w:sz="4" w:space="0" w:color="auto"/>
              <w:right w:val="single" w:sz="4" w:space="0" w:color="auto"/>
            </w:tcBorders>
            <w:shd w:val="clear" w:color="000000" w:fill="FFC000"/>
            <w:noWrap/>
            <w:vAlign w:val="bottom"/>
            <w:hideMark/>
          </w:tcPr>
          <w:p w14:paraId="15CD99B4" w14:textId="77777777" w:rsidR="008A2E0A" w:rsidRPr="008A2E0A" w:rsidRDefault="008A2E0A" w:rsidP="008A2E0A">
            <w:pPr>
              <w:spacing w:after="0" w:line="240" w:lineRule="auto"/>
              <w:jc w:val="center"/>
              <w:rPr>
                <w:rFonts w:ascii="Calibri" w:eastAsia="Times New Roman" w:hAnsi="Calibri" w:cs="Calibri"/>
                <w:color w:val="000000"/>
                <w:lang w:eastAsia="es-CO"/>
              </w:rPr>
            </w:pPr>
            <w:r w:rsidRPr="008A2E0A">
              <w:rPr>
                <w:rFonts w:ascii="Calibri" w:eastAsia="Times New Roman" w:hAnsi="Calibri" w:cs="Calibri"/>
                <w:color w:val="000000"/>
                <w:lang w:eastAsia="es-CO"/>
              </w:rPr>
              <w:t>Restauración</w:t>
            </w:r>
          </w:p>
        </w:tc>
        <w:tc>
          <w:tcPr>
            <w:tcW w:w="2689" w:type="dxa"/>
            <w:tcBorders>
              <w:top w:val="nil"/>
              <w:left w:val="nil"/>
              <w:bottom w:val="single" w:sz="4" w:space="0" w:color="auto"/>
              <w:right w:val="single" w:sz="8" w:space="0" w:color="auto"/>
            </w:tcBorders>
            <w:shd w:val="clear" w:color="000000" w:fill="FFC000"/>
            <w:noWrap/>
            <w:vAlign w:val="bottom"/>
            <w:hideMark/>
          </w:tcPr>
          <w:p w14:paraId="0B8E4EAF" w14:textId="77777777" w:rsidR="008A2E0A" w:rsidRPr="008A2E0A" w:rsidRDefault="008A2E0A" w:rsidP="008A2E0A">
            <w:pPr>
              <w:spacing w:after="0" w:line="240" w:lineRule="auto"/>
              <w:jc w:val="center"/>
              <w:rPr>
                <w:rFonts w:ascii="Calibri" w:eastAsia="Times New Roman" w:hAnsi="Calibri" w:cs="Calibri"/>
                <w:color w:val="000000"/>
                <w:lang w:eastAsia="es-CO"/>
              </w:rPr>
            </w:pPr>
            <w:r w:rsidRPr="008A2E0A">
              <w:rPr>
                <w:rFonts w:ascii="Calibri" w:eastAsia="Times New Roman" w:hAnsi="Calibri" w:cs="Calibri"/>
                <w:color w:val="000000"/>
                <w:lang w:eastAsia="es-CO"/>
              </w:rPr>
              <w:t>Restauración</w:t>
            </w:r>
          </w:p>
        </w:tc>
      </w:tr>
      <w:tr w:rsidR="008A2E0A" w:rsidRPr="008A2E0A" w14:paraId="07A0A888" w14:textId="77777777" w:rsidTr="008A2E0A">
        <w:trPr>
          <w:trHeight w:val="300"/>
          <w:jc w:val="center"/>
        </w:trPr>
        <w:tc>
          <w:tcPr>
            <w:tcW w:w="1666" w:type="dxa"/>
            <w:tcBorders>
              <w:top w:val="nil"/>
              <w:left w:val="single" w:sz="8" w:space="0" w:color="auto"/>
              <w:bottom w:val="single" w:sz="8" w:space="0" w:color="auto"/>
              <w:right w:val="single" w:sz="4" w:space="0" w:color="auto"/>
            </w:tcBorders>
            <w:shd w:val="clear" w:color="000000" w:fill="FFFF00"/>
            <w:noWrap/>
            <w:vAlign w:val="center"/>
            <w:hideMark/>
          </w:tcPr>
          <w:p w14:paraId="12D1E57C" w14:textId="77777777" w:rsidR="008A2E0A" w:rsidRPr="008A2E0A" w:rsidRDefault="008A2E0A" w:rsidP="008A2E0A">
            <w:pPr>
              <w:spacing w:after="0" w:line="240" w:lineRule="auto"/>
              <w:jc w:val="center"/>
              <w:rPr>
                <w:rFonts w:ascii="Calibri" w:eastAsia="Times New Roman" w:hAnsi="Calibri" w:cs="Calibri"/>
                <w:color w:val="000000"/>
                <w:sz w:val="20"/>
                <w:szCs w:val="20"/>
                <w:lang w:eastAsia="es-CO"/>
              </w:rPr>
            </w:pPr>
            <w:r w:rsidRPr="008A2E0A">
              <w:rPr>
                <w:rFonts w:ascii="Calibri" w:eastAsia="Times New Roman" w:hAnsi="Calibri" w:cs="Calibri"/>
                <w:color w:val="000000"/>
                <w:sz w:val="20"/>
                <w:szCs w:val="20"/>
                <w:lang w:eastAsia="es-CO"/>
              </w:rPr>
              <w:t>Uso Sostenible</w:t>
            </w:r>
          </w:p>
        </w:tc>
        <w:tc>
          <w:tcPr>
            <w:tcW w:w="2825" w:type="dxa"/>
            <w:tcBorders>
              <w:top w:val="nil"/>
              <w:left w:val="nil"/>
              <w:bottom w:val="single" w:sz="8" w:space="0" w:color="auto"/>
              <w:right w:val="single" w:sz="4" w:space="0" w:color="auto"/>
            </w:tcBorders>
            <w:shd w:val="clear" w:color="000000" w:fill="FFC000"/>
            <w:noWrap/>
            <w:vAlign w:val="bottom"/>
            <w:hideMark/>
          </w:tcPr>
          <w:p w14:paraId="195D879D" w14:textId="77777777" w:rsidR="008A2E0A" w:rsidRPr="008A2E0A" w:rsidRDefault="008A2E0A" w:rsidP="008A2E0A">
            <w:pPr>
              <w:spacing w:after="0" w:line="240" w:lineRule="auto"/>
              <w:jc w:val="center"/>
              <w:rPr>
                <w:rFonts w:ascii="Calibri" w:eastAsia="Times New Roman" w:hAnsi="Calibri" w:cs="Calibri"/>
                <w:color w:val="000000"/>
                <w:lang w:eastAsia="es-CO"/>
              </w:rPr>
            </w:pPr>
            <w:r w:rsidRPr="008A2E0A">
              <w:rPr>
                <w:rFonts w:ascii="Calibri" w:eastAsia="Times New Roman" w:hAnsi="Calibri" w:cs="Calibri"/>
                <w:color w:val="000000"/>
                <w:lang w:eastAsia="es-CO"/>
              </w:rPr>
              <w:t>Restauración</w:t>
            </w:r>
          </w:p>
        </w:tc>
        <w:tc>
          <w:tcPr>
            <w:tcW w:w="2689" w:type="dxa"/>
            <w:tcBorders>
              <w:top w:val="nil"/>
              <w:left w:val="nil"/>
              <w:bottom w:val="single" w:sz="8" w:space="0" w:color="auto"/>
              <w:right w:val="single" w:sz="8" w:space="0" w:color="auto"/>
            </w:tcBorders>
            <w:shd w:val="clear" w:color="000000" w:fill="FFFF00"/>
            <w:noWrap/>
            <w:vAlign w:val="bottom"/>
            <w:hideMark/>
          </w:tcPr>
          <w:p w14:paraId="3428430A" w14:textId="77777777" w:rsidR="008A2E0A" w:rsidRPr="008A2E0A" w:rsidRDefault="008A2E0A" w:rsidP="008A2E0A">
            <w:pPr>
              <w:spacing w:after="0" w:line="240" w:lineRule="auto"/>
              <w:jc w:val="center"/>
              <w:rPr>
                <w:rFonts w:ascii="Calibri" w:eastAsia="Times New Roman" w:hAnsi="Calibri" w:cs="Calibri"/>
                <w:color w:val="000000"/>
                <w:lang w:eastAsia="es-CO"/>
              </w:rPr>
            </w:pPr>
            <w:r w:rsidRPr="008A2E0A">
              <w:rPr>
                <w:rFonts w:ascii="Calibri" w:eastAsia="Times New Roman" w:hAnsi="Calibri" w:cs="Calibri"/>
                <w:color w:val="000000"/>
                <w:lang w:eastAsia="es-CO"/>
              </w:rPr>
              <w:t>Uso sostenible</w:t>
            </w:r>
          </w:p>
        </w:tc>
      </w:tr>
    </w:tbl>
    <w:p w14:paraId="5EEEEC99" w14:textId="77777777" w:rsidR="00830838" w:rsidRDefault="00830838">
      <w:pPr>
        <w:spacing w:after="0" w:line="276" w:lineRule="auto"/>
        <w:jc w:val="both"/>
        <w:rPr>
          <w:rFonts w:ascii="Arial" w:hAnsi="Arial" w:cs="Arial"/>
          <w:sz w:val="24"/>
          <w:szCs w:val="24"/>
          <w:lang w:val="es-ES"/>
        </w:rPr>
      </w:pPr>
    </w:p>
    <w:p w14:paraId="43BD3052" w14:textId="6E3D6AC6" w:rsidR="00606A8A" w:rsidRDefault="00AE4820">
      <w:pPr>
        <w:spacing w:after="0" w:line="276" w:lineRule="auto"/>
        <w:jc w:val="both"/>
        <w:rPr>
          <w:rFonts w:ascii="Arial" w:hAnsi="Arial" w:cs="Arial"/>
          <w:sz w:val="24"/>
          <w:szCs w:val="24"/>
        </w:rPr>
      </w:pPr>
      <w:r w:rsidRPr="00AE4820">
        <w:rPr>
          <w:rFonts w:ascii="Arial" w:hAnsi="Arial" w:cs="Arial"/>
          <w:sz w:val="24"/>
          <w:szCs w:val="24"/>
        </w:rPr>
        <w:t>Una vez incorporada esta variable dentro del proceso de análisis, los resultados obtenidos muestran nuevamente un ajuste en la distribución de las zonas de manejo, evidenciándose una ligera disminución en la extensión correspondiente a la zona de uso sostenible.</w:t>
      </w:r>
    </w:p>
    <w:p w14:paraId="7EE489BC" w14:textId="77777777" w:rsidR="00AE4820" w:rsidRDefault="00AE4820">
      <w:pPr>
        <w:spacing w:after="0" w:line="276" w:lineRule="auto"/>
        <w:jc w:val="both"/>
        <w:rPr>
          <w:rFonts w:ascii="Arial" w:hAnsi="Arial" w:cs="Arial"/>
          <w:sz w:val="24"/>
          <w:szCs w:val="24"/>
        </w:rPr>
      </w:pPr>
    </w:p>
    <w:tbl>
      <w:tblPr>
        <w:tblW w:w="3546" w:type="pct"/>
        <w:jc w:val="center"/>
        <w:tblCellMar>
          <w:left w:w="70" w:type="dxa"/>
          <w:right w:w="70" w:type="dxa"/>
        </w:tblCellMar>
        <w:tblLook w:val="04A0" w:firstRow="1" w:lastRow="0" w:firstColumn="1" w:lastColumn="0" w:noHBand="0" w:noVBand="1"/>
      </w:tblPr>
      <w:tblGrid>
        <w:gridCol w:w="1963"/>
        <w:gridCol w:w="2289"/>
        <w:gridCol w:w="1983"/>
      </w:tblGrid>
      <w:tr w:rsidR="00AE4820" w:rsidRPr="00FF76C3" w14:paraId="627AD780" w14:textId="77777777" w:rsidTr="00D320C9">
        <w:trPr>
          <w:trHeight w:val="330"/>
          <w:jc w:val="center"/>
        </w:trPr>
        <w:tc>
          <w:tcPr>
            <w:tcW w:w="1574" w:type="pct"/>
            <w:tcBorders>
              <w:top w:val="double" w:sz="6" w:space="0" w:color="auto"/>
              <w:left w:val="double" w:sz="6" w:space="0" w:color="auto"/>
              <w:bottom w:val="double" w:sz="6" w:space="0" w:color="auto"/>
              <w:right w:val="double" w:sz="6" w:space="0" w:color="auto"/>
            </w:tcBorders>
            <w:shd w:val="clear" w:color="000000" w:fill="D9D9D9"/>
            <w:noWrap/>
            <w:vAlign w:val="bottom"/>
            <w:hideMark/>
          </w:tcPr>
          <w:p w14:paraId="09F8EF13" w14:textId="77777777" w:rsidR="00AE4820" w:rsidRPr="00FF76C3" w:rsidRDefault="00AE4820"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Zona</w:t>
            </w:r>
          </w:p>
        </w:tc>
        <w:tc>
          <w:tcPr>
            <w:tcW w:w="1836" w:type="pct"/>
            <w:tcBorders>
              <w:top w:val="double" w:sz="6" w:space="0" w:color="auto"/>
              <w:left w:val="nil"/>
              <w:bottom w:val="double" w:sz="6" w:space="0" w:color="auto"/>
              <w:right w:val="double" w:sz="6" w:space="0" w:color="000000"/>
            </w:tcBorders>
            <w:shd w:val="clear" w:color="000000" w:fill="D9D9D9"/>
            <w:noWrap/>
            <w:vAlign w:val="bottom"/>
            <w:hideMark/>
          </w:tcPr>
          <w:p w14:paraId="2DF8606E" w14:textId="77777777" w:rsidR="00AE4820" w:rsidRPr="00FF76C3" w:rsidRDefault="00AE4820"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Extensión (ha)</w:t>
            </w:r>
          </w:p>
        </w:tc>
        <w:tc>
          <w:tcPr>
            <w:tcW w:w="1590" w:type="pct"/>
            <w:tcBorders>
              <w:top w:val="double" w:sz="6" w:space="0" w:color="auto"/>
              <w:left w:val="nil"/>
              <w:bottom w:val="double" w:sz="6" w:space="0" w:color="auto"/>
              <w:right w:val="double" w:sz="6" w:space="0" w:color="auto"/>
            </w:tcBorders>
            <w:shd w:val="clear" w:color="000000" w:fill="D9D9D9"/>
            <w:noWrap/>
            <w:vAlign w:val="bottom"/>
            <w:hideMark/>
          </w:tcPr>
          <w:p w14:paraId="2C981C1A" w14:textId="77777777" w:rsidR="00AE4820" w:rsidRPr="00FF76C3" w:rsidRDefault="00AE4820" w:rsidP="00457824">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Porcentaje</w:t>
            </w:r>
          </w:p>
        </w:tc>
      </w:tr>
      <w:tr w:rsidR="00AE4820" w:rsidRPr="00FF76C3" w14:paraId="0B1AAAE2" w14:textId="77777777" w:rsidTr="00D320C9">
        <w:trPr>
          <w:trHeight w:val="310"/>
          <w:jc w:val="center"/>
        </w:trPr>
        <w:tc>
          <w:tcPr>
            <w:tcW w:w="1574" w:type="pct"/>
            <w:tcBorders>
              <w:top w:val="nil"/>
              <w:left w:val="double" w:sz="6" w:space="0" w:color="auto"/>
              <w:bottom w:val="double" w:sz="6" w:space="0" w:color="auto"/>
              <w:right w:val="double" w:sz="6" w:space="0" w:color="auto"/>
            </w:tcBorders>
            <w:shd w:val="clear" w:color="000000" w:fill="00B050"/>
            <w:noWrap/>
            <w:vAlign w:val="bottom"/>
            <w:hideMark/>
          </w:tcPr>
          <w:p w14:paraId="1DAA4356" w14:textId="77777777" w:rsidR="00AE4820" w:rsidRPr="00FF76C3" w:rsidRDefault="00AE4820"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 xml:space="preserve">Preservación </w:t>
            </w:r>
          </w:p>
        </w:tc>
        <w:tc>
          <w:tcPr>
            <w:tcW w:w="1836" w:type="pct"/>
            <w:tcBorders>
              <w:top w:val="double" w:sz="6" w:space="0" w:color="auto"/>
              <w:left w:val="nil"/>
              <w:bottom w:val="double" w:sz="6" w:space="0" w:color="auto"/>
              <w:right w:val="double" w:sz="6" w:space="0" w:color="000000"/>
            </w:tcBorders>
            <w:noWrap/>
            <w:vAlign w:val="bottom"/>
            <w:hideMark/>
          </w:tcPr>
          <w:p w14:paraId="27E5FB0F" w14:textId="77777777" w:rsidR="00AE4820" w:rsidRPr="00FF76C3" w:rsidRDefault="00AE4820"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3CDD267F" w14:textId="77777777" w:rsidR="00AE4820" w:rsidRPr="00FF76C3" w:rsidRDefault="00AE4820" w:rsidP="00457824">
            <w:pPr>
              <w:spacing w:after="0" w:line="240" w:lineRule="auto"/>
              <w:jc w:val="center"/>
              <w:rPr>
                <w:rFonts w:ascii="Calibri" w:eastAsia="Times New Roman" w:hAnsi="Calibri" w:cs="Calibri"/>
                <w:color w:val="000000"/>
                <w:lang w:eastAsia="es-CO"/>
              </w:rPr>
            </w:pPr>
          </w:p>
        </w:tc>
      </w:tr>
      <w:tr w:rsidR="00AE4820" w:rsidRPr="00FF76C3" w14:paraId="17725AB6" w14:textId="77777777" w:rsidTr="00D320C9">
        <w:trPr>
          <w:trHeight w:val="310"/>
          <w:jc w:val="center"/>
        </w:trPr>
        <w:tc>
          <w:tcPr>
            <w:tcW w:w="1574" w:type="pct"/>
            <w:tcBorders>
              <w:top w:val="nil"/>
              <w:left w:val="double" w:sz="6" w:space="0" w:color="auto"/>
              <w:bottom w:val="double" w:sz="6" w:space="0" w:color="auto"/>
              <w:right w:val="double" w:sz="6" w:space="0" w:color="auto"/>
            </w:tcBorders>
            <w:shd w:val="clear" w:color="000000" w:fill="FFC000"/>
            <w:noWrap/>
            <w:vAlign w:val="bottom"/>
            <w:hideMark/>
          </w:tcPr>
          <w:p w14:paraId="191A644A" w14:textId="77777777" w:rsidR="00AE4820" w:rsidRPr="00FF76C3" w:rsidRDefault="00AE4820"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lastRenderedPageBreak/>
              <w:t>Restauración</w:t>
            </w:r>
          </w:p>
        </w:tc>
        <w:tc>
          <w:tcPr>
            <w:tcW w:w="1836" w:type="pct"/>
            <w:tcBorders>
              <w:top w:val="double" w:sz="6" w:space="0" w:color="auto"/>
              <w:left w:val="nil"/>
              <w:bottom w:val="double" w:sz="6" w:space="0" w:color="auto"/>
              <w:right w:val="double" w:sz="6" w:space="0" w:color="000000"/>
            </w:tcBorders>
            <w:noWrap/>
            <w:vAlign w:val="bottom"/>
          </w:tcPr>
          <w:p w14:paraId="2486299A" w14:textId="77777777" w:rsidR="00AE4820" w:rsidRPr="00FF76C3" w:rsidRDefault="00AE4820"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49F6ADB2" w14:textId="77777777" w:rsidR="00AE4820" w:rsidRPr="00FF76C3" w:rsidRDefault="00AE4820" w:rsidP="00457824">
            <w:pPr>
              <w:spacing w:after="0" w:line="240" w:lineRule="auto"/>
              <w:jc w:val="center"/>
              <w:rPr>
                <w:rFonts w:ascii="Calibri" w:eastAsia="Times New Roman" w:hAnsi="Calibri" w:cs="Calibri"/>
                <w:color w:val="000000"/>
                <w:lang w:eastAsia="es-CO"/>
              </w:rPr>
            </w:pPr>
          </w:p>
        </w:tc>
      </w:tr>
      <w:tr w:rsidR="00AE4820" w:rsidRPr="00FF76C3" w14:paraId="698B5665" w14:textId="77777777" w:rsidTr="00D320C9">
        <w:trPr>
          <w:trHeight w:val="310"/>
          <w:jc w:val="center"/>
        </w:trPr>
        <w:tc>
          <w:tcPr>
            <w:tcW w:w="1574" w:type="pct"/>
            <w:tcBorders>
              <w:top w:val="nil"/>
              <w:left w:val="double" w:sz="6" w:space="0" w:color="auto"/>
              <w:bottom w:val="double" w:sz="6" w:space="0" w:color="auto"/>
              <w:right w:val="double" w:sz="6" w:space="0" w:color="auto"/>
            </w:tcBorders>
            <w:shd w:val="clear" w:color="000000" w:fill="FFFF00"/>
            <w:noWrap/>
            <w:vAlign w:val="bottom"/>
            <w:hideMark/>
          </w:tcPr>
          <w:p w14:paraId="190EB1D1" w14:textId="77777777" w:rsidR="00AE4820" w:rsidRPr="00FF76C3" w:rsidRDefault="00AE4820"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Uso Sostenible</w:t>
            </w:r>
          </w:p>
        </w:tc>
        <w:tc>
          <w:tcPr>
            <w:tcW w:w="1836" w:type="pct"/>
            <w:tcBorders>
              <w:top w:val="double" w:sz="6" w:space="0" w:color="auto"/>
              <w:left w:val="nil"/>
              <w:bottom w:val="double" w:sz="6" w:space="0" w:color="auto"/>
              <w:right w:val="double" w:sz="6" w:space="0" w:color="000000"/>
            </w:tcBorders>
            <w:noWrap/>
            <w:vAlign w:val="bottom"/>
          </w:tcPr>
          <w:p w14:paraId="63C84D28" w14:textId="77777777" w:rsidR="00AE4820" w:rsidRPr="00FF76C3" w:rsidRDefault="00AE4820" w:rsidP="00457824">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1644D425" w14:textId="77777777" w:rsidR="00AE4820" w:rsidRPr="00FF76C3" w:rsidRDefault="00AE4820" w:rsidP="00457824">
            <w:pPr>
              <w:spacing w:after="0" w:line="240" w:lineRule="auto"/>
              <w:jc w:val="center"/>
              <w:rPr>
                <w:rFonts w:ascii="Calibri" w:eastAsia="Times New Roman" w:hAnsi="Calibri" w:cs="Calibri"/>
                <w:color w:val="000000"/>
                <w:lang w:eastAsia="es-CO"/>
              </w:rPr>
            </w:pPr>
          </w:p>
        </w:tc>
      </w:tr>
      <w:tr w:rsidR="00AE4820" w:rsidRPr="00FF76C3" w14:paraId="692D397D" w14:textId="77777777" w:rsidTr="00D320C9">
        <w:trPr>
          <w:trHeight w:val="310"/>
          <w:jc w:val="center"/>
        </w:trPr>
        <w:tc>
          <w:tcPr>
            <w:tcW w:w="1574" w:type="pct"/>
            <w:tcBorders>
              <w:top w:val="nil"/>
              <w:left w:val="double" w:sz="6" w:space="0" w:color="auto"/>
              <w:bottom w:val="double" w:sz="6" w:space="0" w:color="auto"/>
              <w:right w:val="double" w:sz="6" w:space="0" w:color="auto"/>
            </w:tcBorders>
            <w:noWrap/>
            <w:vAlign w:val="bottom"/>
            <w:hideMark/>
          </w:tcPr>
          <w:p w14:paraId="217E616C" w14:textId="77777777" w:rsidR="00AE4820" w:rsidRPr="00FF76C3" w:rsidRDefault="00AE4820" w:rsidP="00457824">
            <w:pPr>
              <w:spacing w:after="0" w:line="240" w:lineRule="auto"/>
              <w:jc w:val="right"/>
              <w:rPr>
                <w:rFonts w:ascii="Calibri" w:eastAsia="Times New Roman" w:hAnsi="Calibri" w:cs="Calibri"/>
                <w:b/>
                <w:bCs/>
                <w:color w:val="000000"/>
                <w:lang w:eastAsia="es-CO"/>
              </w:rPr>
            </w:pPr>
            <w:r w:rsidRPr="00FF76C3">
              <w:rPr>
                <w:rFonts w:ascii="Calibri" w:eastAsia="Times New Roman" w:hAnsi="Calibri" w:cs="Calibri"/>
                <w:b/>
                <w:bCs/>
                <w:color w:val="000000"/>
                <w:lang w:eastAsia="es-CO"/>
              </w:rPr>
              <w:t>Total</w:t>
            </w:r>
          </w:p>
        </w:tc>
        <w:tc>
          <w:tcPr>
            <w:tcW w:w="1836" w:type="pct"/>
            <w:tcBorders>
              <w:top w:val="double" w:sz="6" w:space="0" w:color="auto"/>
              <w:left w:val="nil"/>
              <w:bottom w:val="double" w:sz="6" w:space="0" w:color="auto"/>
              <w:right w:val="double" w:sz="6" w:space="0" w:color="000000"/>
            </w:tcBorders>
            <w:noWrap/>
            <w:vAlign w:val="bottom"/>
          </w:tcPr>
          <w:p w14:paraId="086C21F6" w14:textId="77777777" w:rsidR="00AE4820" w:rsidRPr="00FF76C3" w:rsidRDefault="00AE4820" w:rsidP="00457824">
            <w:pPr>
              <w:spacing w:after="0" w:line="240" w:lineRule="auto"/>
              <w:jc w:val="center"/>
              <w:rPr>
                <w:rFonts w:ascii="Calibri" w:eastAsia="Times New Roman" w:hAnsi="Calibri" w:cs="Calibri"/>
                <w:b/>
                <w:bCs/>
                <w:color w:val="000000"/>
                <w:lang w:eastAsia="es-CO"/>
              </w:rPr>
            </w:pPr>
          </w:p>
        </w:tc>
        <w:tc>
          <w:tcPr>
            <w:tcW w:w="1590" w:type="pct"/>
            <w:tcBorders>
              <w:top w:val="nil"/>
              <w:left w:val="nil"/>
              <w:bottom w:val="double" w:sz="6" w:space="0" w:color="auto"/>
              <w:right w:val="double" w:sz="6" w:space="0" w:color="auto"/>
            </w:tcBorders>
            <w:noWrap/>
            <w:vAlign w:val="bottom"/>
            <w:hideMark/>
          </w:tcPr>
          <w:p w14:paraId="375F96E9" w14:textId="77777777" w:rsidR="00AE4820" w:rsidRPr="00FF76C3" w:rsidRDefault="00AE4820" w:rsidP="00457824">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100</w:t>
            </w:r>
          </w:p>
        </w:tc>
      </w:tr>
    </w:tbl>
    <w:p w14:paraId="613BED26" w14:textId="77777777" w:rsidR="00D320C9" w:rsidRDefault="00D320C9" w:rsidP="00D320C9">
      <w:pPr>
        <w:spacing w:line="276" w:lineRule="auto"/>
        <w:jc w:val="both"/>
        <w:rPr>
          <w:rFonts w:ascii="Arial" w:hAnsi="Arial" w:cs="Arial"/>
          <w:b/>
          <w:bCs/>
          <w:sz w:val="24"/>
          <w:szCs w:val="24"/>
        </w:rPr>
      </w:pPr>
    </w:p>
    <w:p w14:paraId="754FEF30" w14:textId="16980671" w:rsidR="00D320C9" w:rsidRPr="00CE500C" w:rsidRDefault="00D320C9" w:rsidP="00D320C9">
      <w:pPr>
        <w:spacing w:line="276" w:lineRule="auto"/>
        <w:jc w:val="both"/>
        <w:rPr>
          <w:rFonts w:ascii="Arial" w:hAnsi="Arial" w:cs="Arial"/>
          <w:b/>
          <w:bCs/>
          <w:sz w:val="24"/>
          <w:szCs w:val="24"/>
        </w:rPr>
      </w:pPr>
      <w:r w:rsidRPr="00CE500C">
        <w:rPr>
          <w:rFonts w:ascii="Arial" w:hAnsi="Arial" w:cs="Arial"/>
          <w:b/>
          <w:bCs/>
          <w:sz w:val="24"/>
          <w:szCs w:val="24"/>
        </w:rPr>
        <w:t>Criterio 7. Infraestructura preexistente</w:t>
      </w:r>
    </w:p>
    <w:p w14:paraId="4BC2D877" w14:textId="06CFF937" w:rsidR="00D320C9" w:rsidRDefault="001B3592" w:rsidP="00D320C9">
      <w:pPr>
        <w:spacing w:after="0" w:line="276" w:lineRule="auto"/>
        <w:jc w:val="both"/>
        <w:rPr>
          <w:rFonts w:ascii="Arial" w:hAnsi="Arial" w:cs="Arial"/>
          <w:sz w:val="24"/>
          <w:szCs w:val="24"/>
        </w:rPr>
      </w:pPr>
      <w:r>
        <w:rPr>
          <w:rFonts w:ascii="Arial" w:hAnsi="Arial" w:cs="Arial"/>
          <w:sz w:val="24"/>
          <w:szCs w:val="24"/>
        </w:rPr>
        <w:t>Se</w:t>
      </w:r>
      <w:r w:rsidR="00D320C9" w:rsidRPr="00D320C9">
        <w:rPr>
          <w:rFonts w:ascii="Arial" w:hAnsi="Arial" w:cs="Arial"/>
          <w:sz w:val="24"/>
          <w:szCs w:val="24"/>
        </w:rPr>
        <w:t xml:space="preserve"> incorpora dentro del proceso de zonificación con un enfoque diferente al aplicado en los criterios anteriores. Mientras que los demás criterios tienden a reclasificar áreas </w:t>
      </w:r>
      <w:r>
        <w:rPr>
          <w:rFonts w:ascii="Arial" w:hAnsi="Arial" w:cs="Arial"/>
          <w:sz w:val="24"/>
          <w:szCs w:val="24"/>
        </w:rPr>
        <w:t xml:space="preserve">de uso sostenible </w:t>
      </w:r>
      <w:r w:rsidR="00D320C9" w:rsidRPr="00D320C9">
        <w:rPr>
          <w:rFonts w:ascii="Arial" w:hAnsi="Arial" w:cs="Arial"/>
          <w:sz w:val="24"/>
          <w:szCs w:val="24"/>
        </w:rPr>
        <w:t xml:space="preserve">hacia </w:t>
      </w:r>
      <w:r>
        <w:rPr>
          <w:rFonts w:ascii="Arial" w:hAnsi="Arial" w:cs="Arial"/>
          <w:sz w:val="24"/>
          <w:szCs w:val="24"/>
        </w:rPr>
        <w:t>restauración</w:t>
      </w:r>
      <w:r w:rsidR="00D320C9" w:rsidRPr="00D320C9">
        <w:rPr>
          <w:rFonts w:ascii="Arial" w:hAnsi="Arial" w:cs="Arial"/>
          <w:sz w:val="24"/>
          <w:szCs w:val="24"/>
        </w:rPr>
        <w:t>, este criterio tiene como finalidad reconocer la presencia de infraestructura previamente establecida dentro del territorio.</w:t>
      </w:r>
    </w:p>
    <w:p w14:paraId="521C1C31" w14:textId="77777777" w:rsidR="00D320C9" w:rsidRPr="00D320C9" w:rsidRDefault="00D320C9" w:rsidP="00D320C9">
      <w:pPr>
        <w:spacing w:after="0" w:line="276" w:lineRule="auto"/>
        <w:jc w:val="both"/>
        <w:rPr>
          <w:rFonts w:ascii="Arial" w:hAnsi="Arial" w:cs="Arial"/>
          <w:sz w:val="24"/>
          <w:szCs w:val="24"/>
        </w:rPr>
      </w:pPr>
    </w:p>
    <w:p w14:paraId="0CF73216" w14:textId="05FB493E" w:rsidR="00D320C9" w:rsidRPr="00D320C9" w:rsidRDefault="00D320C9" w:rsidP="00D320C9">
      <w:pPr>
        <w:spacing w:after="0" w:line="276" w:lineRule="auto"/>
        <w:jc w:val="both"/>
        <w:rPr>
          <w:rFonts w:ascii="Arial" w:hAnsi="Arial" w:cs="Arial"/>
          <w:sz w:val="24"/>
          <w:szCs w:val="24"/>
        </w:rPr>
      </w:pPr>
      <w:r w:rsidRPr="00D320C9">
        <w:rPr>
          <w:rFonts w:ascii="Arial" w:hAnsi="Arial" w:cs="Arial"/>
          <w:sz w:val="24"/>
          <w:szCs w:val="24"/>
        </w:rPr>
        <w:t xml:space="preserve">En este sentido, y de acuerdo con lo definido en las matrices de decisión, la aplicación de este criterio otorga prioridad a la infraestructura preexistente, por lo cual las áreas que inicialmente se encuentren clasificadas como zonas de preservación o restauración y que coincidan espacialmente con este tipo de infraestructura son reclasificadas </w:t>
      </w:r>
      <w:r w:rsidR="00004E01">
        <w:rPr>
          <w:rFonts w:ascii="Arial" w:hAnsi="Arial" w:cs="Arial"/>
          <w:sz w:val="24"/>
          <w:szCs w:val="24"/>
        </w:rPr>
        <w:t>a</w:t>
      </w:r>
      <w:r w:rsidRPr="00D320C9">
        <w:rPr>
          <w:rFonts w:ascii="Arial" w:hAnsi="Arial" w:cs="Arial"/>
          <w:sz w:val="24"/>
          <w:szCs w:val="24"/>
        </w:rPr>
        <w:t xml:space="preserve"> zonas de uso sostenible. Esta regla busca evitar conflictos entre la zonificación propuesta y la infraestructura ya existente en el área, permitiendo que estas zonas mantengan una categoría de manejo compatible con su condición actual dentro del territorio.</w:t>
      </w:r>
    </w:p>
    <w:p w14:paraId="2546034A" w14:textId="77777777" w:rsidR="00AE4820" w:rsidRDefault="00AE4820">
      <w:pPr>
        <w:spacing w:after="0" w:line="276" w:lineRule="auto"/>
        <w:jc w:val="both"/>
        <w:rPr>
          <w:rFonts w:ascii="Arial" w:hAnsi="Arial" w:cs="Arial"/>
          <w:sz w:val="24"/>
          <w:szCs w:val="24"/>
          <w:lang w:val="es-ES"/>
        </w:rPr>
      </w:pPr>
    </w:p>
    <w:tbl>
      <w:tblPr>
        <w:tblW w:w="6720" w:type="dxa"/>
        <w:jc w:val="center"/>
        <w:tblCellMar>
          <w:left w:w="70" w:type="dxa"/>
          <w:right w:w="70" w:type="dxa"/>
        </w:tblCellMar>
        <w:tblLook w:val="04A0" w:firstRow="1" w:lastRow="0" w:firstColumn="1" w:lastColumn="0" w:noHBand="0" w:noVBand="1"/>
      </w:tblPr>
      <w:tblGrid>
        <w:gridCol w:w="1534"/>
        <w:gridCol w:w="2111"/>
        <w:gridCol w:w="3075"/>
      </w:tblGrid>
      <w:tr w:rsidR="005F24DF" w:rsidRPr="005F24DF" w14:paraId="40BB4A60" w14:textId="77777777" w:rsidTr="005F24DF">
        <w:trPr>
          <w:trHeight w:val="315"/>
          <w:jc w:val="center"/>
        </w:trPr>
        <w:tc>
          <w:tcPr>
            <w:tcW w:w="6720" w:type="dxa"/>
            <w:gridSpan w:val="3"/>
            <w:tcBorders>
              <w:top w:val="single" w:sz="4" w:space="0" w:color="auto"/>
              <w:left w:val="single" w:sz="8" w:space="0" w:color="auto"/>
              <w:bottom w:val="single" w:sz="4" w:space="0" w:color="auto"/>
              <w:right w:val="single" w:sz="8" w:space="0" w:color="000000"/>
            </w:tcBorders>
            <w:shd w:val="clear" w:color="000000" w:fill="F2F2F2"/>
            <w:vAlign w:val="center"/>
            <w:hideMark/>
          </w:tcPr>
          <w:p w14:paraId="1D938E00" w14:textId="77777777" w:rsidR="005F24DF" w:rsidRPr="005F24DF" w:rsidRDefault="005F24DF" w:rsidP="005F24DF">
            <w:pPr>
              <w:spacing w:after="0" w:line="240" w:lineRule="auto"/>
              <w:jc w:val="center"/>
              <w:rPr>
                <w:rFonts w:ascii="Calibri" w:eastAsia="Times New Roman" w:hAnsi="Calibri" w:cs="Calibri"/>
                <w:b/>
                <w:bCs/>
                <w:color w:val="000000"/>
                <w:lang w:eastAsia="es-CO"/>
              </w:rPr>
            </w:pPr>
            <w:r w:rsidRPr="005F24DF">
              <w:rPr>
                <w:rFonts w:ascii="Calibri" w:eastAsia="Times New Roman" w:hAnsi="Calibri" w:cs="Calibri"/>
                <w:b/>
                <w:bCs/>
                <w:color w:val="000000"/>
                <w:lang w:eastAsia="es-CO"/>
              </w:rPr>
              <w:t>Infraestructura prexistente</w:t>
            </w:r>
          </w:p>
        </w:tc>
      </w:tr>
      <w:tr w:rsidR="005F24DF" w:rsidRPr="005F24DF" w14:paraId="7F985998" w14:textId="77777777" w:rsidTr="005F24DF">
        <w:trPr>
          <w:trHeight w:val="295"/>
          <w:jc w:val="center"/>
        </w:trPr>
        <w:tc>
          <w:tcPr>
            <w:tcW w:w="1534" w:type="dxa"/>
            <w:tcBorders>
              <w:top w:val="nil"/>
              <w:left w:val="single" w:sz="8" w:space="0" w:color="auto"/>
              <w:bottom w:val="single" w:sz="4" w:space="0" w:color="auto"/>
              <w:right w:val="single" w:sz="4" w:space="0" w:color="auto"/>
            </w:tcBorders>
            <w:shd w:val="clear" w:color="000000" w:fill="auto"/>
            <w:noWrap/>
            <w:vAlign w:val="center"/>
            <w:hideMark/>
          </w:tcPr>
          <w:p w14:paraId="6C211D70" w14:textId="77777777" w:rsidR="005F24DF" w:rsidRPr="005F24DF" w:rsidRDefault="005F24DF" w:rsidP="005F24DF">
            <w:pPr>
              <w:spacing w:after="0" w:line="240" w:lineRule="auto"/>
              <w:jc w:val="center"/>
              <w:rPr>
                <w:rFonts w:ascii="Calibri" w:eastAsia="Times New Roman" w:hAnsi="Calibri" w:cs="Calibri"/>
                <w:b/>
                <w:bCs/>
                <w:color w:val="000000"/>
                <w:lang w:eastAsia="es-CO"/>
              </w:rPr>
            </w:pPr>
            <w:r w:rsidRPr="005F24DF">
              <w:rPr>
                <w:rFonts w:ascii="Calibri" w:eastAsia="Times New Roman" w:hAnsi="Calibri" w:cs="Calibri"/>
                <w:b/>
                <w:bCs/>
                <w:color w:val="000000"/>
                <w:lang w:eastAsia="es-CO"/>
              </w:rPr>
              <w:t>Zona</w:t>
            </w:r>
          </w:p>
        </w:tc>
        <w:tc>
          <w:tcPr>
            <w:tcW w:w="2111" w:type="dxa"/>
            <w:tcBorders>
              <w:top w:val="nil"/>
              <w:left w:val="nil"/>
              <w:bottom w:val="single" w:sz="4" w:space="0" w:color="auto"/>
              <w:right w:val="single" w:sz="4" w:space="0" w:color="auto"/>
            </w:tcBorders>
            <w:shd w:val="clear" w:color="000000" w:fill="auto"/>
            <w:vAlign w:val="center"/>
            <w:hideMark/>
          </w:tcPr>
          <w:p w14:paraId="4D73465A" w14:textId="77777777" w:rsidR="005F24DF" w:rsidRPr="005F24DF" w:rsidRDefault="005F24DF" w:rsidP="005F24DF">
            <w:pPr>
              <w:spacing w:after="0" w:line="240" w:lineRule="auto"/>
              <w:jc w:val="center"/>
              <w:rPr>
                <w:rFonts w:ascii="Calibri" w:eastAsia="Times New Roman" w:hAnsi="Calibri" w:cs="Calibri"/>
                <w:b/>
                <w:bCs/>
                <w:color w:val="000000"/>
                <w:lang w:eastAsia="es-CO"/>
              </w:rPr>
            </w:pPr>
            <w:r w:rsidRPr="005F24DF">
              <w:rPr>
                <w:rFonts w:ascii="Calibri" w:eastAsia="Times New Roman" w:hAnsi="Calibri" w:cs="Calibri"/>
                <w:b/>
                <w:bCs/>
                <w:color w:val="000000"/>
                <w:lang w:eastAsia="es-CO"/>
              </w:rPr>
              <w:t xml:space="preserve">Presencia </w:t>
            </w:r>
          </w:p>
        </w:tc>
        <w:tc>
          <w:tcPr>
            <w:tcW w:w="3075" w:type="dxa"/>
            <w:tcBorders>
              <w:top w:val="nil"/>
              <w:left w:val="nil"/>
              <w:bottom w:val="single" w:sz="4" w:space="0" w:color="auto"/>
              <w:right w:val="single" w:sz="8" w:space="0" w:color="auto"/>
            </w:tcBorders>
            <w:shd w:val="clear" w:color="000000" w:fill="auto"/>
            <w:vAlign w:val="center"/>
            <w:hideMark/>
          </w:tcPr>
          <w:p w14:paraId="5A5EBD7D" w14:textId="77777777" w:rsidR="005F24DF" w:rsidRPr="005F24DF" w:rsidRDefault="005F24DF" w:rsidP="005F24DF">
            <w:pPr>
              <w:spacing w:after="0" w:line="240" w:lineRule="auto"/>
              <w:jc w:val="center"/>
              <w:rPr>
                <w:rFonts w:ascii="Calibri" w:eastAsia="Times New Roman" w:hAnsi="Calibri" w:cs="Calibri"/>
                <w:b/>
                <w:bCs/>
                <w:color w:val="000000"/>
                <w:lang w:eastAsia="es-CO"/>
              </w:rPr>
            </w:pPr>
            <w:r w:rsidRPr="005F24DF">
              <w:rPr>
                <w:rFonts w:ascii="Calibri" w:eastAsia="Times New Roman" w:hAnsi="Calibri" w:cs="Calibri"/>
                <w:b/>
                <w:bCs/>
                <w:color w:val="000000"/>
                <w:lang w:eastAsia="es-CO"/>
              </w:rPr>
              <w:t xml:space="preserve">Ausencia </w:t>
            </w:r>
          </w:p>
        </w:tc>
      </w:tr>
      <w:tr w:rsidR="005F24DF" w:rsidRPr="005F24DF" w14:paraId="56445C85" w14:textId="77777777" w:rsidTr="005F24DF">
        <w:trPr>
          <w:trHeight w:val="290"/>
          <w:jc w:val="center"/>
        </w:trPr>
        <w:tc>
          <w:tcPr>
            <w:tcW w:w="1534" w:type="dxa"/>
            <w:tcBorders>
              <w:top w:val="nil"/>
              <w:left w:val="single" w:sz="8" w:space="0" w:color="auto"/>
              <w:bottom w:val="single" w:sz="4" w:space="0" w:color="auto"/>
              <w:right w:val="single" w:sz="4" w:space="0" w:color="auto"/>
            </w:tcBorders>
            <w:shd w:val="clear" w:color="000000" w:fill="00B050"/>
            <w:noWrap/>
            <w:vAlign w:val="center"/>
            <w:hideMark/>
          </w:tcPr>
          <w:p w14:paraId="12B21FB9"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 xml:space="preserve">Preservación </w:t>
            </w:r>
          </w:p>
        </w:tc>
        <w:tc>
          <w:tcPr>
            <w:tcW w:w="2111" w:type="dxa"/>
            <w:tcBorders>
              <w:top w:val="nil"/>
              <w:left w:val="nil"/>
              <w:bottom w:val="single" w:sz="4" w:space="0" w:color="auto"/>
              <w:right w:val="single" w:sz="4" w:space="0" w:color="auto"/>
            </w:tcBorders>
            <w:shd w:val="clear" w:color="000000" w:fill="FFFF00"/>
            <w:noWrap/>
            <w:vAlign w:val="center"/>
            <w:hideMark/>
          </w:tcPr>
          <w:p w14:paraId="5677A74A"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 xml:space="preserve">Uso sostenible </w:t>
            </w:r>
          </w:p>
        </w:tc>
        <w:tc>
          <w:tcPr>
            <w:tcW w:w="3075" w:type="dxa"/>
            <w:tcBorders>
              <w:top w:val="nil"/>
              <w:left w:val="nil"/>
              <w:bottom w:val="single" w:sz="4" w:space="0" w:color="auto"/>
              <w:right w:val="single" w:sz="8" w:space="0" w:color="auto"/>
            </w:tcBorders>
            <w:shd w:val="clear" w:color="000000" w:fill="00B050"/>
            <w:noWrap/>
            <w:vAlign w:val="center"/>
            <w:hideMark/>
          </w:tcPr>
          <w:p w14:paraId="4759ACBB"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 xml:space="preserve">Preservación </w:t>
            </w:r>
          </w:p>
        </w:tc>
      </w:tr>
      <w:tr w:rsidR="005F24DF" w:rsidRPr="005F24DF" w14:paraId="3D184F09" w14:textId="77777777" w:rsidTr="005F24DF">
        <w:trPr>
          <w:trHeight w:val="290"/>
          <w:jc w:val="center"/>
        </w:trPr>
        <w:tc>
          <w:tcPr>
            <w:tcW w:w="1534" w:type="dxa"/>
            <w:tcBorders>
              <w:top w:val="nil"/>
              <w:left w:val="single" w:sz="8" w:space="0" w:color="auto"/>
              <w:bottom w:val="single" w:sz="4" w:space="0" w:color="auto"/>
              <w:right w:val="single" w:sz="4" w:space="0" w:color="auto"/>
            </w:tcBorders>
            <w:shd w:val="clear" w:color="000000" w:fill="FFC000"/>
            <w:noWrap/>
            <w:vAlign w:val="center"/>
            <w:hideMark/>
          </w:tcPr>
          <w:p w14:paraId="179E4B50"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Restauración</w:t>
            </w:r>
          </w:p>
        </w:tc>
        <w:tc>
          <w:tcPr>
            <w:tcW w:w="2111" w:type="dxa"/>
            <w:tcBorders>
              <w:top w:val="nil"/>
              <w:left w:val="nil"/>
              <w:bottom w:val="single" w:sz="4" w:space="0" w:color="auto"/>
              <w:right w:val="single" w:sz="4" w:space="0" w:color="auto"/>
            </w:tcBorders>
            <w:shd w:val="clear" w:color="000000" w:fill="FFFF00"/>
            <w:noWrap/>
            <w:vAlign w:val="center"/>
            <w:hideMark/>
          </w:tcPr>
          <w:p w14:paraId="2EBBEC3E"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 xml:space="preserve">Uso sostenible </w:t>
            </w:r>
          </w:p>
        </w:tc>
        <w:tc>
          <w:tcPr>
            <w:tcW w:w="3075" w:type="dxa"/>
            <w:tcBorders>
              <w:top w:val="nil"/>
              <w:left w:val="nil"/>
              <w:bottom w:val="single" w:sz="4" w:space="0" w:color="auto"/>
              <w:right w:val="single" w:sz="8" w:space="0" w:color="auto"/>
            </w:tcBorders>
            <w:shd w:val="clear" w:color="000000" w:fill="FFC000"/>
            <w:noWrap/>
            <w:vAlign w:val="center"/>
            <w:hideMark/>
          </w:tcPr>
          <w:p w14:paraId="7A62D87E"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Restauración</w:t>
            </w:r>
          </w:p>
        </w:tc>
      </w:tr>
      <w:tr w:rsidR="005F24DF" w:rsidRPr="005F24DF" w14:paraId="353AD621" w14:textId="77777777" w:rsidTr="005F24DF">
        <w:trPr>
          <w:trHeight w:val="300"/>
          <w:jc w:val="center"/>
        </w:trPr>
        <w:tc>
          <w:tcPr>
            <w:tcW w:w="1534" w:type="dxa"/>
            <w:tcBorders>
              <w:top w:val="nil"/>
              <w:left w:val="single" w:sz="8" w:space="0" w:color="auto"/>
              <w:bottom w:val="single" w:sz="8" w:space="0" w:color="auto"/>
              <w:right w:val="single" w:sz="4" w:space="0" w:color="auto"/>
            </w:tcBorders>
            <w:shd w:val="clear" w:color="000000" w:fill="FFFF00"/>
            <w:noWrap/>
            <w:vAlign w:val="center"/>
            <w:hideMark/>
          </w:tcPr>
          <w:p w14:paraId="689CF072"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Uso sostenible</w:t>
            </w:r>
          </w:p>
        </w:tc>
        <w:tc>
          <w:tcPr>
            <w:tcW w:w="2111" w:type="dxa"/>
            <w:tcBorders>
              <w:top w:val="nil"/>
              <w:left w:val="nil"/>
              <w:bottom w:val="single" w:sz="8" w:space="0" w:color="auto"/>
              <w:right w:val="single" w:sz="4" w:space="0" w:color="auto"/>
            </w:tcBorders>
            <w:shd w:val="clear" w:color="000000" w:fill="FFFF00"/>
            <w:noWrap/>
            <w:vAlign w:val="center"/>
            <w:hideMark/>
          </w:tcPr>
          <w:p w14:paraId="67C13FFF"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Uso sostenible</w:t>
            </w:r>
          </w:p>
        </w:tc>
        <w:tc>
          <w:tcPr>
            <w:tcW w:w="3075" w:type="dxa"/>
            <w:tcBorders>
              <w:top w:val="nil"/>
              <w:left w:val="nil"/>
              <w:bottom w:val="single" w:sz="8" w:space="0" w:color="auto"/>
              <w:right w:val="single" w:sz="8" w:space="0" w:color="auto"/>
            </w:tcBorders>
            <w:shd w:val="clear" w:color="000000" w:fill="FFFF00"/>
            <w:noWrap/>
            <w:vAlign w:val="center"/>
            <w:hideMark/>
          </w:tcPr>
          <w:p w14:paraId="7BC0F9C4" w14:textId="77777777" w:rsidR="005F24DF" w:rsidRPr="005F24DF" w:rsidRDefault="005F24DF" w:rsidP="005F24DF">
            <w:pPr>
              <w:spacing w:after="0" w:line="240" w:lineRule="auto"/>
              <w:jc w:val="center"/>
              <w:rPr>
                <w:rFonts w:ascii="Calibri" w:eastAsia="Times New Roman" w:hAnsi="Calibri" w:cs="Calibri"/>
                <w:color w:val="000000"/>
                <w:lang w:eastAsia="es-CO"/>
              </w:rPr>
            </w:pPr>
            <w:r w:rsidRPr="005F24DF">
              <w:rPr>
                <w:rFonts w:ascii="Calibri" w:eastAsia="Times New Roman" w:hAnsi="Calibri" w:cs="Calibri"/>
                <w:color w:val="000000"/>
                <w:lang w:eastAsia="es-CO"/>
              </w:rPr>
              <w:t>Uso sostenible</w:t>
            </w:r>
          </w:p>
        </w:tc>
      </w:tr>
    </w:tbl>
    <w:p w14:paraId="76E13C2B" w14:textId="77777777" w:rsidR="005F24DF" w:rsidRDefault="005F24DF">
      <w:pPr>
        <w:spacing w:after="0" w:line="276" w:lineRule="auto"/>
        <w:jc w:val="both"/>
        <w:rPr>
          <w:rFonts w:ascii="Arial" w:hAnsi="Arial" w:cs="Arial"/>
          <w:sz w:val="24"/>
          <w:szCs w:val="24"/>
          <w:lang w:val="es-ES"/>
        </w:rPr>
      </w:pPr>
    </w:p>
    <w:p w14:paraId="6B8CDC2D" w14:textId="084EF1DE" w:rsidR="006A7D97" w:rsidRDefault="006A7D97">
      <w:pPr>
        <w:spacing w:after="0" w:line="276" w:lineRule="auto"/>
        <w:jc w:val="both"/>
        <w:rPr>
          <w:rFonts w:ascii="Arial" w:hAnsi="Arial" w:cs="Arial"/>
          <w:sz w:val="24"/>
          <w:szCs w:val="24"/>
        </w:rPr>
      </w:pPr>
      <w:r w:rsidRPr="006A7D97">
        <w:rPr>
          <w:rFonts w:ascii="Arial" w:hAnsi="Arial" w:cs="Arial"/>
          <w:sz w:val="24"/>
          <w:szCs w:val="24"/>
        </w:rPr>
        <w:t xml:space="preserve">Como resultado de la aplicación de este criterio dentro del proceso de análisis, se observa un incremento en la extensión correspondiente a la zona de uso sostenible, la cual aumenta hasta alcanzar cerca del 10 % del área total. </w:t>
      </w:r>
    </w:p>
    <w:p w14:paraId="5DFEA629" w14:textId="77777777" w:rsidR="00B962AD" w:rsidRDefault="00B962AD">
      <w:pPr>
        <w:spacing w:after="0" w:line="276" w:lineRule="auto"/>
        <w:jc w:val="both"/>
        <w:rPr>
          <w:rFonts w:ascii="Arial" w:hAnsi="Arial" w:cs="Arial"/>
          <w:sz w:val="24"/>
          <w:szCs w:val="24"/>
        </w:rPr>
      </w:pPr>
    </w:p>
    <w:p w14:paraId="06C7824C" w14:textId="645D1D45" w:rsidR="00B962AD" w:rsidRPr="00D535E1" w:rsidRDefault="00B962AD" w:rsidP="00B962AD">
      <w:pPr>
        <w:spacing w:line="276" w:lineRule="auto"/>
        <w:jc w:val="both"/>
        <w:rPr>
          <w:rFonts w:ascii="Arial" w:hAnsi="Arial" w:cs="Arial"/>
          <w:sz w:val="24"/>
          <w:szCs w:val="24"/>
        </w:rPr>
      </w:pPr>
      <w:r w:rsidRPr="008648B2">
        <w:rPr>
          <w:rFonts w:ascii="Arial" w:hAnsi="Arial" w:cs="Arial"/>
          <w:b/>
          <w:bCs/>
          <w:sz w:val="24"/>
          <w:szCs w:val="24"/>
        </w:rPr>
        <w:t xml:space="preserve">Criterio 8. </w:t>
      </w:r>
      <w:r w:rsidR="008648B2" w:rsidRPr="008648B2">
        <w:rPr>
          <w:rFonts w:ascii="Arial" w:hAnsi="Arial" w:cs="Arial"/>
          <w:b/>
          <w:bCs/>
          <w:sz w:val="24"/>
          <w:szCs w:val="24"/>
        </w:rPr>
        <w:t>Cobertura 2023 uso sostenible sin conflicto de uso</w:t>
      </w:r>
    </w:p>
    <w:p w14:paraId="24C193CB" w14:textId="11CD822A" w:rsidR="00B962AD" w:rsidRPr="00B962AD" w:rsidRDefault="00626EB1" w:rsidP="00B962AD">
      <w:pPr>
        <w:spacing w:after="0" w:line="276" w:lineRule="auto"/>
        <w:jc w:val="both"/>
        <w:rPr>
          <w:rFonts w:ascii="Arial" w:hAnsi="Arial" w:cs="Arial"/>
          <w:sz w:val="24"/>
          <w:szCs w:val="24"/>
        </w:rPr>
      </w:pPr>
      <w:r>
        <w:rPr>
          <w:rFonts w:ascii="Arial" w:hAnsi="Arial" w:cs="Arial"/>
          <w:sz w:val="24"/>
          <w:szCs w:val="24"/>
        </w:rPr>
        <w:t>Su</w:t>
      </w:r>
      <w:r w:rsidR="00B962AD" w:rsidRPr="00B962AD">
        <w:rPr>
          <w:rFonts w:ascii="Arial" w:hAnsi="Arial" w:cs="Arial"/>
          <w:sz w:val="24"/>
          <w:szCs w:val="24"/>
        </w:rPr>
        <w:t xml:space="preserve"> propósito </w:t>
      </w:r>
      <w:r>
        <w:rPr>
          <w:rFonts w:ascii="Arial" w:hAnsi="Arial" w:cs="Arial"/>
          <w:sz w:val="24"/>
          <w:szCs w:val="24"/>
        </w:rPr>
        <w:t>es</w:t>
      </w:r>
      <w:r w:rsidR="00B962AD" w:rsidRPr="00B962AD">
        <w:rPr>
          <w:rFonts w:ascii="Arial" w:hAnsi="Arial" w:cs="Arial"/>
          <w:sz w:val="24"/>
          <w:szCs w:val="24"/>
        </w:rPr>
        <w:t xml:space="preserve"> reconocer aquellas áreas donde el uso actual del suelo es compatible con su capacidad de uso, es decir, donde no se presentan conflictos asociados al manejo del suelo.</w:t>
      </w:r>
    </w:p>
    <w:p w14:paraId="625FB915" w14:textId="77777777" w:rsidR="00B962AD" w:rsidRPr="00B962AD" w:rsidRDefault="00B962AD" w:rsidP="00B962AD">
      <w:pPr>
        <w:spacing w:after="0" w:line="276" w:lineRule="auto"/>
        <w:jc w:val="both"/>
        <w:rPr>
          <w:rFonts w:ascii="Arial" w:hAnsi="Arial" w:cs="Arial"/>
          <w:sz w:val="24"/>
          <w:szCs w:val="24"/>
        </w:rPr>
      </w:pPr>
    </w:p>
    <w:p w14:paraId="314F937C" w14:textId="77777777" w:rsidR="00B962AD" w:rsidRDefault="00B962AD" w:rsidP="00B962AD">
      <w:pPr>
        <w:spacing w:after="0" w:line="276" w:lineRule="auto"/>
        <w:jc w:val="both"/>
        <w:rPr>
          <w:rFonts w:ascii="Arial" w:hAnsi="Arial" w:cs="Arial"/>
          <w:sz w:val="24"/>
          <w:szCs w:val="24"/>
        </w:rPr>
      </w:pPr>
      <w:r w:rsidRPr="00B962AD">
        <w:rPr>
          <w:rFonts w:ascii="Arial" w:hAnsi="Arial" w:cs="Arial"/>
          <w:sz w:val="24"/>
          <w:szCs w:val="24"/>
        </w:rPr>
        <w:t xml:space="preserve">De acuerdo con lo establecido en las matrices de decisión, este criterio vuelve a dar prioridad a las zonas de uso sostenible, permitiendo que algunas áreas previamente clasificadas como zonas de restauración sean reclasificadas como zonas de uso </w:t>
      </w:r>
      <w:r w:rsidRPr="00B962AD">
        <w:rPr>
          <w:rFonts w:ascii="Arial" w:hAnsi="Arial" w:cs="Arial"/>
          <w:sz w:val="24"/>
          <w:szCs w:val="24"/>
        </w:rPr>
        <w:lastRenderedPageBreak/>
        <w:t>sostenible, siempre y cuando correspondan a coberturas asociadas a usos sostenibles del suelo y no presenten conflicto de uso.</w:t>
      </w:r>
    </w:p>
    <w:p w14:paraId="67BC8830" w14:textId="77777777" w:rsidR="0049679B" w:rsidRDefault="0049679B" w:rsidP="00B962AD">
      <w:pPr>
        <w:spacing w:after="0" w:line="276" w:lineRule="auto"/>
        <w:jc w:val="both"/>
        <w:rPr>
          <w:rFonts w:ascii="Arial" w:hAnsi="Arial" w:cs="Arial"/>
          <w:sz w:val="24"/>
          <w:szCs w:val="24"/>
        </w:rPr>
      </w:pPr>
    </w:p>
    <w:tbl>
      <w:tblPr>
        <w:tblW w:w="5840" w:type="dxa"/>
        <w:jc w:val="center"/>
        <w:tblCellMar>
          <w:left w:w="70" w:type="dxa"/>
          <w:right w:w="70" w:type="dxa"/>
        </w:tblCellMar>
        <w:tblLook w:val="04A0" w:firstRow="1" w:lastRow="0" w:firstColumn="1" w:lastColumn="0" w:noHBand="0" w:noVBand="1"/>
      </w:tblPr>
      <w:tblGrid>
        <w:gridCol w:w="1555"/>
        <w:gridCol w:w="4285"/>
      </w:tblGrid>
      <w:tr w:rsidR="0049679B" w:rsidRPr="0049679B" w14:paraId="0B97ACC7" w14:textId="77777777" w:rsidTr="0049679B">
        <w:trPr>
          <w:trHeight w:val="300"/>
          <w:jc w:val="center"/>
        </w:trPr>
        <w:tc>
          <w:tcPr>
            <w:tcW w:w="5840" w:type="dxa"/>
            <w:gridSpan w:val="2"/>
            <w:tcBorders>
              <w:top w:val="single" w:sz="8" w:space="0" w:color="auto"/>
              <w:left w:val="single" w:sz="8" w:space="0" w:color="auto"/>
              <w:bottom w:val="single" w:sz="8" w:space="0" w:color="auto"/>
              <w:right w:val="single" w:sz="8" w:space="0" w:color="auto"/>
            </w:tcBorders>
            <w:shd w:val="clear" w:color="000000" w:fill="F2F2F2"/>
            <w:vAlign w:val="center"/>
            <w:hideMark/>
          </w:tcPr>
          <w:p w14:paraId="439D7B80" w14:textId="77777777" w:rsidR="0049679B" w:rsidRPr="0049679B" w:rsidRDefault="0049679B" w:rsidP="0049679B">
            <w:pPr>
              <w:spacing w:after="0" w:line="240" w:lineRule="auto"/>
              <w:jc w:val="center"/>
              <w:rPr>
                <w:rFonts w:ascii="Calibri" w:eastAsia="Times New Roman" w:hAnsi="Calibri" w:cs="Calibri"/>
                <w:b/>
                <w:bCs/>
                <w:color w:val="000000"/>
                <w:lang w:eastAsia="es-CO"/>
              </w:rPr>
            </w:pPr>
            <w:r w:rsidRPr="0049679B">
              <w:rPr>
                <w:rFonts w:ascii="Calibri" w:eastAsia="Times New Roman" w:hAnsi="Calibri" w:cs="Calibri"/>
                <w:b/>
                <w:bCs/>
                <w:color w:val="000000"/>
                <w:lang w:eastAsia="es-CO"/>
              </w:rPr>
              <w:t>Coberturas de uso sostenible sin conflicto de uso</w:t>
            </w:r>
          </w:p>
        </w:tc>
      </w:tr>
      <w:tr w:rsidR="0049679B" w:rsidRPr="0049679B" w14:paraId="770C9BB5" w14:textId="77777777" w:rsidTr="0049679B">
        <w:trPr>
          <w:trHeight w:val="300"/>
          <w:jc w:val="center"/>
        </w:trPr>
        <w:tc>
          <w:tcPr>
            <w:tcW w:w="1555" w:type="dxa"/>
            <w:tcBorders>
              <w:top w:val="nil"/>
              <w:left w:val="single" w:sz="8" w:space="0" w:color="auto"/>
              <w:bottom w:val="single" w:sz="8" w:space="0" w:color="auto"/>
              <w:right w:val="single" w:sz="8" w:space="0" w:color="auto"/>
            </w:tcBorders>
            <w:shd w:val="clear" w:color="000000" w:fill="auto"/>
            <w:noWrap/>
            <w:vAlign w:val="center"/>
            <w:hideMark/>
          </w:tcPr>
          <w:p w14:paraId="54CC0883" w14:textId="77777777" w:rsidR="0049679B" w:rsidRPr="0049679B" w:rsidRDefault="0049679B" w:rsidP="0049679B">
            <w:pPr>
              <w:spacing w:after="0" w:line="240" w:lineRule="auto"/>
              <w:jc w:val="center"/>
              <w:rPr>
                <w:rFonts w:ascii="Calibri" w:eastAsia="Times New Roman" w:hAnsi="Calibri" w:cs="Calibri"/>
                <w:b/>
                <w:bCs/>
                <w:color w:val="000000"/>
                <w:lang w:eastAsia="es-CO"/>
              </w:rPr>
            </w:pPr>
            <w:r w:rsidRPr="0049679B">
              <w:rPr>
                <w:rFonts w:ascii="Calibri" w:eastAsia="Times New Roman" w:hAnsi="Calibri" w:cs="Calibri"/>
                <w:b/>
                <w:bCs/>
                <w:color w:val="000000"/>
                <w:lang w:eastAsia="es-CO"/>
              </w:rPr>
              <w:t>Zona</w:t>
            </w:r>
          </w:p>
        </w:tc>
        <w:tc>
          <w:tcPr>
            <w:tcW w:w="4285" w:type="dxa"/>
            <w:tcBorders>
              <w:top w:val="single" w:sz="8" w:space="0" w:color="auto"/>
              <w:left w:val="nil"/>
              <w:bottom w:val="single" w:sz="8" w:space="0" w:color="auto"/>
              <w:right w:val="single" w:sz="8" w:space="0" w:color="auto"/>
            </w:tcBorders>
            <w:shd w:val="clear" w:color="000000" w:fill="auto"/>
            <w:vAlign w:val="center"/>
            <w:hideMark/>
          </w:tcPr>
          <w:p w14:paraId="326F689A" w14:textId="77777777" w:rsidR="0049679B" w:rsidRPr="0049679B" w:rsidRDefault="0049679B" w:rsidP="0049679B">
            <w:pPr>
              <w:spacing w:after="0" w:line="240" w:lineRule="auto"/>
              <w:jc w:val="center"/>
              <w:rPr>
                <w:rFonts w:ascii="Calibri" w:eastAsia="Times New Roman" w:hAnsi="Calibri" w:cs="Calibri"/>
                <w:b/>
                <w:bCs/>
                <w:color w:val="000000"/>
                <w:lang w:eastAsia="es-CO"/>
              </w:rPr>
            </w:pPr>
            <w:r w:rsidRPr="0049679B">
              <w:rPr>
                <w:rFonts w:ascii="Calibri" w:eastAsia="Times New Roman" w:hAnsi="Calibri" w:cs="Calibri"/>
                <w:b/>
                <w:bCs/>
                <w:color w:val="000000"/>
                <w:lang w:eastAsia="es-CO"/>
              </w:rPr>
              <w:t xml:space="preserve">Presencia </w:t>
            </w:r>
          </w:p>
        </w:tc>
      </w:tr>
      <w:tr w:rsidR="0049679B" w:rsidRPr="0049679B" w14:paraId="5C6589B4" w14:textId="77777777" w:rsidTr="0049679B">
        <w:trPr>
          <w:trHeight w:val="300"/>
          <w:jc w:val="center"/>
        </w:trPr>
        <w:tc>
          <w:tcPr>
            <w:tcW w:w="1555" w:type="dxa"/>
            <w:tcBorders>
              <w:top w:val="nil"/>
              <w:left w:val="single" w:sz="8" w:space="0" w:color="auto"/>
              <w:bottom w:val="single" w:sz="8" w:space="0" w:color="auto"/>
              <w:right w:val="single" w:sz="8" w:space="0" w:color="auto"/>
            </w:tcBorders>
            <w:shd w:val="clear" w:color="000000" w:fill="00B050"/>
            <w:noWrap/>
            <w:vAlign w:val="center"/>
            <w:hideMark/>
          </w:tcPr>
          <w:p w14:paraId="39BE5EB3" w14:textId="77777777" w:rsidR="0049679B" w:rsidRPr="0049679B" w:rsidRDefault="0049679B" w:rsidP="0049679B">
            <w:pPr>
              <w:spacing w:after="0" w:line="240" w:lineRule="auto"/>
              <w:jc w:val="center"/>
              <w:rPr>
                <w:rFonts w:ascii="Calibri" w:eastAsia="Times New Roman" w:hAnsi="Calibri" w:cs="Calibri"/>
                <w:color w:val="000000"/>
                <w:lang w:eastAsia="es-CO"/>
              </w:rPr>
            </w:pPr>
            <w:r w:rsidRPr="0049679B">
              <w:rPr>
                <w:rFonts w:ascii="Calibri" w:eastAsia="Times New Roman" w:hAnsi="Calibri" w:cs="Calibri"/>
                <w:color w:val="000000"/>
                <w:lang w:eastAsia="es-CO"/>
              </w:rPr>
              <w:t xml:space="preserve">Preservación </w:t>
            </w:r>
          </w:p>
        </w:tc>
        <w:tc>
          <w:tcPr>
            <w:tcW w:w="4285" w:type="dxa"/>
            <w:tcBorders>
              <w:top w:val="single" w:sz="8" w:space="0" w:color="auto"/>
              <w:left w:val="nil"/>
              <w:bottom w:val="single" w:sz="8" w:space="0" w:color="auto"/>
              <w:right w:val="single" w:sz="8" w:space="0" w:color="auto"/>
            </w:tcBorders>
            <w:shd w:val="clear" w:color="000000" w:fill="00B050"/>
            <w:noWrap/>
            <w:vAlign w:val="center"/>
            <w:hideMark/>
          </w:tcPr>
          <w:p w14:paraId="5743BAE3" w14:textId="77777777" w:rsidR="0049679B" w:rsidRPr="0049679B" w:rsidRDefault="0049679B" w:rsidP="0049679B">
            <w:pPr>
              <w:spacing w:after="0" w:line="240" w:lineRule="auto"/>
              <w:jc w:val="center"/>
              <w:rPr>
                <w:rFonts w:ascii="Calibri" w:eastAsia="Times New Roman" w:hAnsi="Calibri" w:cs="Calibri"/>
                <w:color w:val="000000"/>
                <w:lang w:eastAsia="es-CO"/>
              </w:rPr>
            </w:pPr>
            <w:r w:rsidRPr="0049679B">
              <w:rPr>
                <w:rFonts w:ascii="Calibri" w:eastAsia="Times New Roman" w:hAnsi="Calibri" w:cs="Calibri"/>
                <w:color w:val="000000"/>
                <w:lang w:eastAsia="es-CO"/>
              </w:rPr>
              <w:t xml:space="preserve">Preservación </w:t>
            </w:r>
          </w:p>
        </w:tc>
      </w:tr>
      <w:tr w:rsidR="0049679B" w:rsidRPr="0049679B" w14:paraId="7A3D91DC" w14:textId="77777777" w:rsidTr="0049679B">
        <w:trPr>
          <w:trHeight w:val="300"/>
          <w:jc w:val="center"/>
        </w:trPr>
        <w:tc>
          <w:tcPr>
            <w:tcW w:w="1555" w:type="dxa"/>
            <w:tcBorders>
              <w:top w:val="nil"/>
              <w:left w:val="single" w:sz="8" w:space="0" w:color="auto"/>
              <w:bottom w:val="single" w:sz="8" w:space="0" w:color="auto"/>
              <w:right w:val="single" w:sz="8" w:space="0" w:color="auto"/>
            </w:tcBorders>
            <w:shd w:val="clear" w:color="000000" w:fill="FFC000"/>
            <w:noWrap/>
            <w:vAlign w:val="center"/>
            <w:hideMark/>
          </w:tcPr>
          <w:p w14:paraId="3E60A62B" w14:textId="77777777" w:rsidR="0049679B" w:rsidRPr="0049679B" w:rsidRDefault="0049679B" w:rsidP="0049679B">
            <w:pPr>
              <w:spacing w:after="0" w:line="240" w:lineRule="auto"/>
              <w:jc w:val="center"/>
              <w:rPr>
                <w:rFonts w:ascii="Calibri" w:eastAsia="Times New Roman" w:hAnsi="Calibri" w:cs="Calibri"/>
                <w:color w:val="000000"/>
                <w:lang w:eastAsia="es-CO"/>
              </w:rPr>
            </w:pPr>
            <w:r w:rsidRPr="0049679B">
              <w:rPr>
                <w:rFonts w:ascii="Calibri" w:eastAsia="Times New Roman" w:hAnsi="Calibri" w:cs="Calibri"/>
                <w:color w:val="000000"/>
                <w:lang w:eastAsia="es-CO"/>
              </w:rPr>
              <w:t>Restauración</w:t>
            </w:r>
          </w:p>
        </w:tc>
        <w:tc>
          <w:tcPr>
            <w:tcW w:w="4285" w:type="dxa"/>
            <w:tcBorders>
              <w:top w:val="single" w:sz="8" w:space="0" w:color="auto"/>
              <w:left w:val="nil"/>
              <w:bottom w:val="single" w:sz="8" w:space="0" w:color="auto"/>
              <w:right w:val="single" w:sz="8" w:space="0" w:color="auto"/>
            </w:tcBorders>
            <w:shd w:val="clear" w:color="000000" w:fill="FFFF00"/>
            <w:noWrap/>
            <w:vAlign w:val="center"/>
            <w:hideMark/>
          </w:tcPr>
          <w:p w14:paraId="1CD3890E" w14:textId="77777777" w:rsidR="0049679B" w:rsidRPr="0049679B" w:rsidRDefault="0049679B" w:rsidP="0049679B">
            <w:pPr>
              <w:spacing w:after="0" w:line="240" w:lineRule="auto"/>
              <w:jc w:val="center"/>
              <w:rPr>
                <w:rFonts w:ascii="Calibri" w:eastAsia="Times New Roman" w:hAnsi="Calibri" w:cs="Calibri"/>
                <w:color w:val="000000"/>
                <w:lang w:eastAsia="es-CO"/>
              </w:rPr>
            </w:pPr>
            <w:r w:rsidRPr="0049679B">
              <w:rPr>
                <w:rFonts w:ascii="Calibri" w:eastAsia="Times New Roman" w:hAnsi="Calibri" w:cs="Calibri"/>
                <w:color w:val="000000"/>
                <w:lang w:eastAsia="es-CO"/>
              </w:rPr>
              <w:t xml:space="preserve">Uso sostenible </w:t>
            </w:r>
          </w:p>
        </w:tc>
      </w:tr>
      <w:tr w:rsidR="0049679B" w:rsidRPr="0049679B" w14:paraId="1A0093F8" w14:textId="77777777" w:rsidTr="0049679B">
        <w:trPr>
          <w:trHeight w:val="300"/>
          <w:jc w:val="center"/>
        </w:trPr>
        <w:tc>
          <w:tcPr>
            <w:tcW w:w="1555" w:type="dxa"/>
            <w:tcBorders>
              <w:top w:val="nil"/>
              <w:left w:val="single" w:sz="8" w:space="0" w:color="auto"/>
              <w:bottom w:val="single" w:sz="8" w:space="0" w:color="auto"/>
              <w:right w:val="single" w:sz="8" w:space="0" w:color="auto"/>
            </w:tcBorders>
            <w:shd w:val="clear" w:color="000000" w:fill="FFFF00"/>
            <w:noWrap/>
            <w:vAlign w:val="center"/>
            <w:hideMark/>
          </w:tcPr>
          <w:p w14:paraId="27119278" w14:textId="77777777" w:rsidR="0049679B" w:rsidRPr="0049679B" w:rsidRDefault="0049679B" w:rsidP="0049679B">
            <w:pPr>
              <w:spacing w:after="0" w:line="240" w:lineRule="auto"/>
              <w:jc w:val="center"/>
              <w:rPr>
                <w:rFonts w:ascii="Calibri" w:eastAsia="Times New Roman" w:hAnsi="Calibri" w:cs="Calibri"/>
                <w:color w:val="000000"/>
                <w:lang w:eastAsia="es-CO"/>
              </w:rPr>
            </w:pPr>
            <w:r w:rsidRPr="0049679B">
              <w:rPr>
                <w:rFonts w:ascii="Calibri" w:eastAsia="Times New Roman" w:hAnsi="Calibri" w:cs="Calibri"/>
                <w:color w:val="000000"/>
                <w:lang w:eastAsia="es-CO"/>
              </w:rPr>
              <w:t>Uso sostenible</w:t>
            </w:r>
          </w:p>
        </w:tc>
        <w:tc>
          <w:tcPr>
            <w:tcW w:w="4285" w:type="dxa"/>
            <w:tcBorders>
              <w:top w:val="single" w:sz="8" w:space="0" w:color="auto"/>
              <w:left w:val="nil"/>
              <w:bottom w:val="single" w:sz="8" w:space="0" w:color="auto"/>
              <w:right w:val="single" w:sz="8" w:space="0" w:color="auto"/>
            </w:tcBorders>
            <w:shd w:val="clear" w:color="000000" w:fill="FFFF00"/>
            <w:noWrap/>
            <w:vAlign w:val="center"/>
            <w:hideMark/>
          </w:tcPr>
          <w:p w14:paraId="682CCEA6" w14:textId="77777777" w:rsidR="0049679B" w:rsidRPr="0049679B" w:rsidRDefault="0049679B" w:rsidP="0049679B">
            <w:pPr>
              <w:spacing w:after="0" w:line="240" w:lineRule="auto"/>
              <w:jc w:val="center"/>
              <w:rPr>
                <w:rFonts w:ascii="Calibri" w:eastAsia="Times New Roman" w:hAnsi="Calibri" w:cs="Calibri"/>
                <w:color w:val="000000"/>
                <w:lang w:eastAsia="es-CO"/>
              </w:rPr>
            </w:pPr>
            <w:r w:rsidRPr="0049679B">
              <w:rPr>
                <w:rFonts w:ascii="Calibri" w:eastAsia="Times New Roman" w:hAnsi="Calibri" w:cs="Calibri"/>
                <w:color w:val="000000"/>
                <w:lang w:eastAsia="es-CO"/>
              </w:rPr>
              <w:t>Uso sostenible</w:t>
            </w:r>
          </w:p>
        </w:tc>
      </w:tr>
    </w:tbl>
    <w:p w14:paraId="09FC939A" w14:textId="77777777" w:rsidR="0049679B" w:rsidRPr="00B962AD" w:rsidRDefault="0049679B" w:rsidP="00B962AD">
      <w:pPr>
        <w:spacing w:after="0" w:line="276" w:lineRule="auto"/>
        <w:jc w:val="both"/>
        <w:rPr>
          <w:rFonts w:ascii="Arial" w:hAnsi="Arial" w:cs="Arial"/>
          <w:sz w:val="24"/>
          <w:szCs w:val="24"/>
        </w:rPr>
      </w:pPr>
    </w:p>
    <w:p w14:paraId="761F3C80" w14:textId="77777777" w:rsidR="00E66499" w:rsidRDefault="00E66499">
      <w:pPr>
        <w:spacing w:after="0" w:line="276" w:lineRule="auto"/>
        <w:jc w:val="both"/>
        <w:rPr>
          <w:rFonts w:ascii="Arial" w:hAnsi="Arial" w:cs="Arial"/>
          <w:sz w:val="24"/>
          <w:szCs w:val="24"/>
        </w:rPr>
      </w:pPr>
      <w:r w:rsidRPr="00E66499">
        <w:rPr>
          <w:rFonts w:ascii="Arial" w:hAnsi="Arial" w:cs="Arial"/>
          <w:sz w:val="24"/>
          <w:szCs w:val="24"/>
        </w:rPr>
        <w:t xml:space="preserve">Al aplicar este criterio dentro del proceso de análisis, se evidencia nuevamente un incremento en la extensión correspondiente a la zona de uso sostenible. </w:t>
      </w:r>
    </w:p>
    <w:p w14:paraId="6654CBD0" w14:textId="77777777" w:rsidR="003446EE" w:rsidRPr="00E66499" w:rsidRDefault="003446EE">
      <w:pPr>
        <w:spacing w:after="0" w:line="276" w:lineRule="auto"/>
        <w:jc w:val="both"/>
        <w:rPr>
          <w:rFonts w:ascii="Arial" w:hAnsi="Arial" w:cs="Arial"/>
          <w:sz w:val="24"/>
          <w:szCs w:val="24"/>
        </w:rPr>
      </w:pPr>
    </w:p>
    <w:tbl>
      <w:tblPr>
        <w:tblW w:w="3546" w:type="pct"/>
        <w:jc w:val="center"/>
        <w:tblCellMar>
          <w:left w:w="70" w:type="dxa"/>
          <w:right w:w="70" w:type="dxa"/>
        </w:tblCellMar>
        <w:tblLook w:val="04A0" w:firstRow="1" w:lastRow="0" w:firstColumn="1" w:lastColumn="0" w:noHBand="0" w:noVBand="1"/>
      </w:tblPr>
      <w:tblGrid>
        <w:gridCol w:w="1963"/>
        <w:gridCol w:w="2289"/>
        <w:gridCol w:w="1983"/>
      </w:tblGrid>
      <w:tr w:rsidR="003446EE" w:rsidRPr="00FF76C3" w14:paraId="2992C8E1" w14:textId="77777777" w:rsidTr="00792759">
        <w:trPr>
          <w:trHeight w:val="330"/>
          <w:jc w:val="center"/>
        </w:trPr>
        <w:tc>
          <w:tcPr>
            <w:tcW w:w="1574" w:type="pct"/>
            <w:tcBorders>
              <w:top w:val="double" w:sz="6" w:space="0" w:color="auto"/>
              <w:left w:val="double" w:sz="6" w:space="0" w:color="auto"/>
              <w:bottom w:val="double" w:sz="6" w:space="0" w:color="auto"/>
              <w:right w:val="double" w:sz="6" w:space="0" w:color="auto"/>
            </w:tcBorders>
            <w:shd w:val="clear" w:color="000000" w:fill="D9D9D9"/>
            <w:noWrap/>
            <w:vAlign w:val="bottom"/>
            <w:hideMark/>
          </w:tcPr>
          <w:p w14:paraId="2311FCCF" w14:textId="77777777" w:rsidR="003446EE" w:rsidRPr="00FF76C3" w:rsidRDefault="003446EE" w:rsidP="00792759">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Zona</w:t>
            </w:r>
          </w:p>
        </w:tc>
        <w:tc>
          <w:tcPr>
            <w:tcW w:w="1836" w:type="pct"/>
            <w:tcBorders>
              <w:top w:val="double" w:sz="6" w:space="0" w:color="auto"/>
              <w:left w:val="nil"/>
              <w:bottom w:val="double" w:sz="6" w:space="0" w:color="auto"/>
              <w:right w:val="double" w:sz="6" w:space="0" w:color="000000"/>
            </w:tcBorders>
            <w:shd w:val="clear" w:color="000000" w:fill="D9D9D9"/>
            <w:noWrap/>
            <w:vAlign w:val="bottom"/>
            <w:hideMark/>
          </w:tcPr>
          <w:p w14:paraId="041C6366" w14:textId="77777777" w:rsidR="003446EE" w:rsidRPr="00FF76C3" w:rsidRDefault="003446EE" w:rsidP="00792759">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Extensión (ha)</w:t>
            </w:r>
          </w:p>
        </w:tc>
        <w:tc>
          <w:tcPr>
            <w:tcW w:w="1590" w:type="pct"/>
            <w:tcBorders>
              <w:top w:val="double" w:sz="6" w:space="0" w:color="auto"/>
              <w:left w:val="nil"/>
              <w:bottom w:val="double" w:sz="6" w:space="0" w:color="auto"/>
              <w:right w:val="double" w:sz="6" w:space="0" w:color="auto"/>
            </w:tcBorders>
            <w:shd w:val="clear" w:color="000000" w:fill="D9D9D9"/>
            <w:noWrap/>
            <w:vAlign w:val="bottom"/>
            <w:hideMark/>
          </w:tcPr>
          <w:p w14:paraId="501DFD7F" w14:textId="77777777" w:rsidR="003446EE" w:rsidRPr="00FF76C3" w:rsidRDefault="003446EE" w:rsidP="00792759">
            <w:pPr>
              <w:spacing w:after="0" w:line="240" w:lineRule="auto"/>
              <w:jc w:val="center"/>
              <w:rPr>
                <w:rFonts w:ascii="Calibri" w:eastAsia="Times New Roman" w:hAnsi="Calibri" w:cs="Calibri"/>
                <w:b/>
                <w:bCs/>
                <w:color w:val="000000"/>
                <w:sz w:val="24"/>
                <w:szCs w:val="24"/>
                <w:lang w:eastAsia="es-CO"/>
              </w:rPr>
            </w:pPr>
            <w:r w:rsidRPr="00FF76C3">
              <w:rPr>
                <w:rFonts w:ascii="Calibri" w:eastAsia="Times New Roman" w:hAnsi="Calibri" w:cs="Calibri"/>
                <w:b/>
                <w:bCs/>
                <w:color w:val="000000"/>
                <w:sz w:val="24"/>
                <w:szCs w:val="24"/>
                <w:lang w:eastAsia="es-CO"/>
              </w:rPr>
              <w:t>Porcentaje</w:t>
            </w:r>
          </w:p>
        </w:tc>
      </w:tr>
      <w:tr w:rsidR="003446EE" w:rsidRPr="00FF76C3" w14:paraId="3381EC57" w14:textId="77777777" w:rsidTr="00792759">
        <w:trPr>
          <w:trHeight w:val="310"/>
          <w:jc w:val="center"/>
        </w:trPr>
        <w:tc>
          <w:tcPr>
            <w:tcW w:w="1574" w:type="pct"/>
            <w:tcBorders>
              <w:top w:val="nil"/>
              <w:left w:val="double" w:sz="6" w:space="0" w:color="auto"/>
              <w:bottom w:val="double" w:sz="6" w:space="0" w:color="auto"/>
              <w:right w:val="double" w:sz="6" w:space="0" w:color="auto"/>
            </w:tcBorders>
            <w:shd w:val="clear" w:color="000000" w:fill="00B050"/>
            <w:noWrap/>
            <w:vAlign w:val="bottom"/>
            <w:hideMark/>
          </w:tcPr>
          <w:p w14:paraId="7F312E1C" w14:textId="77777777" w:rsidR="003446EE" w:rsidRPr="00FF76C3" w:rsidRDefault="003446EE" w:rsidP="00792759">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 xml:space="preserve">Preservación </w:t>
            </w:r>
          </w:p>
        </w:tc>
        <w:tc>
          <w:tcPr>
            <w:tcW w:w="1836" w:type="pct"/>
            <w:tcBorders>
              <w:top w:val="double" w:sz="6" w:space="0" w:color="auto"/>
              <w:left w:val="nil"/>
              <w:bottom w:val="double" w:sz="6" w:space="0" w:color="auto"/>
              <w:right w:val="double" w:sz="6" w:space="0" w:color="000000"/>
            </w:tcBorders>
            <w:noWrap/>
            <w:vAlign w:val="bottom"/>
            <w:hideMark/>
          </w:tcPr>
          <w:p w14:paraId="1CC2E83A" w14:textId="77777777" w:rsidR="003446EE" w:rsidRPr="00FF76C3" w:rsidRDefault="003446EE" w:rsidP="00792759">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7C53BCE1" w14:textId="77777777" w:rsidR="003446EE" w:rsidRPr="00FF76C3" w:rsidRDefault="003446EE" w:rsidP="00792759">
            <w:pPr>
              <w:spacing w:after="0" w:line="240" w:lineRule="auto"/>
              <w:jc w:val="center"/>
              <w:rPr>
                <w:rFonts w:ascii="Calibri" w:eastAsia="Times New Roman" w:hAnsi="Calibri" w:cs="Calibri"/>
                <w:color w:val="000000"/>
                <w:lang w:eastAsia="es-CO"/>
              </w:rPr>
            </w:pPr>
          </w:p>
        </w:tc>
      </w:tr>
      <w:tr w:rsidR="003446EE" w:rsidRPr="00FF76C3" w14:paraId="63C67C37" w14:textId="77777777" w:rsidTr="00792759">
        <w:trPr>
          <w:trHeight w:val="310"/>
          <w:jc w:val="center"/>
        </w:trPr>
        <w:tc>
          <w:tcPr>
            <w:tcW w:w="1574" w:type="pct"/>
            <w:tcBorders>
              <w:top w:val="nil"/>
              <w:left w:val="double" w:sz="6" w:space="0" w:color="auto"/>
              <w:bottom w:val="double" w:sz="6" w:space="0" w:color="auto"/>
              <w:right w:val="double" w:sz="6" w:space="0" w:color="auto"/>
            </w:tcBorders>
            <w:shd w:val="clear" w:color="000000" w:fill="FFC000"/>
            <w:noWrap/>
            <w:vAlign w:val="bottom"/>
            <w:hideMark/>
          </w:tcPr>
          <w:p w14:paraId="1A548EF7" w14:textId="77777777" w:rsidR="003446EE" w:rsidRPr="00FF76C3" w:rsidRDefault="003446EE" w:rsidP="00792759">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Restauración</w:t>
            </w:r>
          </w:p>
        </w:tc>
        <w:tc>
          <w:tcPr>
            <w:tcW w:w="1836" w:type="pct"/>
            <w:tcBorders>
              <w:top w:val="double" w:sz="6" w:space="0" w:color="auto"/>
              <w:left w:val="nil"/>
              <w:bottom w:val="double" w:sz="6" w:space="0" w:color="auto"/>
              <w:right w:val="double" w:sz="6" w:space="0" w:color="000000"/>
            </w:tcBorders>
            <w:noWrap/>
            <w:vAlign w:val="bottom"/>
          </w:tcPr>
          <w:p w14:paraId="38FD468A" w14:textId="77777777" w:rsidR="003446EE" w:rsidRPr="00FF76C3" w:rsidRDefault="003446EE" w:rsidP="00792759">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6787E76F" w14:textId="77777777" w:rsidR="003446EE" w:rsidRPr="00FF76C3" w:rsidRDefault="003446EE" w:rsidP="00792759">
            <w:pPr>
              <w:spacing w:after="0" w:line="240" w:lineRule="auto"/>
              <w:jc w:val="center"/>
              <w:rPr>
                <w:rFonts w:ascii="Calibri" w:eastAsia="Times New Roman" w:hAnsi="Calibri" w:cs="Calibri"/>
                <w:color w:val="000000"/>
                <w:lang w:eastAsia="es-CO"/>
              </w:rPr>
            </w:pPr>
          </w:p>
        </w:tc>
      </w:tr>
      <w:tr w:rsidR="003446EE" w:rsidRPr="00FF76C3" w14:paraId="199CD4C1" w14:textId="77777777" w:rsidTr="00792759">
        <w:trPr>
          <w:trHeight w:val="310"/>
          <w:jc w:val="center"/>
        </w:trPr>
        <w:tc>
          <w:tcPr>
            <w:tcW w:w="1574" w:type="pct"/>
            <w:tcBorders>
              <w:top w:val="nil"/>
              <w:left w:val="double" w:sz="6" w:space="0" w:color="auto"/>
              <w:bottom w:val="double" w:sz="6" w:space="0" w:color="auto"/>
              <w:right w:val="double" w:sz="6" w:space="0" w:color="auto"/>
            </w:tcBorders>
            <w:shd w:val="clear" w:color="000000" w:fill="FFFF00"/>
            <w:noWrap/>
            <w:vAlign w:val="bottom"/>
            <w:hideMark/>
          </w:tcPr>
          <w:p w14:paraId="50984397" w14:textId="77777777" w:rsidR="003446EE" w:rsidRPr="00FF76C3" w:rsidRDefault="003446EE" w:rsidP="00792759">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Uso Sostenible</w:t>
            </w:r>
          </w:p>
        </w:tc>
        <w:tc>
          <w:tcPr>
            <w:tcW w:w="1836" w:type="pct"/>
            <w:tcBorders>
              <w:top w:val="double" w:sz="6" w:space="0" w:color="auto"/>
              <w:left w:val="nil"/>
              <w:bottom w:val="double" w:sz="6" w:space="0" w:color="auto"/>
              <w:right w:val="double" w:sz="6" w:space="0" w:color="000000"/>
            </w:tcBorders>
            <w:noWrap/>
            <w:vAlign w:val="bottom"/>
          </w:tcPr>
          <w:p w14:paraId="7C65CA20" w14:textId="77777777" w:rsidR="003446EE" w:rsidRPr="00FF76C3" w:rsidRDefault="003446EE" w:rsidP="00792759">
            <w:pPr>
              <w:spacing w:after="0" w:line="240" w:lineRule="auto"/>
              <w:jc w:val="center"/>
              <w:rPr>
                <w:rFonts w:ascii="Calibri" w:eastAsia="Times New Roman" w:hAnsi="Calibri" w:cs="Calibri"/>
                <w:color w:val="000000"/>
                <w:lang w:eastAsia="es-CO"/>
              </w:rPr>
            </w:pPr>
          </w:p>
        </w:tc>
        <w:tc>
          <w:tcPr>
            <w:tcW w:w="1590" w:type="pct"/>
            <w:tcBorders>
              <w:top w:val="nil"/>
              <w:left w:val="nil"/>
              <w:bottom w:val="double" w:sz="6" w:space="0" w:color="auto"/>
              <w:right w:val="double" w:sz="6" w:space="0" w:color="auto"/>
            </w:tcBorders>
            <w:noWrap/>
            <w:vAlign w:val="bottom"/>
          </w:tcPr>
          <w:p w14:paraId="68081865" w14:textId="77777777" w:rsidR="003446EE" w:rsidRPr="00FF76C3" w:rsidRDefault="003446EE" w:rsidP="00792759">
            <w:pPr>
              <w:spacing w:after="0" w:line="240" w:lineRule="auto"/>
              <w:jc w:val="center"/>
              <w:rPr>
                <w:rFonts w:ascii="Calibri" w:eastAsia="Times New Roman" w:hAnsi="Calibri" w:cs="Calibri"/>
                <w:color w:val="000000"/>
                <w:lang w:eastAsia="es-CO"/>
              </w:rPr>
            </w:pPr>
          </w:p>
        </w:tc>
      </w:tr>
      <w:tr w:rsidR="003446EE" w:rsidRPr="00FF76C3" w14:paraId="4D102A66" w14:textId="77777777" w:rsidTr="00792759">
        <w:trPr>
          <w:trHeight w:val="310"/>
          <w:jc w:val="center"/>
        </w:trPr>
        <w:tc>
          <w:tcPr>
            <w:tcW w:w="1574" w:type="pct"/>
            <w:tcBorders>
              <w:top w:val="nil"/>
              <w:left w:val="double" w:sz="6" w:space="0" w:color="auto"/>
              <w:bottom w:val="double" w:sz="6" w:space="0" w:color="auto"/>
              <w:right w:val="double" w:sz="6" w:space="0" w:color="auto"/>
            </w:tcBorders>
            <w:noWrap/>
            <w:vAlign w:val="bottom"/>
            <w:hideMark/>
          </w:tcPr>
          <w:p w14:paraId="309A9F78" w14:textId="77777777" w:rsidR="003446EE" w:rsidRPr="00FF76C3" w:rsidRDefault="003446EE" w:rsidP="00792759">
            <w:pPr>
              <w:spacing w:after="0" w:line="240" w:lineRule="auto"/>
              <w:jc w:val="right"/>
              <w:rPr>
                <w:rFonts w:ascii="Calibri" w:eastAsia="Times New Roman" w:hAnsi="Calibri" w:cs="Calibri"/>
                <w:b/>
                <w:bCs/>
                <w:color w:val="000000"/>
                <w:lang w:eastAsia="es-CO"/>
              </w:rPr>
            </w:pPr>
            <w:r w:rsidRPr="00FF76C3">
              <w:rPr>
                <w:rFonts w:ascii="Calibri" w:eastAsia="Times New Roman" w:hAnsi="Calibri" w:cs="Calibri"/>
                <w:b/>
                <w:bCs/>
                <w:color w:val="000000"/>
                <w:lang w:eastAsia="es-CO"/>
              </w:rPr>
              <w:t>Total</w:t>
            </w:r>
          </w:p>
        </w:tc>
        <w:tc>
          <w:tcPr>
            <w:tcW w:w="1836" w:type="pct"/>
            <w:tcBorders>
              <w:top w:val="double" w:sz="6" w:space="0" w:color="auto"/>
              <w:left w:val="nil"/>
              <w:bottom w:val="double" w:sz="6" w:space="0" w:color="auto"/>
              <w:right w:val="double" w:sz="6" w:space="0" w:color="000000"/>
            </w:tcBorders>
            <w:noWrap/>
            <w:vAlign w:val="bottom"/>
          </w:tcPr>
          <w:p w14:paraId="36E490A4" w14:textId="77777777" w:rsidR="003446EE" w:rsidRPr="00FF76C3" w:rsidRDefault="003446EE" w:rsidP="00792759">
            <w:pPr>
              <w:spacing w:after="0" w:line="240" w:lineRule="auto"/>
              <w:jc w:val="center"/>
              <w:rPr>
                <w:rFonts w:ascii="Calibri" w:eastAsia="Times New Roman" w:hAnsi="Calibri" w:cs="Calibri"/>
                <w:b/>
                <w:bCs/>
                <w:color w:val="000000"/>
                <w:lang w:eastAsia="es-CO"/>
              </w:rPr>
            </w:pPr>
          </w:p>
        </w:tc>
        <w:tc>
          <w:tcPr>
            <w:tcW w:w="1590" w:type="pct"/>
            <w:tcBorders>
              <w:top w:val="nil"/>
              <w:left w:val="nil"/>
              <w:bottom w:val="double" w:sz="6" w:space="0" w:color="auto"/>
              <w:right w:val="double" w:sz="6" w:space="0" w:color="auto"/>
            </w:tcBorders>
            <w:noWrap/>
            <w:vAlign w:val="bottom"/>
            <w:hideMark/>
          </w:tcPr>
          <w:p w14:paraId="798DB971" w14:textId="77777777" w:rsidR="003446EE" w:rsidRPr="00FF76C3" w:rsidRDefault="003446EE" w:rsidP="00792759">
            <w:pPr>
              <w:spacing w:after="0" w:line="240" w:lineRule="auto"/>
              <w:jc w:val="center"/>
              <w:rPr>
                <w:rFonts w:ascii="Calibri" w:eastAsia="Times New Roman" w:hAnsi="Calibri" w:cs="Calibri"/>
                <w:color w:val="000000"/>
                <w:lang w:eastAsia="es-CO"/>
              </w:rPr>
            </w:pPr>
            <w:r w:rsidRPr="00FF76C3">
              <w:rPr>
                <w:rFonts w:ascii="Calibri" w:eastAsia="Times New Roman" w:hAnsi="Calibri" w:cs="Calibri"/>
                <w:color w:val="000000"/>
                <w:lang w:eastAsia="es-CO"/>
              </w:rPr>
              <w:t>100</w:t>
            </w:r>
          </w:p>
        </w:tc>
      </w:tr>
    </w:tbl>
    <w:p w14:paraId="4D0EADB1" w14:textId="77777777" w:rsidR="00E66499" w:rsidRPr="00E66499" w:rsidRDefault="00E66499">
      <w:pPr>
        <w:spacing w:after="0" w:line="276" w:lineRule="auto"/>
        <w:jc w:val="both"/>
        <w:rPr>
          <w:rFonts w:ascii="Arial" w:hAnsi="Arial" w:cs="Arial"/>
          <w:sz w:val="24"/>
          <w:szCs w:val="24"/>
        </w:rPr>
      </w:pPr>
    </w:p>
    <w:p w14:paraId="43A96C42" w14:textId="7EC54DFB" w:rsidR="00273340" w:rsidRPr="00B42557" w:rsidRDefault="00273340">
      <w:pPr>
        <w:spacing w:after="0" w:line="276" w:lineRule="auto"/>
        <w:jc w:val="both"/>
        <w:rPr>
          <w:rFonts w:ascii="Arial" w:hAnsi="Arial" w:cs="Arial"/>
          <w:b/>
          <w:bCs/>
          <w:sz w:val="24"/>
          <w:szCs w:val="24"/>
          <w:u w:val="single"/>
        </w:rPr>
      </w:pPr>
      <w:r w:rsidRPr="00B42557">
        <w:rPr>
          <w:rFonts w:ascii="Arial" w:hAnsi="Arial" w:cs="Arial"/>
          <w:b/>
          <w:bCs/>
          <w:sz w:val="24"/>
          <w:szCs w:val="24"/>
          <w:u w:val="single"/>
        </w:rPr>
        <w:t>Estructura base de datos del proceso</w:t>
      </w:r>
    </w:p>
    <w:p w14:paraId="2583A63B" w14:textId="77777777" w:rsidR="00273340" w:rsidRDefault="00273340">
      <w:pPr>
        <w:spacing w:after="0" w:line="276" w:lineRule="auto"/>
        <w:jc w:val="both"/>
        <w:rPr>
          <w:rFonts w:ascii="Arial" w:hAnsi="Arial" w:cs="Arial"/>
          <w:sz w:val="24"/>
          <w:szCs w:val="24"/>
          <w:lang w:val="es-ES"/>
        </w:rPr>
      </w:pPr>
    </w:p>
    <w:p w14:paraId="5167FEE0" w14:textId="12246DEE" w:rsidR="00DB1780" w:rsidRDefault="009B14BD" w:rsidP="009B14BD">
      <w:pPr>
        <w:spacing w:after="0" w:line="276" w:lineRule="auto"/>
        <w:jc w:val="both"/>
        <w:rPr>
          <w:rFonts w:ascii="Arial" w:hAnsi="Arial" w:cs="Arial"/>
          <w:sz w:val="24"/>
          <w:szCs w:val="24"/>
        </w:rPr>
      </w:pPr>
      <w:r w:rsidRPr="009B14BD">
        <w:rPr>
          <w:rFonts w:ascii="Arial" w:hAnsi="Arial" w:cs="Arial"/>
          <w:sz w:val="24"/>
          <w:szCs w:val="24"/>
        </w:rPr>
        <w:t xml:space="preserve">El documento técnico de soporte se entrega acompañado de una base de datos geográfica, en la cual se integran todas las capas de información </w:t>
      </w:r>
      <w:r w:rsidR="00DB1780">
        <w:rPr>
          <w:rFonts w:ascii="Arial" w:hAnsi="Arial" w:cs="Arial"/>
          <w:sz w:val="24"/>
          <w:szCs w:val="24"/>
        </w:rPr>
        <w:t>temática</w:t>
      </w:r>
      <w:r w:rsidRPr="009B14BD">
        <w:rPr>
          <w:rFonts w:ascii="Arial" w:hAnsi="Arial" w:cs="Arial"/>
          <w:sz w:val="24"/>
          <w:szCs w:val="24"/>
        </w:rPr>
        <w:t xml:space="preserve"> utilizadas durante el proceso de análisis y zonificación</w:t>
      </w:r>
      <w:r w:rsidR="00DB1780">
        <w:rPr>
          <w:rFonts w:ascii="Arial" w:hAnsi="Arial" w:cs="Arial"/>
          <w:sz w:val="24"/>
          <w:szCs w:val="24"/>
        </w:rPr>
        <w:t xml:space="preserve"> de está área.</w:t>
      </w:r>
    </w:p>
    <w:p w14:paraId="212A1546" w14:textId="77777777" w:rsidR="00DB1780" w:rsidRDefault="00DB1780" w:rsidP="009B14BD">
      <w:pPr>
        <w:spacing w:after="0" w:line="276" w:lineRule="auto"/>
        <w:jc w:val="both"/>
        <w:rPr>
          <w:rFonts w:ascii="Arial" w:hAnsi="Arial" w:cs="Arial"/>
          <w:sz w:val="24"/>
          <w:szCs w:val="24"/>
        </w:rPr>
      </w:pPr>
    </w:p>
    <w:p w14:paraId="3D6BA281" w14:textId="1A9A0121" w:rsidR="009B14BD" w:rsidRPr="009B14BD" w:rsidRDefault="009B14BD" w:rsidP="009B14BD">
      <w:pPr>
        <w:spacing w:after="0" w:line="276" w:lineRule="auto"/>
        <w:jc w:val="both"/>
        <w:rPr>
          <w:rFonts w:ascii="Arial" w:hAnsi="Arial" w:cs="Arial"/>
          <w:sz w:val="24"/>
          <w:szCs w:val="24"/>
        </w:rPr>
      </w:pPr>
      <w:r w:rsidRPr="009B14BD">
        <w:rPr>
          <w:rFonts w:ascii="Arial" w:hAnsi="Arial" w:cs="Arial"/>
          <w:sz w:val="24"/>
          <w:szCs w:val="24"/>
        </w:rPr>
        <w:t>La inclusión de esta información tiene como propósito garantizar la trazabilidad, verificación y reproducibilidad del análisis realizado, permitiendo consultar de manera directa los insumos utilizados y la forma en que estos fueron integrados dentro del proceso metodológico. De esta manera, la base de datos geográfica constituye un complemento fundamental del documento técnico, al proporcionar el soporte espacial que respalda los resultados presentados en la zonificación del área protegida.</w:t>
      </w:r>
    </w:p>
    <w:p w14:paraId="1605A46D" w14:textId="7AEBE5EF" w:rsidR="009B14BD" w:rsidRDefault="009B14BD" w:rsidP="009B14BD">
      <w:pPr>
        <w:spacing w:after="0" w:line="276" w:lineRule="auto"/>
        <w:jc w:val="both"/>
        <w:rPr>
          <w:rFonts w:ascii="Arial" w:hAnsi="Arial" w:cs="Arial"/>
          <w:sz w:val="24"/>
          <w:szCs w:val="24"/>
          <w:lang w:val="es-ES"/>
        </w:rPr>
      </w:pPr>
    </w:p>
    <w:p w14:paraId="23D8E732" w14:textId="786D7B96" w:rsidR="006F219C" w:rsidRDefault="006F219C" w:rsidP="009B14BD">
      <w:pPr>
        <w:spacing w:after="0" w:line="276" w:lineRule="auto"/>
        <w:jc w:val="both"/>
        <w:rPr>
          <w:rFonts w:ascii="Arial" w:hAnsi="Arial" w:cs="Arial"/>
          <w:sz w:val="24"/>
          <w:szCs w:val="24"/>
          <w:lang w:val="es-ES"/>
        </w:rPr>
      </w:pPr>
      <w:r>
        <w:rPr>
          <w:rFonts w:ascii="Arial" w:hAnsi="Arial" w:cs="Arial"/>
          <w:sz w:val="24"/>
          <w:szCs w:val="24"/>
          <w:lang w:val="es-ES"/>
        </w:rPr>
        <w:t xml:space="preserve">La estructura de la base de datos es la siguiente: </w:t>
      </w:r>
    </w:p>
    <w:p w14:paraId="0CE6418D" w14:textId="77777777" w:rsidR="006E6C51" w:rsidRDefault="006E6C51" w:rsidP="006F219C">
      <w:pPr>
        <w:spacing w:after="0" w:line="276" w:lineRule="auto"/>
        <w:jc w:val="center"/>
        <w:rPr>
          <w:rFonts w:ascii="Arial" w:hAnsi="Arial" w:cs="Arial"/>
          <w:sz w:val="24"/>
          <w:szCs w:val="24"/>
          <w:lang w:val="es-ES"/>
        </w:rPr>
      </w:pPr>
    </w:p>
    <w:p w14:paraId="776594B6" w14:textId="6FFE6143" w:rsidR="006F219C" w:rsidRDefault="006F219C" w:rsidP="006F219C">
      <w:pPr>
        <w:spacing w:after="0" w:line="276" w:lineRule="auto"/>
        <w:jc w:val="center"/>
        <w:rPr>
          <w:rFonts w:ascii="Arial" w:hAnsi="Arial" w:cs="Arial"/>
          <w:sz w:val="24"/>
          <w:szCs w:val="24"/>
          <w:lang w:val="es-ES"/>
        </w:rPr>
      </w:pPr>
      <w:r w:rsidRPr="006F219C">
        <w:rPr>
          <w:rFonts w:ascii="Arial" w:hAnsi="Arial" w:cs="Arial"/>
          <w:noProof/>
          <w:sz w:val="24"/>
          <w:szCs w:val="24"/>
          <w:lang w:val="es-ES"/>
        </w:rPr>
        <w:drawing>
          <wp:inline distT="0" distB="0" distL="0" distR="0" wp14:anchorId="6D194744" wp14:editId="269CFF64">
            <wp:extent cx="2841341" cy="1058545"/>
            <wp:effectExtent l="0" t="0" r="0" b="8255"/>
            <wp:docPr id="9575005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500553" name=""/>
                    <pic:cNvPicPr/>
                  </pic:nvPicPr>
                  <pic:blipFill rotWithShape="1">
                    <a:blip r:embed="rId14"/>
                    <a:srcRect l="3369" t="3473"/>
                    <a:stretch>
                      <a:fillRect/>
                    </a:stretch>
                  </pic:blipFill>
                  <pic:spPr bwMode="auto">
                    <a:xfrm>
                      <a:off x="0" y="0"/>
                      <a:ext cx="2844017" cy="1059542"/>
                    </a:xfrm>
                    <a:prstGeom prst="rect">
                      <a:avLst/>
                    </a:prstGeom>
                    <a:ln>
                      <a:noFill/>
                    </a:ln>
                    <a:extLst>
                      <a:ext uri="{53640926-AAD7-44D8-BBD7-CCE9431645EC}">
                        <a14:shadowObscured xmlns:a14="http://schemas.microsoft.com/office/drawing/2010/main"/>
                      </a:ext>
                    </a:extLst>
                  </pic:spPr>
                </pic:pic>
              </a:graphicData>
            </a:graphic>
          </wp:inline>
        </w:drawing>
      </w:r>
    </w:p>
    <w:p w14:paraId="1F4B165D" w14:textId="56C1BA98" w:rsidR="00C9580B" w:rsidRPr="00ED50D5" w:rsidRDefault="003C44C2" w:rsidP="003C44C2">
      <w:pPr>
        <w:spacing w:after="0" w:line="276" w:lineRule="auto"/>
        <w:jc w:val="both"/>
        <w:rPr>
          <w:rFonts w:ascii="Arial" w:hAnsi="Arial" w:cs="Arial"/>
          <w:sz w:val="24"/>
          <w:szCs w:val="24"/>
          <w:lang w:val="es-ES"/>
        </w:rPr>
      </w:pPr>
      <w:r w:rsidRPr="00ED50D5">
        <w:rPr>
          <w:rFonts w:ascii="Arial" w:hAnsi="Arial" w:cs="Arial"/>
          <w:sz w:val="24"/>
          <w:szCs w:val="24"/>
        </w:rPr>
        <w:lastRenderedPageBreak/>
        <w:t xml:space="preserve">Con el fin de facilitar la consulta, interpretación y manejo de las capas de información incluidas en la base de datos geográfica, a </w:t>
      </w:r>
      <w:r w:rsidR="00ED50D5" w:rsidRPr="00ED50D5">
        <w:rPr>
          <w:rFonts w:ascii="Arial" w:hAnsi="Arial" w:cs="Arial"/>
          <w:sz w:val="24"/>
          <w:szCs w:val="24"/>
        </w:rPr>
        <w:t>continuación,</w:t>
      </w:r>
      <w:r w:rsidRPr="00ED50D5">
        <w:rPr>
          <w:rFonts w:ascii="Arial" w:hAnsi="Arial" w:cs="Arial"/>
          <w:sz w:val="24"/>
          <w:szCs w:val="24"/>
        </w:rPr>
        <w:t xml:space="preserve"> se presenta de manera detallada la estructura del modelo de datos correspondiente a cada uno de los criterios utilizados en el proceso de zonificación. Esta descripción permite comprender la organización de la información espacial, los tipos de capas incorporadas y la forma en que cada una de ellas se relaciona con los criterios técnicos evaluados durante el análisis.</w:t>
      </w:r>
    </w:p>
    <w:p w14:paraId="56A0910D" w14:textId="77777777" w:rsidR="00C9580B" w:rsidRDefault="00C9580B" w:rsidP="006F219C">
      <w:pPr>
        <w:spacing w:after="0" w:line="276" w:lineRule="auto"/>
        <w:jc w:val="center"/>
        <w:rPr>
          <w:rFonts w:ascii="Arial" w:hAnsi="Arial" w:cs="Arial"/>
          <w:sz w:val="24"/>
          <w:szCs w:val="24"/>
          <w:lang w:val="es-ES"/>
        </w:rPr>
      </w:pPr>
    </w:p>
    <w:p w14:paraId="21FE6429" w14:textId="1EA5B86B" w:rsidR="00C9580B" w:rsidRDefault="00C9580B" w:rsidP="006F219C">
      <w:pPr>
        <w:spacing w:after="0" w:line="276" w:lineRule="auto"/>
        <w:jc w:val="center"/>
        <w:rPr>
          <w:rFonts w:ascii="Arial" w:hAnsi="Arial" w:cs="Arial"/>
          <w:sz w:val="24"/>
          <w:szCs w:val="24"/>
          <w:lang w:val="es-ES"/>
        </w:rPr>
      </w:pPr>
      <w:r w:rsidRPr="00C9580B">
        <w:rPr>
          <w:rFonts w:ascii="Arial" w:hAnsi="Arial" w:cs="Arial"/>
          <w:noProof/>
          <w:sz w:val="24"/>
          <w:szCs w:val="24"/>
          <w:lang w:val="es-ES"/>
        </w:rPr>
        <w:drawing>
          <wp:inline distT="0" distB="0" distL="0" distR="0" wp14:anchorId="0E90FF6D" wp14:editId="7C1D7350">
            <wp:extent cx="3360420" cy="3340768"/>
            <wp:effectExtent l="0" t="0" r="0" b="0"/>
            <wp:docPr id="6611291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129166" name=""/>
                    <pic:cNvPicPr/>
                  </pic:nvPicPr>
                  <pic:blipFill>
                    <a:blip r:embed="rId15"/>
                    <a:stretch>
                      <a:fillRect/>
                    </a:stretch>
                  </pic:blipFill>
                  <pic:spPr>
                    <a:xfrm>
                      <a:off x="0" y="0"/>
                      <a:ext cx="3364663" cy="3344986"/>
                    </a:xfrm>
                    <a:prstGeom prst="rect">
                      <a:avLst/>
                    </a:prstGeom>
                  </pic:spPr>
                </pic:pic>
              </a:graphicData>
            </a:graphic>
          </wp:inline>
        </w:drawing>
      </w:r>
    </w:p>
    <w:p w14:paraId="33EC3EED" w14:textId="77777777" w:rsidR="004601A9" w:rsidRDefault="004601A9" w:rsidP="006F219C">
      <w:pPr>
        <w:spacing w:after="0" w:line="276" w:lineRule="auto"/>
        <w:jc w:val="center"/>
        <w:rPr>
          <w:rFonts w:ascii="Arial" w:hAnsi="Arial" w:cs="Arial"/>
          <w:sz w:val="24"/>
          <w:szCs w:val="24"/>
          <w:lang w:val="es-ES"/>
        </w:rPr>
      </w:pPr>
    </w:p>
    <w:tbl>
      <w:tblPr>
        <w:tblW w:w="5000" w:type="pct"/>
        <w:tblLayout w:type="fixed"/>
        <w:tblCellMar>
          <w:left w:w="70" w:type="dxa"/>
          <w:right w:w="70" w:type="dxa"/>
        </w:tblCellMar>
        <w:tblLook w:val="04A0" w:firstRow="1" w:lastRow="0" w:firstColumn="1" w:lastColumn="0" w:noHBand="0" w:noVBand="1"/>
      </w:tblPr>
      <w:tblGrid>
        <w:gridCol w:w="410"/>
        <w:gridCol w:w="4783"/>
        <w:gridCol w:w="3615"/>
      </w:tblGrid>
      <w:tr w:rsidR="004174D1" w:rsidRPr="004174D1" w14:paraId="49DA22B3" w14:textId="77777777" w:rsidTr="004174D1">
        <w:trPr>
          <w:trHeight w:val="330"/>
        </w:trPr>
        <w:tc>
          <w:tcPr>
            <w:tcW w:w="233" w:type="pct"/>
            <w:tcBorders>
              <w:top w:val="single" w:sz="12" w:space="0" w:color="auto"/>
              <w:left w:val="single" w:sz="12" w:space="0" w:color="auto"/>
              <w:bottom w:val="single" w:sz="12" w:space="0" w:color="auto"/>
              <w:right w:val="single" w:sz="12" w:space="0" w:color="auto"/>
            </w:tcBorders>
            <w:shd w:val="clear" w:color="000000" w:fill="BFBFBF"/>
            <w:noWrap/>
            <w:vAlign w:val="bottom"/>
            <w:hideMark/>
          </w:tcPr>
          <w:p w14:paraId="07E54FB8" w14:textId="77777777" w:rsidR="004174D1" w:rsidRPr="004174D1" w:rsidRDefault="004174D1" w:rsidP="004174D1">
            <w:pPr>
              <w:spacing w:after="0" w:line="240" w:lineRule="auto"/>
              <w:jc w:val="center"/>
              <w:rPr>
                <w:rFonts w:ascii="Arial" w:eastAsia="Times New Roman" w:hAnsi="Arial" w:cs="Arial"/>
                <w:b/>
                <w:bCs/>
                <w:color w:val="000000"/>
                <w:sz w:val="20"/>
                <w:szCs w:val="20"/>
                <w:lang w:eastAsia="es-CO"/>
              </w:rPr>
            </w:pPr>
            <w:r w:rsidRPr="004174D1">
              <w:rPr>
                <w:rFonts w:ascii="Arial" w:eastAsia="Times New Roman" w:hAnsi="Arial" w:cs="Arial"/>
                <w:b/>
                <w:bCs/>
                <w:color w:val="000000"/>
                <w:sz w:val="20"/>
                <w:szCs w:val="20"/>
                <w:lang w:eastAsia="es-CO"/>
              </w:rPr>
              <w:t>ID</w:t>
            </w:r>
          </w:p>
        </w:tc>
        <w:tc>
          <w:tcPr>
            <w:tcW w:w="2715" w:type="pct"/>
            <w:tcBorders>
              <w:top w:val="single" w:sz="12" w:space="0" w:color="auto"/>
              <w:left w:val="nil"/>
              <w:bottom w:val="single" w:sz="12" w:space="0" w:color="auto"/>
              <w:right w:val="single" w:sz="12" w:space="0" w:color="auto"/>
            </w:tcBorders>
            <w:shd w:val="clear" w:color="000000" w:fill="BFBFBF"/>
            <w:noWrap/>
            <w:vAlign w:val="bottom"/>
            <w:hideMark/>
          </w:tcPr>
          <w:p w14:paraId="0330029D" w14:textId="77777777" w:rsidR="004174D1" w:rsidRPr="004174D1" w:rsidRDefault="004174D1" w:rsidP="004174D1">
            <w:pPr>
              <w:spacing w:after="0" w:line="240" w:lineRule="auto"/>
              <w:jc w:val="center"/>
              <w:rPr>
                <w:rFonts w:ascii="Arial" w:eastAsia="Times New Roman" w:hAnsi="Arial" w:cs="Arial"/>
                <w:b/>
                <w:bCs/>
                <w:color w:val="000000"/>
                <w:sz w:val="20"/>
                <w:szCs w:val="20"/>
                <w:lang w:eastAsia="es-CO"/>
              </w:rPr>
            </w:pPr>
            <w:r w:rsidRPr="004174D1">
              <w:rPr>
                <w:rFonts w:ascii="Arial" w:eastAsia="Times New Roman" w:hAnsi="Arial" w:cs="Arial"/>
                <w:b/>
                <w:bCs/>
                <w:color w:val="000000"/>
                <w:sz w:val="20"/>
                <w:szCs w:val="20"/>
                <w:lang w:eastAsia="es-CO"/>
              </w:rPr>
              <w:t>Criterio</w:t>
            </w:r>
          </w:p>
        </w:tc>
        <w:tc>
          <w:tcPr>
            <w:tcW w:w="2052" w:type="pct"/>
            <w:tcBorders>
              <w:top w:val="single" w:sz="12" w:space="0" w:color="auto"/>
              <w:left w:val="nil"/>
              <w:bottom w:val="single" w:sz="12" w:space="0" w:color="auto"/>
              <w:right w:val="single" w:sz="12" w:space="0" w:color="auto"/>
            </w:tcBorders>
            <w:shd w:val="clear" w:color="000000" w:fill="BFBFBF"/>
            <w:noWrap/>
            <w:vAlign w:val="bottom"/>
            <w:hideMark/>
          </w:tcPr>
          <w:p w14:paraId="63E1006C" w14:textId="77777777" w:rsidR="004174D1" w:rsidRPr="004174D1" w:rsidRDefault="004174D1" w:rsidP="004174D1">
            <w:pPr>
              <w:spacing w:after="0" w:line="240" w:lineRule="auto"/>
              <w:jc w:val="center"/>
              <w:rPr>
                <w:rFonts w:ascii="Arial" w:eastAsia="Times New Roman" w:hAnsi="Arial" w:cs="Arial"/>
                <w:b/>
                <w:bCs/>
                <w:color w:val="000000"/>
                <w:sz w:val="20"/>
                <w:szCs w:val="20"/>
                <w:lang w:eastAsia="es-CO"/>
              </w:rPr>
            </w:pPr>
            <w:r w:rsidRPr="004174D1">
              <w:rPr>
                <w:rFonts w:ascii="Arial" w:eastAsia="Times New Roman" w:hAnsi="Arial" w:cs="Arial"/>
                <w:b/>
                <w:bCs/>
                <w:color w:val="000000"/>
                <w:sz w:val="20"/>
                <w:szCs w:val="20"/>
                <w:lang w:eastAsia="es-CO"/>
              </w:rPr>
              <w:t>Feature Class</w:t>
            </w:r>
          </w:p>
        </w:tc>
      </w:tr>
      <w:tr w:rsidR="004174D1" w:rsidRPr="004174D1" w14:paraId="684042A7" w14:textId="77777777" w:rsidTr="004174D1">
        <w:trPr>
          <w:trHeight w:val="320"/>
        </w:trPr>
        <w:tc>
          <w:tcPr>
            <w:tcW w:w="233" w:type="pct"/>
            <w:tcBorders>
              <w:top w:val="nil"/>
              <w:left w:val="single" w:sz="4" w:space="0" w:color="auto"/>
              <w:bottom w:val="single" w:sz="4" w:space="0" w:color="auto"/>
              <w:right w:val="single" w:sz="4" w:space="0" w:color="auto"/>
            </w:tcBorders>
            <w:noWrap/>
            <w:hideMark/>
          </w:tcPr>
          <w:p w14:paraId="50721A59"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1</w:t>
            </w:r>
          </w:p>
        </w:tc>
        <w:tc>
          <w:tcPr>
            <w:tcW w:w="2715" w:type="pct"/>
            <w:tcBorders>
              <w:top w:val="nil"/>
              <w:left w:val="nil"/>
              <w:bottom w:val="single" w:sz="4" w:space="0" w:color="auto"/>
              <w:right w:val="single" w:sz="4" w:space="0" w:color="auto"/>
            </w:tcBorders>
            <w:noWrap/>
            <w:hideMark/>
          </w:tcPr>
          <w:p w14:paraId="4469A2B2"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 xml:space="preserve">Cobertura de la tierra </w:t>
            </w:r>
          </w:p>
        </w:tc>
        <w:tc>
          <w:tcPr>
            <w:tcW w:w="2052" w:type="pct"/>
            <w:tcBorders>
              <w:top w:val="nil"/>
              <w:left w:val="nil"/>
              <w:bottom w:val="single" w:sz="4" w:space="0" w:color="auto"/>
              <w:right w:val="single" w:sz="4" w:space="0" w:color="auto"/>
            </w:tcBorders>
            <w:noWrap/>
            <w:hideMark/>
          </w:tcPr>
          <w:p w14:paraId="239362C1"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A_Coberturas_CAR_2023</w:t>
            </w:r>
          </w:p>
        </w:tc>
      </w:tr>
      <w:tr w:rsidR="004174D1" w:rsidRPr="004174D1" w14:paraId="5C54DF9F" w14:textId="77777777" w:rsidTr="004174D1">
        <w:trPr>
          <w:trHeight w:val="310"/>
        </w:trPr>
        <w:tc>
          <w:tcPr>
            <w:tcW w:w="233" w:type="pct"/>
            <w:tcBorders>
              <w:top w:val="nil"/>
              <w:left w:val="single" w:sz="4" w:space="0" w:color="auto"/>
              <w:bottom w:val="single" w:sz="4" w:space="0" w:color="auto"/>
              <w:right w:val="single" w:sz="4" w:space="0" w:color="auto"/>
            </w:tcBorders>
            <w:noWrap/>
            <w:hideMark/>
          </w:tcPr>
          <w:p w14:paraId="0449F7E2"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2</w:t>
            </w:r>
          </w:p>
        </w:tc>
        <w:tc>
          <w:tcPr>
            <w:tcW w:w="2715" w:type="pct"/>
            <w:tcBorders>
              <w:top w:val="nil"/>
              <w:left w:val="nil"/>
              <w:bottom w:val="single" w:sz="4" w:space="0" w:color="auto"/>
              <w:right w:val="single" w:sz="4" w:space="0" w:color="auto"/>
            </w:tcBorders>
            <w:noWrap/>
            <w:hideMark/>
          </w:tcPr>
          <w:p w14:paraId="24B74C34"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Actividad agropecuaria preexistente en Páramo a 2011</w:t>
            </w:r>
          </w:p>
        </w:tc>
        <w:tc>
          <w:tcPr>
            <w:tcW w:w="2052" w:type="pct"/>
            <w:tcBorders>
              <w:top w:val="nil"/>
              <w:left w:val="nil"/>
              <w:bottom w:val="single" w:sz="4" w:space="0" w:color="auto"/>
              <w:right w:val="single" w:sz="4" w:space="0" w:color="auto"/>
            </w:tcBorders>
            <w:noWrap/>
            <w:hideMark/>
          </w:tcPr>
          <w:p w14:paraId="26F33C16"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B_Act_agro_preexistente_paramo_2011</w:t>
            </w:r>
          </w:p>
        </w:tc>
      </w:tr>
      <w:tr w:rsidR="004174D1" w:rsidRPr="004174D1" w14:paraId="016E0201" w14:textId="77777777" w:rsidTr="004174D1">
        <w:trPr>
          <w:trHeight w:val="310"/>
        </w:trPr>
        <w:tc>
          <w:tcPr>
            <w:tcW w:w="233" w:type="pct"/>
            <w:tcBorders>
              <w:top w:val="nil"/>
              <w:left w:val="single" w:sz="4" w:space="0" w:color="auto"/>
              <w:bottom w:val="single" w:sz="4" w:space="0" w:color="auto"/>
              <w:right w:val="single" w:sz="4" w:space="0" w:color="auto"/>
            </w:tcBorders>
            <w:noWrap/>
            <w:hideMark/>
          </w:tcPr>
          <w:p w14:paraId="3F13C97A"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3</w:t>
            </w:r>
          </w:p>
        </w:tc>
        <w:tc>
          <w:tcPr>
            <w:tcW w:w="2715" w:type="pct"/>
            <w:tcBorders>
              <w:top w:val="nil"/>
              <w:left w:val="nil"/>
              <w:bottom w:val="single" w:sz="4" w:space="0" w:color="auto"/>
              <w:right w:val="single" w:sz="4" w:space="0" w:color="auto"/>
            </w:tcBorders>
            <w:noWrap/>
            <w:hideMark/>
          </w:tcPr>
          <w:p w14:paraId="75252AAE"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Conflicto de uso del suelo</w:t>
            </w:r>
          </w:p>
        </w:tc>
        <w:tc>
          <w:tcPr>
            <w:tcW w:w="2052" w:type="pct"/>
            <w:tcBorders>
              <w:top w:val="nil"/>
              <w:left w:val="nil"/>
              <w:bottom w:val="single" w:sz="4" w:space="0" w:color="auto"/>
              <w:right w:val="single" w:sz="4" w:space="0" w:color="auto"/>
            </w:tcBorders>
            <w:noWrap/>
            <w:hideMark/>
          </w:tcPr>
          <w:p w14:paraId="2DE33B7D"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C_Conflicto_Uso_Suelo</w:t>
            </w:r>
          </w:p>
        </w:tc>
      </w:tr>
      <w:tr w:rsidR="004174D1" w:rsidRPr="004174D1" w14:paraId="71BFD5D4" w14:textId="77777777" w:rsidTr="004174D1">
        <w:trPr>
          <w:trHeight w:val="310"/>
        </w:trPr>
        <w:tc>
          <w:tcPr>
            <w:tcW w:w="233" w:type="pct"/>
            <w:vMerge w:val="restart"/>
            <w:tcBorders>
              <w:top w:val="nil"/>
              <w:left w:val="single" w:sz="4" w:space="0" w:color="auto"/>
              <w:bottom w:val="single" w:sz="4" w:space="0" w:color="auto"/>
              <w:right w:val="single" w:sz="4" w:space="0" w:color="auto"/>
            </w:tcBorders>
            <w:noWrap/>
            <w:vAlign w:val="center"/>
            <w:hideMark/>
          </w:tcPr>
          <w:p w14:paraId="744FA0CC"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4</w:t>
            </w:r>
          </w:p>
        </w:tc>
        <w:tc>
          <w:tcPr>
            <w:tcW w:w="2715" w:type="pct"/>
            <w:vMerge w:val="restart"/>
            <w:tcBorders>
              <w:top w:val="nil"/>
              <w:left w:val="single" w:sz="4" w:space="0" w:color="auto"/>
              <w:bottom w:val="single" w:sz="4" w:space="0" w:color="auto"/>
              <w:right w:val="single" w:sz="4" w:space="0" w:color="auto"/>
            </w:tcBorders>
            <w:noWrap/>
            <w:vAlign w:val="center"/>
            <w:hideMark/>
          </w:tcPr>
          <w:p w14:paraId="2DD8BA68"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Áreas estratégicas para el recurso hídrico</w:t>
            </w:r>
          </w:p>
        </w:tc>
        <w:tc>
          <w:tcPr>
            <w:tcW w:w="2052" w:type="pct"/>
            <w:tcBorders>
              <w:top w:val="nil"/>
              <w:left w:val="nil"/>
              <w:bottom w:val="single" w:sz="4" w:space="0" w:color="auto"/>
              <w:right w:val="single" w:sz="4" w:space="0" w:color="auto"/>
            </w:tcBorders>
            <w:noWrap/>
            <w:hideMark/>
          </w:tcPr>
          <w:p w14:paraId="6E73F661"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D_Rondas_Delimitadas_CAR_2024</w:t>
            </w:r>
          </w:p>
        </w:tc>
      </w:tr>
      <w:tr w:rsidR="004174D1" w:rsidRPr="004174D1" w14:paraId="4B5F6F47" w14:textId="77777777" w:rsidTr="004174D1">
        <w:trPr>
          <w:trHeight w:val="310"/>
        </w:trPr>
        <w:tc>
          <w:tcPr>
            <w:tcW w:w="233" w:type="pct"/>
            <w:vMerge/>
            <w:tcBorders>
              <w:top w:val="nil"/>
              <w:left w:val="single" w:sz="4" w:space="0" w:color="auto"/>
              <w:bottom w:val="single" w:sz="4" w:space="0" w:color="auto"/>
              <w:right w:val="single" w:sz="4" w:space="0" w:color="auto"/>
            </w:tcBorders>
            <w:vAlign w:val="center"/>
            <w:hideMark/>
          </w:tcPr>
          <w:p w14:paraId="677B2A1D"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715" w:type="pct"/>
            <w:vMerge/>
            <w:tcBorders>
              <w:top w:val="nil"/>
              <w:left w:val="single" w:sz="4" w:space="0" w:color="auto"/>
              <w:bottom w:val="single" w:sz="4" w:space="0" w:color="auto"/>
              <w:right w:val="single" w:sz="4" w:space="0" w:color="auto"/>
            </w:tcBorders>
            <w:vAlign w:val="center"/>
            <w:hideMark/>
          </w:tcPr>
          <w:p w14:paraId="7B0B7D5D"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052" w:type="pct"/>
            <w:tcBorders>
              <w:top w:val="nil"/>
              <w:left w:val="nil"/>
              <w:bottom w:val="single" w:sz="4" w:space="0" w:color="auto"/>
              <w:right w:val="single" w:sz="4" w:space="0" w:color="auto"/>
            </w:tcBorders>
            <w:noWrap/>
            <w:hideMark/>
          </w:tcPr>
          <w:p w14:paraId="02D54908"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E_Drenaje_Doble_10K</w:t>
            </w:r>
          </w:p>
        </w:tc>
      </w:tr>
      <w:tr w:rsidR="004174D1" w:rsidRPr="004174D1" w14:paraId="71CC2353" w14:textId="77777777" w:rsidTr="004174D1">
        <w:trPr>
          <w:trHeight w:val="310"/>
        </w:trPr>
        <w:tc>
          <w:tcPr>
            <w:tcW w:w="233" w:type="pct"/>
            <w:vMerge/>
            <w:tcBorders>
              <w:top w:val="nil"/>
              <w:left w:val="single" w:sz="4" w:space="0" w:color="auto"/>
              <w:bottom w:val="single" w:sz="4" w:space="0" w:color="auto"/>
              <w:right w:val="single" w:sz="4" w:space="0" w:color="auto"/>
            </w:tcBorders>
            <w:vAlign w:val="center"/>
            <w:hideMark/>
          </w:tcPr>
          <w:p w14:paraId="273CD98D"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715" w:type="pct"/>
            <w:vMerge/>
            <w:tcBorders>
              <w:top w:val="nil"/>
              <w:left w:val="single" w:sz="4" w:space="0" w:color="auto"/>
              <w:bottom w:val="single" w:sz="4" w:space="0" w:color="auto"/>
              <w:right w:val="single" w:sz="4" w:space="0" w:color="auto"/>
            </w:tcBorders>
            <w:vAlign w:val="center"/>
            <w:hideMark/>
          </w:tcPr>
          <w:p w14:paraId="6472D022"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052" w:type="pct"/>
            <w:tcBorders>
              <w:top w:val="nil"/>
              <w:left w:val="nil"/>
              <w:bottom w:val="single" w:sz="4" w:space="0" w:color="auto"/>
              <w:right w:val="single" w:sz="4" w:space="0" w:color="auto"/>
            </w:tcBorders>
            <w:noWrap/>
            <w:hideMark/>
          </w:tcPr>
          <w:p w14:paraId="23A7A75B"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F_Drenajes_sencillo_10K_IGAC</w:t>
            </w:r>
          </w:p>
        </w:tc>
      </w:tr>
      <w:tr w:rsidR="004174D1" w:rsidRPr="004174D1" w14:paraId="05C183DB" w14:textId="77777777" w:rsidTr="004174D1">
        <w:trPr>
          <w:trHeight w:val="310"/>
        </w:trPr>
        <w:tc>
          <w:tcPr>
            <w:tcW w:w="233" w:type="pct"/>
            <w:vMerge/>
            <w:tcBorders>
              <w:top w:val="nil"/>
              <w:left w:val="single" w:sz="4" w:space="0" w:color="auto"/>
              <w:bottom w:val="single" w:sz="4" w:space="0" w:color="auto"/>
              <w:right w:val="single" w:sz="4" w:space="0" w:color="auto"/>
            </w:tcBorders>
            <w:vAlign w:val="center"/>
            <w:hideMark/>
          </w:tcPr>
          <w:p w14:paraId="3F741C1E"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715" w:type="pct"/>
            <w:vMerge/>
            <w:tcBorders>
              <w:top w:val="nil"/>
              <w:left w:val="single" w:sz="4" w:space="0" w:color="auto"/>
              <w:bottom w:val="single" w:sz="4" w:space="0" w:color="auto"/>
              <w:right w:val="single" w:sz="4" w:space="0" w:color="auto"/>
            </w:tcBorders>
            <w:vAlign w:val="center"/>
            <w:hideMark/>
          </w:tcPr>
          <w:p w14:paraId="64677334"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052" w:type="pct"/>
            <w:tcBorders>
              <w:top w:val="nil"/>
              <w:left w:val="nil"/>
              <w:bottom w:val="single" w:sz="4" w:space="0" w:color="auto"/>
              <w:right w:val="single" w:sz="4" w:space="0" w:color="auto"/>
            </w:tcBorders>
            <w:noWrap/>
            <w:hideMark/>
          </w:tcPr>
          <w:p w14:paraId="6FBB7697"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G_Inventario_Humedales_CA_CAR</w:t>
            </w:r>
          </w:p>
        </w:tc>
      </w:tr>
      <w:tr w:rsidR="004174D1" w:rsidRPr="004174D1" w14:paraId="2A53FA81" w14:textId="77777777" w:rsidTr="004174D1">
        <w:trPr>
          <w:trHeight w:val="310"/>
        </w:trPr>
        <w:tc>
          <w:tcPr>
            <w:tcW w:w="233" w:type="pct"/>
            <w:vMerge/>
            <w:tcBorders>
              <w:top w:val="nil"/>
              <w:left w:val="single" w:sz="4" w:space="0" w:color="auto"/>
              <w:bottom w:val="single" w:sz="4" w:space="0" w:color="auto"/>
              <w:right w:val="single" w:sz="4" w:space="0" w:color="auto"/>
            </w:tcBorders>
            <w:vAlign w:val="center"/>
            <w:hideMark/>
          </w:tcPr>
          <w:p w14:paraId="6BEC2BEB"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715" w:type="pct"/>
            <w:vMerge/>
            <w:tcBorders>
              <w:top w:val="nil"/>
              <w:left w:val="single" w:sz="4" w:space="0" w:color="auto"/>
              <w:bottom w:val="single" w:sz="4" w:space="0" w:color="auto"/>
              <w:right w:val="single" w:sz="4" w:space="0" w:color="auto"/>
            </w:tcBorders>
            <w:vAlign w:val="center"/>
            <w:hideMark/>
          </w:tcPr>
          <w:p w14:paraId="5E5DBB86"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052" w:type="pct"/>
            <w:tcBorders>
              <w:top w:val="nil"/>
              <w:left w:val="nil"/>
              <w:bottom w:val="single" w:sz="4" w:space="0" w:color="auto"/>
              <w:right w:val="single" w:sz="4" w:space="0" w:color="auto"/>
            </w:tcBorders>
            <w:noWrap/>
            <w:hideMark/>
          </w:tcPr>
          <w:p w14:paraId="4CEFE5E9"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H_Paramos_CAR</w:t>
            </w:r>
          </w:p>
        </w:tc>
      </w:tr>
      <w:tr w:rsidR="004174D1" w:rsidRPr="004174D1" w14:paraId="403CFABB" w14:textId="77777777" w:rsidTr="004174D1">
        <w:trPr>
          <w:trHeight w:val="310"/>
        </w:trPr>
        <w:tc>
          <w:tcPr>
            <w:tcW w:w="233" w:type="pct"/>
            <w:vMerge/>
            <w:tcBorders>
              <w:top w:val="nil"/>
              <w:left w:val="single" w:sz="4" w:space="0" w:color="auto"/>
              <w:bottom w:val="single" w:sz="4" w:space="0" w:color="auto"/>
              <w:right w:val="single" w:sz="4" w:space="0" w:color="auto"/>
            </w:tcBorders>
            <w:vAlign w:val="center"/>
            <w:hideMark/>
          </w:tcPr>
          <w:p w14:paraId="72BDFF0D"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715" w:type="pct"/>
            <w:vMerge/>
            <w:tcBorders>
              <w:top w:val="nil"/>
              <w:left w:val="single" w:sz="4" w:space="0" w:color="auto"/>
              <w:bottom w:val="single" w:sz="4" w:space="0" w:color="auto"/>
              <w:right w:val="single" w:sz="4" w:space="0" w:color="auto"/>
            </w:tcBorders>
            <w:vAlign w:val="center"/>
            <w:hideMark/>
          </w:tcPr>
          <w:p w14:paraId="7DEE8DE7"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052" w:type="pct"/>
            <w:tcBorders>
              <w:top w:val="nil"/>
              <w:left w:val="nil"/>
              <w:bottom w:val="single" w:sz="4" w:space="0" w:color="auto"/>
              <w:right w:val="single" w:sz="4" w:space="0" w:color="auto"/>
            </w:tcBorders>
            <w:noWrap/>
            <w:hideMark/>
          </w:tcPr>
          <w:p w14:paraId="43C6E49C"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I_Predios_Publicos</w:t>
            </w:r>
          </w:p>
        </w:tc>
      </w:tr>
      <w:tr w:rsidR="004174D1" w:rsidRPr="004174D1" w14:paraId="2708A31B" w14:textId="77777777" w:rsidTr="004174D1">
        <w:trPr>
          <w:trHeight w:val="310"/>
        </w:trPr>
        <w:tc>
          <w:tcPr>
            <w:tcW w:w="233" w:type="pct"/>
            <w:vMerge/>
            <w:tcBorders>
              <w:top w:val="nil"/>
              <w:left w:val="single" w:sz="4" w:space="0" w:color="auto"/>
              <w:bottom w:val="single" w:sz="4" w:space="0" w:color="auto"/>
              <w:right w:val="single" w:sz="4" w:space="0" w:color="auto"/>
            </w:tcBorders>
            <w:vAlign w:val="center"/>
            <w:hideMark/>
          </w:tcPr>
          <w:p w14:paraId="7E6BAB66"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715" w:type="pct"/>
            <w:vMerge/>
            <w:tcBorders>
              <w:top w:val="nil"/>
              <w:left w:val="single" w:sz="4" w:space="0" w:color="auto"/>
              <w:bottom w:val="single" w:sz="4" w:space="0" w:color="auto"/>
              <w:right w:val="single" w:sz="4" w:space="0" w:color="auto"/>
            </w:tcBorders>
            <w:vAlign w:val="center"/>
            <w:hideMark/>
          </w:tcPr>
          <w:p w14:paraId="039B7599"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052" w:type="pct"/>
            <w:tcBorders>
              <w:top w:val="nil"/>
              <w:left w:val="nil"/>
              <w:bottom w:val="single" w:sz="4" w:space="0" w:color="auto"/>
              <w:right w:val="single" w:sz="4" w:space="0" w:color="auto"/>
            </w:tcBorders>
            <w:noWrap/>
            <w:hideMark/>
          </w:tcPr>
          <w:p w14:paraId="7DFB26B3"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J_Recarga_Hidrica</w:t>
            </w:r>
          </w:p>
        </w:tc>
      </w:tr>
      <w:tr w:rsidR="004174D1" w:rsidRPr="004174D1" w14:paraId="69D3B517" w14:textId="77777777" w:rsidTr="004174D1">
        <w:trPr>
          <w:trHeight w:val="310"/>
        </w:trPr>
        <w:tc>
          <w:tcPr>
            <w:tcW w:w="233" w:type="pct"/>
            <w:vMerge/>
            <w:tcBorders>
              <w:top w:val="nil"/>
              <w:left w:val="single" w:sz="4" w:space="0" w:color="auto"/>
              <w:bottom w:val="single" w:sz="4" w:space="0" w:color="auto"/>
              <w:right w:val="single" w:sz="4" w:space="0" w:color="auto"/>
            </w:tcBorders>
            <w:vAlign w:val="center"/>
            <w:hideMark/>
          </w:tcPr>
          <w:p w14:paraId="116602E0"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715" w:type="pct"/>
            <w:vMerge/>
            <w:tcBorders>
              <w:top w:val="nil"/>
              <w:left w:val="single" w:sz="4" w:space="0" w:color="auto"/>
              <w:bottom w:val="single" w:sz="4" w:space="0" w:color="auto"/>
              <w:right w:val="single" w:sz="4" w:space="0" w:color="auto"/>
            </w:tcBorders>
            <w:vAlign w:val="center"/>
            <w:hideMark/>
          </w:tcPr>
          <w:p w14:paraId="11890A78" w14:textId="77777777" w:rsidR="004174D1" w:rsidRPr="004174D1" w:rsidRDefault="004174D1" w:rsidP="004174D1">
            <w:pPr>
              <w:spacing w:after="0" w:line="240" w:lineRule="auto"/>
              <w:rPr>
                <w:rFonts w:ascii="Arial" w:eastAsia="Times New Roman" w:hAnsi="Arial" w:cs="Arial"/>
                <w:color w:val="000000"/>
                <w:sz w:val="20"/>
                <w:szCs w:val="20"/>
                <w:lang w:eastAsia="es-CO"/>
              </w:rPr>
            </w:pPr>
          </w:p>
        </w:tc>
        <w:tc>
          <w:tcPr>
            <w:tcW w:w="2052" w:type="pct"/>
            <w:tcBorders>
              <w:top w:val="nil"/>
              <w:left w:val="nil"/>
              <w:bottom w:val="single" w:sz="4" w:space="0" w:color="auto"/>
              <w:right w:val="single" w:sz="4" w:space="0" w:color="auto"/>
            </w:tcBorders>
            <w:noWrap/>
            <w:hideMark/>
          </w:tcPr>
          <w:p w14:paraId="51634ED2"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K_Rendimiento_Hidrico</w:t>
            </w:r>
          </w:p>
        </w:tc>
      </w:tr>
      <w:tr w:rsidR="004174D1" w:rsidRPr="004174D1" w14:paraId="561D2337" w14:textId="77777777" w:rsidTr="004174D1">
        <w:trPr>
          <w:trHeight w:val="310"/>
        </w:trPr>
        <w:tc>
          <w:tcPr>
            <w:tcW w:w="233" w:type="pct"/>
            <w:tcBorders>
              <w:top w:val="nil"/>
              <w:left w:val="single" w:sz="4" w:space="0" w:color="auto"/>
              <w:bottom w:val="single" w:sz="4" w:space="0" w:color="auto"/>
              <w:right w:val="single" w:sz="4" w:space="0" w:color="auto"/>
            </w:tcBorders>
            <w:noWrap/>
            <w:hideMark/>
          </w:tcPr>
          <w:p w14:paraId="79D71549"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5</w:t>
            </w:r>
          </w:p>
        </w:tc>
        <w:tc>
          <w:tcPr>
            <w:tcW w:w="2715" w:type="pct"/>
            <w:tcBorders>
              <w:top w:val="nil"/>
              <w:left w:val="nil"/>
              <w:bottom w:val="single" w:sz="4" w:space="0" w:color="auto"/>
              <w:right w:val="single" w:sz="4" w:space="0" w:color="auto"/>
            </w:tcBorders>
            <w:noWrap/>
            <w:hideMark/>
          </w:tcPr>
          <w:p w14:paraId="4B587ADE"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val="es-ES" w:eastAsia="es-CO"/>
              </w:rPr>
              <w:t xml:space="preserve">Conectividad Ecológica </w:t>
            </w:r>
          </w:p>
        </w:tc>
        <w:tc>
          <w:tcPr>
            <w:tcW w:w="2052" w:type="pct"/>
            <w:tcBorders>
              <w:top w:val="nil"/>
              <w:left w:val="nil"/>
              <w:bottom w:val="single" w:sz="4" w:space="0" w:color="auto"/>
              <w:right w:val="single" w:sz="4" w:space="0" w:color="auto"/>
            </w:tcBorders>
            <w:noWrap/>
            <w:hideMark/>
          </w:tcPr>
          <w:p w14:paraId="1C6E7F7A"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L_Areas_Conectividad_ecologica</w:t>
            </w:r>
          </w:p>
        </w:tc>
      </w:tr>
      <w:tr w:rsidR="004174D1" w:rsidRPr="004174D1" w14:paraId="0C102A05" w14:textId="77777777" w:rsidTr="004174D1">
        <w:trPr>
          <w:trHeight w:val="310"/>
        </w:trPr>
        <w:tc>
          <w:tcPr>
            <w:tcW w:w="233" w:type="pct"/>
            <w:tcBorders>
              <w:top w:val="nil"/>
              <w:left w:val="single" w:sz="4" w:space="0" w:color="auto"/>
              <w:bottom w:val="single" w:sz="4" w:space="0" w:color="auto"/>
              <w:right w:val="single" w:sz="4" w:space="0" w:color="auto"/>
            </w:tcBorders>
            <w:noWrap/>
            <w:hideMark/>
          </w:tcPr>
          <w:p w14:paraId="36DCE227"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6</w:t>
            </w:r>
          </w:p>
        </w:tc>
        <w:tc>
          <w:tcPr>
            <w:tcW w:w="2715" w:type="pct"/>
            <w:tcBorders>
              <w:top w:val="nil"/>
              <w:left w:val="nil"/>
              <w:bottom w:val="single" w:sz="4" w:space="0" w:color="auto"/>
              <w:right w:val="single" w:sz="4" w:space="0" w:color="auto"/>
            </w:tcBorders>
            <w:noWrap/>
            <w:hideMark/>
          </w:tcPr>
          <w:p w14:paraId="52DCBE98"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Amenazas por fenómenos naturales en grado alto</w:t>
            </w:r>
          </w:p>
        </w:tc>
        <w:tc>
          <w:tcPr>
            <w:tcW w:w="2052" w:type="pct"/>
            <w:tcBorders>
              <w:top w:val="nil"/>
              <w:left w:val="nil"/>
              <w:bottom w:val="single" w:sz="4" w:space="0" w:color="auto"/>
              <w:right w:val="single" w:sz="4" w:space="0" w:color="auto"/>
            </w:tcBorders>
            <w:noWrap/>
            <w:hideMark/>
          </w:tcPr>
          <w:p w14:paraId="7988B18B"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M_Amenaza_Ran_Alto</w:t>
            </w:r>
          </w:p>
        </w:tc>
      </w:tr>
      <w:tr w:rsidR="004174D1" w:rsidRPr="004174D1" w14:paraId="3544D933" w14:textId="77777777" w:rsidTr="004174D1">
        <w:trPr>
          <w:trHeight w:val="310"/>
        </w:trPr>
        <w:tc>
          <w:tcPr>
            <w:tcW w:w="233" w:type="pct"/>
            <w:tcBorders>
              <w:top w:val="nil"/>
              <w:left w:val="single" w:sz="4" w:space="0" w:color="auto"/>
              <w:bottom w:val="single" w:sz="4" w:space="0" w:color="auto"/>
              <w:right w:val="single" w:sz="4" w:space="0" w:color="auto"/>
            </w:tcBorders>
            <w:noWrap/>
            <w:hideMark/>
          </w:tcPr>
          <w:p w14:paraId="6328B37E"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lastRenderedPageBreak/>
              <w:t>7</w:t>
            </w:r>
          </w:p>
        </w:tc>
        <w:tc>
          <w:tcPr>
            <w:tcW w:w="2715" w:type="pct"/>
            <w:tcBorders>
              <w:top w:val="nil"/>
              <w:left w:val="nil"/>
              <w:bottom w:val="single" w:sz="4" w:space="0" w:color="auto"/>
              <w:right w:val="single" w:sz="4" w:space="0" w:color="auto"/>
            </w:tcBorders>
            <w:noWrap/>
            <w:hideMark/>
          </w:tcPr>
          <w:p w14:paraId="2B7AD306"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Infraestructura preexistente</w:t>
            </w:r>
          </w:p>
        </w:tc>
        <w:tc>
          <w:tcPr>
            <w:tcW w:w="2052" w:type="pct"/>
            <w:tcBorders>
              <w:top w:val="nil"/>
              <w:left w:val="nil"/>
              <w:bottom w:val="single" w:sz="4" w:space="0" w:color="auto"/>
              <w:right w:val="single" w:sz="4" w:space="0" w:color="auto"/>
            </w:tcBorders>
            <w:noWrap/>
            <w:hideMark/>
          </w:tcPr>
          <w:p w14:paraId="21FE5663"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N_Infraestructura_preexistente</w:t>
            </w:r>
          </w:p>
        </w:tc>
      </w:tr>
      <w:tr w:rsidR="004174D1" w:rsidRPr="004174D1" w14:paraId="2B40FB68" w14:textId="77777777" w:rsidTr="004174D1">
        <w:trPr>
          <w:trHeight w:val="310"/>
        </w:trPr>
        <w:tc>
          <w:tcPr>
            <w:tcW w:w="233" w:type="pct"/>
            <w:tcBorders>
              <w:top w:val="nil"/>
              <w:left w:val="single" w:sz="4" w:space="0" w:color="auto"/>
              <w:bottom w:val="single" w:sz="4" w:space="0" w:color="auto"/>
              <w:right w:val="single" w:sz="4" w:space="0" w:color="auto"/>
            </w:tcBorders>
            <w:noWrap/>
            <w:hideMark/>
          </w:tcPr>
          <w:p w14:paraId="2D4D4D13"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8</w:t>
            </w:r>
          </w:p>
        </w:tc>
        <w:tc>
          <w:tcPr>
            <w:tcW w:w="2715" w:type="pct"/>
            <w:tcBorders>
              <w:top w:val="nil"/>
              <w:left w:val="nil"/>
              <w:bottom w:val="single" w:sz="4" w:space="0" w:color="auto"/>
              <w:right w:val="single" w:sz="4" w:space="0" w:color="auto"/>
            </w:tcBorders>
            <w:noWrap/>
            <w:hideMark/>
          </w:tcPr>
          <w:p w14:paraId="099299B0"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Cobertura 2023 uso sostenible sin conflicto de uso</w:t>
            </w:r>
          </w:p>
        </w:tc>
        <w:tc>
          <w:tcPr>
            <w:tcW w:w="2052" w:type="pct"/>
            <w:tcBorders>
              <w:top w:val="nil"/>
              <w:left w:val="nil"/>
              <w:bottom w:val="single" w:sz="4" w:space="0" w:color="auto"/>
              <w:right w:val="single" w:sz="4" w:space="0" w:color="auto"/>
            </w:tcBorders>
            <w:noWrap/>
            <w:hideMark/>
          </w:tcPr>
          <w:p w14:paraId="581EA8DD"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O_Uso_Sostenible_Sin_Conflicto_Uso</w:t>
            </w:r>
          </w:p>
        </w:tc>
      </w:tr>
      <w:tr w:rsidR="004174D1" w:rsidRPr="004174D1" w14:paraId="09E30852" w14:textId="77777777" w:rsidTr="004174D1">
        <w:trPr>
          <w:trHeight w:val="310"/>
        </w:trPr>
        <w:tc>
          <w:tcPr>
            <w:tcW w:w="233" w:type="pct"/>
            <w:tcBorders>
              <w:top w:val="nil"/>
              <w:left w:val="single" w:sz="4" w:space="0" w:color="auto"/>
              <w:bottom w:val="single" w:sz="4" w:space="0" w:color="auto"/>
              <w:right w:val="single" w:sz="4" w:space="0" w:color="auto"/>
            </w:tcBorders>
            <w:noWrap/>
            <w:hideMark/>
          </w:tcPr>
          <w:p w14:paraId="76F98571"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lang w:eastAsia="es-CO"/>
              </w:rPr>
              <w:t>9</w:t>
            </w:r>
          </w:p>
        </w:tc>
        <w:tc>
          <w:tcPr>
            <w:tcW w:w="2715" w:type="pct"/>
            <w:tcBorders>
              <w:top w:val="nil"/>
              <w:left w:val="nil"/>
              <w:bottom w:val="single" w:sz="4" w:space="0" w:color="auto"/>
              <w:right w:val="single" w:sz="4" w:space="0" w:color="auto"/>
            </w:tcBorders>
            <w:noWrap/>
            <w:hideMark/>
          </w:tcPr>
          <w:p w14:paraId="5D8136E3" w14:textId="77777777" w:rsidR="004174D1" w:rsidRPr="004174D1" w:rsidRDefault="004174D1" w:rsidP="004174D1">
            <w:pPr>
              <w:spacing w:after="0" w:line="240" w:lineRule="auto"/>
              <w:jc w:val="center"/>
              <w:rPr>
                <w:rFonts w:ascii="Arial" w:eastAsia="Times New Roman" w:hAnsi="Arial" w:cs="Arial"/>
                <w:color w:val="000000"/>
                <w:sz w:val="20"/>
                <w:szCs w:val="20"/>
                <w:lang w:eastAsia="es-CO"/>
              </w:rPr>
            </w:pPr>
            <w:r w:rsidRPr="004174D1">
              <w:rPr>
                <w:rFonts w:ascii="Arial" w:eastAsia="Times New Roman" w:hAnsi="Arial" w:cs="Arial"/>
                <w:color w:val="000000"/>
                <w:sz w:val="20"/>
                <w:szCs w:val="20"/>
                <w:highlight w:val="yellow"/>
                <w:lang w:eastAsia="es-CO"/>
              </w:rPr>
              <w:t>Reservas Naturales de la Sociedad Civil</w:t>
            </w:r>
          </w:p>
        </w:tc>
        <w:tc>
          <w:tcPr>
            <w:tcW w:w="2052" w:type="pct"/>
            <w:tcBorders>
              <w:top w:val="nil"/>
              <w:left w:val="nil"/>
              <w:bottom w:val="single" w:sz="4" w:space="0" w:color="auto"/>
              <w:right w:val="single" w:sz="4" w:space="0" w:color="auto"/>
            </w:tcBorders>
            <w:noWrap/>
            <w:hideMark/>
          </w:tcPr>
          <w:p w14:paraId="41237F9A" w14:textId="6BFC2178" w:rsidR="004174D1" w:rsidRPr="004174D1" w:rsidRDefault="00EE23B0" w:rsidP="004174D1">
            <w:pPr>
              <w:spacing w:after="0" w:line="240" w:lineRule="auto"/>
              <w:jc w:val="center"/>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pendiente</w:t>
            </w:r>
          </w:p>
        </w:tc>
      </w:tr>
    </w:tbl>
    <w:p w14:paraId="19CD801F" w14:textId="77777777" w:rsidR="004601A9" w:rsidRDefault="004601A9" w:rsidP="006F219C">
      <w:pPr>
        <w:spacing w:after="0" w:line="276" w:lineRule="auto"/>
        <w:jc w:val="center"/>
        <w:rPr>
          <w:rFonts w:ascii="Arial" w:hAnsi="Arial" w:cs="Arial"/>
          <w:sz w:val="24"/>
          <w:szCs w:val="24"/>
          <w:lang w:val="es-ES"/>
        </w:rPr>
      </w:pPr>
    </w:p>
    <w:p w14:paraId="6117AE5B" w14:textId="688FC9E4" w:rsidR="005534E4" w:rsidRDefault="005534E4" w:rsidP="006F219C">
      <w:pPr>
        <w:spacing w:after="0" w:line="276" w:lineRule="auto"/>
        <w:jc w:val="center"/>
        <w:rPr>
          <w:rFonts w:ascii="Arial" w:hAnsi="Arial" w:cs="Arial"/>
          <w:sz w:val="24"/>
          <w:szCs w:val="24"/>
          <w:lang w:val="es-ES"/>
        </w:rPr>
      </w:pPr>
      <w:r>
        <w:rPr>
          <w:rFonts w:ascii="Arial" w:hAnsi="Arial" w:cs="Arial"/>
          <w:sz w:val="24"/>
          <w:szCs w:val="24"/>
          <w:lang w:val="es-ES"/>
        </w:rPr>
        <w:t>Suavizado de polígonos luego de depurar áreas minimas de 1 ha</w:t>
      </w:r>
    </w:p>
    <w:p w14:paraId="49D37CF2" w14:textId="77777777" w:rsidR="005534E4" w:rsidRDefault="005534E4" w:rsidP="006F219C">
      <w:pPr>
        <w:spacing w:after="0" w:line="276" w:lineRule="auto"/>
        <w:jc w:val="center"/>
        <w:rPr>
          <w:rFonts w:ascii="Arial" w:hAnsi="Arial" w:cs="Arial"/>
          <w:sz w:val="24"/>
          <w:szCs w:val="24"/>
          <w:lang w:val="es-ES"/>
        </w:rPr>
      </w:pPr>
    </w:p>
    <w:p w14:paraId="63100C7C" w14:textId="21AD4AB1" w:rsidR="005534E4" w:rsidRDefault="005534E4" w:rsidP="006F219C">
      <w:pPr>
        <w:spacing w:after="0" w:line="276" w:lineRule="auto"/>
        <w:jc w:val="center"/>
        <w:rPr>
          <w:rFonts w:ascii="Arial" w:hAnsi="Arial" w:cs="Arial"/>
          <w:sz w:val="24"/>
          <w:szCs w:val="24"/>
          <w:lang w:val="es-ES"/>
        </w:rPr>
      </w:pPr>
      <w:r w:rsidRPr="005534E4">
        <w:rPr>
          <w:rFonts w:ascii="Arial" w:hAnsi="Arial" w:cs="Arial"/>
          <w:sz w:val="24"/>
          <w:szCs w:val="24"/>
          <w:lang w:val="es-ES"/>
        </w:rPr>
        <w:drawing>
          <wp:inline distT="0" distB="0" distL="0" distR="0" wp14:anchorId="10173960" wp14:editId="59320C47">
            <wp:extent cx="5612130" cy="2325370"/>
            <wp:effectExtent l="0" t="0" r="7620" b="0"/>
            <wp:docPr id="10592705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70534" name=""/>
                    <pic:cNvPicPr/>
                  </pic:nvPicPr>
                  <pic:blipFill>
                    <a:blip r:embed="rId16"/>
                    <a:stretch>
                      <a:fillRect/>
                    </a:stretch>
                  </pic:blipFill>
                  <pic:spPr>
                    <a:xfrm>
                      <a:off x="0" y="0"/>
                      <a:ext cx="5612130" cy="2325370"/>
                    </a:xfrm>
                    <a:prstGeom prst="rect">
                      <a:avLst/>
                    </a:prstGeom>
                  </pic:spPr>
                </pic:pic>
              </a:graphicData>
            </a:graphic>
          </wp:inline>
        </w:drawing>
      </w:r>
    </w:p>
    <w:sectPr w:rsidR="005534E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88B6" w14:textId="77777777" w:rsidR="009F65AB" w:rsidRDefault="009F65AB" w:rsidP="0051585C">
      <w:pPr>
        <w:spacing w:after="0" w:line="240" w:lineRule="auto"/>
      </w:pPr>
      <w:r>
        <w:separator/>
      </w:r>
    </w:p>
  </w:endnote>
  <w:endnote w:type="continuationSeparator" w:id="0">
    <w:p w14:paraId="5314B5E0" w14:textId="77777777" w:rsidR="009F65AB" w:rsidRDefault="009F65AB" w:rsidP="00515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0355" w14:textId="77777777" w:rsidR="009F65AB" w:rsidRDefault="009F65AB" w:rsidP="0051585C">
      <w:pPr>
        <w:spacing w:after="0" w:line="240" w:lineRule="auto"/>
      </w:pPr>
      <w:r>
        <w:separator/>
      </w:r>
    </w:p>
  </w:footnote>
  <w:footnote w:type="continuationSeparator" w:id="0">
    <w:p w14:paraId="7C03A0F3" w14:textId="77777777" w:rsidR="009F65AB" w:rsidRDefault="009F65AB" w:rsidP="0051585C">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G9Ev4SXw7Ra1kV" int2:id="w5IyaWE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5F"/>
    <w:multiLevelType w:val="hybridMultilevel"/>
    <w:tmpl w:val="0C72B036"/>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4F60FC"/>
    <w:multiLevelType w:val="hybridMultilevel"/>
    <w:tmpl w:val="4F26E3FA"/>
    <w:lvl w:ilvl="0" w:tplc="C1EAD2EC">
      <w:start w:val="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1D17090"/>
    <w:multiLevelType w:val="multilevel"/>
    <w:tmpl w:val="372A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D61EE3"/>
    <w:multiLevelType w:val="hybridMultilevel"/>
    <w:tmpl w:val="F5B4A9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8E5AA8"/>
    <w:multiLevelType w:val="multilevel"/>
    <w:tmpl w:val="570E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9B40DA"/>
    <w:multiLevelType w:val="hybridMultilevel"/>
    <w:tmpl w:val="33688F4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69F1F41"/>
    <w:multiLevelType w:val="hybridMultilevel"/>
    <w:tmpl w:val="8D5812F4"/>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310C8"/>
    <w:multiLevelType w:val="hybridMultilevel"/>
    <w:tmpl w:val="1446001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F282D1B"/>
    <w:multiLevelType w:val="multilevel"/>
    <w:tmpl w:val="1ED2C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FB7CFE"/>
    <w:multiLevelType w:val="hybridMultilevel"/>
    <w:tmpl w:val="BE36B8F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22E32F2"/>
    <w:multiLevelType w:val="hybridMultilevel"/>
    <w:tmpl w:val="A44C8330"/>
    <w:lvl w:ilvl="0" w:tplc="24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810D62"/>
    <w:multiLevelType w:val="multilevel"/>
    <w:tmpl w:val="50D6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1255B2"/>
    <w:multiLevelType w:val="multilevel"/>
    <w:tmpl w:val="7700ABAA"/>
    <w:lvl w:ilvl="0">
      <w:start w:val="1"/>
      <w:numFmt w:val="decimal"/>
      <w:lvlText w:val="%1."/>
      <w:lvlJc w:val="left"/>
      <w:pPr>
        <w:ind w:left="720" w:hanging="360"/>
      </w:pPr>
      <w:rPr>
        <w:rFonts w:hint="default"/>
        <w:b/>
        <w:bCs/>
        <w:i w:val="0"/>
        <w:i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4456119"/>
    <w:multiLevelType w:val="multilevel"/>
    <w:tmpl w:val="6B307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9763FE"/>
    <w:multiLevelType w:val="hybridMultilevel"/>
    <w:tmpl w:val="9FB2F1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AF729E9"/>
    <w:multiLevelType w:val="multilevel"/>
    <w:tmpl w:val="30D83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0C34CA"/>
    <w:multiLevelType w:val="hybridMultilevel"/>
    <w:tmpl w:val="D3D06290"/>
    <w:lvl w:ilvl="0" w:tplc="AD426DC6">
      <w:numFmt w:val="bullet"/>
      <w:lvlText w:val="-"/>
      <w:lvlJc w:val="left"/>
      <w:pPr>
        <w:ind w:left="108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C786780"/>
    <w:multiLevelType w:val="multilevel"/>
    <w:tmpl w:val="CEE00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CD726BE"/>
    <w:multiLevelType w:val="multilevel"/>
    <w:tmpl w:val="F17850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5A2AF8"/>
    <w:multiLevelType w:val="multilevel"/>
    <w:tmpl w:val="6C520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FE04B0"/>
    <w:multiLevelType w:val="multilevel"/>
    <w:tmpl w:val="0BEC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0C0F54"/>
    <w:multiLevelType w:val="multilevel"/>
    <w:tmpl w:val="D74E8578"/>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321EF3"/>
    <w:multiLevelType w:val="multilevel"/>
    <w:tmpl w:val="03843C6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7E1AA1"/>
    <w:multiLevelType w:val="multilevel"/>
    <w:tmpl w:val="7700ABAA"/>
    <w:lvl w:ilvl="0">
      <w:start w:val="1"/>
      <w:numFmt w:val="decimal"/>
      <w:lvlText w:val="%1."/>
      <w:lvlJc w:val="left"/>
      <w:pPr>
        <w:ind w:left="720" w:hanging="360"/>
      </w:pPr>
      <w:rPr>
        <w:rFonts w:hint="default"/>
        <w:b/>
        <w:bCs/>
        <w:i w:val="0"/>
        <w:i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2E3737A3"/>
    <w:multiLevelType w:val="hybridMultilevel"/>
    <w:tmpl w:val="471C8E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1640264"/>
    <w:multiLevelType w:val="hybridMultilevel"/>
    <w:tmpl w:val="358E06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2B51636"/>
    <w:multiLevelType w:val="hybridMultilevel"/>
    <w:tmpl w:val="4014C1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38E02F7"/>
    <w:multiLevelType w:val="hybridMultilevel"/>
    <w:tmpl w:val="BFC470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57F0EF2"/>
    <w:multiLevelType w:val="multilevel"/>
    <w:tmpl w:val="3ED24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11168"/>
    <w:multiLevelType w:val="multilevel"/>
    <w:tmpl w:val="1212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397F31"/>
    <w:multiLevelType w:val="multilevel"/>
    <w:tmpl w:val="7700ABAA"/>
    <w:lvl w:ilvl="0">
      <w:start w:val="1"/>
      <w:numFmt w:val="decimal"/>
      <w:lvlText w:val="%1."/>
      <w:lvlJc w:val="left"/>
      <w:pPr>
        <w:ind w:left="720" w:hanging="360"/>
      </w:pPr>
      <w:rPr>
        <w:rFonts w:hint="default"/>
        <w:b/>
        <w:bCs/>
        <w:i w:val="0"/>
        <w:i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394B31D7"/>
    <w:multiLevelType w:val="hybridMultilevel"/>
    <w:tmpl w:val="323ED3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39663F0C"/>
    <w:multiLevelType w:val="hybridMultilevel"/>
    <w:tmpl w:val="C6681C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AC96469"/>
    <w:multiLevelType w:val="hybridMultilevel"/>
    <w:tmpl w:val="D6844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3AD25C90"/>
    <w:multiLevelType w:val="hybridMultilevel"/>
    <w:tmpl w:val="77FEC468"/>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442C01C2"/>
    <w:multiLevelType w:val="hybridMultilevel"/>
    <w:tmpl w:val="C2667D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48757D1E"/>
    <w:multiLevelType w:val="multilevel"/>
    <w:tmpl w:val="7D046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A601C5"/>
    <w:multiLevelType w:val="hybridMultilevel"/>
    <w:tmpl w:val="87EC14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4CAA6487"/>
    <w:multiLevelType w:val="multilevel"/>
    <w:tmpl w:val="D6AE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A851FA"/>
    <w:multiLevelType w:val="hybridMultilevel"/>
    <w:tmpl w:val="0F12830A"/>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21F3FA4"/>
    <w:multiLevelType w:val="hybridMultilevel"/>
    <w:tmpl w:val="74B842C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567336EB"/>
    <w:multiLevelType w:val="multilevel"/>
    <w:tmpl w:val="0D62B9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6A962C9"/>
    <w:multiLevelType w:val="multilevel"/>
    <w:tmpl w:val="EAD82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C614AFC"/>
    <w:multiLevelType w:val="hybridMultilevel"/>
    <w:tmpl w:val="AC7A59DC"/>
    <w:lvl w:ilvl="0" w:tplc="AD426DC6">
      <w:numFmt w:val="bullet"/>
      <w:lvlText w:val="-"/>
      <w:lvlJc w:val="left"/>
      <w:pPr>
        <w:ind w:left="1080" w:hanging="360"/>
      </w:pPr>
      <w:rPr>
        <w:rFonts w:ascii="Arial" w:eastAsia="Calibri" w:hAnsi="Arial" w:cs="Aria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4" w15:restartNumberingAfterBreak="0">
    <w:nsid w:val="5C9804A8"/>
    <w:multiLevelType w:val="hybridMultilevel"/>
    <w:tmpl w:val="5688FCF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5D99754A"/>
    <w:multiLevelType w:val="hybridMultilevel"/>
    <w:tmpl w:val="B338DA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5F5F1153"/>
    <w:multiLevelType w:val="hybridMultilevel"/>
    <w:tmpl w:val="A5E6F9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600274CA"/>
    <w:multiLevelType w:val="hybridMultilevel"/>
    <w:tmpl w:val="87D451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089329C"/>
    <w:multiLevelType w:val="multilevel"/>
    <w:tmpl w:val="09B0143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9" w15:restartNumberingAfterBreak="0">
    <w:nsid w:val="623D03FB"/>
    <w:multiLevelType w:val="hybridMultilevel"/>
    <w:tmpl w:val="E586D91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0" w15:restartNumberingAfterBreak="0">
    <w:nsid w:val="63796F5E"/>
    <w:multiLevelType w:val="hybridMultilevel"/>
    <w:tmpl w:val="93B040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665A6908"/>
    <w:multiLevelType w:val="multilevel"/>
    <w:tmpl w:val="3D820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931256"/>
    <w:multiLevelType w:val="multilevel"/>
    <w:tmpl w:val="B91E3A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F97755"/>
    <w:multiLevelType w:val="hybridMultilevel"/>
    <w:tmpl w:val="91C6F6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6C3D29D0"/>
    <w:multiLevelType w:val="multilevel"/>
    <w:tmpl w:val="7CAA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4C7472"/>
    <w:multiLevelType w:val="multilevel"/>
    <w:tmpl w:val="12F0ED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D8F49F0"/>
    <w:multiLevelType w:val="hybridMultilevel"/>
    <w:tmpl w:val="8D3A95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71174CF1"/>
    <w:multiLevelType w:val="hybridMultilevel"/>
    <w:tmpl w:val="221CD0F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71965A44"/>
    <w:multiLevelType w:val="hybridMultilevel"/>
    <w:tmpl w:val="590CBC08"/>
    <w:lvl w:ilvl="0" w:tplc="BC48CAC2">
      <w:start w:val="1"/>
      <w:numFmt w:val="bullet"/>
      <w:lvlText w:val=""/>
      <w:lvlJc w:val="left"/>
      <w:pPr>
        <w:ind w:left="720" w:hanging="360"/>
      </w:pPr>
      <w:rPr>
        <w:rFonts w:ascii="Wingdings" w:hAnsi="Wingdings" w:hint="default"/>
        <w:color w:val="70AD47" w:themeColor="accent6"/>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729172EC"/>
    <w:multiLevelType w:val="hybridMultilevel"/>
    <w:tmpl w:val="86C4B7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7826EF67"/>
    <w:multiLevelType w:val="hybridMultilevel"/>
    <w:tmpl w:val="A09AC440"/>
    <w:lvl w:ilvl="0" w:tplc="41E4244E">
      <w:start w:val="1"/>
      <w:numFmt w:val="bullet"/>
      <w:lvlText w:val=""/>
      <w:lvlJc w:val="left"/>
      <w:pPr>
        <w:ind w:left="720" w:hanging="360"/>
      </w:pPr>
      <w:rPr>
        <w:rFonts w:ascii="Symbol" w:hAnsi="Symbol" w:hint="default"/>
      </w:rPr>
    </w:lvl>
    <w:lvl w:ilvl="1" w:tplc="4B28C6B6">
      <w:start w:val="1"/>
      <w:numFmt w:val="bullet"/>
      <w:lvlText w:val="o"/>
      <w:lvlJc w:val="left"/>
      <w:pPr>
        <w:ind w:left="1440" w:hanging="360"/>
      </w:pPr>
      <w:rPr>
        <w:rFonts w:ascii="Courier New" w:hAnsi="Courier New" w:hint="default"/>
      </w:rPr>
    </w:lvl>
    <w:lvl w:ilvl="2" w:tplc="CAE67596">
      <w:start w:val="1"/>
      <w:numFmt w:val="bullet"/>
      <w:lvlText w:val=""/>
      <w:lvlJc w:val="left"/>
      <w:pPr>
        <w:ind w:left="2160" w:hanging="360"/>
      </w:pPr>
      <w:rPr>
        <w:rFonts w:ascii="Wingdings" w:hAnsi="Wingdings" w:hint="default"/>
      </w:rPr>
    </w:lvl>
    <w:lvl w:ilvl="3" w:tplc="9B4AEC78">
      <w:start w:val="1"/>
      <w:numFmt w:val="bullet"/>
      <w:lvlText w:val=""/>
      <w:lvlJc w:val="left"/>
      <w:pPr>
        <w:ind w:left="2880" w:hanging="360"/>
      </w:pPr>
      <w:rPr>
        <w:rFonts w:ascii="Symbol" w:hAnsi="Symbol" w:hint="default"/>
      </w:rPr>
    </w:lvl>
    <w:lvl w:ilvl="4" w:tplc="78ACDA38">
      <w:start w:val="1"/>
      <w:numFmt w:val="bullet"/>
      <w:lvlText w:val="o"/>
      <w:lvlJc w:val="left"/>
      <w:pPr>
        <w:ind w:left="3600" w:hanging="360"/>
      </w:pPr>
      <w:rPr>
        <w:rFonts w:ascii="Courier New" w:hAnsi="Courier New" w:hint="default"/>
      </w:rPr>
    </w:lvl>
    <w:lvl w:ilvl="5" w:tplc="1E3ADE92">
      <w:start w:val="1"/>
      <w:numFmt w:val="bullet"/>
      <w:lvlText w:val=""/>
      <w:lvlJc w:val="left"/>
      <w:pPr>
        <w:ind w:left="4320" w:hanging="360"/>
      </w:pPr>
      <w:rPr>
        <w:rFonts w:ascii="Wingdings" w:hAnsi="Wingdings" w:hint="default"/>
      </w:rPr>
    </w:lvl>
    <w:lvl w:ilvl="6" w:tplc="26D051BC">
      <w:start w:val="1"/>
      <w:numFmt w:val="bullet"/>
      <w:lvlText w:val=""/>
      <w:lvlJc w:val="left"/>
      <w:pPr>
        <w:ind w:left="5040" w:hanging="360"/>
      </w:pPr>
      <w:rPr>
        <w:rFonts w:ascii="Symbol" w:hAnsi="Symbol" w:hint="default"/>
      </w:rPr>
    </w:lvl>
    <w:lvl w:ilvl="7" w:tplc="01FA4FB0">
      <w:start w:val="1"/>
      <w:numFmt w:val="bullet"/>
      <w:lvlText w:val="o"/>
      <w:lvlJc w:val="left"/>
      <w:pPr>
        <w:ind w:left="5760" w:hanging="360"/>
      </w:pPr>
      <w:rPr>
        <w:rFonts w:ascii="Courier New" w:hAnsi="Courier New" w:hint="default"/>
      </w:rPr>
    </w:lvl>
    <w:lvl w:ilvl="8" w:tplc="9B7C5CE4">
      <w:start w:val="1"/>
      <w:numFmt w:val="bullet"/>
      <w:lvlText w:val=""/>
      <w:lvlJc w:val="left"/>
      <w:pPr>
        <w:ind w:left="6480" w:hanging="360"/>
      </w:pPr>
      <w:rPr>
        <w:rFonts w:ascii="Wingdings" w:hAnsi="Wingdings" w:hint="default"/>
      </w:rPr>
    </w:lvl>
  </w:abstractNum>
  <w:abstractNum w:abstractNumId="61" w15:restartNumberingAfterBreak="0">
    <w:nsid w:val="79260334"/>
    <w:multiLevelType w:val="multilevel"/>
    <w:tmpl w:val="2EEE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1D4B55"/>
    <w:multiLevelType w:val="multilevel"/>
    <w:tmpl w:val="3AB0D2F0"/>
    <w:lvl w:ilvl="0">
      <w:start w:val="2"/>
      <w:numFmt w:val="decimal"/>
      <w:lvlText w:val="%1."/>
      <w:lvlJc w:val="left"/>
      <w:pPr>
        <w:ind w:left="720" w:hanging="360"/>
      </w:pPr>
      <w:rPr>
        <w:rFonts w:ascii="Arial" w:eastAsia="Calibri" w:hAnsi="Arial"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1020296">
    <w:abstractNumId w:val="60"/>
  </w:num>
  <w:num w:numId="2" w16cid:durableId="1141117635">
    <w:abstractNumId w:val="33"/>
  </w:num>
  <w:num w:numId="3" w16cid:durableId="46799754">
    <w:abstractNumId w:val="12"/>
  </w:num>
  <w:num w:numId="4" w16cid:durableId="984547883">
    <w:abstractNumId w:val="48"/>
  </w:num>
  <w:num w:numId="5" w16cid:durableId="763889554">
    <w:abstractNumId w:val="24"/>
  </w:num>
  <w:num w:numId="6" w16cid:durableId="1669359765">
    <w:abstractNumId w:val="56"/>
  </w:num>
  <w:num w:numId="7" w16cid:durableId="759446004">
    <w:abstractNumId w:val="39"/>
  </w:num>
  <w:num w:numId="8" w16cid:durableId="1458645577">
    <w:abstractNumId w:val="44"/>
  </w:num>
  <w:num w:numId="9" w16cid:durableId="1875655515">
    <w:abstractNumId w:val="49"/>
  </w:num>
  <w:num w:numId="10" w16cid:durableId="1792356887">
    <w:abstractNumId w:val="53"/>
  </w:num>
  <w:num w:numId="11" w16cid:durableId="170995281">
    <w:abstractNumId w:val="0"/>
  </w:num>
  <w:num w:numId="12" w16cid:durableId="1240293142">
    <w:abstractNumId w:val="30"/>
  </w:num>
  <w:num w:numId="13" w16cid:durableId="1207524546">
    <w:abstractNumId w:val="6"/>
  </w:num>
  <w:num w:numId="14" w16cid:durableId="1946109959">
    <w:abstractNumId w:val="3"/>
  </w:num>
  <w:num w:numId="15" w16cid:durableId="526992015">
    <w:abstractNumId w:val="31"/>
  </w:num>
  <w:num w:numId="16" w16cid:durableId="1330326426">
    <w:abstractNumId w:val="45"/>
  </w:num>
  <w:num w:numId="17" w16cid:durableId="1905484816">
    <w:abstractNumId w:val="62"/>
  </w:num>
  <w:num w:numId="18" w16cid:durableId="21396383">
    <w:abstractNumId w:val="58"/>
  </w:num>
  <w:num w:numId="19" w16cid:durableId="1301813151">
    <w:abstractNumId w:val="43"/>
  </w:num>
  <w:num w:numId="20" w16cid:durableId="1553883847">
    <w:abstractNumId w:val="35"/>
  </w:num>
  <w:num w:numId="21" w16cid:durableId="648098706">
    <w:abstractNumId w:val="16"/>
  </w:num>
  <w:num w:numId="22" w16cid:durableId="53431449">
    <w:abstractNumId w:val="46"/>
  </w:num>
  <w:num w:numId="23" w16cid:durableId="594174440">
    <w:abstractNumId w:val="37"/>
  </w:num>
  <w:num w:numId="24" w16cid:durableId="295835121">
    <w:abstractNumId w:val="1"/>
  </w:num>
  <w:num w:numId="25" w16cid:durableId="339699302">
    <w:abstractNumId w:val="61"/>
  </w:num>
  <w:num w:numId="26" w16cid:durableId="783882773">
    <w:abstractNumId w:val="19"/>
  </w:num>
  <w:num w:numId="27" w16cid:durableId="1192913414">
    <w:abstractNumId w:val="27"/>
  </w:num>
  <w:num w:numId="28" w16cid:durableId="1375886167">
    <w:abstractNumId w:val="23"/>
  </w:num>
  <w:num w:numId="29" w16cid:durableId="1194732860">
    <w:abstractNumId w:val="14"/>
  </w:num>
  <w:num w:numId="30" w16cid:durableId="155268136">
    <w:abstractNumId w:val="42"/>
  </w:num>
  <w:num w:numId="31" w16cid:durableId="2037385231">
    <w:abstractNumId w:val="50"/>
  </w:num>
  <w:num w:numId="32" w16cid:durableId="1555584046">
    <w:abstractNumId w:val="22"/>
  </w:num>
  <w:num w:numId="33" w16cid:durableId="362827681">
    <w:abstractNumId w:val="41"/>
  </w:num>
  <w:num w:numId="34" w16cid:durableId="1938437816">
    <w:abstractNumId w:val="17"/>
  </w:num>
  <w:num w:numId="35" w16cid:durableId="1728455305">
    <w:abstractNumId w:val="55"/>
  </w:num>
  <w:num w:numId="36" w16cid:durableId="1789081911">
    <w:abstractNumId w:val="18"/>
  </w:num>
  <w:num w:numId="37" w16cid:durableId="254751013">
    <w:abstractNumId w:val="36"/>
  </w:num>
  <w:num w:numId="38" w16cid:durableId="1059790508">
    <w:abstractNumId w:val="57"/>
  </w:num>
  <w:num w:numId="39" w16cid:durableId="1617756846">
    <w:abstractNumId w:val="7"/>
  </w:num>
  <w:num w:numId="40" w16cid:durableId="2007051293">
    <w:abstractNumId w:val="51"/>
  </w:num>
  <w:num w:numId="41" w16cid:durableId="1221137787">
    <w:abstractNumId w:val="8"/>
  </w:num>
  <w:num w:numId="42" w16cid:durableId="745343599">
    <w:abstractNumId w:val="21"/>
  </w:num>
  <w:num w:numId="43" w16cid:durableId="618072823">
    <w:abstractNumId w:val="15"/>
  </w:num>
  <w:num w:numId="44" w16cid:durableId="949900393">
    <w:abstractNumId w:val="11"/>
  </w:num>
  <w:num w:numId="45" w16cid:durableId="915284328">
    <w:abstractNumId w:val="4"/>
  </w:num>
  <w:num w:numId="46" w16cid:durableId="245309298">
    <w:abstractNumId w:val="54"/>
  </w:num>
  <w:num w:numId="47" w16cid:durableId="587085276">
    <w:abstractNumId w:val="2"/>
  </w:num>
  <w:num w:numId="48" w16cid:durableId="1252931723">
    <w:abstractNumId w:val="47"/>
  </w:num>
  <w:num w:numId="49" w16cid:durableId="726299507">
    <w:abstractNumId w:val="10"/>
  </w:num>
  <w:num w:numId="50" w16cid:durableId="1729307104">
    <w:abstractNumId w:val="29"/>
  </w:num>
  <w:num w:numId="51" w16cid:durableId="2096318878">
    <w:abstractNumId w:val="20"/>
  </w:num>
  <w:num w:numId="52" w16cid:durableId="2131895653">
    <w:abstractNumId w:val="34"/>
  </w:num>
  <w:num w:numId="53" w16cid:durableId="204411412">
    <w:abstractNumId w:val="13"/>
  </w:num>
  <w:num w:numId="54" w16cid:durableId="823860891">
    <w:abstractNumId w:val="52"/>
  </w:num>
  <w:num w:numId="55" w16cid:durableId="1816098373">
    <w:abstractNumId w:val="9"/>
  </w:num>
  <w:num w:numId="56" w16cid:durableId="1439328167">
    <w:abstractNumId w:val="59"/>
  </w:num>
  <w:num w:numId="57" w16cid:durableId="367072041">
    <w:abstractNumId w:val="38"/>
  </w:num>
  <w:num w:numId="58" w16cid:durableId="1309555946">
    <w:abstractNumId w:val="28"/>
  </w:num>
  <w:num w:numId="59" w16cid:durableId="1922710939">
    <w:abstractNumId w:val="25"/>
  </w:num>
  <w:num w:numId="60" w16cid:durableId="1004018770">
    <w:abstractNumId w:val="32"/>
  </w:num>
  <w:num w:numId="61" w16cid:durableId="618495281">
    <w:abstractNumId w:val="5"/>
  </w:num>
  <w:num w:numId="62" w16cid:durableId="1740784167">
    <w:abstractNumId w:val="26"/>
  </w:num>
  <w:num w:numId="63" w16cid:durableId="137692668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BD2"/>
    <w:rsid w:val="00000A7A"/>
    <w:rsid w:val="00000EFC"/>
    <w:rsid w:val="00002A96"/>
    <w:rsid w:val="00004E01"/>
    <w:rsid w:val="00005E9A"/>
    <w:rsid w:val="00006CC2"/>
    <w:rsid w:val="000071B6"/>
    <w:rsid w:val="00013BD7"/>
    <w:rsid w:val="0001579A"/>
    <w:rsid w:val="00022054"/>
    <w:rsid w:val="00024CCD"/>
    <w:rsid w:val="000303DE"/>
    <w:rsid w:val="00030734"/>
    <w:rsid w:val="00033737"/>
    <w:rsid w:val="000341FC"/>
    <w:rsid w:val="00035579"/>
    <w:rsid w:val="000366B3"/>
    <w:rsid w:val="000377C9"/>
    <w:rsid w:val="00041218"/>
    <w:rsid w:val="00042757"/>
    <w:rsid w:val="00043EFB"/>
    <w:rsid w:val="00044507"/>
    <w:rsid w:val="0004647B"/>
    <w:rsid w:val="00046610"/>
    <w:rsid w:val="00047B2B"/>
    <w:rsid w:val="000545F9"/>
    <w:rsid w:val="00056840"/>
    <w:rsid w:val="000576DC"/>
    <w:rsid w:val="00061310"/>
    <w:rsid w:val="00061EA7"/>
    <w:rsid w:val="00064890"/>
    <w:rsid w:val="00067F62"/>
    <w:rsid w:val="00083147"/>
    <w:rsid w:val="00087A96"/>
    <w:rsid w:val="000902E1"/>
    <w:rsid w:val="0009083F"/>
    <w:rsid w:val="000A400A"/>
    <w:rsid w:val="000A4D4D"/>
    <w:rsid w:val="000B02DA"/>
    <w:rsid w:val="000C19EA"/>
    <w:rsid w:val="000C581F"/>
    <w:rsid w:val="000D237A"/>
    <w:rsid w:val="000D39A2"/>
    <w:rsid w:val="000D757F"/>
    <w:rsid w:val="000E046A"/>
    <w:rsid w:val="000E0F96"/>
    <w:rsid w:val="000E110C"/>
    <w:rsid w:val="000F3BD9"/>
    <w:rsid w:val="000F51FA"/>
    <w:rsid w:val="000F6EEC"/>
    <w:rsid w:val="00100AC2"/>
    <w:rsid w:val="0010133A"/>
    <w:rsid w:val="00103D3A"/>
    <w:rsid w:val="0010767F"/>
    <w:rsid w:val="00111FD6"/>
    <w:rsid w:val="00112CD5"/>
    <w:rsid w:val="00116DBE"/>
    <w:rsid w:val="0011764B"/>
    <w:rsid w:val="001209C4"/>
    <w:rsid w:val="00120AB8"/>
    <w:rsid w:val="001309CE"/>
    <w:rsid w:val="001372EB"/>
    <w:rsid w:val="00143D15"/>
    <w:rsid w:val="001442FC"/>
    <w:rsid w:val="00144B6B"/>
    <w:rsid w:val="00144E44"/>
    <w:rsid w:val="001456BF"/>
    <w:rsid w:val="00147FA9"/>
    <w:rsid w:val="00163BB1"/>
    <w:rsid w:val="00171025"/>
    <w:rsid w:val="00171FE1"/>
    <w:rsid w:val="00173410"/>
    <w:rsid w:val="00175094"/>
    <w:rsid w:val="00177989"/>
    <w:rsid w:val="00177C6E"/>
    <w:rsid w:val="0019111E"/>
    <w:rsid w:val="001A3EE6"/>
    <w:rsid w:val="001A4969"/>
    <w:rsid w:val="001A4CCD"/>
    <w:rsid w:val="001B05C2"/>
    <w:rsid w:val="001B236E"/>
    <w:rsid w:val="001B23D6"/>
    <w:rsid w:val="001B3592"/>
    <w:rsid w:val="001B4C8D"/>
    <w:rsid w:val="001C17AE"/>
    <w:rsid w:val="001C6860"/>
    <w:rsid w:val="001D0A07"/>
    <w:rsid w:val="001D4E4C"/>
    <w:rsid w:val="001E239F"/>
    <w:rsid w:val="001F2251"/>
    <w:rsid w:val="001F2F42"/>
    <w:rsid w:val="001F66CC"/>
    <w:rsid w:val="00200BAA"/>
    <w:rsid w:val="00201286"/>
    <w:rsid w:val="00205FFE"/>
    <w:rsid w:val="00207A42"/>
    <w:rsid w:val="00210F49"/>
    <w:rsid w:val="002124CC"/>
    <w:rsid w:val="00213F45"/>
    <w:rsid w:val="0021500D"/>
    <w:rsid w:val="002160CD"/>
    <w:rsid w:val="002161A7"/>
    <w:rsid w:val="00216473"/>
    <w:rsid w:val="00223F79"/>
    <w:rsid w:val="0022503E"/>
    <w:rsid w:val="002252EC"/>
    <w:rsid w:val="00225688"/>
    <w:rsid w:val="00230C16"/>
    <w:rsid w:val="00232713"/>
    <w:rsid w:val="0023299D"/>
    <w:rsid w:val="00234CB7"/>
    <w:rsid w:val="002366EC"/>
    <w:rsid w:val="00243EBA"/>
    <w:rsid w:val="00244104"/>
    <w:rsid w:val="002445C7"/>
    <w:rsid w:val="00246D95"/>
    <w:rsid w:val="002470B1"/>
    <w:rsid w:val="002550DC"/>
    <w:rsid w:val="00256723"/>
    <w:rsid w:val="00256EFD"/>
    <w:rsid w:val="00260808"/>
    <w:rsid w:val="00261D8A"/>
    <w:rsid w:val="00271EB0"/>
    <w:rsid w:val="00272605"/>
    <w:rsid w:val="00273340"/>
    <w:rsid w:val="00276691"/>
    <w:rsid w:val="00277232"/>
    <w:rsid w:val="002807E3"/>
    <w:rsid w:val="00281395"/>
    <w:rsid w:val="002817C8"/>
    <w:rsid w:val="00281D59"/>
    <w:rsid w:val="00285279"/>
    <w:rsid w:val="0028630A"/>
    <w:rsid w:val="00286D30"/>
    <w:rsid w:val="00294FC9"/>
    <w:rsid w:val="0029790D"/>
    <w:rsid w:val="002A3E88"/>
    <w:rsid w:val="002A6143"/>
    <w:rsid w:val="002C2226"/>
    <w:rsid w:val="002D4934"/>
    <w:rsid w:val="002D59CA"/>
    <w:rsid w:val="002E25A1"/>
    <w:rsid w:val="002E71ED"/>
    <w:rsid w:val="002F06DF"/>
    <w:rsid w:val="002F3431"/>
    <w:rsid w:val="002F4D37"/>
    <w:rsid w:val="00300888"/>
    <w:rsid w:val="00300DF3"/>
    <w:rsid w:val="00300F1F"/>
    <w:rsid w:val="00302E05"/>
    <w:rsid w:val="0030723B"/>
    <w:rsid w:val="00307A34"/>
    <w:rsid w:val="0031309E"/>
    <w:rsid w:val="00316145"/>
    <w:rsid w:val="00317098"/>
    <w:rsid w:val="00323623"/>
    <w:rsid w:val="0033139F"/>
    <w:rsid w:val="00335969"/>
    <w:rsid w:val="003446EE"/>
    <w:rsid w:val="003511A2"/>
    <w:rsid w:val="003570C5"/>
    <w:rsid w:val="00357839"/>
    <w:rsid w:val="00360C9E"/>
    <w:rsid w:val="00361DAA"/>
    <w:rsid w:val="0036206D"/>
    <w:rsid w:val="00363B77"/>
    <w:rsid w:val="003651D3"/>
    <w:rsid w:val="003731A9"/>
    <w:rsid w:val="00374BD6"/>
    <w:rsid w:val="00374C74"/>
    <w:rsid w:val="003778BA"/>
    <w:rsid w:val="00384C48"/>
    <w:rsid w:val="0038664B"/>
    <w:rsid w:val="00386DD1"/>
    <w:rsid w:val="00391D25"/>
    <w:rsid w:val="003A0530"/>
    <w:rsid w:val="003A12FD"/>
    <w:rsid w:val="003A5F99"/>
    <w:rsid w:val="003A689C"/>
    <w:rsid w:val="003A7510"/>
    <w:rsid w:val="003A7D9D"/>
    <w:rsid w:val="003B45A5"/>
    <w:rsid w:val="003B503F"/>
    <w:rsid w:val="003B6F0E"/>
    <w:rsid w:val="003B7332"/>
    <w:rsid w:val="003C0FD8"/>
    <w:rsid w:val="003C19D6"/>
    <w:rsid w:val="003C44C2"/>
    <w:rsid w:val="003C5342"/>
    <w:rsid w:val="003C66B6"/>
    <w:rsid w:val="003C7282"/>
    <w:rsid w:val="003D0D39"/>
    <w:rsid w:val="003D23CD"/>
    <w:rsid w:val="003D2744"/>
    <w:rsid w:val="003E1C01"/>
    <w:rsid w:val="003E3279"/>
    <w:rsid w:val="003F228E"/>
    <w:rsid w:val="003F2F50"/>
    <w:rsid w:val="003F5CC4"/>
    <w:rsid w:val="003F6465"/>
    <w:rsid w:val="003F7DAE"/>
    <w:rsid w:val="004002AB"/>
    <w:rsid w:val="004054B7"/>
    <w:rsid w:val="00415ADC"/>
    <w:rsid w:val="004174D1"/>
    <w:rsid w:val="00421E15"/>
    <w:rsid w:val="004227DB"/>
    <w:rsid w:val="00423920"/>
    <w:rsid w:val="00426193"/>
    <w:rsid w:val="0043798B"/>
    <w:rsid w:val="00443022"/>
    <w:rsid w:val="00443E71"/>
    <w:rsid w:val="00444BD1"/>
    <w:rsid w:val="00445397"/>
    <w:rsid w:val="00445ABE"/>
    <w:rsid w:val="00451648"/>
    <w:rsid w:val="00452AAB"/>
    <w:rsid w:val="00454221"/>
    <w:rsid w:val="0045547A"/>
    <w:rsid w:val="00456B30"/>
    <w:rsid w:val="004601A9"/>
    <w:rsid w:val="004634B7"/>
    <w:rsid w:val="0046792F"/>
    <w:rsid w:val="00470BB5"/>
    <w:rsid w:val="00471BD3"/>
    <w:rsid w:val="00472982"/>
    <w:rsid w:val="004743F3"/>
    <w:rsid w:val="00475A38"/>
    <w:rsid w:val="004762A0"/>
    <w:rsid w:val="004771B7"/>
    <w:rsid w:val="004800DC"/>
    <w:rsid w:val="00485873"/>
    <w:rsid w:val="004862E2"/>
    <w:rsid w:val="004944E6"/>
    <w:rsid w:val="004947B0"/>
    <w:rsid w:val="00494CCA"/>
    <w:rsid w:val="004965C9"/>
    <w:rsid w:val="0049679B"/>
    <w:rsid w:val="00497A65"/>
    <w:rsid w:val="004A08EC"/>
    <w:rsid w:val="004A2904"/>
    <w:rsid w:val="004A701C"/>
    <w:rsid w:val="004A72C4"/>
    <w:rsid w:val="004A74A3"/>
    <w:rsid w:val="004B0079"/>
    <w:rsid w:val="004B0185"/>
    <w:rsid w:val="004B1ED2"/>
    <w:rsid w:val="004B5123"/>
    <w:rsid w:val="004B5D22"/>
    <w:rsid w:val="004C24F8"/>
    <w:rsid w:val="004C55C6"/>
    <w:rsid w:val="004C5CB6"/>
    <w:rsid w:val="004D581C"/>
    <w:rsid w:val="004D72CA"/>
    <w:rsid w:val="004E6FD2"/>
    <w:rsid w:val="004F6A9E"/>
    <w:rsid w:val="004F6DD4"/>
    <w:rsid w:val="004F7E73"/>
    <w:rsid w:val="0050466D"/>
    <w:rsid w:val="00505BAD"/>
    <w:rsid w:val="00506B56"/>
    <w:rsid w:val="0051011C"/>
    <w:rsid w:val="0051585C"/>
    <w:rsid w:val="00522A0F"/>
    <w:rsid w:val="00525617"/>
    <w:rsid w:val="005279AA"/>
    <w:rsid w:val="00530DAB"/>
    <w:rsid w:val="00531E84"/>
    <w:rsid w:val="00533B35"/>
    <w:rsid w:val="00533C0A"/>
    <w:rsid w:val="0053446D"/>
    <w:rsid w:val="005357F9"/>
    <w:rsid w:val="005410B5"/>
    <w:rsid w:val="0054191C"/>
    <w:rsid w:val="0054751C"/>
    <w:rsid w:val="005534E4"/>
    <w:rsid w:val="0055701E"/>
    <w:rsid w:val="0055712F"/>
    <w:rsid w:val="005606A1"/>
    <w:rsid w:val="00563C42"/>
    <w:rsid w:val="00564CB3"/>
    <w:rsid w:val="00564D98"/>
    <w:rsid w:val="00576968"/>
    <w:rsid w:val="00576D39"/>
    <w:rsid w:val="00582483"/>
    <w:rsid w:val="0058374C"/>
    <w:rsid w:val="00586D1F"/>
    <w:rsid w:val="0058765A"/>
    <w:rsid w:val="0059788C"/>
    <w:rsid w:val="005A06EF"/>
    <w:rsid w:val="005A472D"/>
    <w:rsid w:val="005A6F09"/>
    <w:rsid w:val="005B3271"/>
    <w:rsid w:val="005B41B0"/>
    <w:rsid w:val="005C0738"/>
    <w:rsid w:val="005C4F22"/>
    <w:rsid w:val="005D1AF0"/>
    <w:rsid w:val="005D2C6C"/>
    <w:rsid w:val="005D4DFB"/>
    <w:rsid w:val="005F0920"/>
    <w:rsid w:val="005F0CF2"/>
    <w:rsid w:val="005F24DF"/>
    <w:rsid w:val="005F33BD"/>
    <w:rsid w:val="005F598D"/>
    <w:rsid w:val="005F60DD"/>
    <w:rsid w:val="005F6541"/>
    <w:rsid w:val="00603552"/>
    <w:rsid w:val="00606A8A"/>
    <w:rsid w:val="00610FBA"/>
    <w:rsid w:val="00611229"/>
    <w:rsid w:val="006174E1"/>
    <w:rsid w:val="00622003"/>
    <w:rsid w:val="006224CE"/>
    <w:rsid w:val="006269E5"/>
    <w:rsid w:val="00626EB1"/>
    <w:rsid w:val="0063143F"/>
    <w:rsid w:val="006325D4"/>
    <w:rsid w:val="00632710"/>
    <w:rsid w:val="00633EF3"/>
    <w:rsid w:val="006341A4"/>
    <w:rsid w:val="00641257"/>
    <w:rsid w:val="00645C14"/>
    <w:rsid w:val="00646F59"/>
    <w:rsid w:val="00651083"/>
    <w:rsid w:val="00655AB8"/>
    <w:rsid w:val="006568D4"/>
    <w:rsid w:val="00657D69"/>
    <w:rsid w:val="006603C8"/>
    <w:rsid w:val="00661F68"/>
    <w:rsid w:val="006640EA"/>
    <w:rsid w:val="006647A2"/>
    <w:rsid w:val="00666A25"/>
    <w:rsid w:val="006760C7"/>
    <w:rsid w:val="0067794D"/>
    <w:rsid w:val="006811E3"/>
    <w:rsid w:val="006844BA"/>
    <w:rsid w:val="00686170"/>
    <w:rsid w:val="006864D6"/>
    <w:rsid w:val="00686611"/>
    <w:rsid w:val="00690C11"/>
    <w:rsid w:val="00693661"/>
    <w:rsid w:val="00695780"/>
    <w:rsid w:val="006976E4"/>
    <w:rsid w:val="006A0094"/>
    <w:rsid w:val="006A0FD1"/>
    <w:rsid w:val="006A213C"/>
    <w:rsid w:val="006A7D97"/>
    <w:rsid w:val="006B05EC"/>
    <w:rsid w:val="006B369D"/>
    <w:rsid w:val="006B7952"/>
    <w:rsid w:val="006C5D22"/>
    <w:rsid w:val="006D0F34"/>
    <w:rsid w:val="006D5A17"/>
    <w:rsid w:val="006E5925"/>
    <w:rsid w:val="006E6C51"/>
    <w:rsid w:val="006F14C0"/>
    <w:rsid w:val="006F219C"/>
    <w:rsid w:val="006F5FCD"/>
    <w:rsid w:val="006F64F7"/>
    <w:rsid w:val="00707D4E"/>
    <w:rsid w:val="007176D8"/>
    <w:rsid w:val="00722E26"/>
    <w:rsid w:val="00730E5C"/>
    <w:rsid w:val="00732ADB"/>
    <w:rsid w:val="00750652"/>
    <w:rsid w:val="0075325F"/>
    <w:rsid w:val="007537A3"/>
    <w:rsid w:val="00753BA9"/>
    <w:rsid w:val="00761F56"/>
    <w:rsid w:val="007634C6"/>
    <w:rsid w:val="007646EE"/>
    <w:rsid w:val="00767E89"/>
    <w:rsid w:val="00772AAB"/>
    <w:rsid w:val="00774CA6"/>
    <w:rsid w:val="00783F07"/>
    <w:rsid w:val="0078771D"/>
    <w:rsid w:val="00791240"/>
    <w:rsid w:val="007951B5"/>
    <w:rsid w:val="007A08B0"/>
    <w:rsid w:val="007B77E3"/>
    <w:rsid w:val="007C1437"/>
    <w:rsid w:val="007C1CBE"/>
    <w:rsid w:val="007C3DE6"/>
    <w:rsid w:val="007C3ED8"/>
    <w:rsid w:val="007C474F"/>
    <w:rsid w:val="007C7C3A"/>
    <w:rsid w:val="007C7F22"/>
    <w:rsid w:val="007D1B8E"/>
    <w:rsid w:val="007D36E0"/>
    <w:rsid w:val="007D5935"/>
    <w:rsid w:val="007E0B04"/>
    <w:rsid w:val="007E384E"/>
    <w:rsid w:val="007E4B1D"/>
    <w:rsid w:val="007E4EFE"/>
    <w:rsid w:val="007E6A38"/>
    <w:rsid w:val="007F07DA"/>
    <w:rsid w:val="007F21A8"/>
    <w:rsid w:val="007F59A9"/>
    <w:rsid w:val="007F61E8"/>
    <w:rsid w:val="007F760A"/>
    <w:rsid w:val="00803B82"/>
    <w:rsid w:val="008045DD"/>
    <w:rsid w:val="00807AB8"/>
    <w:rsid w:val="008146FB"/>
    <w:rsid w:val="00814855"/>
    <w:rsid w:val="00820FA8"/>
    <w:rsid w:val="00821926"/>
    <w:rsid w:val="00821CCB"/>
    <w:rsid w:val="0082254D"/>
    <w:rsid w:val="00822E6D"/>
    <w:rsid w:val="00824A5F"/>
    <w:rsid w:val="00825EA7"/>
    <w:rsid w:val="00830838"/>
    <w:rsid w:val="008331D4"/>
    <w:rsid w:val="00836D70"/>
    <w:rsid w:val="00843304"/>
    <w:rsid w:val="0084428C"/>
    <w:rsid w:val="008443AF"/>
    <w:rsid w:val="00845226"/>
    <w:rsid w:val="00845593"/>
    <w:rsid w:val="00852C36"/>
    <w:rsid w:val="008551C4"/>
    <w:rsid w:val="00855628"/>
    <w:rsid w:val="00862930"/>
    <w:rsid w:val="008648B2"/>
    <w:rsid w:val="00865010"/>
    <w:rsid w:val="0086559F"/>
    <w:rsid w:val="00867753"/>
    <w:rsid w:val="008727CE"/>
    <w:rsid w:val="00875716"/>
    <w:rsid w:val="00880659"/>
    <w:rsid w:val="00886A23"/>
    <w:rsid w:val="0089133A"/>
    <w:rsid w:val="00891713"/>
    <w:rsid w:val="00894CD7"/>
    <w:rsid w:val="0089759E"/>
    <w:rsid w:val="008A2A27"/>
    <w:rsid w:val="008A2E0A"/>
    <w:rsid w:val="008A4DF3"/>
    <w:rsid w:val="008A70D7"/>
    <w:rsid w:val="008B0DA0"/>
    <w:rsid w:val="008B35E7"/>
    <w:rsid w:val="008B572B"/>
    <w:rsid w:val="008B74A9"/>
    <w:rsid w:val="008C233E"/>
    <w:rsid w:val="008C480B"/>
    <w:rsid w:val="008C564C"/>
    <w:rsid w:val="008D220E"/>
    <w:rsid w:val="008D26AD"/>
    <w:rsid w:val="008D4462"/>
    <w:rsid w:val="008D77FA"/>
    <w:rsid w:val="008E1F7C"/>
    <w:rsid w:val="008E3CCA"/>
    <w:rsid w:val="008E3F57"/>
    <w:rsid w:val="008E4C66"/>
    <w:rsid w:val="008E51CA"/>
    <w:rsid w:val="00903F8A"/>
    <w:rsid w:val="00904404"/>
    <w:rsid w:val="0091246C"/>
    <w:rsid w:val="00912CC5"/>
    <w:rsid w:val="0091368C"/>
    <w:rsid w:val="009141FF"/>
    <w:rsid w:val="00916BE9"/>
    <w:rsid w:val="0092045E"/>
    <w:rsid w:val="009213A0"/>
    <w:rsid w:val="009244BE"/>
    <w:rsid w:val="00924531"/>
    <w:rsid w:val="009253E8"/>
    <w:rsid w:val="009265FC"/>
    <w:rsid w:val="0093571E"/>
    <w:rsid w:val="00935D50"/>
    <w:rsid w:val="00936C97"/>
    <w:rsid w:val="0094227E"/>
    <w:rsid w:val="00942887"/>
    <w:rsid w:val="00944D6F"/>
    <w:rsid w:val="00945498"/>
    <w:rsid w:val="00954B3E"/>
    <w:rsid w:val="00954CB9"/>
    <w:rsid w:val="00955044"/>
    <w:rsid w:val="00955608"/>
    <w:rsid w:val="00956C9F"/>
    <w:rsid w:val="00962340"/>
    <w:rsid w:val="0096258C"/>
    <w:rsid w:val="009641B8"/>
    <w:rsid w:val="00964564"/>
    <w:rsid w:val="00967440"/>
    <w:rsid w:val="00970B0D"/>
    <w:rsid w:val="00970FF4"/>
    <w:rsid w:val="009733DF"/>
    <w:rsid w:val="00976ED5"/>
    <w:rsid w:val="00983CD5"/>
    <w:rsid w:val="009921B0"/>
    <w:rsid w:val="009923DA"/>
    <w:rsid w:val="00993E6E"/>
    <w:rsid w:val="0099578A"/>
    <w:rsid w:val="009A363A"/>
    <w:rsid w:val="009A4301"/>
    <w:rsid w:val="009A44EF"/>
    <w:rsid w:val="009A74B6"/>
    <w:rsid w:val="009A7DF1"/>
    <w:rsid w:val="009B08D8"/>
    <w:rsid w:val="009B14BD"/>
    <w:rsid w:val="009B2446"/>
    <w:rsid w:val="009B4D0A"/>
    <w:rsid w:val="009C20E8"/>
    <w:rsid w:val="009C7088"/>
    <w:rsid w:val="009D079F"/>
    <w:rsid w:val="009D0C46"/>
    <w:rsid w:val="009E2AD3"/>
    <w:rsid w:val="009E4C06"/>
    <w:rsid w:val="009E5915"/>
    <w:rsid w:val="009F0D58"/>
    <w:rsid w:val="009F1885"/>
    <w:rsid w:val="009F4971"/>
    <w:rsid w:val="009F65AB"/>
    <w:rsid w:val="00A124BB"/>
    <w:rsid w:val="00A13CE4"/>
    <w:rsid w:val="00A146B0"/>
    <w:rsid w:val="00A16C90"/>
    <w:rsid w:val="00A21777"/>
    <w:rsid w:val="00A24D83"/>
    <w:rsid w:val="00A27532"/>
    <w:rsid w:val="00A35D27"/>
    <w:rsid w:val="00A372C1"/>
    <w:rsid w:val="00A43C26"/>
    <w:rsid w:val="00A440AB"/>
    <w:rsid w:val="00A550B4"/>
    <w:rsid w:val="00A55C5E"/>
    <w:rsid w:val="00A577FE"/>
    <w:rsid w:val="00A64D27"/>
    <w:rsid w:val="00A6500C"/>
    <w:rsid w:val="00A6625B"/>
    <w:rsid w:val="00A67389"/>
    <w:rsid w:val="00A7045E"/>
    <w:rsid w:val="00A77098"/>
    <w:rsid w:val="00A802F0"/>
    <w:rsid w:val="00A813BB"/>
    <w:rsid w:val="00A833C5"/>
    <w:rsid w:val="00A90666"/>
    <w:rsid w:val="00A92693"/>
    <w:rsid w:val="00A94A1A"/>
    <w:rsid w:val="00AA1A03"/>
    <w:rsid w:val="00AB1358"/>
    <w:rsid w:val="00AB3D49"/>
    <w:rsid w:val="00AC1F66"/>
    <w:rsid w:val="00AC2298"/>
    <w:rsid w:val="00AC26CC"/>
    <w:rsid w:val="00AC52E5"/>
    <w:rsid w:val="00AC7F48"/>
    <w:rsid w:val="00AD73FE"/>
    <w:rsid w:val="00AE146B"/>
    <w:rsid w:val="00AE1A1B"/>
    <w:rsid w:val="00AE34DE"/>
    <w:rsid w:val="00AE4820"/>
    <w:rsid w:val="00AE69EB"/>
    <w:rsid w:val="00AF2A4D"/>
    <w:rsid w:val="00AF392D"/>
    <w:rsid w:val="00AF3BEA"/>
    <w:rsid w:val="00B11020"/>
    <w:rsid w:val="00B11E5F"/>
    <w:rsid w:val="00B151D8"/>
    <w:rsid w:val="00B20812"/>
    <w:rsid w:val="00B21B4E"/>
    <w:rsid w:val="00B2310F"/>
    <w:rsid w:val="00B2441E"/>
    <w:rsid w:val="00B27816"/>
    <w:rsid w:val="00B312AB"/>
    <w:rsid w:val="00B31D8D"/>
    <w:rsid w:val="00B31E81"/>
    <w:rsid w:val="00B35C95"/>
    <w:rsid w:val="00B42557"/>
    <w:rsid w:val="00B43C2E"/>
    <w:rsid w:val="00B474FA"/>
    <w:rsid w:val="00B5242B"/>
    <w:rsid w:val="00B54EB3"/>
    <w:rsid w:val="00B54F0C"/>
    <w:rsid w:val="00B601C9"/>
    <w:rsid w:val="00B67151"/>
    <w:rsid w:val="00B70A2D"/>
    <w:rsid w:val="00B75C70"/>
    <w:rsid w:val="00B7675B"/>
    <w:rsid w:val="00B77A55"/>
    <w:rsid w:val="00B819CB"/>
    <w:rsid w:val="00B83B4E"/>
    <w:rsid w:val="00B84791"/>
    <w:rsid w:val="00B848D6"/>
    <w:rsid w:val="00B90916"/>
    <w:rsid w:val="00B9256A"/>
    <w:rsid w:val="00B946B1"/>
    <w:rsid w:val="00B95BC6"/>
    <w:rsid w:val="00B962AD"/>
    <w:rsid w:val="00BA002C"/>
    <w:rsid w:val="00BA06A7"/>
    <w:rsid w:val="00BA32AC"/>
    <w:rsid w:val="00BA3F40"/>
    <w:rsid w:val="00BB0506"/>
    <w:rsid w:val="00BB59BF"/>
    <w:rsid w:val="00BB621D"/>
    <w:rsid w:val="00BC414B"/>
    <w:rsid w:val="00BC5387"/>
    <w:rsid w:val="00BC5E99"/>
    <w:rsid w:val="00BD353D"/>
    <w:rsid w:val="00BD5244"/>
    <w:rsid w:val="00BE0154"/>
    <w:rsid w:val="00BE4118"/>
    <w:rsid w:val="00BE6890"/>
    <w:rsid w:val="00BF0F75"/>
    <w:rsid w:val="00BF5772"/>
    <w:rsid w:val="00BF6289"/>
    <w:rsid w:val="00BF669B"/>
    <w:rsid w:val="00C015D0"/>
    <w:rsid w:val="00C02032"/>
    <w:rsid w:val="00C03A00"/>
    <w:rsid w:val="00C04297"/>
    <w:rsid w:val="00C04E3F"/>
    <w:rsid w:val="00C059FE"/>
    <w:rsid w:val="00C10E71"/>
    <w:rsid w:val="00C1123E"/>
    <w:rsid w:val="00C12AD9"/>
    <w:rsid w:val="00C14589"/>
    <w:rsid w:val="00C1603C"/>
    <w:rsid w:val="00C25C5D"/>
    <w:rsid w:val="00C32E2C"/>
    <w:rsid w:val="00C35BDC"/>
    <w:rsid w:val="00C36E62"/>
    <w:rsid w:val="00C40FD3"/>
    <w:rsid w:val="00C4373C"/>
    <w:rsid w:val="00C546E3"/>
    <w:rsid w:val="00C54C98"/>
    <w:rsid w:val="00C54FE1"/>
    <w:rsid w:val="00C568B2"/>
    <w:rsid w:val="00C60683"/>
    <w:rsid w:val="00C6098E"/>
    <w:rsid w:val="00C60B13"/>
    <w:rsid w:val="00C653EB"/>
    <w:rsid w:val="00C676E6"/>
    <w:rsid w:val="00C838B4"/>
    <w:rsid w:val="00C847EB"/>
    <w:rsid w:val="00C85D9B"/>
    <w:rsid w:val="00C91E85"/>
    <w:rsid w:val="00C9251B"/>
    <w:rsid w:val="00C927B4"/>
    <w:rsid w:val="00C9580B"/>
    <w:rsid w:val="00C96BD2"/>
    <w:rsid w:val="00C97563"/>
    <w:rsid w:val="00CA0EA5"/>
    <w:rsid w:val="00CB19CD"/>
    <w:rsid w:val="00CB4FC9"/>
    <w:rsid w:val="00CB5B72"/>
    <w:rsid w:val="00CB6A48"/>
    <w:rsid w:val="00CC031F"/>
    <w:rsid w:val="00CC52A1"/>
    <w:rsid w:val="00CC5C16"/>
    <w:rsid w:val="00CC7F89"/>
    <w:rsid w:val="00CD0B22"/>
    <w:rsid w:val="00CD1AD6"/>
    <w:rsid w:val="00CD389D"/>
    <w:rsid w:val="00CE0DC7"/>
    <w:rsid w:val="00CE3483"/>
    <w:rsid w:val="00CE500C"/>
    <w:rsid w:val="00CF0245"/>
    <w:rsid w:val="00CF3DAA"/>
    <w:rsid w:val="00D0079D"/>
    <w:rsid w:val="00D05387"/>
    <w:rsid w:val="00D05CAD"/>
    <w:rsid w:val="00D10B32"/>
    <w:rsid w:val="00D10C3D"/>
    <w:rsid w:val="00D130FA"/>
    <w:rsid w:val="00D13B98"/>
    <w:rsid w:val="00D15406"/>
    <w:rsid w:val="00D15C1A"/>
    <w:rsid w:val="00D223DA"/>
    <w:rsid w:val="00D320C9"/>
    <w:rsid w:val="00D32197"/>
    <w:rsid w:val="00D3246F"/>
    <w:rsid w:val="00D333A4"/>
    <w:rsid w:val="00D40128"/>
    <w:rsid w:val="00D402D9"/>
    <w:rsid w:val="00D4083A"/>
    <w:rsid w:val="00D41AF3"/>
    <w:rsid w:val="00D4287E"/>
    <w:rsid w:val="00D45B65"/>
    <w:rsid w:val="00D46B05"/>
    <w:rsid w:val="00D535E1"/>
    <w:rsid w:val="00D54C97"/>
    <w:rsid w:val="00D5595C"/>
    <w:rsid w:val="00D62C5A"/>
    <w:rsid w:val="00D652E4"/>
    <w:rsid w:val="00D77B0E"/>
    <w:rsid w:val="00D801CB"/>
    <w:rsid w:val="00D85594"/>
    <w:rsid w:val="00D85B94"/>
    <w:rsid w:val="00D94C63"/>
    <w:rsid w:val="00DA3DC7"/>
    <w:rsid w:val="00DA581C"/>
    <w:rsid w:val="00DA6100"/>
    <w:rsid w:val="00DB1780"/>
    <w:rsid w:val="00DB3FE9"/>
    <w:rsid w:val="00DB48B9"/>
    <w:rsid w:val="00DB524E"/>
    <w:rsid w:val="00DB6010"/>
    <w:rsid w:val="00DC00AA"/>
    <w:rsid w:val="00DC18C5"/>
    <w:rsid w:val="00DC1F49"/>
    <w:rsid w:val="00DC45F1"/>
    <w:rsid w:val="00DC4F79"/>
    <w:rsid w:val="00DC5D98"/>
    <w:rsid w:val="00DD2E21"/>
    <w:rsid w:val="00DD5D8D"/>
    <w:rsid w:val="00DE12AC"/>
    <w:rsid w:val="00DE23B6"/>
    <w:rsid w:val="00DE28FA"/>
    <w:rsid w:val="00DE3B4A"/>
    <w:rsid w:val="00DF46EE"/>
    <w:rsid w:val="00DF509D"/>
    <w:rsid w:val="00E016B0"/>
    <w:rsid w:val="00E043D9"/>
    <w:rsid w:val="00E04846"/>
    <w:rsid w:val="00E05F3D"/>
    <w:rsid w:val="00E0700C"/>
    <w:rsid w:val="00E11A9F"/>
    <w:rsid w:val="00E17F1F"/>
    <w:rsid w:val="00E21366"/>
    <w:rsid w:val="00E214B9"/>
    <w:rsid w:val="00E22ACD"/>
    <w:rsid w:val="00E23EA6"/>
    <w:rsid w:val="00E24D42"/>
    <w:rsid w:val="00E2537A"/>
    <w:rsid w:val="00E25A54"/>
    <w:rsid w:val="00E27C19"/>
    <w:rsid w:val="00E35B11"/>
    <w:rsid w:val="00E364A6"/>
    <w:rsid w:val="00E43245"/>
    <w:rsid w:val="00E43D3A"/>
    <w:rsid w:val="00E51B07"/>
    <w:rsid w:val="00E53217"/>
    <w:rsid w:val="00E5520F"/>
    <w:rsid w:val="00E5591B"/>
    <w:rsid w:val="00E5621E"/>
    <w:rsid w:val="00E60291"/>
    <w:rsid w:val="00E60757"/>
    <w:rsid w:val="00E61B26"/>
    <w:rsid w:val="00E64509"/>
    <w:rsid w:val="00E65AB1"/>
    <w:rsid w:val="00E66499"/>
    <w:rsid w:val="00E734BD"/>
    <w:rsid w:val="00E75793"/>
    <w:rsid w:val="00E86064"/>
    <w:rsid w:val="00E92532"/>
    <w:rsid w:val="00E936EC"/>
    <w:rsid w:val="00EA2D30"/>
    <w:rsid w:val="00EA4FD5"/>
    <w:rsid w:val="00EA544A"/>
    <w:rsid w:val="00EB6596"/>
    <w:rsid w:val="00EB6EDD"/>
    <w:rsid w:val="00EC03F9"/>
    <w:rsid w:val="00EC079A"/>
    <w:rsid w:val="00ED50D5"/>
    <w:rsid w:val="00ED6FBB"/>
    <w:rsid w:val="00ED7721"/>
    <w:rsid w:val="00EE2373"/>
    <w:rsid w:val="00EE23B0"/>
    <w:rsid w:val="00EE2C59"/>
    <w:rsid w:val="00EE2D00"/>
    <w:rsid w:val="00EE5A52"/>
    <w:rsid w:val="00EE6A33"/>
    <w:rsid w:val="00EF4528"/>
    <w:rsid w:val="00EF7325"/>
    <w:rsid w:val="00EF7F44"/>
    <w:rsid w:val="00F017F9"/>
    <w:rsid w:val="00F1006A"/>
    <w:rsid w:val="00F10116"/>
    <w:rsid w:val="00F1090B"/>
    <w:rsid w:val="00F13B63"/>
    <w:rsid w:val="00F15098"/>
    <w:rsid w:val="00F206F2"/>
    <w:rsid w:val="00F246B9"/>
    <w:rsid w:val="00F35835"/>
    <w:rsid w:val="00F422D7"/>
    <w:rsid w:val="00F430D3"/>
    <w:rsid w:val="00F43642"/>
    <w:rsid w:val="00F44BE6"/>
    <w:rsid w:val="00F45056"/>
    <w:rsid w:val="00F52497"/>
    <w:rsid w:val="00F5562A"/>
    <w:rsid w:val="00F573AF"/>
    <w:rsid w:val="00F61142"/>
    <w:rsid w:val="00F67102"/>
    <w:rsid w:val="00F81F8A"/>
    <w:rsid w:val="00F821E7"/>
    <w:rsid w:val="00F87CAD"/>
    <w:rsid w:val="00F92CBA"/>
    <w:rsid w:val="00F938E7"/>
    <w:rsid w:val="00F968B5"/>
    <w:rsid w:val="00F97F4E"/>
    <w:rsid w:val="00FA2C63"/>
    <w:rsid w:val="00FA426D"/>
    <w:rsid w:val="00FA7AEC"/>
    <w:rsid w:val="00FA7F07"/>
    <w:rsid w:val="00FB0E78"/>
    <w:rsid w:val="00FB2CF9"/>
    <w:rsid w:val="00FB4749"/>
    <w:rsid w:val="00FB6B41"/>
    <w:rsid w:val="00FC2529"/>
    <w:rsid w:val="00FD0FFA"/>
    <w:rsid w:val="00FD2BFF"/>
    <w:rsid w:val="00FE6E50"/>
    <w:rsid w:val="00FF2EB0"/>
    <w:rsid w:val="00FF4237"/>
    <w:rsid w:val="00FF76C3"/>
    <w:rsid w:val="017BE105"/>
    <w:rsid w:val="020DB0C0"/>
    <w:rsid w:val="04FE6255"/>
    <w:rsid w:val="0516EADB"/>
    <w:rsid w:val="071EC308"/>
    <w:rsid w:val="0721F083"/>
    <w:rsid w:val="097D3047"/>
    <w:rsid w:val="0CA25355"/>
    <w:rsid w:val="0CECC479"/>
    <w:rsid w:val="0E04596F"/>
    <w:rsid w:val="0FB51CC2"/>
    <w:rsid w:val="1126BEFD"/>
    <w:rsid w:val="11CF0927"/>
    <w:rsid w:val="187EF08D"/>
    <w:rsid w:val="18FFCA18"/>
    <w:rsid w:val="1A7ED174"/>
    <w:rsid w:val="1C1381AB"/>
    <w:rsid w:val="1CA55166"/>
    <w:rsid w:val="1CA8EA23"/>
    <w:rsid w:val="1F83D9FB"/>
    <w:rsid w:val="20EFB371"/>
    <w:rsid w:val="26174EB8"/>
    <w:rsid w:val="27F544AE"/>
    <w:rsid w:val="2865B9D7"/>
    <w:rsid w:val="2D2D4138"/>
    <w:rsid w:val="30CE8067"/>
    <w:rsid w:val="32E1CF49"/>
    <w:rsid w:val="3887ED7C"/>
    <w:rsid w:val="3A13ACF4"/>
    <w:rsid w:val="3D4B6A5C"/>
    <w:rsid w:val="3D846B99"/>
    <w:rsid w:val="3FE143F7"/>
    <w:rsid w:val="4032B950"/>
    <w:rsid w:val="40E13F9A"/>
    <w:rsid w:val="4423629A"/>
    <w:rsid w:val="45BC399C"/>
    <w:rsid w:val="48834BB5"/>
    <w:rsid w:val="49C980CD"/>
    <w:rsid w:val="4A37AD28"/>
    <w:rsid w:val="4AC03B5C"/>
    <w:rsid w:val="4C2E747F"/>
    <w:rsid w:val="4EBB1D29"/>
    <w:rsid w:val="50F3B63F"/>
    <w:rsid w:val="520CA2DF"/>
    <w:rsid w:val="5395A321"/>
    <w:rsid w:val="54F5321F"/>
    <w:rsid w:val="55E4D5CC"/>
    <w:rsid w:val="561F2B46"/>
    <w:rsid w:val="567F8657"/>
    <w:rsid w:val="5DDB155B"/>
    <w:rsid w:val="5EE46FEB"/>
    <w:rsid w:val="5F7ED2FC"/>
    <w:rsid w:val="60046617"/>
    <w:rsid w:val="6029D61F"/>
    <w:rsid w:val="6056D3A1"/>
    <w:rsid w:val="621C10AD"/>
    <w:rsid w:val="6318EF1B"/>
    <w:rsid w:val="63BB0003"/>
    <w:rsid w:val="64B4BF7C"/>
    <w:rsid w:val="65A72F13"/>
    <w:rsid w:val="660D49BA"/>
    <w:rsid w:val="679ACFEB"/>
    <w:rsid w:val="67AA809D"/>
    <w:rsid w:val="68139C44"/>
    <w:rsid w:val="68AAE53F"/>
    <w:rsid w:val="699E246E"/>
    <w:rsid w:val="69F9DD0F"/>
    <w:rsid w:val="6AC180FE"/>
    <w:rsid w:val="6AEE8E30"/>
    <w:rsid w:val="6AF004E3"/>
    <w:rsid w:val="7036F2EB"/>
    <w:rsid w:val="74D610CE"/>
    <w:rsid w:val="7544D978"/>
    <w:rsid w:val="77D5849A"/>
    <w:rsid w:val="7955D78E"/>
    <w:rsid w:val="7AA6D370"/>
    <w:rsid w:val="7AB9A300"/>
    <w:rsid w:val="7E444042"/>
    <w:rsid w:val="7F38D6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64E20"/>
  <w15:chartTrackingRefBased/>
  <w15:docId w15:val="{6D07A0C2-F59E-4EBE-B097-A50566A3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E1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AE1A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AE1A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DC4F7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A,MAPAS,Bolita,List Paragraph,Párrafo de lista2,Párrafo de lista3,Párrafo de lista21,BOLA,Correción viñeta del guión,BOLADEF,HOJA,Guión,Párrafo de lista31,Titulo 8,Párrafo de lista5,Colorful List - Accent 11,Título1,TITULO1REQ"/>
    <w:basedOn w:val="Normal"/>
    <w:link w:val="PrrafodelistaCar"/>
    <w:uiPriority w:val="34"/>
    <w:qFormat/>
    <w:rsid w:val="00C96BD2"/>
    <w:pPr>
      <w:ind w:left="720"/>
      <w:contextualSpacing/>
    </w:pPr>
  </w:style>
  <w:style w:type="table" w:styleId="Tablaconcuadrcula">
    <w:name w:val="Table Grid"/>
    <w:basedOn w:val="Tablanormal"/>
    <w:uiPriority w:val="39"/>
    <w:rsid w:val="00AE1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158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1585C"/>
  </w:style>
  <w:style w:type="paragraph" w:styleId="Piedepgina">
    <w:name w:val="footer"/>
    <w:basedOn w:val="Normal"/>
    <w:link w:val="PiedepginaCar"/>
    <w:uiPriority w:val="99"/>
    <w:unhideWhenUsed/>
    <w:rsid w:val="0051585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1585C"/>
  </w:style>
  <w:style w:type="character" w:styleId="Refdecomentario">
    <w:name w:val="annotation reference"/>
    <w:basedOn w:val="Fuentedeprrafopredeter"/>
    <w:uiPriority w:val="99"/>
    <w:semiHidden/>
    <w:unhideWhenUsed/>
    <w:rsid w:val="00213F45"/>
    <w:rPr>
      <w:sz w:val="16"/>
      <w:szCs w:val="16"/>
    </w:rPr>
  </w:style>
  <w:style w:type="paragraph" w:styleId="Textocomentario">
    <w:name w:val="annotation text"/>
    <w:basedOn w:val="Normal"/>
    <w:link w:val="TextocomentarioCar"/>
    <w:uiPriority w:val="99"/>
    <w:unhideWhenUsed/>
    <w:rsid w:val="00213F45"/>
    <w:pPr>
      <w:spacing w:line="240" w:lineRule="auto"/>
    </w:pPr>
    <w:rPr>
      <w:sz w:val="20"/>
      <w:szCs w:val="20"/>
    </w:rPr>
  </w:style>
  <w:style w:type="character" w:customStyle="1" w:styleId="TextocomentarioCar">
    <w:name w:val="Texto comentario Car"/>
    <w:basedOn w:val="Fuentedeprrafopredeter"/>
    <w:link w:val="Textocomentario"/>
    <w:uiPriority w:val="99"/>
    <w:rsid w:val="00213F45"/>
    <w:rPr>
      <w:sz w:val="20"/>
      <w:szCs w:val="20"/>
    </w:rPr>
  </w:style>
  <w:style w:type="paragraph" w:styleId="Asuntodelcomentario">
    <w:name w:val="annotation subject"/>
    <w:basedOn w:val="Textocomentario"/>
    <w:next w:val="Textocomentario"/>
    <w:link w:val="AsuntodelcomentarioCar"/>
    <w:uiPriority w:val="99"/>
    <w:semiHidden/>
    <w:unhideWhenUsed/>
    <w:rsid w:val="00213F45"/>
    <w:rPr>
      <w:b/>
      <w:bCs/>
    </w:rPr>
  </w:style>
  <w:style w:type="character" w:customStyle="1" w:styleId="AsuntodelcomentarioCar">
    <w:name w:val="Asunto del comentario Car"/>
    <w:basedOn w:val="TextocomentarioCar"/>
    <w:link w:val="Asuntodelcomentario"/>
    <w:uiPriority w:val="99"/>
    <w:semiHidden/>
    <w:rsid w:val="00213F45"/>
    <w:rPr>
      <w:b/>
      <w:bCs/>
      <w:sz w:val="20"/>
      <w:szCs w:val="20"/>
    </w:rPr>
  </w:style>
  <w:style w:type="paragraph" w:styleId="Textonotapie">
    <w:name w:val="footnote text"/>
    <w:basedOn w:val="Normal"/>
    <w:link w:val="TextonotapieCar"/>
    <w:uiPriority w:val="99"/>
    <w:semiHidden/>
    <w:unhideWhenUsed/>
    <w:rsid w:val="00C36E6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36E62"/>
    <w:rPr>
      <w:sz w:val="20"/>
      <w:szCs w:val="20"/>
    </w:rPr>
  </w:style>
  <w:style w:type="character" w:styleId="Refdenotaalpie">
    <w:name w:val="footnote reference"/>
    <w:basedOn w:val="Fuentedeprrafopredeter"/>
    <w:uiPriority w:val="99"/>
    <w:semiHidden/>
    <w:unhideWhenUsed/>
    <w:rsid w:val="00C36E62"/>
    <w:rPr>
      <w:vertAlign w:val="superscript"/>
    </w:rPr>
  </w:style>
  <w:style w:type="character" w:customStyle="1" w:styleId="PrrafodelistaCar">
    <w:name w:val="Párrafo de lista Car"/>
    <w:aliases w:val="titulo 3A Car,MAPAS Car,Bolita Car,List Paragraph Car,Párrafo de lista2 Car,Párrafo de lista3 Car,Párrafo de lista21 Car,BOLA Car,Correción viñeta del guión Car,BOLADEF Car,HOJA Car,Guión Car,Párrafo de lista31 Car,Titulo 8 Car"/>
    <w:link w:val="Prrafodelista"/>
    <w:uiPriority w:val="34"/>
    <w:qFormat/>
    <w:locked/>
    <w:rsid w:val="006325D4"/>
  </w:style>
  <w:style w:type="character" w:styleId="nfasis">
    <w:name w:val="Emphasis"/>
    <w:basedOn w:val="Fuentedeprrafopredeter"/>
    <w:uiPriority w:val="20"/>
    <w:qFormat/>
    <w:rsid w:val="00CC031F"/>
    <w:rPr>
      <w:i/>
      <w:iCs/>
    </w:rPr>
  </w:style>
  <w:style w:type="paragraph" w:customStyle="1" w:styleId="paragraph">
    <w:name w:val="paragraph"/>
    <w:basedOn w:val="Normal"/>
    <w:rsid w:val="0025672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56723"/>
  </w:style>
  <w:style w:type="character" w:customStyle="1" w:styleId="eop">
    <w:name w:val="eop"/>
    <w:basedOn w:val="Fuentedeprrafopredeter"/>
    <w:rsid w:val="00256723"/>
  </w:style>
  <w:style w:type="character" w:customStyle="1" w:styleId="Ttulo1Car">
    <w:name w:val="Título 1 Car"/>
    <w:basedOn w:val="Fuentedeprrafopredeter"/>
    <w:link w:val="Ttulo1"/>
    <w:uiPriority w:val="9"/>
    <w:rsid w:val="00AE1A1B"/>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AE1A1B"/>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AE1A1B"/>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rsid w:val="00DC4F79"/>
    <w:rPr>
      <w:rFonts w:asciiTheme="majorHAnsi" w:eastAsiaTheme="majorEastAsia" w:hAnsiTheme="majorHAnsi" w:cstheme="majorBidi"/>
      <w:i/>
      <w:iCs/>
      <w:color w:val="2F5496" w:themeColor="accent1" w:themeShade="BF"/>
    </w:rPr>
  </w:style>
  <w:style w:type="paragraph" w:styleId="Revisin">
    <w:name w:val="Revision"/>
    <w:hidden/>
    <w:uiPriority w:val="99"/>
    <w:semiHidden/>
    <w:rsid w:val="00426193"/>
    <w:pPr>
      <w:spacing w:after="0" w:line="240" w:lineRule="auto"/>
    </w:pPr>
  </w:style>
  <w:style w:type="character" w:styleId="Hipervnculo">
    <w:name w:val="Hyperlink"/>
    <w:basedOn w:val="Fuentedeprrafopredeter"/>
    <w:uiPriority w:val="99"/>
    <w:unhideWhenUsed/>
    <w:rsid w:val="005357F9"/>
    <w:rPr>
      <w:color w:val="0563C1" w:themeColor="hyperlink"/>
      <w:u w:val="single"/>
    </w:rPr>
  </w:style>
  <w:style w:type="character" w:styleId="Mencinsinresolver">
    <w:name w:val="Unresolved Mention"/>
    <w:basedOn w:val="Fuentedeprrafopredeter"/>
    <w:uiPriority w:val="99"/>
    <w:semiHidden/>
    <w:unhideWhenUsed/>
    <w:rsid w:val="005357F9"/>
    <w:rPr>
      <w:color w:val="605E5C"/>
      <w:shd w:val="clear" w:color="auto" w:fill="E1DFDD"/>
    </w:rPr>
  </w:style>
  <w:style w:type="paragraph" w:styleId="NormalWeb">
    <w:name w:val="Normal (Web)"/>
    <w:basedOn w:val="Normal"/>
    <w:uiPriority w:val="99"/>
    <w:semiHidden/>
    <w:unhideWhenUsed/>
    <w:rsid w:val="00B601C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414010">
      <w:bodyDiv w:val="1"/>
      <w:marLeft w:val="0"/>
      <w:marRight w:val="0"/>
      <w:marTop w:val="0"/>
      <w:marBottom w:val="0"/>
      <w:divBdr>
        <w:top w:val="none" w:sz="0" w:space="0" w:color="auto"/>
        <w:left w:val="none" w:sz="0" w:space="0" w:color="auto"/>
        <w:bottom w:val="none" w:sz="0" w:space="0" w:color="auto"/>
        <w:right w:val="none" w:sz="0" w:space="0" w:color="auto"/>
      </w:divBdr>
      <w:divsChild>
        <w:div w:id="1737968645">
          <w:marLeft w:val="0"/>
          <w:marRight w:val="0"/>
          <w:marTop w:val="0"/>
          <w:marBottom w:val="0"/>
          <w:divBdr>
            <w:top w:val="none" w:sz="0" w:space="0" w:color="auto"/>
            <w:left w:val="none" w:sz="0" w:space="0" w:color="auto"/>
            <w:bottom w:val="none" w:sz="0" w:space="0" w:color="auto"/>
            <w:right w:val="none" w:sz="0" w:space="0" w:color="auto"/>
          </w:divBdr>
        </w:div>
        <w:div w:id="1654291535">
          <w:marLeft w:val="0"/>
          <w:marRight w:val="0"/>
          <w:marTop w:val="0"/>
          <w:marBottom w:val="0"/>
          <w:divBdr>
            <w:top w:val="none" w:sz="0" w:space="0" w:color="auto"/>
            <w:left w:val="none" w:sz="0" w:space="0" w:color="auto"/>
            <w:bottom w:val="none" w:sz="0" w:space="0" w:color="auto"/>
            <w:right w:val="none" w:sz="0" w:space="0" w:color="auto"/>
          </w:divBdr>
        </w:div>
        <w:div w:id="941692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7ACDB6939C7104186E5A78749F406BB" ma:contentTypeVersion="15" ma:contentTypeDescription="Crear nuevo documento." ma:contentTypeScope="" ma:versionID="a6ff02db2fdb5866f4939feb58e75c7d">
  <xsd:schema xmlns:xsd="http://www.w3.org/2001/XMLSchema" xmlns:xs="http://www.w3.org/2001/XMLSchema" xmlns:p="http://schemas.microsoft.com/office/2006/metadata/properties" xmlns:ns2="26c7be36-8e00-4f42-bfe0-196f9594b648" xmlns:ns3="36e6818f-6740-4c94-bb4a-e2c193f32123" targetNamespace="http://schemas.microsoft.com/office/2006/metadata/properties" ma:root="true" ma:fieldsID="08ada2ba25a3986088f51425e62c28d0" ns2:_="" ns3:_="">
    <xsd:import namespace="26c7be36-8e00-4f42-bfe0-196f9594b648"/>
    <xsd:import namespace="36e6818f-6740-4c94-bb4a-e2c193f3212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7be36-8e00-4f42-bfe0-196f9594b64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cf9b6c30-00dc-4411-b587-1149d906b847}" ma:internalName="TaxCatchAll" ma:showField="CatchAllData" ma:web="26c7be36-8e00-4f42-bfe0-196f9594b6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e6818f-6740-4c94-bb4a-e2c193f3212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b16ff56f-3c0e-4f0e-ad07-07503f15a76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e6818f-6740-4c94-bb4a-e2c193f32123">
      <Terms xmlns="http://schemas.microsoft.com/office/infopath/2007/PartnerControls"/>
    </lcf76f155ced4ddcb4097134ff3c332f>
    <TaxCatchAll xmlns="26c7be36-8e00-4f42-bfe0-196f9594b64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569F5-546E-4BD4-820B-1FC190981321}">
  <ds:schemaRefs>
    <ds:schemaRef ds:uri="http://schemas.openxmlformats.org/officeDocument/2006/bibliography"/>
  </ds:schemaRefs>
</ds:datastoreItem>
</file>

<file path=customXml/itemProps2.xml><?xml version="1.0" encoding="utf-8"?>
<ds:datastoreItem xmlns:ds="http://schemas.openxmlformats.org/officeDocument/2006/customXml" ds:itemID="{5AEDE6A3-C4FD-4ADE-B6CF-605F3A3D2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7be36-8e00-4f42-bfe0-196f9594b648"/>
    <ds:schemaRef ds:uri="36e6818f-6740-4c94-bb4a-e2c193f32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5562F8-9042-4730-AF12-681A5D8AC3E3}">
  <ds:schemaRefs>
    <ds:schemaRef ds:uri="http://schemas.microsoft.com/office/2006/metadata/properties"/>
    <ds:schemaRef ds:uri="http://schemas.microsoft.com/office/infopath/2007/PartnerControls"/>
    <ds:schemaRef ds:uri="36e6818f-6740-4c94-bb4a-e2c193f32123"/>
    <ds:schemaRef ds:uri="26c7be36-8e00-4f42-bfe0-196f9594b648"/>
  </ds:schemaRefs>
</ds:datastoreItem>
</file>

<file path=customXml/itemProps4.xml><?xml version="1.0" encoding="utf-8"?>
<ds:datastoreItem xmlns:ds="http://schemas.openxmlformats.org/officeDocument/2006/customXml" ds:itemID="{2784A1C7-EC77-43E7-A362-174B191B2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25</Pages>
  <Words>7724</Words>
  <Characters>42482</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Alvarez</dc:creator>
  <cp:keywords/>
  <dc:description/>
  <cp:lastModifiedBy>William Felipe Cardenas Herrera</cp:lastModifiedBy>
  <cp:revision>676</cp:revision>
  <dcterms:created xsi:type="dcterms:W3CDTF">2023-02-20T21:02:00Z</dcterms:created>
  <dcterms:modified xsi:type="dcterms:W3CDTF">2026-03-26T20:56:00Z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0x01010017ACDB6939C7104186E5A78749F406BB</vt:lpwstr>
  </property>
  <property fmtid="{D5CDD505-2E9C-101B-9397-08002B2CF9AE}" pid="3" name="MediaServiceImageTags">
    <vt:lpwstr/>
  </property>
</Properties>
</file>