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453FF" w14:textId="77777777" w:rsidR="0013604E" w:rsidRDefault="0013604E" w:rsidP="001364BF">
      <w:pPr>
        <w:rPr>
          <w:rFonts w:asciiTheme="majorHAnsi" w:hAnsiTheme="majorHAnsi" w:cstheme="majorHAnsi"/>
          <w:b/>
          <w:bCs/>
          <w:sz w:val="24"/>
          <w:szCs w:val="24"/>
        </w:rPr>
      </w:pPr>
      <w:bookmarkStart w:id="0" w:name="_Toc46752696"/>
    </w:p>
    <w:bookmarkEnd w:id="0"/>
    <w:p w14:paraId="7F24CDB5" w14:textId="3A916893" w:rsidR="009F4403" w:rsidRDefault="009F4403" w:rsidP="009F4403">
      <w:pPr>
        <w:pStyle w:val="Textoindependiente"/>
        <w:rPr>
          <w:rFonts w:asciiTheme="majorHAnsi" w:hAnsiTheme="majorHAnsi" w:cstheme="majorHAnsi"/>
          <w:b/>
          <w:sz w:val="24"/>
          <w:szCs w:val="24"/>
        </w:rPr>
      </w:pPr>
    </w:p>
    <w:tbl>
      <w:tblPr>
        <w:tblStyle w:val="Tabladecuadrcula4"/>
        <w:tblpPr w:leftFromText="141" w:rightFromText="141" w:vertAnchor="page" w:horzAnchor="margin" w:tblpY="2011"/>
        <w:tblW w:w="9202" w:type="dxa"/>
        <w:tblLook w:val="04A0" w:firstRow="1" w:lastRow="0" w:firstColumn="1" w:lastColumn="0" w:noHBand="0" w:noVBand="1"/>
      </w:tblPr>
      <w:tblGrid>
        <w:gridCol w:w="3067"/>
        <w:gridCol w:w="3067"/>
        <w:gridCol w:w="3068"/>
      </w:tblGrid>
      <w:tr w:rsidR="00FB2335" w:rsidRPr="00D13D74" w14:paraId="47F56AC8" w14:textId="77777777" w:rsidTr="00FB2335">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7197DA2" w14:textId="77777777" w:rsidR="00FB2335" w:rsidRPr="00D13D74" w:rsidRDefault="00FB2335" w:rsidP="00FB2335">
            <w:pPr>
              <w:spacing w:after="0" w:line="240" w:lineRule="auto"/>
              <w:jc w:val="center"/>
              <w:rPr>
                <w:sz w:val="24"/>
                <w:szCs w:val="24"/>
              </w:rPr>
            </w:pPr>
            <w:r w:rsidRPr="00D13D74">
              <w:rPr>
                <w:sz w:val="24"/>
                <w:szCs w:val="24"/>
              </w:rPr>
              <w:t>PROCESO</w:t>
            </w:r>
          </w:p>
        </w:tc>
      </w:tr>
      <w:tr w:rsidR="00FB2335" w:rsidRPr="00D13D74" w14:paraId="1BDEB5EA" w14:textId="77777777" w:rsidTr="00FB233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D0E6252" w14:textId="34523384" w:rsidR="00FB2335" w:rsidRPr="00D13D74" w:rsidRDefault="00F770D8" w:rsidP="00FB2335">
            <w:pPr>
              <w:spacing w:after="0" w:line="240" w:lineRule="auto"/>
              <w:jc w:val="center"/>
              <w:rPr>
                <w:sz w:val="24"/>
                <w:szCs w:val="24"/>
              </w:rPr>
            </w:pPr>
            <w:r>
              <w:rPr>
                <w:sz w:val="24"/>
                <w:szCs w:val="24"/>
              </w:rPr>
              <w:t>GESTIÓN ORGANIZACIONAL Y DEL RIESGO</w:t>
            </w:r>
            <w:r w:rsidR="00FB2335">
              <w:rPr>
                <w:sz w:val="24"/>
                <w:szCs w:val="24"/>
              </w:rPr>
              <w:t xml:space="preserve"> </w:t>
            </w:r>
          </w:p>
        </w:tc>
      </w:tr>
      <w:tr w:rsidR="00FB2335" w:rsidRPr="00D13D74" w14:paraId="6B81B28B" w14:textId="77777777" w:rsidTr="00FB2335">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49F5887B" w14:textId="77777777" w:rsidR="00FB2335" w:rsidRPr="00D13D74" w:rsidRDefault="00FB2335" w:rsidP="00FB2335">
            <w:pPr>
              <w:spacing w:after="0"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DOCUMENTO </w:t>
            </w:r>
          </w:p>
        </w:tc>
      </w:tr>
      <w:tr w:rsidR="00FB2335" w:rsidRPr="00D13D74" w14:paraId="71623F34" w14:textId="77777777" w:rsidTr="00FB233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9AB72DC" w14:textId="5AAA25C0" w:rsidR="00FB2335" w:rsidRPr="00D13D74" w:rsidRDefault="009B3E87" w:rsidP="00FB2335">
            <w:pPr>
              <w:spacing w:after="0" w:line="240" w:lineRule="auto"/>
              <w:jc w:val="center"/>
              <w:rPr>
                <w:sz w:val="24"/>
                <w:szCs w:val="24"/>
              </w:rPr>
            </w:pPr>
            <w:r>
              <w:rPr>
                <w:sz w:val="24"/>
                <w:szCs w:val="24"/>
              </w:rPr>
              <w:t xml:space="preserve">INSTRUCTIVO PARA LA REVISIÓN ENERGÉTICA </w:t>
            </w:r>
            <w:r w:rsidR="00482C9B">
              <w:rPr>
                <w:sz w:val="24"/>
                <w:szCs w:val="24"/>
              </w:rPr>
              <w:t>SGE</w:t>
            </w:r>
          </w:p>
        </w:tc>
      </w:tr>
      <w:tr w:rsidR="00FB2335" w:rsidRPr="00D13D74" w14:paraId="183876F4" w14:textId="77777777" w:rsidTr="00FB2335">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611FB390" w14:textId="77777777" w:rsidR="00FB2335" w:rsidRPr="00D13D74" w:rsidRDefault="00FB2335" w:rsidP="00FB2335">
            <w:pPr>
              <w:spacing w:after="0" w:line="240" w:lineRule="auto"/>
              <w:jc w:val="center"/>
              <w:rPr>
                <w:sz w:val="24"/>
                <w:szCs w:val="24"/>
              </w:rPr>
            </w:pPr>
            <w:r w:rsidRPr="00432DF1">
              <w:rPr>
                <w:color w:val="FFFFFF" w:themeColor="background1"/>
                <w:sz w:val="24"/>
                <w:szCs w:val="24"/>
              </w:rPr>
              <w:t>CLASIFICACIÓN DE LA INFORMACIÓN</w:t>
            </w:r>
          </w:p>
        </w:tc>
      </w:tr>
      <w:tr w:rsidR="000B6C7A" w:rsidRPr="00D13D74" w14:paraId="1D02D565" w14:textId="77777777" w:rsidTr="00FB233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vAlign w:val="center"/>
          </w:tcPr>
          <w:p w14:paraId="493827BC" w14:textId="77777777" w:rsidR="00FB2335" w:rsidRPr="007173EA" w:rsidRDefault="00FB2335" w:rsidP="00FB2335">
            <w:pPr>
              <w:spacing w:after="0" w:line="240" w:lineRule="auto"/>
              <w:rPr>
                <w:b w:val="0"/>
                <w:bCs w:val="0"/>
                <w:sz w:val="24"/>
                <w:szCs w:val="24"/>
              </w:rPr>
            </w:pPr>
            <w:r w:rsidRPr="007173EA">
              <w:rPr>
                <w:noProof/>
                <w:sz w:val="24"/>
                <w:szCs w:val="24"/>
              </w:rPr>
              <mc:AlternateContent>
                <mc:Choice Requires="wps">
                  <w:drawing>
                    <wp:anchor distT="0" distB="0" distL="114300" distR="114300" simplePos="0" relativeHeight="251658240" behindDoc="0" locked="0" layoutInCell="1" allowOverlap="1" wp14:anchorId="10C153DE" wp14:editId="43BA5826">
                      <wp:simplePos x="0" y="0"/>
                      <wp:positionH relativeFrom="column">
                        <wp:posOffset>1387475</wp:posOffset>
                      </wp:positionH>
                      <wp:positionV relativeFrom="paragraph">
                        <wp:posOffset>8255</wp:posOffset>
                      </wp:positionV>
                      <wp:extent cx="259080" cy="251460"/>
                      <wp:effectExtent l="0" t="0" r="26670" b="12700"/>
                      <wp:wrapNone/>
                      <wp:docPr id="1172911817"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F00812D" w14:textId="5AEE4640" w:rsidR="00FB2335" w:rsidRPr="00482C9B" w:rsidRDefault="00482C9B" w:rsidP="00FB2335">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C153DE"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F00812D" w14:textId="5AEE4640" w:rsidR="00FB2335" w:rsidRPr="00482C9B" w:rsidRDefault="00482C9B" w:rsidP="00FB2335">
                            <w:pPr>
                              <w:jc w:val="center"/>
                              <w:rPr>
                                <w:lang w:val="es-MX"/>
                              </w:rPr>
                            </w:pPr>
                            <w:r>
                              <w:rPr>
                                <w:lang w:val="es-MX"/>
                              </w:rPr>
                              <w:t>X</w:t>
                            </w:r>
                          </w:p>
                        </w:txbxContent>
                      </v:textbox>
                    </v:shape>
                  </w:pict>
                </mc:Fallback>
              </mc:AlternateContent>
            </w:r>
            <w:r w:rsidRPr="007173EA">
              <w:rPr>
                <w:b w:val="0"/>
                <w:bCs w:val="0"/>
                <w:sz w:val="24"/>
                <w:szCs w:val="24"/>
              </w:rPr>
              <w:t xml:space="preserve">Pública  </w:t>
            </w:r>
          </w:p>
        </w:tc>
        <w:tc>
          <w:tcPr>
            <w:tcW w:w="3067" w:type="dxa"/>
            <w:vAlign w:val="center"/>
          </w:tcPr>
          <w:p w14:paraId="0A5940E0" w14:textId="77777777" w:rsidR="00FB2335" w:rsidRPr="007173EA" w:rsidRDefault="00FB2335" w:rsidP="00FB2335">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58241" behindDoc="0" locked="0" layoutInCell="1" allowOverlap="1" wp14:anchorId="1EB108C3" wp14:editId="5ED4836B">
                      <wp:simplePos x="0" y="0"/>
                      <wp:positionH relativeFrom="column">
                        <wp:posOffset>1475740</wp:posOffset>
                      </wp:positionH>
                      <wp:positionV relativeFrom="paragraph">
                        <wp:posOffset>-20320</wp:posOffset>
                      </wp:positionV>
                      <wp:extent cx="259080" cy="251460"/>
                      <wp:effectExtent l="0" t="0" r="26670" b="15240"/>
                      <wp:wrapNone/>
                      <wp:docPr id="1746134977"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16886E0" w14:textId="77777777" w:rsidR="00FB2335" w:rsidRDefault="00FB2335" w:rsidP="00FB233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108C3" id="_x0000_s1027" type="#_x0000_t202" alt="&quot;&quot;" style="position:absolute;margin-left:116.2pt;margin-top:-1.6pt;width:20.4pt;height:19.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016886E0" w14:textId="77777777" w:rsidR="00FB2335" w:rsidRDefault="00FB2335" w:rsidP="00FB2335">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vAlign w:val="center"/>
          </w:tcPr>
          <w:p w14:paraId="1D1A823B" w14:textId="77777777" w:rsidR="00FB2335" w:rsidRPr="007173EA" w:rsidRDefault="00FB2335" w:rsidP="00FB2335">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58242" behindDoc="0" locked="0" layoutInCell="1" allowOverlap="1" wp14:anchorId="78C6DC20" wp14:editId="19C28301">
                      <wp:simplePos x="0" y="0"/>
                      <wp:positionH relativeFrom="column">
                        <wp:posOffset>1414145</wp:posOffset>
                      </wp:positionH>
                      <wp:positionV relativeFrom="paragraph">
                        <wp:posOffset>9525</wp:posOffset>
                      </wp:positionV>
                      <wp:extent cx="259080" cy="251460"/>
                      <wp:effectExtent l="0" t="0" r="26670" b="15240"/>
                      <wp:wrapNone/>
                      <wp:docPr id="1351009455"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20AE5AA" w14:textId="77777777" w:rsidR="00FB2335" w:rsidRDefault="00FB2335" w:rsidP="00FB233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6DC20" id="_x0000_s1028" type="#_x0000_t202" alt="&quot;&quot;" style="position:absolute;margin-left:111.35pt;margin-top:.75pt;width:20.4pt;height:19.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220AE5AA" w14:textId="77777777" w:rsidR="00FB2335" w:rsidRDefault="00FB2335" w:rsidP="00FB2335">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41F4919D" w14:textId="77777777" w:rsidR="009F4403" w:rsidRPr="004A17E5" w:rsidRDefault="009F4403" w:rsidP="009F4403">
      <w:pPr>
        <w:pStyle w:val="Textoindependiente"/>
        <w:rPr>
          <w:rFonts w:asciiTheme="majorHAnsi" w:hAnsiTheme="majorHAnsi" w:cstheme="majorHAnsi"/>
          <w:b/>
          <w:sz w:val="24"/>
          <w:szCs w:val="24"/>
        </w:rPr>
      </w:pPr>
    </w:p>
    <w:p w14:paraId="70725667" w14:textId="754D715A" w:rsidR="009F4403" w:rsidRPr="004A17E5" w:rsidRDefault="009F4403" w:rsidP="009F4403">
      <w:pPr>
        <w:spacing w:before="100" w:beforeAutospacing="1" w:after="100" w:afterAutospacing="1" w:line="360" w:lineRule="auto"/>
        <w:ind w:left="-426"/>
        <w:jc w:val="both"/>
        <w:rPr>
          <w:rFonts w:asciiTheme="majorHAnsi" w:hAnsiTheme="majorHAnsi" w:cstheme="majorHAnsi"/>
          <w:color w:val="262626"/>
          <w:spacing w:val="2"/>
          <w:sz w:val="24"/>
          <w:szCs w:val="24"/>
        </w:rPr>
      </w:pPr>
    </w:p>
    <w:p w14:paraId="636C1A74" w14:textId="77777777" w:rsidR="009F4403" w:rsidRPr="004A17E5" w:rsidRDefault="009F4403" w:rsidP="009F4403">
      <w:pPr>
        <w:spacing w:before="100" w:beforeAutospacing="1" w:after="100" w:afterAutospacing="1" w:line="360" w:lineRule="auto"/>
        <w:ind w:left="142"/>
        <w:jc w:val="center"/>
        <w:rPr>
          <w:rFonts w:asciiTheme="majorHAnsi" w:hAnsiTheme="majorHAnsi" w:cstheme="majorHAnsi"/>
          <w:color w:val="FF0000"/>
          <w:spacing w:val="2"/>
          <w:sz w:val="24"/>
          <w:szCs w:val="24"/>
        </w:rPr>
      </w:pPr>
    </w:p>
    <w:p w14:paraId="453FAD61" w14:textId="36A0876D" w:rsidR="009F4403" w:rsidRDefault="00B36140" w:rsidP="009F4403">
      <w:pPr>
        <w:spacing w:before="100" w:beforeAutospacing="1" w:after="100" w:afterAutospacing="1" w:line="360" w:lineRule="auto"/>
        <w:jc w:val="center"/>
        <w:rPr>
          <w:rFonts w:asciiTheme="majorHAnsi" w:hAnsiTheme="majorHAnsi" w:cstheme="majorHAnsi"/>
          <w:b/>
          <w:bCs/>
          <w:spacing w:val="2"/>
          <w:sz w:val="24"/>
          <w:szCs w:val="24"/>
        </w:rPr>
      </w:pPr>
      <w:r>
        <w:rPr>
          <w:rFonts w:asciiTheme="majorHAnsi" w:hAnsiTheme="majorHAnsi" w:cstheme="majorHAnsi"/>
          <w:b/>
          <w:bCs/>
          <w:spacing w:val="2"/>
          <w:sz w:val="24"/>
          <w:szCs w:val="24"/>
        </w:rPr>
        <w:t>Marzo</w:t>
      </w:r>
      <w:r w:rsidR="00482C9B">
        <w:rPr>
          <w:rFonts w:asciiTheme="majorHAnsi" w:hAnsiTheme="majorHAnsi" w:cstheme="majorHAnsi"/>
          <w:b/>
          <w:bCs/>
          <w:spacing w:val="2"/>
          <w:sz w:val="24"/>
          <w:szCs w:val="24"/>
        </w:rPr>
        <w:t xml:space="preserve"> de 202</w:t>
      </w:r>
      <w:r w:rsidR="002D45A8">
        <w:rPr>
          <w:rFonts w:asciiTheme="majorHAnsi" w:hAnsiTheme="majorHAnsi" w:cstheme="majorHAnsi"/>
          <w:b/>
          <w:bCs/>
          <w:spacing w:val="2"/>
          <w:sz w:val="24"/>
          <w:szCs w:val="24"/>
        </w:rPr>
        <w:t>6</w:t>
      </w:r>
    </w:p>
    <w:p w14:paraId="36EB48E4" w14:textId="77777777" w:rsidR="009F4403" w:rsidRDefault="009F4403" w:rsidP="009F4403">
      <w:pPr>
        <w:spacing w:before="100" w:beforeAutospacing="1" w:after="100" w:afterAutospacing="1" w:line="360" w:lineRule="auto"/>
        <w:jc w:val="center"/>
        <w:rPr>
          <w:rFonts w:asciiTheme="majorHAnsi" w:hAnsiTheme="majorHAnsi" w:cstheme="majorHAnsi"/>
          <w:b/>
          <w:bCs/>
          <w:spacing w:val="2"/>
          <w:sz w:val="24"/>
          <w:szCs w:val="24"/>
        </w:rPr>
      </w:pPr>
    </w:p>
    <w:p w14:paraId="1EC68E6E" w14:textId="77777777" w:rsidR="00FB2335" w:rsidRDefault="00FB2335" w:rsidP="009F4403">
      <w:pPr>
        <w:spacing w:before="100" w:beforeAutospacing="1" w:after="100" w:afterAutospacing="1" w:line="360" w:lineRule="auto"/>
        <w:jc w:val="center"/>
        <w:rPr>
          <w:rFonts w:asciiTheme="majorHAnsi" w:hAnsiTheme="majorHAnsi" w:cstheme="majorHAnsi"/>
          <w:b/>
          <w:bCs/>
          <w:spacing w:val="2"/>
          <w:sz w:val="24"/>
          <w:szCs w:val="24"/>
        </w:rPr>
      </w:pPr>
    </w:p>
    <w:p w14:paraId="7B5826D2" w14:textId="77777777" w:rsidR="009F4403" w:rsidRDefault="009F4403" w:rsidP="00B123D6">
      <w:pPr>
        <w:spacing w:before="100" w:beforeAutospacing="1" w:after="100" w:afterAutospacing="1" w:line="360" w:lineRule="auto"/>
        <w:rPr>
          <w:rFonts w:asciiTheme="majorHAnsi" w:hAnsiTheme="majorHAnsi" w:cstheme="majorHAnsi"/>
          <w:b/>
          <w:bCs/>
          <w:color w:val="FF0000"/>
          <w:spacing w:val="2"/>
          <w:sz w:val="24"/>
          <w:szCs w:val="24"/>
        </w:rPr>
      </w:pPr>
    </w:p>
    <w:p w14:paraId="20DE6A4B" w14:textId="77777777" w:rsidR="00CF0D82" w:rsidRDefault="00CF0D82" w:rsidP="009F4403">
      <w:pPr>
        <w:spacing w:before="100" w:beforeAutospacing="1" w:after="100" w:afterAutospacing="1" w:line="360" w:lineRule="auto"/>
        <w:ind w:left="284"/>
        <w:jc w:val="center"/>
        <w:rPr>
          <w:rFonts w:asciiTheme="majorHAnsi" w:hAnsiTheme="majorHAnsi" w:cstheme="majorHAnsi"/>
          <w:b/>
          <w:bCs/>
          <w:color w:val="FF0000"/>
          <w:spacing w:val="2"/>
          <w:sz w:val="24"/>
          <w:szCs w:val="24"/>
        </w:rPr>
      </w:pPr>
    </w:p>
    <w:p w14:paraId="2583D2B2" w14:textId="77777777" w:rsidR="00CF0D82" w:rsidRPr="004A17E5" w:rsidRDefault="00CF0D82" w:rsidP="009F4403">
      <w:pPr>
        <w:spacing w:before="100" w:beforeAutospacing="1" w:after="100" w:afterAutospacing="1" w:line="360" w:lineRule="auto"/>
        <w:ind w:left="284"/>
        <w:jc w:val="center"/>
        <w:rPr>
          <w:rFonts w:asciiTheme="majorHAnsi" w:hAnsiTheme="majorHAnsi" w:cstheme="majorHAnsi"/>
          <w:b/>
          <w:bCs/>
          <w:color w:val="FF0000"/>
          <w:spacing w:val="2"/>
          <w:sz w:val="24"/>
          <w:szCs w:val="24"/>
        </w:rPr>
      </w:pPr>
    </w:p>
    <w:p w14:paraId="7FD637E0" w14:textId="77777777" w:rsidR="009F4403" w:rsidRDefault="009F4403" w:rsidP="009F4403">
      <w:pPr>
        <w:pStyle w:val="Textoindependienteprimerasangra2"/>
        <w:ind w:left="0" w:firstLine="0"/>
        <w:jc w:val="center"/>
        <w:rPr>
          <w:rFonts w:asciiTheme="majorHAnsi" w:hAnsiTheme="majorHAnsi" w:cstheme="majorHAnsi"/>
          <w:b/>
          <w:sz w:val="24"/>
          <w:szCs w:val="24"/>
        </w:rPr>
      </w:pPr>
      <w:r w:rsidRPr="004A17E5">
        <w:rPr>
          <w:rFonts w:asciiTheme="majorHAnsi" w:hAnsiTheme="majorHAnsi" w:cstheme="majorHAnsi"/>
          <w:b/>
          <w:sz w:val="24"/>
          <w:szCs w:val="24"/>
        </w:rPr>
        <w:t>Sistema Integrado de Gestión y Autocontrol</w:t>
      </w:r>
      <w:r>
        <w:rPr>
          <w:rFonts w:asciiTheme="majorHAnsi" w:hAnsiTheme="majorHAnsi" w:cstheme="majorHAnsi"/>
          <w:b/>
          <w:sz w:val="24"/>
          <w:szCs w:val="24"/>
        </w:rPr>
        <w:br w:type="page"/>
      </w:r>
    </w:p>
    <w:p w14:paraId="7EA20650" w14:textId="77777777" w:rsidR="00062986" w:rsidRDefault="009F4403" w:rsidP="009F4403">
      <w:pPr>
        <w:pStyle w:val="Textoindependiente"/>
        <w:jc w:val="both"/>
        <w:rPr>
          <w:noProof/>
        </w:rPr>
      </w:pPr>
      <w:r w:rsidRPr="004A17E5">
        <w:rPr>
          <w:rFonts w:asciiTheme="majorHAnsi" w:hAnsiTheme="majorHAnsi" w:cstheme="majorHAnsi"/>
          <w:b/>
          <w:sz w:val="24"/>
          <w:szCs w:val="24"/>
        </w:rPr>
        <w:lastRenderedPageBreak/>
        <w:t xml:space="preserve">Tabla de contenido </w:t>
      </w:r>
      <w:r w:rsidRPr="004A17E5">
        <w:rPr>
          <w:rFonts w:asciiTheme="majorHAnsi" w:hAnsiTheme="majorHAnsi" w:cstheme="majorHAnsi"/>
          <w:b/>
          <w:sz w:val="24"/>
          <w:szCs w:val="24"/>
        </w:rPr>
        <w:fldChar w:fldCharType="begin"/>
      </w:r>
      <w:r w:rsidRPr="004A17E5">
        <w:rPr>
          <w:rFonts w:asciiTheme="majorHAnsi" w:hAnsiTheme="majorHAnsi" w:cstheme="majorHAnsi"/>
          <w:b/>
          <w:sz w:val="24"/>
          <w:szCs w:val="24"/>
        </w:rPr>
        <w:instrText xml:space="preserve"> TOC \o "1-4" \h \z \u </w:instrText>
      </w:r>
      <w:r w:rsidRPr="004A17E5">
        <w:rPr>
          <w:rFonts w:asciiTheme="majorHAnsi" w:hAnsiTheme="majorHAnsi" w:cstheme="majorHAnsi"/>
          <w:b/>
          <w:sz w:val="24"/>
          <w:szCs w:val="24"/>
        </w:rPr>
        <w:fldChar w:fldCharType="separate"/>
      </w:r>
    </w:p>
    <w:p w14:paraId="28D938AE" w14:textId="2E6680CD" w:rsidR="00062986" w:rsidRDefault="00062986">
      <w:pPr>
        <w:pStyle w:val="TDC1"/>
        <w:rPr>
          <w:rFonts w:asciiTheme="minorHAnsi" w:eastAsiaTheme="minorEastAsia" w:hAnsiTheme="minorHAnsi" w:cstheme="minorBidi"/>
          <w:noProof/>
          <w:kern w:val="2"/>
          <w:sz w:val="24"/>
          <w:szCs w:val="24"/>
          <w:lang w:eastAsia="es-CO"/>
          <w14:ligatures w14:val="standardContextual"/>
        </w:rPr>
      </w:pPr>
      <w:hyperlink w:anchor="_Toc183363578" w:history="1">
        <w:r w:rsidRPr="001C0DBA">
          <w:rPr>
            <w:rStyle w:val="Hipervnculo"/>
            <w:rFonts w:cs="Calibri"/>
            <w:b/>
            <w:bCs/>
            <w:noProof/>
          </w:rPr>
          <w:t>Introducción</w:t>
        </w:r>
        <w:r>
          <w:rPr>
            <w:noProof/>
            <w:webHidden/>
          </w:rPr>
          <w:tab/>
        </w:r>
        <w:r>
          <w:rPr>
            <w:noProof/>
            <w:webHidden/>
          </w:rPr>
          <w:fldChar w:fldCharType="begin"/>
        </w:r>
        <w:r>
          <w:rPr>
            <w:noProof/>
            <w:webHidden/>
          </w:rPr>
          <w:instrText xml:space="preserve"> PAGEREF _Toc183363578 \h </w:instrText>
        </w:r>
        <w:r>
          <w:rPr>
            <w:noProof/>
            <w:webHidden/>
          </w:rPr>
        </w:r>
        <w:r>
          <w:rPr>
            <w:noProof/>
            <w:webHidden/>
          </w:rPr>
          <w:fldChar w:fldCharType="separate"/>
        </w:r>
        <w:r>
          <w:rPr>
            <w:noProof/>
            <w:webHidden/>
          </w:rPr>
          <w:t>3</w:t>
        </w:r>
        <w:r>
          <w:rPr>
            <w:noProof/>
            <w:webHidden/>
          </w:rPr>
          <w:fldChar w:fldCharType="end"/>
        </w:r>
      </w:hyperlink>
    </w:p>
    <w:p w14:paraId="30602A60" w14:textId="5341E7A8" w:rsidR="00062986" w:rsidRDefault="00062986">
      <w:pPr>
        <w:pStyle w:val="TDC1"/>
        <w:rPr>
          <w:rFonts w:asciiTheme="minorHAnsi" w:eastAsiaTheme="minorEastAsia" w:hAnsiTheme="minorHAnsi" w:cstheme="minorBidi"/>
          <w:noProof/>
          <w:kern w:val="2"/>
          <w:sz w:val="24"/>
          <w:szCs w:val="24"/>
          <w:lang w:eastAsia="es-CO"/>
          <w14:ligatures w14:val="standardContextual"/>
        </w:rPr>
      </w:pPr>
      <w:hyperlink w:anchor="_Toc183363579" w:history="1">
        <w:r w:rsidRPr="001C0DBA">
          <w:rPr>
            <w:rStyle w:val="Hipervnculo"/>
            <w:rFonts w:asciiTheme="majorHAnsi" w:hAnsiTheme="majorHAnsi" w:cstheme="majorHAnsi"/>
            <w:b/>
            <w:bCs/>
            <w:noProof/>
            <w:spacing w:val="2"/>
          </w:rPr>
          <w:t>1.</w:t>
        </w:r>
        <w:r>
          <w:rPr>
            <w:rFonts w:asciiTheme="minorHAnsi" w:eastAsiaTheme="minorEastAsia" w:hAnsiTheme="minorHAnsi" w:cstheme="minorBidi"/>
            <w:noProof/>
            <w:kern w:val="2"/>
            <w:sz w:val="24"/>
            <w:szCs w:val="24"/>
            <w:lang w:eastAsia="es-CO"/>
            <w14:ligatures w14:val="standardContextual"/>
          </w:rPr>
          <w:tab/>
        </w:r>
        <w:r w:rsidRPr="001C0DBA">
          <w:rPr>
            <w:rStyle w:val="Hipervnculo"/>
            <w:rFonts w:asciiTheme="majorHAnsi" w:hAnsiTheme="majorHAnsi" w:cstheme="majorHAnsi"/>
            <w:b/>
            <w:bCs/>
            <w:noProof/>
            <w:spacing w:val="2"/>
          </w:rPr>
          <w:t>Objetivo</w:t>
        </w:r>
        <w:r>
          <w:rPr>
            <w:noProof/>
            <w:webHidden/>
          </w:rPr>
          <w:tab/>
        </w:r>
        <w:r>
          <w:rPr>
            <w:noProof/>
            <w:webHidden/>
          </w:rPr>
          <w:fldChar w:fldCharType="begin"/>
        </w:r>
        <w:r>
          <w:rPr>
            <w:noProof/>
            <w:webHidden/>
          </w:rPr>
          <w:instrText xml:space="preserve"> PAGEREF _Toc183363579 \h </w:instrText>
        </w:r>
        <w:r>
          <w:rPr>
            <w:noProof/>
            <w:webHidden/>
          </w:rPr>
        </w:r>
        <w:r>
          <w:rPr>
            <w:noProof/>
            <w:webHidden/>
          </w:rPr>
          <w:fldChar w:fldCharType="separate"/>
        </w:r>
        <w:r>
          <w:rPr>
            <w:noProof/>
            <w:webHidden/>
          </w:rPr>
          <w:t>3</w:t>
        </w:r>
        <w:r>
          <w:rPr>
            <w:noProof/>
            <w:webHidden/>
          </w:rPr>
          <w:fldChar w:fldCharType="end"/>
        </w:r>
      </w:hyperlink>
    </w:p>
    <w:p w14:paraId="7446836E" w14:textId="0B1BACDA" w:rsidR="00062986" w:rsidRDefault="00062986">
      <w:pPr>
        <w:pStyle w:val="TDC1"/>
        <w:rPr>
          <w:rFonts w:asciiTheme="minorHAnsi" w:eastAsiaTheme="minorEastAsia" w:hAnsiTheme="minorHAnsi" w:cstheme="minorBidi"/>
          <w:noProof/>
          <w:kern w:val="2"/>
          <w:sz w:val="24"/>
          <w:szCs w:val="24"/>
          <w:lang w:eastAsia="es-CO"/>
          <w14:ligatures w14:val="standardContextual"/>
        </w:rPr>
      </w:pPr>
      <w:hyperlink w:anchor="_Toc183363580" w:history="1">
        <w:r w:rsidRPr="001C0DBA">
          <w:rPr>
            <w:rStyle w:val="Hipervnculo"/>
            <w:rFonts w:asciiTheme="majorHAnsi" w:hAnsiTheme="majorHAnsi" w:cstheme="majorHAnsi"/>
            <w:b/>
            <w:bCs/>
            <w:noProof/>
            <w:spacing w:val="2"/>
          </w:rPr>
          <w:t>2.</w:t>
        </w:r>
        <w:r>
          <w:rPr>
            <w:rFonts w:asciiTheme="minorHAnsi" w:eastAsiaTheme="minorEastAsia" w:hAnsiTheme="minorHAnsi" w:cstheme="minorBidi"/>
            <w:noProof/>
            <w:kern w:val="2"/>
            <w:sz w:val="24"/>
            <w:szCs w:val="24"/>
            <w:lang w:eastAsia="es-CO"/>
            <w14:ligatures w14:val="standardContextual"/>
          </w:rPr>
          <w:tab/>
        </w:r>
        <w:r w:rsidRPr="001C0DBA">
          <w:rPr>
            <w:rStyle w:val="Hipervnculo"/>
            <w:rFonts w:asciiTheme="majorHAnsi" w:hAnsiTheme="majorHAnsi" w:cstheme="majorHAnsi"/>
            <w:b/>
            <w:bCs/>
            <w:noProof/>
            <w:spacing w:val="2"/>
          </w:rPr>
          <w:t>Alcance</w:t>
        </w:r>
        <w:r>
          <w:rPr>
            <w:noProof/>
            <w:webHidden/>
          </w:rPr>
          <w:tab/>
        </w:r>
        <w:r>
          <w:rPr>
            <w:noProof/>
            <w:webHidden/>
          </w:rPr>
          <w:fldChar w:fldCharType="begin"/>
        </w:r>
        <w:r>
          <w:rPr>
            <w:noProof/>
            <w:webHidden/>
          </w:rPr>
          <w:instrText xml:space="preserve"> PAGEREF _Toc183363580 \h </w:instrText>
        </w:r>
        <w:r>
          <w:rPr>
            <w:noProof/>
            <w:webHidden/>
          </w:rPr>
        </w:r>
        <w:r>
          <w:rPr>
            <w:noProof/>
            <w:webHidden/>
          </w:rPr>
          <w:fldChar w:fldCharType="separate"/>
        </w:r>
        <w:r>
          <w:rPr>
            <w:noProof/>
            <w:webHidden/>
          </w:rPr>
          <w:t>4</w:t>
        </w:r>
        <w:r>
          <w:rPr>
            <w:noProof/>
            <w:webHidden/>
          </w:rPr>
          <w:fldChar w:fldCharType="end"/>
        </w:r>
      </w:hyperlink>
    </w:p>
    <w:p w14:paraId="502D1C01" w14:textId="78A4DF24" w:rsidR="00062986" w:rsidRDefault="00062986">
      <w:pPr>
        <w:pStyle w:val="TDC1"/>
        <w:rPr>
          <w:rFonts w:asciiTheme="minorHAnsi" w:eastAsiaTheme="minorEastAsia" w:hAnsiTheme="minorHAnsi" w:cstheme="minorBidi"/>
          <w:noProof/>
          <w:kern w:val="2"/>
          <w:sz w:val="24"/>
          <w:szCs w:val="24"/>
          <w:lang w:eastAsia="es-CO"/>
          <w14:ligatures w14:val="standardContextual"/>
        </w:rPr>
      </w:pPr>
      <w:hyperlink w:anchor="_Toc183363581" w:history="1">
        <w:r w:rsidRPr="001C0DBA">
          <w:rPr>
            <w:rStyle w:val="Hipervnculo"/>
            <w:rFonts w:asciiTheme="majorHAnsi" w:hAnsiTheme="majorHAnsi" w:cstheme="majorHAnsi"/>
            <w:b/>
            <w:bCs/>
            <w:noProof/>
            <w:spacing w:val="2"/>
          </w:rPr>
          <w:t>3.</w:t>
        </w:r>
        <w:r>
          <w:rPr>
            <w:rFonts w:asciiTheme="minorHAnsi" w:eastAsiaTheme="minorEastAsia" w:hAnsiTheme="minorHAnsi" w:cstheme="minorBidi"/>
            <w:noProof/>
            <w:kern w:val="2"/>
            <w:sz w:val="24"/>
            <w:szCs w:val="24"/>
            <w:lang w:eastAsia="es-CO"/>
            <w14:ligatures w14:val="standardContextual"/>
          </w:rPr>
          <w:tab/>
        </w:r>
        <w:r w:rsidRPr="001C0DBA">
          <w:rPr>
            <w:rStyle w:val="Hipervnculo"/>
            <w:rFonts w:asciiTheme="majorHAnsi" w:hAnsiTheme="majorHAnsi" w:cstheme="majorHAnsi"/>
            <w:b/>
            <w:bCs/>
            <w:noProof/>
            <w:spacing w:val="2"/>
          </w:rPr>
          <w:t>Responsable</w:t>
        </w:r>
        <w:r>
          <w:rPr>
            <w:noProof/>
            <w:webHidden/>
          </w:rPr>
          <w:tab/>
        </w:r>
        <w:r>
          <w:rPr>
            <w:noProof/>
            <w:webHidden/>
          </w:rPr>
          <w:fldChar w:fldCharType="begin"/>
        </w:r>
        <w:r>
          <w:rPr>
            <w:noProof/>
            <w:webHidden/>
          </w:rPr>
          <w:instrText xml:space="preserve"> PAGEREF _Toc183363581 \h </w:instrText>
        </w:r>
        <w:r>
          <w:rPr>
            <w:noProof/>
            <w:webHidden/>
          </w:rPr>
        </w:r>
        <w:r>
          <w:rPr>
            <w:noProof/>
            <w:webHidden/>
          </w:rPr>
          <w:fldChar w:fldCharType="separate"/>
        </w:r>
        <w:r>
          <w:rPr>
            <w:noProof/>
            <w:webHidden/>
          </w:rPr>
          <w:t>4</w:t>
        </w:r>
        <w:r>
          <w:rPr>
            <w:noProof/>
            <w:webHidden/>
          </w:rPr>
          <w:fldChar w:fldCharType="end"/>
        </w:r>
      </w:hyperlink>
    </w:p>
    <w:p w14:paraId="6D9834BE" w14:textId="5308AA2E" w:rsidR="00062986" w:rsidRDefault="00062986">
      <w:pPr>
        <w:pStyle w:val="TDC1"/>
        <w:rPr>
          <w:rFonts w:asciiTheme="minorHAnsi" w:eastAsiaTheme="minorEastAsia" w:hAnsiTheme="minorHAnsi" w:cstheme="minorBidi"/>
          <w:noProof/>
          <w:kern w:val="2"/>
          <w:sz w:val="24"/>
          <w:szCs w:val="24"/>
          <w:lang w:eastAsia="es-CO"/>
          <w14:ligatures w14:val="standardContextual"/>
        </w:rPr>
      </w:pPr>
      <w:hyperlink w:anchor="_Toc183363582" w:history="1">
        <w:r w:rsidRPr="001C0DBA">
          <w:rPr>
            <w:rStyle w:val="Hipervnculo"/>
            <w:rFonts w:asciiTheme="majorHAnsi" w:hAnsiTheme="majorHAnsi" w:cstheme="majorHAnsi"/>
            <w:b/>
            <w:bCs/>
            <w:noProof/>
            <w:spacing w:val="2"/>
          </w:rPr>
          <w:t>4.</w:t>
        </w:r>
        <w:r>
          <w:rPr>
            <w:rFonts w:asciiTheme="minorHAnsi" w:eastAsiaTheme="minorEastAsia" w:hAnsiTheme="minorHAnsi" w:cstheme="minorBidi"/>
            <w:noProof/>
            <w:kern w:val="2"/>
            <w:sz w:val="24"/>
            <w:szCs w:val="24"/>
            <w:lang w:eastAsia="es-CO"/>
            <w14:ligatures w14:val="standardContextual"/>
          </w:rPr>
          <w:tab/>
        </w:r>
        <w:r w:rsidRPr="001C0DBA">
          <w:rPr>
            <w:rStyle w:val="Hipervnculo"/>
            <w:rFonts w:asciiTheme="majorHAnsi" w:hAnsiTheme="majorHAnsi" w:cstheme="majorHAnsi"/>
            <w:b/>
            <w:bCs/>
            <w:noProof/>
            <w:spacing w:val="2"/>
          </w:rPr>
          <w:t>Definiciones</w:t>
        </w:r>
        <w:r>
          <w:rPr>
            <w:noProof/>
            <w:webHidden/>
          </w:rPr>
          <w:tab/>
        </w:r>
        <w:r>
          <w:rPr>
            <w:noProof/>
            <w:webHidden/>
          </w:rPr>
          <w:fldChar w:fldCharType="begin"/>
        </w:r>
        <w:r>
          <w:rPr>
            <w:noProof/>
            <w:webHidden/>
          </w:rPr>
          <w:instrText xml:space="preserve"> PAGEREF _Toc183363582 \h </w:instrText>
        </w:r>
        <w:r>
          <w:rPr>
            <w:noProof/>
            <w:webHidden/>
          </w:rPr>
        </w:r>
        <w:r>
          <w:rPr>
            <w:noProof/>
            <w:webHidden/>
          </w:rPr>
          <w:fldChar w:fldCharType="separate"/>
        </w:r>
        <w:r>
          <w:rPr>
            <w:noProof/>
            <w:webHidden/>
          </w:rPr>
          <w:t>4</w:t>
        </w:r>
        <w:r>
          <w:rPr>
            <w:noProof/>
            <w:webHidden/>
          </w:rPr>
          <w:fldChar w:fldCharType="end"/>
        </w:r>
      </w:hyperlink>
    </w:p>
    <w:p w14:paraId="032C49D3" w14:textId="1A319495" w:rsidR="00062986" w:rsidRDefault="00062986">
      <w:pPr>
        <w:pStyle w:val="TDC1"/>
        <w:rPr>
          <w:rFonts w:asciiTheme="minorHAnsi" w:eastAsiaTheme="minorEastAsia" w:hAnsiTheme="minorHAnsi" w:cstheme="minorBidi"/>
          <w:noProof/>
          <w:kern w:val="2"/>
          <w:sz w:val="24"/>
          <w:szCs w:val="24"/>
          <w:lang w:eastAsia="es-CO"/>
          <w14:ligatures w14:val="standardContextual"/>
        </w:rPr>
      </w:pPr>
      <w:hyperlink w:anchor="_Toc183363583" w:history="1">
        <w:r w:rsidRPr="001C0DBA">
          <w:rPr>
            <w:rStyle w:val="Hipervnculo"/>
            <w:rFonts w:asciiTheme="majorHAnsi" w:hAnsiTheme="majorHAnsi" w:cstheme="majorHAnsi"/>
            <w:b/>
            <w:bCs/>
            <w:noProof/>
            <w:spacing w:val="2"/>
          </w:rPr>
          <w:t>5.</w:t>
        </w:r>
        <w:r>
          <w:rPr>
            <w:rFonts w:asciiTheme="minorHAnsi" w:eastAsiaTheme="minorEastAsia" w:hAnsiTheme="minorHAnsi" w:cstheme="minorBidi"/>
            <w:noProof/>
            <w:kern w:val="2"/>
            <w:sz w:val="24"/>
            <w:szCs w:val="24"/>
            <w:lang w:eastAsia="es-CO"/>
            <w14:ligatures w14:val="standardContextual"/>
          </w:rPr>
          <w:tab/>
        </w:r>
        <w:r w:rsidRPr="001C0DBA">
          <w:rPr>
            <w:rStyle w:val="Hipervnculo"/>
            <w:rFonts w:asciiTheme="majorHAnsi" w:hAnsiTheme="majorHAnsi" w:cstheme="majorHAnsi"/>
            <w:b/>
            <w:bCs/>
            <w:noProof/>
            <w:spacing w:val="2"/>
          </w:rPr>
          <w:t>Marco normativo</w:t>
        </w:r>
        <w:r>
          <w:rPr>
            <w:noProof/>
            <w:webHidden/>
          </w:rPr>
          <w:tab/>
        </w:r>
        <w:r>
          <w:rPr>
            <w:noProof/>
            <w:webHidden/>
          </w:rPr>
          <w:fldChar w:fldCharType="begin"/>
        </w:r>
        <w:r>
          <w:rPr>
            <w:noProof/>
            <w:webHidden/>
          </w:rPr>
          <w:instrText xml:space="preserve"> PAGEREF _Toc183363583 \h </w:instrText>
        </w:r>
        <w:r>
          <w:rPr>
            <w:noProof/>
            <w:webHidden/>
          </w:rPr>
        </w:r>
        <w:r>
          <w:rPr>
            <w:noProof/>
            <w:webHidden/>
          </w:rPr>
          <w:fldChar w:fldCharType="separate"/>
        </w:r>
        <w:r>
          <w:rPr>
            <w:noProof/>
            <w:webHidden/>
          </w:rPr>
          <w:t>7</w:t>
        </w:r>
        <w:r>
          <w:rPr>
            <w:noProof/>
            <w:webHidden/>
          </w:rPr>
          <w:fldChar w:fldCharType="end"/>
        </w:r>
      </w:hyperlink>
    </w:p>
    <w:p w14:paraId="5518CD3D" w14:textId="3761839E" w:rsidR="00062986" w:rsidRDefault="00062986">
      <w:pPr>
        <w:pStyle w:val="TDC1"/>
        <w:rPr>
          <w:rFonts w:asciiTheme="minorHAnsi" w:eastAsiaTheme="minorEastAsia" w:hAnsiTheme="minorHAnsi" w:cstheme="minorBidi"/>
          <w:noProof/>
          <w:kern w:val="2"/>
          <w:sz w:val="24"/>
          <w:szCs w:val="24"/>
          <w:lang w:eastAsia="es-CO"/>
          <w14:ligatures w14:val="standardContextual"/>
        </w:rPr>
      </w:pPr>
      <w:hyperlink w:anchor="_Toc183363584" w:history="1">
        <w:r w:rsidRPr="001C0DBA">
          <w:rPr>
            <w:rStyle w:val="Hipervnculo"/>
            <w:rFonts w:asciiTheme="majorHAnsi" w:hAnsiTheme="majorHAnsi" w:cstheme="majorHAnsi"/>
            <w:b/>
            <w:bCs/>
            <w:noProof/>
            <w:spacing w:val="2"/>
          </w:rPr>
          <w:t>6.</w:t>
        </w:r>
        <w:r>
          <w:rPr>
            <w:rFonts w:asciiTheme="minorHAnsi" w:eastAsiaTheme="minorEastAsia" w:hAnsiTheme="minorHAnsi" w:cstheme="minorBidi"/>
            <w:noProof/>
            <w:kern w:val="2"/>
            <w:sz w:val="24"/>
            <w:szCs w:val="24"/>
            <w:lang w:eastAsia="es-CO"/>
            <w14:ligatures w14:val="standardContextual"/>
          </w:rPr>
          <w:tab/>
        </w:r>
        <w:r w:rsidRPr="001C0DBA">
          <w:rPr>
            <w:rStyle w:val="Hipervnculo"/>
            <w:rFonts w:asciiTheme="majorHAnsi" w:hAnsiTheme="majorHAnsi" w:cstheme="majorHAnsi"/>
            <w:b/>
            <w:bCs/>
            <w:noProof/>
            <w:spacing w:val="2"/>
          </w:rPr>
          <w:t>Generalidades</w:t>
        </w:r>
        <w:r>
          <w:rPr>
            <w:noProof/>
            <w:webHidden/>
          </w:rPr>
          <w:tab/>
        </w:r>
        <w:r>
          <w:rPr>
            <w:noProof/>
            <w:webHidden/>
          </w:rPr>
          <w:fldChar w:fldCharType="begin"/>
        </w:r>
        <w:r>
          <w:rPr>
            <w:noProof/>
            <w:webHidden/>
          </w:rPr>
          <w:instrText xml:space="preserve"> PAGEREF _Toc183363584 \h </w:instrText>
        </w:r>
        <w:r>
          <w:rPr>
            <w:noProof/>
            <w:webHidden/>
          </w:rPr>
        </w:r>
        <w:r>
          <w:rPr>
            <w:noProof/>
            <w:webHidden/>
          </w:rPr>
          <w:fldChar w:fldCharType="separate"/>
        </w:r>
        <w:r>
          <w:rPr>
            <w:noProof/>
            <w:webHidden/>
          </w:rPr>
          <w:t>9</w:t>
        </w:r>
        <w:r>
          <w:rPr>
            <w:noProof/>
            <w:webHidden/>
          </w:rPr>
          <w:fldChar w:fldCharType="end"/>
        </w:r>
      </w:hyperlink>
    </w:p>
    <w:p w14:paraId="33866FBC" w14:textId="71B8E54D" w:rsidR="00062986" w:rsidRDefault="00062986">
      <w:pPr>
        <w:pStyle w:val="TDC1"/>
        <w:rPr>
          <w:rFonts w:asciiTheme="minorHAnsi" w:eastAsiaTheme="minorEastAsia" w:hAnsiTheme="minorHAnsi" w:cstheme="minorBidi"/>
          <w:noProof/>
          <w:kern w:val="2"/>
          <w:sz w:val="24"/>
          <w:szCs w:val="24"/>
          <w:lang w:eastAsia="es-CO"/>
          <w14:ligatures w14:val="standardContextual"/>
        </w:rPr>
      </w:pPr>
      <w:hyperlink w:anchor="_Toc183363585" w:history="1">
        <w:r w:rsidRPr="001C0DBA">
          <w:rPr>
            <w:rStyle w:val="Hipervnculo"/>
            <w:rFonts w:asciiTheme="majorHAnsi" w:hAnsiTheme="majorHAnsi" w:cstheme="majorHAnsi"/>
            <w:b/>
            <w:bCs/>
            <w:noProof/>
            <w:spacing w:val="2"/>
          </w:rPr>
          <w:t>7.</w:t>
        </w:r>
        <w:r>
          <w:rPr>
            <w:rFonts w:asciiTheme="minorHAnsi" w:eastAsiaTheme="minorEastAsia" w:hAnsiTheme="minorHAnsi" w:cstheme="minorBidi"/>
            <w:noProof/>
            <w:kern w:val="2"/>
            <w:sz w:val="24"/>
            <w:szCs w:val="24"/>
            <w:lang w:eastAsia="es-CO"/>
            <w14:ligatures w14:val="standardContextual"/>
          </w:rPr>
          <w:tab/>
        </w:r>
        <w:r w:rsidRPr="001C0DBA">
          <w:rPr>
            <w:rStyle w:val="Hipervnculo"/>
            <w:rFonts w:asciiTheme="majorHAnsi" w:hAnsiTheme="majorHAnsi" w:cstheme="majorHAnsi"/>
            <w:b/>
            <w:bCs/>
            <w:noProof/>
            <w:spacing w:val="2"/>
          </w:rPr>
          <w:t>Roles y responsabilidades</w:t>
        </w:r>
        <w:r>
          <w:rPr>
            <w:noProof/>
            <w:webHidden/>
          </w:rPr>
          <w:tab/>
        </w:r>
        <w:r>
          <w:rPr>
            <w:noProof/>
            <w:webHidden/>
          </w:rPr>
          <w:fldChar w:fldCharType="begin"/>
        </w:r>
        <w:r>
          <w:rPr>
            <w:noProof/>
            <w:webHidden/>
          </w:rPr>
          <w:instrText xml:space="preserve"> PAGEREF _Toc183363585 \h </w:instrText>
        </w:r>
        <w:r>
          <w:rPr>
            <w:noProof/>
            <w:webHidden/>
          </w:rPr>
        </w:r>
        <w:r>
          <w:rPr>
            <w:noProof/>
            <w:webHidden/>
          </w:rPr>
          <w:fldChar w:fldCharType="separate"/>
        </w:r>
        <w:r>
          <w:rPr>
            <w:noProof/>
            <w:webHidden/>
          </w:rPr>
          <w:t>10</w:t>
        </w:r>
        <w:r>
          <w:rPr>
            <w:noProof/>
            <w:webHidden/>
          </w:rPr>
          <w:fldChar w:fldCharType="end"/>
        </w:r>
      </w:hyperlink>
    </w:p>
    <w:p w14:paraId="47795038" w14:textId="0219AEC2" w:rsidR="00062986" w:rsidRDefault="00062986">
      <w:pPr>
        <w:pStyle w:val="TDC1"/>
        <w:rPr>
          <w:rFonts w:asciiTheme="minorHAnsi" w:eastAsiaTheme="minorEastAsia" w:hAnsiTheme="minorHAnsi" w:cstheme="minorBidi"/>
          <w:noProof/>
          <w:kern w:val="2"/>
          <w:sz w:val="24"/>
          <w:szCs w:val="24"/>
          <w:lang w:eastAsia="es-CO"/>
          <w14:ligatures w14:val="standardContextual"/>
        </w:rPr>
      </w:pPr>
      <w:hyperlink w:anchor="_Toc183363586" w:history="1">
        <w:r w:rsidRPr="001C0DBA">
          <w:rPr>
            <w:rStyle w:val="Hipervnculo"/>
            <w:rFonts w:asciiTheme="majorHAnsi" w:hAnsiTheme="majorHAnsi" w:cstheme="majorHAnsi"/>
            <w:b/>
            <w:bCs/>
            <w:noProof/>
            <w:spacing w:val="2"/>
          </w:rPr>
          <w:t>8.</w:t>
        </w:r>
        <w:r>
          <w:rPr>
            <w:rFonts w:asciiTheme="minorHAnsi" w:eastAsiaTheme="minorEastAsia" w:hAnsiTheme="minorHAnsi" w:cstheme="minorBidi"/>
            <w:noProof/>
            <w:kern w:val="2"/>
            <w:sz w:val="24"/>
            <w:szCs w:val="24"/>
            <w:lang w:eastAsia="es-CO"/>
            <w14:ligatures w14:val="standardContextual"/>
          </w:rPr>
          <w:tab/>
        </w:r>
        <w:r w:rsidRPr="001C0DBA">
          <w:rPr>
            <w:rStyle w:val="Hipervnculo"/>
            <w:rFonts w:asciiTheme="majorHAnsi" w:hAnsiTheme="majorHAnsi" w:cstheme="majorHAnsi"/>
            <w:b/>
            <w:bCs/>
            <w:noProof/>
            <w:spacing w:val="2"/>
          </w:rPr>
          <w:t>Contenido</w:t>
        </w:r>
        <w:r>
          <w:rPr>
            <w:noProof/>
            <w:webHidden/>
          </w:rPr>
          <w:tab/>
        </w:r>
        <w:r>
          <w:rPr>
            <w:noProof/>
            <w:webHidden/>
          </w:rPr>
          <w:fldChar w:fldCharType="begin"/>
        </w:r>
        <w:r>
          <w:rPr>
            <w:noProof/>
            <w:webHidden/>
          </w:rPr>
          <w:instrText xml:space="preserve"> PAGEREF _Toc183363586 \h </w:instrText>
        </w:r>
        <w:r>
          <w:rPr>
            <w:noProof/>
            <w:webHidden/>
          </w:rPr>
        </w:r>
        <w:r>
          <w:rPr>
            <w:noProof/>
            <w:webHidden/>
          </w:rPr>
          <w:fldChar w:fldCharType="separate"/>
        </w:r>
        <w:r>
          <w:rPr>
            <w:noProof/>
            <w:webHidden/>
          </w:rPr>
          <w:t>11</w:t>
        </w:r>
        <w:r>
          <w:rPr>
            <w:noProof/>
            <w:webHidden/>
          </w:rPr>
          <w:fldChar w:fldCharType="end"/>
        </w:r>
      </w:hyperlink>
    </w:p>
    <w:p w14:paraId="140754C8" w14:textId="236A72DE" w:rsidR="00062986" w:rsidRDefault="00062986">
      <w:pPr>
        <w:pStyle w:val="TDC2"/>
        <w:tabs>
          <w:tab w:val="right" w:leader="dot" w:pos="8828"/>
        </w:tabs>
        <w:rPr>
          <w:rFonts w:asciiTheme="minorHAnsi" w:eastAsiaTheme="minorEastAsia" w:hAnsiTheme="minorHAnsi" w:cstheme="minorBidi"/>
          <w:noProof/>
          <w:kern w:val="2"/>
          <w:sz w:val="24"/>
          <w:szCs w:val="24"/>
          <w:lang w:eastAsia="es-CO"/>
          <w14:ligatures w14:val="standardContextual"/>
        </w:rPr>
      </w:pPr>
      <w:hyperlink w:anchor="_Toc183363587" w:history="1">
        <w:r w:rsidRPr="001C0DBA">
          <w:rPr>
            <w:rStyle w:val="Hipervnculo"/>
            <w:b/>
            <w:bCs/>
            <w:noProof/>
          </w:rPr>
          <w:t>8.1. Determinar aspectos generales de la sede</w:t>
        </w:r>
        <w:r>
          <w:rPr>
            <w:noProof/>
            <w:webHidden/>
          </w:rPr>
          <w:tab/>
        </w:r>
        <w:r>
          <w:rPr>
            <w:noProof/>
            <w:webHidden/>
          </w:rPr>
          <w:fldChar w:fldCharType="begin"/>
        </w:r>
        <w:r>
          <w:rPr>
            <w:noProof/>
            <w:webHidden/>
          </w:rPr>
          <w:instrText xml:space="preserve"> PAGEREF _Toc183363587 \h </w:instrText>
        </w:r>
        <w:r>
          <w:rPr>
            <w:noProof/>
            <w:webHidden/>
          </w:rPr>
        </w:r>
        <w:r>
          <w:rPr>
            <w:noProof/>
            <w:webHidden/>
          </w:rPr>
          <w:fldChar w:fldCharType="separate"/>
        </w:r>
        <w:r>
          <w:rPr>
            <w:noProof/>
            <w:webHidden/>
          </w:rPr>
          <w:t>13</w:t>
        </w:r>
        <w:r>
          <w:rPr>
            <w:noProof/>
            <w:webHidden/>
          </w:rPr>
          <w:fldChar w:fldCharType="end"/>
        </w:r>
      </w:hyperlink>
    </w:p>
    <w:p w14:paraId="784C275D" w14:textId="16FD483B" w:rsidR="00062986" w:rsidRDefault="00062986">
      <w:pPr>
        <w:pStyle w:val="TDC2"/>
        <w:tabs>
          <w:tab w:val="right" w:leader="dot" w:pos="8828"/>
        </w:tabs>
        <w:rPr>
          <w:rFonts w:asciiTheme="minorHAnsi" w:eastAsiaTheme="minorEastAsia" w:hAnsiTheme="minorHAnsi" w:cstheme="minorBidi"/>
          <w:noProof/>
          <w:kern w:val="2"/>
          <w:sz w:val="24"/>
          <w:szCs w:val="24"/>
          <w:lang w:eastAsia="es-CO"/>
          <w14:ligatures w14:val="standardContextual"/>
        </w:rPr>
      </w:pPr>
      <w:hyperlink w:anchor="_Toc183363588" w:history="1">
        <w:r w:rsidRPr="001C0DBA">
          <w:rPr>
            <w:rStyle w:val="Hipervnculo"/>
            <w:b/>
            <w:bCs/>
            <w:noProof/>
          </w:rPr>
          <w:t>8.2. Recolectar y documentar información relevante para la revisión energética</w:t>
        </w:r>
        <w:r>
          <w:rPr>
            <w:noProof/>
            <w:webHidden/>
          </w:rPr>
          <w:tab/>
        </w:r>
        <w:r>
          <w:rPr>
            <w:noProof/>
            <w:webHidden/>
          </w:rPr>
          <w:fldChar w:fldCharType="begin"/>
        </w:r>
        <w:r>
          <w:rPr>
            <w:noProof/>
            <w:webHidden/>
          </w:rPr>
          <w:instrText xml:space="preserve"> PAGEREF _Toc183363588 \h </w:instrText>
        </w:r>
        <w:r>
          <w:rPr>
            <w:noProof/>
            <w:webHidden/>
          </w:rPr>
        </w:r>
        <w:r>
          <w:rPr>
            <w:noProof/>
            <w:webHidden/>
          </w:rPr>
          <w:fldChar w:fldCharType="separate"/>
        </w:r>
        <w:r>
          <w:rPr>
            <w:noProof/>
            <w:webHidden/>
          </w:rPr>
          <w:t>13</w:t>
        </w:r>
        <w:r>
          <w:rPr>
            <w:noProof/>
            <w:webHidden/>
          </w:rPr>
          <w:fldChar w:fldCharType="end"/>
        </w:r>
      </w:hyperlink>
    </w:p>
    <w:p w14:paraId="1C8F0928" w14:textId="105DAEDE" w:rsidR="00062986" w:rsidRDefault="00062986">
      <w:pPr>
        <w:pStyle w:val="TDC2"/>
        <w:tabs>
          <w:tab w:val="right" w:leader="dot" w:pos="8828"/>
        </w:tabs>
        <w:rPr>
          <w:rFonts w:asciiTheme="minorHAnsi" w:eastAsiaTheme="minorEastAsia" w:hAnsiTheme="minorHAnsi" w:cstheme="minorBidi"/>
          <w:noProof/>
          <w:kern w:val="2"/>
          <w:sz w:val="24"/>
          <w:szCs w:val="24"/>
          <w:lang w:eastAsia="es-CO"/>
          <w14:ligatures w14:val="standardContextual"/>
        </w:rPr>
      </w:pPr>
      <w:hyperlink w:anchor="_Toc183363589" w:history="1">
        <w:r w:rsidRPr="001C0DBA">
          <w:rPr>
            <w:rStyle w:val="Hipervnculo"/>
            <w:b/>
            <w:bCs/>
            <w:noProof/>
          </w:rPr>
          <w:t>8.3. Realizar inspección de las Instalaciones Eléctricas y análisis de calidad de potencia eléctrica.</w:t>
        </w:r>
        <w:r>
          <w:rPr>
            <w:noProof/>
            <w:webHidden/>
          </w:rPr>
          <w:tab/>
        </w:r>
        <w:r>
          <w:rPr>
            <w:noProof/>
            <w:webHidden/>
          </w:rPr>
          <w:fldChar w:fldCharType="begin"/>
        </w:r>
        <w:r>
          <w:rPr>
            <w:noProof/>
            <w:webHidden/>
          </w:rPr>
          <w:instrText xml:space="preserve"> PAGEREF _Toc183363589 \h </w:instrText>
        </w:r>
        <w:r>
          <w:rPr>
            <w:noProof/>
            <w:webHidden/>
          </w:rPr>
        </w:r>
        <w:r>
          <w:rPr>
            <w:noProof/>
            <w:webHidden/>
          </w:rPr>
          <w:fldChar w:fldCharType="separate"/>
        </w:r>
        <w:r>
          <w:rPr>
            <w:noProof/>
            <w:webHidden/>
          </w:rPr>
          <w:t>14</w:t>
        </w:r>
        <w:r>
          <w:rPr>
            <w:noProof/>
            <w:webHidden/>
          </w:rPr>
          <w:fldChar w:fldCharType="end"/>
        </w:r>
      </w:hyperlink>
    </w:p>
    <w:p w14:paraId="365F0C70" w14:textId="03447B5A" w:rsidR="00062986" w:rsidRDefault="00062986">
      <w:pPr>
        <w:pStyle w:val="TDC2"/>
        <w:tabs>
          <w:tab w:val="right" w:leader="dot" w:pos="8828"/>
        </w:tabs>
        <w:rPr>
          <w:rFonts w:asciiTheme="minorHAnsi" w:eastAsiaTheme="minorEastAsia" w:hAnsiTheme="minorHAnsi" w:cstheme="minorBidi"/>
          <w:noProof/>
          <w:kern w:val="2"/>
          <w:sz w:val="24"/>
          <w:szCs w:val="24"/>
          <w:lang w:eastAsia="es-CO"/>
          <w14:ligatures w14:val="standardContextual"/>
        </w:rPr>
      </w:pPr>
      <w:hyperlink w:anchor="_Toc183363590" w:history="1">
        <w:r w:rsidRPr="001C0DBA">
          <w:rPr>
            <w:rStyle w:val="Hipervnculo"/>
            <w:b/>
            <w:bCs/>
            <w:noProof/>
          </w:rPr>
          <w:t>8.4. Establecer la matriz energética de la sede e identificar las fuentes de energía significativas para la sede</w:t>
        </w:r>
        <w:r>
          <w:rPr>
            <w:noProof/>
            <w:webHidden/>
          </w:rPr>
          <w:tab/>
        </w:r>
        <w:r>
          <w:rPr>
            <w:noProof/>
            <w:webHidden/>
          </w:rPr>
          <w:fldChar w:fldCharType="begin"/>
        </w:r>
        <w:r>
          <w:rPr>
            <w:noProof/>
            <w:webHidden/>
          </w:rPr>
          <w:instrText xml:space="preserve"> PAGEREF _Toc183363590 \h </w:instrText>
        </w:r>
        <w:r>
          <w:rPr>
            <w:noProof/>
            <w:webHidden/>
          </w:rPr>
        </w:r>
        <w:r>
          <w:rPr>
            <w:noProof/>
            <w:webHidden/>
          </w:rPr>
          <w:fldChar w:fldCharType="separate"/>
        </w:r>
        <w:r>
          <w:rPr>
            <w:noProof/>
            <w:webHidden/>
          </w:rPr>
          <w:t>16</w:t>
        </w:r>
        <w:r>
          <w:rPr>
            <w:noProof/>
            <w:webHidden/>
          </w:rPr>
          <w:fldChar w:fldCharType="end"/>
        </w:r>
      </w:hyperlink>
    </w:p>
    <w:p w14:paraId="776CF468" w14:textId="09D747F9" w:rsidR="00062986" w:rsidRDefault="00062986">
      <w:pPr>
        <w:pStyle w:val="TDC2"/>
        <w:tabs>
          <w:tab w:val="right" w:leader="dot" w:pos="8828"/>
        </w:tabs>
        <w:rPr>
          <w:rFonts w:asciiTheme="minorHAnsi" w:eastAsiaTheme="minorEastAsia" w:hAnsiTheme="minorHAnsi" w:cstheme="minorBidi"/>
          <w:noProof/>
          <w:kern w:val="2"/>
          <w:sz w:val="24"/>
          <w:szCs w:val="24"/>
          <w:lang w:eastAsia="es-CO"/>
          <w14:ligatures w14:val="standardContextual"/>
        </w:rPr>
      </w:pPr>
      <w:hyperlink w:anchor="_Toc183363591" w:history="1">
        <w:r w:rsidRPr="001C0DBA">
          <w:rPr>
            <w:rStyle w:val="Hipervnculo"/>
            <w:b/>
            <w:bCs/>
            <w:noProof/>
          </w:rPr>
          <w:t>8.5. Identificar los Usos Significativos de la Energía</w:t>
        </w:r>
        <w:r>
          <w:rPr>
            <w:noProof/>
            <w:webHidden/>
          </w:rPr>
          <w:tab/>
        </w:r>
        <w:r>
          <w:rPr>
            <w:noProof/>
            <w:webHidden/>
          </w:rPr>
          <w:fldChar w:fldCharType="begin"/>
        </w:r>
        <w:r>
          <w:rPr>
            <w:noProof/>
            <w:webHidden/>
          </w:rPr>
          <w:instrText xml:space="preserve"> PAGEREF _Toc183363591 \h </w:instrText>
        </w:r>
        <w:r>
          <w:rPr>
            <w:noProof/>
            <w:webHidden/>
          </w:rPr>
        </w:r>
        <w:r>
          <w:rPr>
            <w:noProof/>
            <w:webHidden/>
          </w:rPr>
          <w:fldChar w:fldCharType="separate"/>
        </w:r>
        <w:r>
          <w:rPr>
            <w:noProof/>
            <w:webHidden/>
          </w:rPr>
          <w:t>17</w:t>
        </w:r>
        <w:r>
          <w:rPr>
            <w:noProof/>
            <w:webHidden/>
          </w:rPr>
          <w:fldChar w:fldCharType="end"/>
        </w:r>
      </w:hyperlink>
    </w:p>
    <w:p w14:paraId="29E9442D" w14:textId="0107C076" w:rsidR="00062986" w:rsidRDefault="00062986">
      <w:pPr>
        <w:pStyle w:val="TDC2"/>
        <w:tabs>
          <w:tab w:val="right" w:leader="dot" w:pos="8828"/>
        </w:tabs>
        <w:rPr>
          <w:rFonts w:asciiTheme="minorHAnsi" w:eastAsiaTheme="minorEastAsia" w:hAnsiTheme="minorHAnsi" w:cstheme="minorBidi"/>
          <w:noProof/>
          <w:kern w:val="2"/>
          <w:sz w:val="24"/>
          <w:szCs w:val="24"/>
          <w:lang w:eastAsia="es-CO"/>
          <w14:ligatures w14:val="standardContextual"/>
        </w:rPr>
      </w:pPr>
      <w:hyperlink w:anchor="_Toc183363592" w:history="1">
        <w:r w:rsidRPr="001C0DBA">
          <w:rPr>
            <w:rStyle w:val="Hipervnculo"/>
            <w:b/>
            <w:bCs/>
            <w:noProof/>
          </w:rPr>
          <w:t>8.6. Determinar las oportunidades de mejora del desempeño energético</w:t>
        </w:r>
        <w:r>
          <w:rPr>
            <w:noProof/>
            <w:webHidden/>
          </w:rPr>
          <w:tab/>
        </w:r>
        <w:r>
          <w:rPr>
            <w:noProof/>
            <w:webHidden/>
          </w:rPr>
          <w:fldChar w:fldCharType="begin"/>
        </w:r>
        <w:r>
          <w:rPr>
            <w:noProof/>
            <w:webHidden/>
          </w:rPr>
          <w:instrText xml:space="preserve"> PAGEREF _Toc183363592 \h </w:instrText>
        </w:r>
        <w:r>
          <w:rPr>
            <w:noProof/>
            <w:webHidden/>
          </w:rPr>
        </w:r>
        <w:r>
          <w:rPr>
            <w:noProof/>
            <w:webHidden/>
          </w:rPr>
          <w:fldChar w:fldCharType="separate"/>
        </w:r>
        <w:r>
          <w:rPr>
            <w:noProof/>
            <w:webHidden/>
          </w:rPr>
          <w:t>18</w:t>
        </w:r>
        <w:r>
          <w:rPr>
            <w:noProof/>
            <w:webHidden/>
          </w:rPr>
          <w:fldChar w:fldCharType="end"/>
        </w:r>
      </w:hyperlink>
    </w:p>
    <w:p w14:paraId="74E938B4" w14:textId="0FFE3D08" w:rsidR="00062986" w:rsidRDefault="00062986">
      <w:pPr>
        <w:pStyle w:val="TDC2"/>
        <w:tabs>
          <w:tab w:val="right" w:leader="dot" w:pos="8828"/>
        </w:tabs>
        <w:rPr>
          <w:rFonts w:asciiTheme="minorHAnsi" w:eastAsiaTheme="minorEastAsia" w:hAnsiTheme="minorHAnsi" w:cstheme="minorBidi"/>
          <w:noProof/>
          <w:kern w:val="2"/>
          <w:sz w:val="24"/>
          <w:szCs w:val="24"/>
          <w:lang w:eastAsia="es-CO"/>
          <w14:ligatures w14:val="standardContextual"/>
        </w:rPr>
      </w:pPr>
      <w:hyperlink w:anchor="_Toc183363593" w:history="1">
        <w:r w:rsidRPr="001C0DBA">
          <w:rPr>
            <w:rStyle w:val="Hipervnculo"/>
            <w:b/>
            <w:bCs/>
            <w:noProof/>
          </w:rPr>
          <w:t>8.7. Estimar los usos y consumos futuros de energía</w:t>
        </w:r>
        <w:r>
          <w:rPr>
            <w:noProof/>
            <w:webHidden/>
          </w:rPr>
          <w:tab/>
        </w:r>
        <w:r>
          <w:rPr>
            <w:noProof/>
            <w:webHidden/>
          </w:rPr>
          <w:fldChar w:fldCharType="begin"/>
        </w:r>
        <w:r>
          <w:rPr>
            <w:noProof/>
            <w:webHidden/>
          </w:rPr>
          <w:instrText xml:space="preserve"> PAGEREF _Toc183363593 \h </w:instrText>
        </w:r>
        <w:r>
          <w:rPr>
            <w:noProof/>
            <w:webHidden/>
          </w:rPr>
        </w:r>
        <w:r>
          <w:rPr>
            <w:noProof/>
            <w:webHidden/>
          </w:rPr>
          <w:fldChar w:fldCharType="separate"/>
        </w:r>
        <w:r>
          <w:rPr>
            <w:noProof/>
            <w:webHidden/>
          </w:rPr>
          <w:t>19</w:t>
        </w:r>
        <w:r>
          <w:rPr>
            <w:noProof/>
            <w:webHidden/>
          </w:rPr>
          <w:fldChar w:fldCharType="end"/>
        </w:r>
      </w:hyperlink>
    </w:p>
    <w:p w14:paraId="323140BC" w14:textId="7E244424" w:rsidR="00062986" w:rsidRDefault="00062986">
      <w:pPr>
        <w:pStyle w:val="TDC1"/>
        <w:rPr>
          <w:rFonts w:asciiTheme="minorHAnsi" w:eastAsiaTheme="minorEastAsia" w:hAnsiTheme="minorHAnsi" w:cstheme="minorBidi"/>
          <w:noProof/>
          <w:kern w:val="2"/>
          <w:sz w:val="24"/>
          <w:szCs w:val="24"/>
          <w:lang w:eastAsia="es-CO"/>
          <w14:ligatures w14:val="standardContextual"/>
        </w:rPr>
      </w:pPr>
      <w:hyperlink w:anchor="_Toc183363594" w:history="1">
        <w:r w:rsidRPr="001C0DBA">
          <w:rPr>
            <w:rStyle w:val="Hipervnculo"/>
            <w:rFonts w:asciiTheme="majorHAnsi" w:hAnsiTheme="majorHAnsi" w:cstheme="majorHAnsi"/>
            <w:b/>
            <w:bCs/>
            <w:noProof/>
            <w:spacing w:val="2"/>
          </w:rPr>
          <w:t>9.</w:t>
        </w:r>
        <w:r>
          <w:rPr>
            <w:rFonts w:asciiTheme="minorHAnsi" w:eastAsiaTheme="minorEastAsia" w:hAnsiTheme="minorHAnsi" w:cstheme="minorBidi"/>
            <w:noProof/>
            <w:kern w:val="2"/>
            <w:sz w:val="24"/>
            <w:szCs w:val="24"/>
            <w:lang w:eastAsia="es-CO"/>
            <w14:ligatures w14:val="standardContextual"/>
          </w:rPr>
          <w:tab/>
        </w:r>
        <w:r w:rsidRPr="001C0DBA">
          <w:rPr>
            <w:rStyle w:val="Hipervnculo"/>
            <w:rFonts w:asciiTheme="majorHAnsi" w:hAnsiTheme="majorHAnsi" w:cstheme="majorHAnsi"/>
            <w:b/>
            <w:bCs/>
            <w:noProof/>
            <w:spacing w:val="2"/>
          </w:rPr>
          <w:t>Anexos</w:t>
        </w:r>
        <w:r>
          <w:rPr>
            <w:noProof/>
            <w:webHidden/>
          </w:rPr>
          <w:tab/>
        </w:r>
        <w:r>
          <w:rPr>
            <w:noProof/>
            <w:webHidden/>
          </w:rPr>
          <w:fldChar w:fldCharType="begin"/>
        </w:r>
        <w:r>
          <w:rPr>
            <w:noProof/>
            <w:webHidden/>
          </w:rPr>
          <w:instrText xml:space="preserve"> PAGEREF _Toc183363594 \h </w:instrText>
        </w:r>
        <w:r>
          <w:rPr>
            <w:noProof/>
            <w:webHidden/>
          </w:rPr>
        </w:r>
        <w:r>
          <w:rPr>
            <w:noProof/>
            <w:webHidden/>
          </w:rPr>
          <w:fldChar w:fldCharType="separate"/>
        </w:r>
        <w:r>
          <w:rPr>
            <w:noProof/>
            <w:webHidden/>
          </w:rPr>
          <w:t>22</w:t>
        </w:r>
        <w:r>
          <w:rPr>
            <w:noProof/>
            <w:webHidden/>
          </w:rPr>
          <w:fldChar w:fldCharType="end"/>
        </w:r>
      </w:hyperlink>
    </w:p>
    <w:p w14:paraId="268D4324" w14:textId="76A987DE" w:rsidR="00062986" w:rsidRDefault="00062986">
      <w:pPr>
        <w:pStyle w:val="TDC1"/>
        <w:rPr>
          <w:rFonts w:asciiTheme="minorHAnsi" w:eastAsiaTheme="minorEastAsia" w:hAnsiTheme="minorHAnsi" w:cstheme="minorBidi"/>
          <w:noProof/>
          <w:kern w:val="2"/>
          <w:sz w:val="24"/>
          <w:szCs w:val="24"/>
          <w:lang w:eastAsia="es-CO"/>
          <w14:ligatures w14:val="standardContextual"/>
        </w:rPr>
      </w:pPr>
      <w:hyperlink w:anchor="_Toc183363595" w:history="1">
        <w:r w:rsidRPr="001C0DBA">
          <w:rPr>
            <w:rStyle w:val="Hipervnculo"/>
            <w:rFonts w:asciiTheme="majorHAnsi" w:hAnsiTheme="majorHAnsi" w:cstheme="majorHAnsi"/>
            <w:b/>
            <w:bCs/>
            <w:noProof/>
            <w:spacing w:val="2"/>
          </w:rPr>
          <w:t>10.</w:t>
        </w:r>
        <w:r>
          <w:rPr>
            <w:rFonts w:asciiTheme="minorHAnsi" w:eastAsiaTheme="minorEastAsia" w:hAnsiTheme="minorHAnsi" w:cstheme="minorBidi"/>
            <w:noProof/>
            <w:kern w:val="2"/>
            <w:sz w:val="24"/>
            <w:szCs w:val="24"/>
            <w:lang w:eastAsia="es-CO"/>
            <w14:ligatures w14:val="standardContextual"/>
          </w:rPr>
          <w:tab/>
        </w:r>
        <w:r w:rsidRPr="001C0DBA">
          <w:rPr>
            <w:rStyle w:val="Hipervnculo"/>
            <w:rFonts w:asciiTheme="majorHAnsi" w:hAnsiTheme="majorHAnsi" w:cstheme="majorHAnsi"/>
            <w:b/>
            <w:bCs/>
            <w:noProof/>
            <w:spacing w:val="2"/>
          </w:rPr>
          <w:t>Control de cambios</w:t>
        </w:r>
        <w:r>
          <w:rPr>
            <w:noProof/>
            <w:webHidden/>
          </w:rPr>
          <w:tab/>
        </w:r>
        <w:r>
          <w:rPr>
            <w:noProof/>
            <w:webHidden/>
          </w:rPr>
          <w:fldChar w:fldCharType="begin"/>
        </w:r>
        <w:r>
          <w:rPr>
            <w:noProof/>
            <w:webHidden/>
          </w:rPr>
          <w:instrText xml:space="preserve"> PAGEREF _Toc183363595 \h </w:instrText>
        </w:r>
        <w:r>
          <w:rPr>
            <w:noProof/>
            <w:webHidden/>
          </w:rPr>
        </w:r>
        <w:r>
          <w:rPr>
            <w:noProof/>
            <w:webHidden/>
          </w:rPr>
          <w:fldChar w:fldCharType="separate"/>
        </w:r>
        <w:r>
          <w:rPr>
            <w:noProof/>
            <w:webHidden/>
          </w:rPr>
          <w:t>22</w:t>
        </w:r>
        <w:r>
          <w:rPr>
            <w:noProof/>
            <w:webHidden/>
          </w:rPr>
          <w:fldChar w:fldCharType="end"/>
        </w:r>
      </w:hyperlink>
    </w:p>
    <w:p w14:paraId="24B0C12E" w14:textId="51880D66" w:rsidR="009F4403" w:rsidRPr="00B26DC4" w:rsidRDefault="009F4403" w:rsidP="00B26DC4">
      <w:pPr>
        <w:pStyle w:val="Ttulo1"/>
        <w:jc w:val="both"/>
        <w:rPr>
          <w:rFonts w:ascii="Calibri" w:hAnsi="Calibri" w:cs="Calibri"/>
          <w:b/>
          <w:bCs/>
        </w:rPr>
      </w:pPr>
      <w:r w:rsidRPr="004A17E5">
        <w:fldChar w:fldCharType="end"/>
      </w:r>
      <w:r w:rsidR="002F31C0">
        <w:br w:type="page"/>
      </w:r>
      <w:bookmarkStart w:id="1" w:name="_Toc183363578"/>
      <w:r w:rsidRPr="00B26DC4">
        <w:rPr>
          <w:rFonts w:ascii="Calibri" w:hAnsi="Calibri" w:cs="Calibri"/>
          <w:b/>
          <w:bCs/>
          <w:sz w:val="24"/>
          <w:szCs w:val="28"/>
        </w:rPr>
        <w:lastRenderedPageBreak/>
        <w:t>Introducción</w:t>
      </w:r>
      <w:bookmarkEnd w:id="1"/>
    </w:p>
    <w:p w14:paraId="5CCD1DFC" w14:textId="4579E5F0" w:rsidR="00B245AD" w:rsidRPr="00B245AD" w:rsidRDefault="00B245AD" w:rsidP="00B245AD">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B245AD">
        <w:rPr>
          <w:rFonts w:asciiTheme="majorHAnsi" w:hAnsiTheme="majorHAnsi" w:cstheme="majorHAnsi"/>
          <w:spacing w:val="2"/>
          <w:sz w:val="24"/>
          <w:szCs w:val="24"/>
          <w:lang w:val="es-ES"/>
        </w:rPr>
        <w:t>Con base en lo dispuesto en el artículo 237 de la Ley 2294 de 2023 – Plan Nacional de Desarrollo 2022-2026, en la Resolución 40412 de 2024 del Ministerio de Minas y Energía y en la Ley 2407 de 2024, y en el marco del Sistema de Gestión de la Energía implementado y certificado en el SENA conforme a los requisitos de la norma NTC ISO 50001:2019, se requiere actualizar el presente instructivo para el desarrollo de la revisión energética y/o auditoría energética</w:t>
      </w:r>
      <w:r w:rsidR="000B24C4">
        <w:rPr>
          <w:rStyle w:val="Refdenotaalpie"/>
          <w:rFonts w:asciiTheme="majorHAnsi" w:hAnsiTheme="majorHAnsi" w:cstheme="majorHAnsi"/>
          <w:spacing w:val="2"/>
          <w:sz w:val="24"/>
          <w:szCs w:val="24"/>
          <w:lang w:val="es-ES"/>
        </w:rPr>
        <w:footnoteReference w:id="1"/>
      </w:r>
      <w:r w:rsidRPr="00B245AD">
        <w:rPr>
          <w:rFonts w:asciiTheme="majorHAnsi" w:hAnsiTheme="majorHAnsi" w:cstheme="majorHAnsi"/>
          <w:spacing w:val="2"/>
          <w:sz w:val="24"/>
          <w:szCs w:val="24"/>
          <w:lang w:val="es-ES"/>
        </w:rPr>
        <w:t>.</w:t>
      </w:r>
    </w:p>
    <w:p w14:paraId="6F38AA83" w14:textId="52D7B79D" w:rsidR="00B245AD" w:rsidRPr="00B245AD" w:rsidRDefault="00B245AD" w:rsidP="00B245AD">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B245AD">
        <w:rPr>
          <w:rFonts w:asciiTheme="majorHAnsi" w:hAnsiTheme="majorHAnsi" w:cstheme="majorHAnsi"/>
          <w:spacing w:val="2"/>
          <w:sz w:val="24"/>
          <w:szCs w:val="24"/>
          <w:lang w:val="es-ES"/>
        </w:rPr>
        <w:t>Este instrumento orienta a las sedes del SENA en la evaluación de la situación energética actual de sus instalaciones, la eficiencia con la que se gestionan los recursos energéticos y los usos que se hace de estos en el desarrollo de los procesos misionales. Asimismo, permite identificar y proponer oportunidades de mejora del desempeño energético, las cuales se integrarán a los Planes de Gestión Eficiente de la Energía (PGEE) y se articularán con el Programa SENA Energy de la Entidad.</w:t>
      </w:r>
    </w:p>
    <w:p w14:paraId="4B7B450C" w14:textId="34EDABD6" w:rsidR="00B245AD" w:rsidRPr="00B245AD" w:rsidRDefault="00B245AD" w:rsidP="00B245AD">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B245AD">
        <w:rPr>
          <w:rFonts w:asciiTheme="majorHAnsi" w:hAnsiTheme="majorHAnsi" w:cstheme="majorHAnsi"/>
          <w:spacing w:val="2"/>
          <w:sz w:val="24"/>
          <w:szCs w:val="24"/>
          <w:lang w:val="es-ES"/>
        </w:rPr>
        <w:t xml:space="preserve">El desarrollo de la revisión energética deberá realizarse garantizando el cumplimiento de las políticas institucionales de seguridad y privacidad de la información, así como de la normativa vigente en materia de protección de datos personales. En este sentido, durante el proceso se deberán asegurar la confidencialidad, integridad y disponibilidad de la información recolectada, aplicar controles de acceso adecuados a los documentos técnicos generados, gestionar la información únicamente a través de repositorios institucionales autorizados y garantizar que los terceros que participen en la ejecución de </w:t>
      </w:r>
      <w:r w:rsidRPr="00B245AD">
        <w:rPr>
          <w:rFonts w:asciiTheme="majorHAnsi" w:hAnsiTheme="majorHAnsi" w:cstheme="majorHAnsi"/>
          <w:spacing w:val="2"/>
          <w:sz w:val="24"/>
          <w:szCs w:val="24"/>
          <w:lang w:val="es-ES"/>
        </w:rPr>
        <w:lastRenderedPageBreak/>
        <w:t>estas actividades suscriban los acuerdos de confidencialidad correspondientes cuando tengan acceso a información técnica o sensible de la Entidad.</w:t>
      </w:r>
    </w:p>
    <w:p w14:paraId="5C51F65F" w14:textId="1246C099" w:rsidR="00B245AD" w:rsidRPr="00B245AD" w:rsidRDefault="00B245AD" w:rsidP="00B245AD">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B245AD">
        <w:rPr>
          <w:rFonts w:asciiTheme="majorHAnsi" w:hAnsiTheme="majorHAnsi" w:cstheme="majorHAnsi"/>
          <w:spacing w:val="2"/>
          <w:sz w:val="24"/>
          <w:szCs w:val="24"/>
          <w:lang w:val="es-ES"/>
        </w:rPr>
        <w:t>De igual manera, cuando en el desarrollo de la revisión energética se recolecten datos personales —por ejemplo, en entrevistas, registros de responsables de procesos o información de contacto— se deberá informar la finalidad del tratamiento y garantizar el cumplimiento de la Ley 1581 de 2012 y sus decretos reglamentarios, conforme a la Política de Protección de Datos Personales del SENA.</w:t>
      </w:r>
    </w:p>
    <w:p w14:paraId="5920C28B" w14:textId="7D041C96" w:rsidR="00F8705F" w:rsidRPr="00673A58" w:rsidRDefault="00B245AD" w:rsidP="000B43D4">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B245AD">
        <w:rPr>
          <w:rFonts w:asciiTheme="majorHAnsi" w:hAnsiTheme="majorHAnsi" w:cstheme="majorHAnsi"/>
          <w:spacing w:val="2"/>
          <w:sz w:val="24"/>
          <w:szCs w:val="24"/>
          <w:lang w:val="es-ES"/>
        </w:rPr>
        <w:t xml:space="preserve">En este contexto, el presente instructivo establece los lineamientos metodológicos, técnicos y operativos que deberán ser considerados por las sedes del SENA para la contratación y/o ejecución de las revisiones energéticas, asegurando la coherencia con la normatividad vigente, los lineamientos institucionales y los objetivos del Sistema de Gestión de la Energía de la Entidad. </w:t>
      </w:r>
    </w:p>
    <w:p w14:paraId="280C2CD5" w14:textId="77777777" w:rsidR="009F4403" w:rsidRPr="004A17E5" w:rsidRDefault="009F4403" w:rsidP="00F8705F">
      <w:pPr>
        <w:pStyle w:val="Ttulo1"/>
        <w:numPr>
          <w:ilvl w:val="0"/>
          <w:numId w:val="5"/>
        </w:numPr>
        <w:spacing w:before="100" w:beforeAutospacing="1" w:after="100" w:afterAutospacing="1" w:line="480" w:lineRule="auto"/>
        <w:jc w:val="both"/>
        <w:rPr>
          <w:rFonts w:asciiTheme="majorHAnsi" w:hAnsiTheme="majorHAnsi" w:cstheme="majorHAnsi"/>
          <w:b/>
          <w:bCs/>
          <w:color w:val="000000" w:themeColor="text1"/>
          <w:spacing w:val="2"/>
          <w:sz w:val="24"/>
        </w:rPr>
      </w:pPr>
      <w:bookmarkStart w:id="2" w:name="_Toc183363579"/>
      <w:r w:rsidRPr="004A17E5">
        <w:rPr>
          <w:rFonts w:asciiTheme="majorHAnsi" w:hAnsiTheme="majorHAnsi" w:cstheme="majorHAnsi"/>
          <w:b/>
          <w:bCs/>
          <w:color w:val="000000" w:themeColor="text1"/>
          <w:spacing w:val="2"/>
          <w:sz w:val="24"/>
        </w:rPr>
        <w:t>Objetivo</w:t>
      </w:r>
      <w:bookmarkEnd w:id="2"/>
    </w:p>
    <w:p w14:paraId="7620B3E1" w14:textId="09C2B73E" w:rsidR="009F4403" w:rsidRPr="004A17E5" w:rsidRDefault="00055753" w:rsidP="009F4403">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055753">
        <w:rPr>
          <w:rFonts w:asciiTheme="majorHAnsi" w:hAnsiTheme="majorHAnsi" w:cstheme="majorHAnsi"/>
          <w:spacing w:val="2"/>
          <w:sz w:val="24"/>
          <w:szCs w:val="24"/>
          <w:lang w:val="es-ES"/>
        </w:rPr>
        <w:t>Establecer los lineamientos, métodos y criterios necesarios para contratar y</w:t>
      </w:r>
      <w:r w:rsidR="00226A2C">
        <w:rPr>
          <w:rFonts w:asciiTheme="majorHAnsi" w:hAnsiTheme="majorHAnsi" w:cstheme="majorHAnsi"/>
          <w:spacing w:val="2"/>
          <w:sz w:val="24"/>
          <w:szCs w:val="24"/>
          <w:lang w:val="es-ES"/>
        </w:rPr>
        <w:t>/o</w:t>
      </w:r>
      <w:r w:rsidRPr="00055753">
        <w:rPr>
          <w:rFonts w:asciiTheme="majorHAnsi" w:hAnsiTheme="majorHAnsi" w:cstheme="majorHAnsi"/>
          <w:spacing w:val="2"/>
          <w:sz w:val="24"/>
          <w:szCs w:val="24"/>
          <w:lang w:val="es-ES"/>
        </w:rPr>
        <w:t xml:space="preserve"> ejecutar las actividades de revisi</w:t>
      </w:r>
      <w:r w:rsidR="00226A2C">
        <w:rPr>
          <w:rFonts w:asciiTheme="majorHAnsi" w:hAnsiTheme="majorHAnsi" w:cstheme="majorHAnsi"/>
          <w:spacing w:val="2"/>
          <w:sz w:val="24"/>
          <w:szCs w:val="24"/>
          <w:lang w:val="es-ES"/>
        </w:rPr>
        <w:t>ón energética</w:t>
      </w:r>
      <w:r w:rsidR="007C74D1">
        <w:rPr>
          <w:rFonts w:asciiTheme="majorHAnsi" w:hAnsiTheme="majorHAnsi" w:cstheme="majorHAnsi"/>
          <w:spacing w:val="2"/>
          <w:sz w:val="24"/>
          <w:szCs w:val="24"/>
          <w:lang w:val="es-ES"/>
        </w:rPr>
        <w:t xml:space="preserve"> en cada una de las sedes del SENA</w:t>
      </w:r>
      <w:r w:rsidRPr="00055753">
        <w:rPr>
          <w:rFonts w:asciiTheme="majorHAnsi" w:hAnsiTheme="majorHAnsi" w:cstheme="majorHAnsi"/>
          <w:spacing w:val="2"/>
          <w:sz w:val="24"/>
          <w:szCs w:val="24"/>
          <w:lang w:val="es-ES"/>
        </w:rPr>
        <w:t>, alineado con la NTC ISO 50001:2019, con el artículo 237 de la Ley 2294 de 2023, la Resolución 40412 de 2024 del Ministerio de Minas y Energía y la Ley 2407 de 2024</w:t>
      </w:r>
      <w:r w:rsidR="007C74D1">
        <w:rPr>
          <w:rFonts w:asciiTheme="majorHAnsi" w:hAnsiTheme="majorHAnsi" w:cstheme="majorHAnsi"/>
          <w:spacing w:val="2"/>
          <w:sz w:val="24"/>
          <w:szCs w:val="24"/>
          <w:lang w:val="es-ES"/>
        </w:rPr>
        <w:t>.</w:t>
      </w:r>
    </w:p>
    <w:p w14:paraId="5FA1AA09" w14:textId="77777777" w:rsidR="009F4403" w:rsidRPr="004A17E5" w:rsidRDefault="009F4403" w:rsidP="009F4403">
      <w:pPr>
        <w:pStyle w:val="Ttulo1"/>
        <w:numPr>
          <w:ilvl w:val="0"/>
          <w:numId w:val="5"/>
        </w:numPr>
        <w:spacing w:before="100" w:beforeAutospacing="1" w:after="100" w:afterAutospacing="1"/>
        <w:jc w:val="both"/>
        <w:rPr>
          <w:rFonts w:asciiTheme="majorHAnsi" w:hAnsiTheme="majorHAnsi" w:cstheme="majorHAnsi"/>
          <w:b/>
          <w:bCs/>
          <w:color w:val="000000" w:themeColor="text1"/>
          <w:spacing w:val="2"/>
          <w:sz w:val="24"/>
        </w:rPr>
      </w:pPr>
      <w:bookmarkStart w:id="3" w:name="_Toc183363580"/>
      <w:r w:rsidRPr="004A17E5">
        <w:rPr>
          <w:rFonts w:asciiTheme="majorHAnsi" w:hAnsiTheme="majorHAnsi" w:cstheme="majorHAnsi"/>
          <w:b/>
          <w:bCs/>
          <w:color w:val="000000" w:themeColor="text1"/>
          <w:spacing w:val="2"/>
          <w:sz w:val="24"/>
        </w:rPr>
        <w:t>Alcance</w:t>
      </w:r>
      <w:bookmarkEnd w:id="3"/>
    </w:p>
    <w:p w14:paraId="5804F94E" w14:textId="7AE83441" w:rsidR="009F4403" w:rsidRDefault="0021242C" w:rsidP="009F4403">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001245">
        <w:rPr>
          <w:rFonts w:asciiTheme="majorHAnsi" w:hAnsiTheme="majorHAnsi" w:cstheme="majorHAnsi"/>
          <w:spacing w:val="2"/>
          <w:sz w:val="24"/>
          <w:szCs w:val="24"/>
          <w:lang w:val="es-ES"/>
        </w:rPr>
        <w:t>Aplica a Dirección General, Centros de Formación y Sedes que se encuentren bajo control en propiedad de la Entidad, teniendo en cuenta lo establecido en el artículo 237 de la Ley 2294 de 2023, la Resolución 40412 de 2024 del Ministerio de Minas y Energía y la Ley 2407 de 2024.</w:t>
      </w:r>
    </w:p>
    <w:p w14:paraId="51DCFD9A" w14:textId="77777777" w:rsidR="009F4403" w:rsidRPr="004A17E5" w:rsidRDefault="009F4403" w:rsidP="009F4403">
      <w:pPr>
        <w:pStyle w:val="Ttulo1"/>
        <w:numPr>
          <w:ilvl w:val="0"/>
          <w:numId w:val="5"/>
        </w:numPr>
        <w:spacing w:before="100" w:beforeAutospacing="1" w:after="100" w:afterAutospacing="1"/>
        <w:jc w:val="both"/>
        <w:rPr>
          <w:rFonts w:asciiTheme="majorHAnsi" w:hAnsiTheme="majorHAnsi" w:cstheme="majorHAnsi"/>
          <w:b/>
          <w:bCs/>
          <w:color w:val="000000" w:themeColor="text1"/>
          <w:spacing w:val="2"/>
          <w:sz w:val="24"/>
        </w:rPr>
      </w:pPr>
      <w:bookmarkStart w:id="4" w:name="_Toc183363581"/>
      <w:r w:rsidRPr="004A17E5">
        <w:rPr>
          <w:rFonts w:asciiTheme="majorHAnsi" w:hAnsiTheme="majorHAnsi" w:cstheme="majorHAnsi"/>
          <w:b/>
          <w:bCs/>
          <w:color w:val="000000" w:themeColor="text1"/>
          <w:spacing w:val="2"/>
          <w:sz w:val="24"/>
        </w:rPr>
        <w:lastRenderedPageBreak/>
        <w:t>Responsable</w:t>
      </w:r>
      <w:bookmarkEnd w:id="4"/>
    </w:p>
    <w:p w14:paraId="25F9D5BD" w14:textId="2C8DCE94" w:rsidR="009F4403" w:rsidRDefault="000B43D4" w:rsidP="009F4403">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Pr>
          <w:rFonts w:asciiTheme="majorHAnsi" w:hAnsiTheme="majorHAnsi" w:cstheme="majorHAnsi"/>
          <w:spacing w:val="2"/>
          <w:sz w:val="24"/>
          <w:szCs w:val="24"/>
          <w:lang w:val="es-ES"/>
        </w:rPr>
        <w:t>La responsabilidad de brindar los lineamientos con relación a las auditoría internas es el e</w:t>
      </w:r>
      <w:r w:rsidR="007620EE">
        <w:rPr>
          <w:rFonts w:asciiTheme="majorHAnsi" w:hAnsiTheme="majorHAnsi" w:cstheme="majorHAnsi"/>
          <w:spacing w:val="2"/>
          <w:sz w:val="24"/>
          <w:szCs w:val="24"/>
          <w:lang w:val="es-ES"/>
        </w:rPr>
        <w:t>specialista</w:t>
      </w:r>
      <w:r w:rsidR="001162A1">
        <w:rPr>
          <w:rFonts w:asciiTheme="majorHAnsi" w:hAnsiTheme="majorHAnsi" w:cstheme="majorHAnsi"/>
          <w:spacing w:val="2"/>
          <w:sz w:val="24"/>
          <w:szCs w:val="24"/>
          <w:lang w:val="es-ES"/>
        </w:rPr>
        <w:t xml:space="preserve"> Nacional</w:t>
      </w:r>
      <w:r w:rsidR="00A0659A">
        <w:rPr>
          <w:rFonts w:asciiTheme="majorHAnsi" w:hAnsiTheme="majorHAnsi" w:cstheme="majorHAnsi"/>
          <w:spacing w:val="2"/>
          <w:sz w:val="24"/>
          <w:szCs w:val="24"/>
          <w:lang w:val="es-ES"/>
        </w:rPr>
        <w:t xml:space="preserve"> de</w:t>
      </w:r>
      <w:r w:rsidR="00DA41F3">
        <w:rPr>
          <w:rFonts w:asciiTheme="majorHAnsi" w:hAnsiTheme="majorHAnsi" w:cstheme="majorHAnsi"/>
          <w:spacing w:val="2"/>
          <w:sz w:val="24"/>
          <w:szCs w:val="24"/>
          <w:lang w:val="es-ES"/>
        </w:rPr>
        <w:t xml:space="preserve"> </w:t>
      </w:r>
      <w:r w:rsidR="001162A1">
        <w:rPr>
          <w:rFonts w:asciiTheme="majorHAnsi" w:hAnsiTheme="majorHAnsi" w:cstheme="majorHAnsi"/>
          <w:spacing w:val="2"/>
          <w:sz w:val="24"/>
          <w:szCs w:val="24"/>
          <w:lang w:val="es-ES"/>
        </w:rPr>
        <w:t>E</w:t>
      </w:r>
      <w:r w:rsidR="00DA41F3">
        <w:rPr>
          <w:rFonts w:asciiTheme="majorHAnsi" w:hAnsiTheme="majorHAnsi" w:cstheme="majorHAnsi"/>
          <w:spacing w:val="2"/>
          <w:sz w:val="24"/>
          <w:szCs w:val="24"/>
          <w:lang w:val="es-ES"/>
        </w:rPr>
        <w:t xml:space="preserve">nergía </w:t>
      </w:r>
      <w:r w:rsidR="001162A1">
        <w:rPr>
          <w:rFonts w:asciiTheme="majorHAnsi" w:hAnsiTheme="majorHAnsi" w:cstheme="majorHAnsi"/>
          <w:spacing w:val="2"/>
          <w:sz w:val="24"/>
          <w:szCs w:val="24"/>
          <w:lang w:val="es-ES"/>
        </w:rPr>
        <w:t>del Grupo de Mejoramiento Organizacional de Dirección General.</w:t>
      </w:r>
    </w:p>
    <w:p w14:paraId="056431DA" w14:textId="77777777" w:rsidR="00F8705F" w:rsidRPr="004A17E5" w:rsidRDefault="00F8705F" w:rsidP="009F4403">
      <w:pPr>
        <w:pStyle w:val="Sinespaciado"/>
        <w:spacing w:before="100" w:beforeAutospacing="1" w:after="100" w:afterAutospacing="1" w:line="360" w:lineRule="auto"/>
        <w:jc w:val="both"/>
        <w:rPr>
          <w:rFonts w:asciiTheme="majorHAnsi" w:hAnsiTheme="majorHAnsi" w:cstheme="majorHAnsi"/>
          <w:spacing w:val="2"/>
          <w:sz w:val="24"/>
          <w:szCs w:val="24"/>
          <w:lang w:val="es-ES"/>
        </w:rPr>
      </w:pPr>
    </w:p>
    <w:p w14:paraId="7C897080" w14:textId="54184A28" w:rsidR="009F4403" w:rsidRPr="004A17E5" w:rsidRDefault="009F4403" w:rsidP="009F4403">
      <w:pPr>
        <w:pStyle w:val="Ttulo1"/>
        <w:numPr>
          <w:ilvl w:val="0"/>
          <w:numId w:val="5"/>
        </w:numPr>
        <w:spacing w:before="100" w:beforeAutospacing="1" w:after="100" w:afterAutospacing="1"/>
        <w:jc w:val="both"/>
        <w:rPr>
          <w:rFonts w:asciiTheme="majorHAnsi" w:hAnsiTheme="majorHAnsi" w:cstheme="majorHAnsi"/>
          <w:b/>
          <w:bCs/>
          <w:color w:val="000000" w:themeColor="text1"/>
          <w:spacing w:val="2"/>
          <w:sz w:val="24"/>
        </w:rPr>
      </w:pPr>
      <w:bookmarkStart w:id="5" w:name="_Toc183363582"/>
      <w:r w:rsidRPr="004A17E5">
        <w:rPr>
          <w:rFonts w:asciiTheme="majorHAnsi" w:hAnsiTheme="majorHAnsi" w:cstheme="majorHAnsi"/>
          <w:b/>
          <w:bCs/>
          <w:color w:val="000000" w:themeColor="text1"/>
          <w:spacing w:val="2"/>
          <w:sz w:val="24"/>
        </w:rPr>
        <w:t>Definiciones</w:t>
      </w:r>
      <w:bookmarkEnd w:id="5"/>
    </w:p>
    <w:p w14:paraId="2067416C" w14:textId="77777777" w:rsidR="00D009BF" w:rsidRDefault="00D009BF"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bookmarkStart w:id="6" w:name="_Toc411257682"/>
      <w:bookmarkStart w:id="7" w:name="_Toc431373455"/>
      <w:bookmarkStart w:id="8" w:name="_Toc431373611"/>
      <w:r w:rsidRPr="00D009BF">
        <w:rPr>
          <w:rFonts w:asciiTheme="majorHAnsi" w:hAnsiTheme="majorHAnsi" w:cstheme="majorHAnsi"/>
          <w:b/>
          <w:bCs/>
          <w:spacing w:val="2"/>
          <w:sz w:val="24"/>
          <w:szCs w:val="24"/>
          <w:lang w:val="es-ES"/>
        </w:rPr>
        <w:t>Auditoría energética:</w:t>
      </w:r>
      <w:r w:rsidRPr="00D009BF">
        <w:rPr>
          <w:rFonts w:asciiTheme="majorHAnsi" w:hAnsiTheme="majorHAnsi" w:cstheme="majorHAnsi"/>
          <w:spacing w:val="2"/>
          <w:sz w:val="24"/>
          <w:szCs w:val="24"/>
          <w:lang w:val="es-ES"/>
        </w:rPr>
        <w:t xml:space="preserve"> Análisis sistemático del uso y el consumo de energía de una edificación, infraestructura o instalación con el fin de identificar, cuantificar e informar sobre las oportunidades para mejorar el desempeño energético. (Tomada de la Resolución 40412 de 2024 del Ministerio de Minas y Energía).</w:t>
      </w:r>
    </w:p>
    <w:p w14:paraId="2AF3CCDF" w14:textId="503B6F52" w:rsidR="00140547" w:rsidRPr="00D009BF" w:rsidRDefault="00140547"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BD617C">
        <w:rPr>
          <w:rFonts w:asciiTheme="majorHAnsi" w:hAnsiTheme="majorHAnsi" w:cstheme="majorHAnsi"/>
          <w:b/>
          <w:bCs/>
          <w:spacing w:val="2"/>
          <w:sz w:val="24"/>
          <w:szCs w:val="24"/>
          <w:lang w:val="es-ES"/>
        </w:rPr>
        <w:t>B</w:t>
      </w:r>
      <w:r w:rsidR="00555B78" w:rsidRPr="00BD617C">
        <w:rPr>
          <w:rFonts w:asciiTheme="majorHAnsi" w:hAnsiTheme="majorHAnsi" w:cstheme="majorHAnsi"/>
          <w:b/>
          <w:bCs/>
          <w:spacing w:val="2"/>
          <w:sz w:val="24"/>
          <w:szCs w:val="24"/>
          <w:lang w:val="es-ES"/>
        </w:rPr>
        <w:t>uenas Prácticas de Operación (BPO):</w:t>
      </w:r>
      <w:r w:rsidR="00555B78">
        <w:rPr>
          <w:rFonts w:asciiTheme="majorHAnsi" w:hAnsiTheme="majorHAnsi" w:cstheme="majorHAnsi"/>
          <w:spacing w:val="2"/>
          <w:sz w:val="24"/>
          <w:szCs w:val="24"/>
          <w:lang w:val="es-ES"/>
        </w:rPr>
        <w:t xml:space="preserve"> Es el conjunto de procedimientos </w:t>
      </w:r>
      <w:r w:rsidR="00384CA4">
        <w:rPr>
          <w:rFonts w:asciiTheme="majorHAnsi" w:hAnsiTheme="majorHAnsi" w:cstheme="majorHAnsi"/>
          <w:spacing w:val="2"/>
          <w:sz w:val="24"/>
          <w:szCs w:val="24"/>
          <w:lang w:val="es-ES"/>
        </w:rPr>
        <w:t xml:space="preserve">o acciones implementadas de costo cero o tendiente a cero, para </w:t>
      </w:r>
      <w:r w:rsidR="007C75EB">
        <w:rPr>
          <w:rFonts w:asciiTheme="majorHAnsi" w:hAnsiTheme="majorHAnsi" w:cstheme="majorHAnsi"/>
          <w:spacing w:val="2"/>
          <w:sz w:val="24"/>
          <w:szCs w:val="24"/>
          <w:lang w:val="es-ES"/>
        </w:rPr>
        <w:t xml:space="preserve">gestionar </w:t>
      </w:r>
      <w:r w:rsidR="00A50413">
        <w:rPr>
          <w:rFonts w:asciiTheme="majorHAnsi" w:hAnsiTheme="majorHAnsi" w:cstheme="majorHAnsi"/>
          <w:spacing w:val="2"/>
          <w:sz w:val="24"/>
          <w:szCs w:val="24"/>
          <w:lang w:val="es-ES"/>
        </w:rPr>
        <w:t xml:space="preserve">y utilizar la energía de manera eficiente. Estas prácticas están </w:t>
      </w:r>
      <w:r w:rsidR="00E43876">
        <w:rPr>
          <w:rFonts w:asciiTheme="majorHAnsi" w:hAnsiTheme="majorHAnsi" w:cstheme="majorHAnsi"/>
          <w:spacing w:val="2"/>
          <w:sz w:val="24"/>
          <w:szCs w:val="24"/>
          <w:lang w:val="es-ES"/>
        </w:rPr>
        <w:t xml:space="preserve">orientadas a minimizar el </w:t>
      </w:r>
      <w:r w:rsidR="00A368F3">
        <w:rPr>
          <w:rFonts w:asciiTheme="majorHAnsi" w:hAnsiTheme="majorHAnsi" w:cstheme="majorHAnsi"/>
          <w:spacing w:val="2"/>
          <w:sz w:val="24"/>
          <w:szCs w:val="24"/>
          <w:lang w:val="es-ES"/>
        </w:rPr>
        <w:t>desperdicio</w:t>
      </w:r>
      <w:r w:rsidR="00E43876">
        <w:rPr>
          <w:rFonts w:asciiTheme="majorHAnsi" w:hAnsiTheme="majorHAnsi" w:cstheme="majorHAnsi"/>
          <w:spacing w:val="2"/>
          <w:sz w:val="24"/>
          <w:szCs w:val="24"/>
          <w:lang w:val="es-ES"/>
        </w:rPr>
        <w:t xml:space="preserve"> energético, mejorar </w:t>
      </w:r>
      <w:r w:rsidR="003238F5">
        <w:rPr>
          <w:rFonts w:asciiTheme="majorHAnsi" w:hAnsiTheme="majorHAnsi" w:cstheme="majorHAnsi"/>
          <w:spacing w:val="2"/>
          <w:sz w:val="24"/>
          <w:szCs w:val="24"/>
          <w:lang w:val="es-ES"/>
        </w:rPr>
        <w:t xml:space="preserve">el rendimiento de los sistemas y equipos, y fomentar una cultura del cuidado </w:t>
      </w:r>
      <w:r w:rsidR="002B4B2C">
        <w:rPr>
          <w:rFonts w:asciiTheme="majorHAnsi" w:hAnsiTheme="majorHAnsi" w:cstheme="majorHAnsi"/>
          <w:spacing w:val="2"/>
          <w:sz w:val="24"/>
          <w:szCs w:val="24"/>
          <w:lang w:val="es-ES"/>
        </w:rPr>
        <w:t xml:space="preserve">de la energía entre los ocupantes del edificio, infraestructura </w:t>
      </w:r>
      <w:r w:rsidR="00A368F3">
        <w:rPr>
          <w:rFonts w:asciiTheme="majorHAnsi" w:hAnsiTheme="majorHAnsi" w:cstheme="majorHAnsi"/>
          <w:spacing w:val="2"/>
          <w:sz w:val="24"/>
          <w:szCs w:val="24"/>
          <w:lang w:val="es-ES"/>
        </w:rPr>
        <w:t xml:space="preserve">o instalación. (Tomada de la </w:t>
      </w:r>
      <w:r w:rsidR="00A368F3" w:rsidRPr="00D009BF">
        <w:rPr>
          <w:rFonts w:asciiTheme="majorHAnsi" w:hAnsiTheme="majorHAnsi" w:cstheme="majorHAnsi"/>
          <w:spacing w:val="2"/>
          <w:sz w:val="24"/>
          <w:szCs w:val="24"/>
          <w:lang w:val="es-ES"/>
        </w:rPr>
        <w:t>Resolución 40412 de 2024 del Ministerio de Minas y Energía).</w:t>
      </w:r>
    </w:p>
    <w:p w14:paraId="34458661" w14:textId="77777777" w:rsidR="00D009BF" w:rsidRPr="00D009BF" w:rsidRDefault="00D009BF"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D009BF">
        <w:rPr>
          <w:rFonts w:asciiTheme="majorHAnsi" w:hAnsiTheme="majorHAnsi" w:cstheme="majorHAnsi"/>
          <w:b/>
          <w:bCs/>
          <w:spacing w:val="2"/>
          <w:sz w:val="24"/>
          <w:szCs w:val="24"/>
          <w:lang w:val="es-ES"/>
        </w:rPr>
        <w:t>Consumo de energía:</w:t>
      </w:r>
      <w:r w:rsidRPr="00D009BF">
        <w:rPr>
          <w:rFonts w:asciiTheme="majorHAnsi" w:hAnsiTheme="majorHAnsi" w:cstheme="majorHAnsi"/>
          <w:spacing w:val="2"/>
          <w:sz w:val="24"/>
          <w:szCs w:val="24"/>
          <w:lang w:val="es-ES"/>
        </w:rPr>
        <w:t xml:space="preserve"> Cantidad de energía aplicada. (Tomada de la NTC-ISO 50001:2019).</w:t>
      </w:r>
    </w:p>
    <w:p w14:paraId="6A410F47" w14:textId="77777777" w:rsidR="00D009BF" w:rsidRPr="00D009BF" w:rsidRDefault="00D009BF"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D009BF">
        <w:rPr>
          <w:rFonts w:asciiTheme="majorHAnsi" w:hAnsiTheme="majorHAnsi" w:cstheme="majorHAnsi"/>
          <w:b/>
          <w:bCs/>
          <w:spacing w:val="2"/>
          <w:sz w:val="24"/>
          <w:szCs w:val="24"/>
          <w:lang w:val="es-ES"/>
        </w:rPr>
        <w:t>Desempeño energético:</w:t>
      </w:r>
      <w:r w:rsidRPr="00D009BF">
        <w:rPr>
          <w:rFonts w:asciiTheme="majorHAnsi" w:hAnsiTheme="majorHAnsi" w:cstheme="majorHAnsi"/>
          <w:spacing w:val="2"/>
          <w:sz w:val="24"/>
          <w:szCs w:val="24"/>
          <w:lang w:val="es-ES"/>
        </w:rPr>
        <w:t xml:space="preserve"> resultados medibles relacionados con la eficiencia energética, el uso de la energía y el consumo de la energía. (Tomada de la NTC-ISO 50001:2019).</w:t>
      </w:r>
    </w:p>
    <w:p w14:paraId="5CF4010A" w14:textId="77777777" w:rsidR="00D009BF" w:rsidRPr="00D009BF" w:rsidRDefault="00D009BF"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D009BF">
        <w:rPr>
          <w:rFonts w:asciiTheme="majorHAnsi" w:hAnsiTheme="majorHAnsi" w:cstheme="majorHAnsi"/>
          <w:b/>
          <w:bCs/>
          <w:spacing w:val="2"/>
          <w:sz w:val="24"/>
          <w:szCs w:val="24"/>
          <w:lang w:val="es-ES"/>
        </w:rPr>
        <w:lastRenderedPageBreak/>
        <w:t>Eficiencia energética:</w:t>
      </w:r>
      <w:r w:rsidRPr="00D009BF">
        <w:rPr>
          <w:rFonts w:asciiTheme="majorHAnsi" w:hAnsiTheme="majorHAnsi" w:cstheme="majorHAnsi"/>
          <w:spacing w:val="2"/>
          <w:sz w:val="24"/>
          <w:szCs w:val="24"/>
          <w:lang w:val="es-ES"/>
        </w:rPr>
        <w:t xml:space="preserve"> Proporción u otra relación cuantitativa entre un resultado del desempeño, del servicio, de los bienes, de las materias prima, o de energía y una entrada de energía. (Tomada de la NTC-ISO 50001:2019).</w:t>
      </w:r>
    </w:p>
    <w:p w14:paraId="17D8CC34" w14:textId="028C9BD9" w:rsidR="00D009BF" w:rsidRPr="00D009BF" w:rsidRDefault="00D009BF"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D009BF">
        <w:rPr>
          <w:rFonts w:asciiTheme="majorHAnsi" w:hAnsiTheme="majorHAnsi" w:cstheme="majorHAnsi"/>
          <w:b/>
          <w:bCs/>
          <w:spacing w:val="2"/>
          <w:sz w:val="24"/>
          <w:szCs w:val="24"/>
          <w:lang w:val="es-ES"/>
        </w:rPr>
        <w:t>Ejecutor práctico de la revisión energética:</w:t>
      </w:r>
      <w:r w:rsidRPr="00D009BF">
        <w:rPr>
          <w:rFonts w:asciiTheme="majorHAnsi" w:hAnsiTheme="majorHAnsi" w:cstheme="majorHAnsi"/>
          <w:spacing w:val="2"/>
          <w:sz w:val="24"/>
          <w:szCs w:val="24"/>
          <w:lang w:val="es-ES"/>
        </w:rPr>
        <w:t xml:space="preserve"> Consultor o equipo consultor con personería jurídica o natural contratado por la sede del SENA para llevar a cabo el desarrollo de la revisión energética.</w:t>
      </w:r>
    </w:p>
    <w:p w14:paraId="731EAC1F" w14:textId="77777777" w:rsidR="00D009BF" w:rsidRPr="00D009BF" w:rsidRDefault="00D009BF"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A602C5">
        <w:rPr>
          <w:rFonts w:asciiTheme="majorHAnsi" w:hAnsiTheme="majorHAnsi" w:cstheme="majorHAnsi"/>
          <w:b/>
          <w:bCs/>
          <w:spacing w:val="2"/>
          <w:sz w:val="24"/>
          <w:szCs w:val="24"/>
          <w:lang w:val="es-ES"/>
        </w:rPr>
        <w:t>Energía Eléctrica:</w:t>
      </w:r>
      <w:r w:rsidRPr="00D009BF">
        <w:rPr>
          <w:rFonts w:asciiTheme="majorHAnsi" w:hAnsiTheme="majorHAnsi" w:cstheme="majorHAnsi"/>
          <w:spacing w:val="2"/>
          <w:sz w:val="24"/>
          <w:szCs w:val="24"/>
          <w:lang w:val="es-ES"/>
        </w:rPr>
        <w:t xml:space="preserve"> Es el trabajo que se realiza a partir del movimiento de electrones a través de un conductor eléctrico con una fuerza determinada, durante un tiempo determinado. (Tomada de portal web de la Comisión de Regulación de Energía y Gas – CREG).</w:t>
      </w:r>
    </w:p>
    <w:p w14:paraId="7ABE1B2B" w14:textId="77777777" w:rsidR="00D009BF" w:rsidRDefault="00D009BF"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6A05C9">
        <w:rPr>
          <w:rFonts w:asciiTheme="majorHAnsi" w:hAnsiTheme="majorHAnsi" w:cstheme="majorHAnsi"/>
          <w:b/>
          <w:bCs/>
          <w:spacing w:val="2"/>
          <w:sz w:val="24"/>
          <w:szCs w:val="24"/>
          <w:lang w:val="es-ES"/>
        </w:rPr>
        <w:t>Gestión Eficiente de la Energía:</w:t>
      </w:r>
      <w:r w:rsidRPr="00D009BF">
        <w:rPr>
          <w:rFonts w:asciiTheme="majorHAnsi" w:hAnsiTheme="majorHAnsi" w:cstheme="majorHAnsi"/>
          <w:spacing w:val="2"/>
          <w:sz w:val="24"/>
          <w:szCs w:val="24"/>
          <w:lang w:val="es-ES"/>
        </w:rPr>
        <w:t xml:space="preserve"> Conjunto de acciones orientadas a asegurar el suministro energético a través de la implementación de medidas de eficiencia energética y respuesta de la demanda. (Tomada de la Resolución 40412 de 2024 del Ministerio de Minas y Energía).</w:t>
      </w:r>
    </w:p>
    <w:p w14:paraId="7B36DB6C" w14:textId="76B7ADA0" w:rsidR="00326BE5" w:rsidRPr="00D009BF" w:rsidRDefault="008457D6" w:rsidP="003D6905">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2D7DB3">
        <w:rPr>
          <w:rFonts w:asciiTheme="majorHAnsi" w:hAnsiTheme="majorHAnsi" w:cstheme="majorHAnsi"/>
          <w:b/>
          <w:bCs/>
          <w:spacing w:val="2"/>
          <w:sz w:val="24"/>
          <w:szCs w:val="24"/>
          <w:lang w:val="es-ES"/>
        </w:rPr>
        <w:t>Gestor energético (GE):</w:t>
      </w:r>
      <w:r>
        <w:rPr>
          <w:rFonts w:asciiTheme="majorHAnsi" w:hAnsiTheme="majorHAnsi" w:cstheme="majorHAnsi"/>
          <w:spacing w:val="2"/>
          <w:sz w:val="24"/>
          <w:szCs w:val="24"/>
          <w:lang w:val="es-ES"/>
        </w:rPr>
        <w:t xml:space="preserve"> </w:t>
      </w:r>
      <w:r w:rsidR="009D4B13">
        <w:rPr>
          <w:rFonts w:asciiTheme="majorHAnsi" w:hAnsiTheme="majorHAnsi" w:cstheme="majorHAnsi"/>
          <w:spacing w:val="2"/>
          <w:sz w:val="24"/>
          <w:szCs w:val="24"/>
          <w:lang w:val="es-ES"/>
        </w:rPr>
        <w:t xml:space="preserve">Es la persona que lidera </w:t>
      </w:r>
      <w:r w:rsidR="00CE22A3">
        <w:rPr>
          <w:rFonts w:asciiTheme="majorHAnsi" w:hAnsiTheme="majorHAnsi" w:cstheme="majorHAnsi"/>
          <w:spacing w:val="2"/>
          <w:sz w:val="24"/>
          <w:szCs w:val="24"/>
          <w:lang w:val="es-ES"/>
        </w:rPr>
        <w:t xml:space="preserve">el proceso de estructuración e implementación del Plan de Gestión Eficiente de </w:t>
      </w:r>
      <w:r w:rsidR="00170C70">
        <w:rPr>
          <w:rFonts w:asciiTheme="majorHAnsi" w:hAnsiTheme="majorHAnsi" w:cstheme="majorHAnsi"/>
          <w:spacing w:val="2"/>
          <w:sz w:val="24"/>
          <w:szCs w:val="24"/>
          <w:lang w:val="es-ES"/>
        </w:rPr>
        <w:t>Energía (PGEE)</w:t>
      </w:r>
      <w:r w:rsidR="00D8386A">
        <w:rPr>
          <w:rFonts w:asciiTheme="majorHAnsi" w:hAnsiTheme="majorHAnsi" w:cstheme="majorHAnsi"/>
          <w:spacing w:val="2"/>
          <w:sz w:val="24"/>
          <w:szCs w:val="24"/>
          <w:lang w:val="es-ES"/>
        </w:rPr>
        <w:t>.</w:t>
      </w:r>
      <w:r w:rsidR="00326BE5">
        <w:rPr>
          <w:rFonts w:asciiTheme="majorHAnsi" w:hAnsiTheme="majorHAnsi" w:cstheme="majorHAnsi"/>
          <w:spacing w:val="2"/>
          <w:sz w:val="24"/>
          <w:szCs w:val="24"/>
          <w:lang w:val="es-ES"/>
        </w:rPr>
        <w:t xml:space="preserve"> </w:t>
      </w:r>
      <w:r w:rsidR="00326BE5" w:rsidRPr="00D009BF">
        <w:rPr>
          <w:rFonts w:asciiTheme="majorHAnsi" w:hAnsiTheme="majorHAnsi" w:cstheme="majorHAnsi"/>
          <w:spacing w:val="2"/>
          <w:sz w:val="24"/>
          <w:szCs w:val="24"/>
          <w:lang w:val="es-ES"/>
        </w:rPr>
        <w:t>(Tomada de la Resolución 40412 de 2024 del Ministerio de Minas y Energía).</w:t>
      </w:r>
      <w:r w:rsidR="00656606">
        <w:rPr>
          <w:rFonts w:asciiTheme="majorHAnsi" w:hAnsiTheme="majorHAnsi" w:cstheme="majorHAnsi"/>
          <w:spacing w:val="2"/>
          <w:sz w:val="24"/>
          <w:szCs w:val="24"/>
          <w:lang w:val="es-ES"/>
        </w:rPr>
        <w:t xml:space="preserve"> Este rol lo cumplirá un</w:t>
      </w:r>
      <w:r w:rsidR="00396207">
        <w:rPr>
          <w:rFonts w:asciiTheme="majorHAnsi" w:hAnsiTheme="majorHAnsi" w:cstheme="majorHAnsi"/>
          <w:spacing w:val="2"/>
          <w:sz w:val="24"/>
          <w:szCs w:val="24"/>
          <w:lang w:val="es-ES"/>
        </w:rPr>
        <w:t xml:space="preserve"> profesional de la Dirección General del SENA, y</w:t>
      </w:r>
      <w:r w:rsidR="007C5A06">
        <w:rPr>
          <w:rFonts w:asciiTheme="majorHAnsi" w:hAnsiTheme="majorHAnsi" w:cstheme="majorHAnsi"/>
          <w:spacing w:val="2"/>
          <w:sz w:val="24"/>
          <w:szCs w:val="24"/>
          <w:lang w:val="es-ES"/>
        </w:rPr>
        <w:t xml:space="preserve"> apoyará la operación </w:t>
      </w:r>
      <w:r w:rsidR="00BE5D96">
        <w:rPr>
          <w:rFonts w:asciiTheme="majorHAnsi" w:hAnsiTheme="majorHAnsi" w:cstheme="majorHAnsi"/>
          <w:spacing w:val="2"/>
          <w:sz w:val="24"/>
          <w:szCs w:val="24"/>
          <w:lang w:val="es-ES"/>
        </w:rPr>
        <w:t xml:space="preserve">del </w:t>
      </w:r>
      <w:proofErr w:type="spellStart"/>
      <w:r w:rsidR="00BE5D96">
        <w:rPr>
          <w:rFonts w:asciiTheme="majorHAnsi" w:hAnsiTheme="majorHAnsi" w:cstheme="majorHAnsi"/>
          <w:spacing w:val="2"/>
          <w:sz w:val="24"/>
          <w:szCs w:val="24"/>
          <w:lang w:val="es-ES"/>
        </w:rPr>
        <w:t>SGEn</w:t>
      </w:r>
      <w:proofErr w:type="spellEnd"/>
      <w:r w:rsidR="00BE5D96">
        <w:rPr>
          <w:rFonts w:asciiTheme="majorHAnsi" w:hAnsiTheme="majorHAnsi" w:cstheme="majorHAnsi"/>
          <w:spacing w:val="2"/>
          <w:sz w:val="24"/>
          <w:szCs w:val="24"/>
          <w:lang w:val="es-ES"/>
        </w:rPr>
        <w:t xml:space="preserve"> </w:t>
      </w:r>
      <w:r w:rsidR="00206E76">
        <w:rPr>
          <w:rFonts w:asciiTheme="majorHAnsi" w:hAnsiTheme="majorHAnsi" w:cstheme="majorHAnsi"/>
          <w:spacing w:val="2"/>
          <w:sz w:val="24"/>
          <w:szCs w:val="24"/>
          <w:lang w:val="es-ES"/>
        </w:rPr>
        <w:t>en la medida en que</w:t>
      </w:r>
      <w:r w:rsidR="00396207">
        <w:rPr>
          <w:rFonts w:asciiTheme="majorHAnsi" w:hAnsiTheme="majorHAnsi" w:cstheme="majorHAnsi"/>
          <w:spacing w:val="2"/>
          <w:sz w:val="24"/>
          <w:szCs w:val="24"/>
          <w:lang w:val="es-ES"/>
        </w:rPr>
        <w:t xml:space="preserve"> los PGEE que estructure e implemente será</w:t>
      </w:r>
      <w:r w:rsidR="00206E76">
        <w:rPr>
          <w:rFonts w:asciiTheme="majorHAnsi" w:hAnsiTheme="majorHAnsi" w:cstheme="majorHAnsi"/>
          <w:spacing w:val="2"/>
          <w:sz w:val="24"/>
          <w:szCs w:val="24"/>
          <w:lang w:val="es-ES"/>
        </w:rPr>
        <w:t xml:space="preserve">n </w:t>
      </w:r>
      <w:r w:rsidR="0060216D">
        <w:rPr>
          <w:rFonts w:asciiTheme="majorHAnsi" w:hAnsiTheme="majorHAnsi" w:cstheme="majorHAnsi"/>
          <w:spacing w:val="2"/>
          <w:sz w:val="24"/>
          <w:szCs w:val="24"/>
          <w:lang w:val="es-ES"/>
        </w:rPr>
        <w:t xml:space="preserve">parte de los </w:t>
      </w:r>
      <w:r w:rsidR="003D6905">
        <w:rPr>
          <w:rFonts w:asciiTheme="majorHAnsi" w:hAnsiTheme="majorHAnsi" w:cstheme="majorHAnsi"/>
          <w:spacing w:val="2"/>
          <w:sz w:val="24"/>
          <w:szCs w:val="24"/>
          <w:lang w:val="es-ES"/>
        </w:rPr>
        <w:t>Programas</w:t>
      </w:r>
      <w:r w:rsidR="0060216D">
        <w:rPr>
          <w:rFonts w:asciiTheme="majorHAnsi" w:hAnsiTheme="majorHAnsi" w:cstheme="majorHAnsi"/>
          <w:spacing w:val="2"/>
          <w:sz w:val="24"/>
          <w:szCs w:val="24"/>
          <w:lang w:val="es-ES"/>
        </w:rPr>
        <w:t xml:space="preserve"> Ambientales y Energéticos d</w:t>
      </w:r>
      <w:r w:rsidR="003D6905">
        <w:rPr>
          <w:rFonts w:asciiTheme="majorHAnsi" w:hAnsiTheme="majorHAnsi" w:cstheme="majorHAnsi"/>
          <w:spacing w:val="2"/>
          <w:sz w:val="24"/>
          <w:szCs w:val="24"/>
          <w:lang w:val="es-ES"/>
        </w:rPr>
        <w:t>el</w:t>
      </w:r>
      <w:r w:rsidR="002D7DB3">
        <w:rPr>
          <w:rFonts w:asciiTheme="majorHAnsi" w:hAnsiTheme="majorHAnsi" w:cstheme="majorHAnsi"/>
          <w:spacing w:val="2"/>
          <w:sz w:val="24"/>
          <w:szCs w:val="24"/>
          <w:lang w:val="es-ES"/>
        </w:rPr>
        <w:t xml:space="preserve"> SGA y </w:t>
      </w:r>
      <w:proofErr w:type="spellStart"/>
      <w:r w:rsidR="002D7DB3">
        <w:rPr>
          <w:rFonts w:asciiTheme="majorHAnsi" w:hAnsiTheme="majorHAnsi" w:cstheme="majorHAnsi"/>
          <w:spacing w:val="2"/>
          <w:sz w:val="24"/>
          <w:szCs w:val="24"/>
          <w:lang w:val="es-ES"/>
        </w:rPr>
        <w:t>SGEn</w:t>
      </w:r>
      <w:proofErr w:type="spellEnd"/>
      <w:r w:rsidR="003D6905">
        <w:rPr>
          <w:rFonts w:asciiTheme="majorHAnsi" w:hAnsiTheme="majorHAnsi" w:cstheme="majorHAnsi"/>
          <w:spacing w:val="2"/>
          <w:sz w:val="24"/>
          <w:szCs w:val="24"/>
          <w:lang w:val="es-ES"/>
        </w:rPr>
        <w:t>.</w:t>
      </w:r>
      <w:r w:rsidR="002D7DB3">
        <w:rPr>
          <w:rFonts w:asciiTheme="majorHAnsi" w:hAnsiTheme="majorHAnsi" w:cstheme="majorHAnsi"/>
          <w:spacing w:val="2"/>
          <w:sz w:val="24"/>
          <w:szCs w:val="24"/>
          <w:lang w:val="es-ES"/>
        </w:rPr>
        <w:t xml:space="preserve"> </w:t>
      </w:r>
    </w:p>
    <w:p w14:paraId="6A252ED7" w14:textId="77777777" w:rsidR="00D009BF" w:rsidRPr="00D009BF" w:rsidRDefault="00D009BF"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B67FCB">
        <w:rPr>
          <w:rFonts w:asciiTheme="majorHAnsi" w:hAnsiTheme="majorHAnsi" w:cstheme="majorHAnsi"/>
          <w:b/>
          <w:bCs/>
          <w:spacing w:val="2"/>
          <w:sz w:val="24"/>
          <w:szCs w:val="24"/>
          <w:lang w:val="es-ES"/>
        </w:rPr>
        <w:t>Línea de base energética:</w:t>
      </w:r>
      <w:r w:rsidRPr="00D009BF">
        <w:rPr>
          <w:rFonts w:asciiTheme="majorHAnsi" w:hAnsiTheme="majorHAnsi" w:cstheme="majorHAnsi"/>
          <w:spacing w:val="2"/>
          <w:sz w:val="24"/>
          <w:szCs w:val="24"/>
          <w:lang w:val="es-ES"/>
        </w:rPr>
        <w:t xml:space="preserve"> Referencia cuantitativa que proporciona la base para la comparación del desempeño energético.</w:t>
      </w:r>
    </w:p>
    <w:p w14:paraId="2F82CF70" w14:textId="77777777" w:rsidR="00D009BF" w:rsidRPr="00D009BF" w:rsidRDefault="00D009BF"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D009BF">
        <w:rPr>
          <w:rFonts w:asciiTheme="majorHAnsi" w:hAnsiTheme="majorHAnsi" w:cstheme="majorHAnsi"/>
          <w:spacing w:val="2"/>
          <w:sz w:val="24"/>
          <w:szCs w:val="24"/>
          <w:lang w:val="es-ES"/>
        </w:rPr>
        <w:lastRenderedPageBreak/>
        <w:t>La línea de base energética se fundamenta en los datos de un periodo de tiempo especificado y/o las condiciones, según lo defina la organización.</w:t>
      </w:r>
    </w:p>
    <w:p w14:paraId="485CD3A7" w14:textId="77777777" w:rsidR="00D009BF" w:rsidRPr="00D009BF" w:rsidRDefault="00D009BF"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D009BF">
        <w:rPr>
          <w:rFonts w:asciiTheme="majorHAnsi" w:hAnsiTheme="majorHAnsi" w:cstheme="majorHAnsi"/>
          <w:spacing w:val="2"/>
          <w:sz w:val="24"/>
          <w:szCs w:val="24"/>
          <w:lang w:val="es-ES"/>
        </w:rPr>
        <w:t>Las líneas de base energética se usan para la determinación de la mejora del desempeño energético, como referencia antes y después o con y sin la implementación de acciones de mejora del desempeño energético. (Tomada de la NTC-ISO 50001:2019).</w:t>
      </w:r>
    </w:p>
    <w:p w14:paraId="2C3090F3" w14:textId="77777777" w:rsidR="00D009BF" w:rsidRPr="00D009BF" w:rsidRDefault="00D009BF"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B67FCB">
        <w:rPr>
          <w:rFonts w:asciiTheme="majorHAnsi" w:hAnsiTheme="majorHAnsi" w:cstheme="majorHAnsi"/>
          <w:b/>
          <w:bCs/>
          <w:spacing w:val="2"/>
          <w:sz w:val="24"/>
          <w:szCs w:val="24"/>
          <w:lang w:val="es-ES"/>
        </w:rPr>
        <w:t>Matriz energética:</w:t>
      </w:r>
      <w:r w:rsidRPr="00D009BF">
        <w:rPr>
          <w:rFonts w:asciiTheme="majorHAnsi" w:hAnsiTheme="majorHAnsi" w:cstheme="majorHAnsi"/>
          <w:spacing w:val="2"/>
          <w:sz w:val="24"/>
          <w:szCs w:val="24"/>
          <w:lang w:val="es-ES"/>
        </w:rPr>
        <w:t xml:space="preserve"> Es la combinación de fuentes de energía primaria que se utiliza en una zona geográfica. La matriz energética no solo incluye las fuentes empleadas, sino también el porcentaje de cada fuente. </w:t>
      </w:r>
    </w:p>
    <w:p w14:paraId="5E35879A" w14:textId="77777777" w:rsidR="00D009BF" w:rsidRPr="00D009BF" w:rsidRDefault="00D009BF"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B67FCB">
        <w:rPr>
          <w:rFonts w:asciiTheme="majorHAnsi" w:hAnsiTheme="majorHAnsi" w:cstheme="majorHAnsi"/>
          <w:b/>
          <w:bCs/>
          <w:spacing w:val="2"/>
          <w:sz w:val="24"/>
          <w:szCs w:val="24"/>
          <w:lang w:val="es-ES"/>
        </w:rPr>
        <w:t>Mejora del desempeño energético:</w:t>
      </w:r>
      <w:r w:rsidRPr="00D009BF">
        <w:rPr>
          <w:rFonts w:asciiTheme="majorHAnsi" w:hAnsiTheme="majorHAnsi" w:cstheme="majorHAnsi"/>
          <w:spacing w:val="2"/>
          <w:sz w:val="24"/>
          <w:szCs w:val="24"/>
          <w:lang w:val="es-ES"/>
        </w:rPr>
        <w:t xml:space="preserve"> Mejora en los resultados medibles de la eficiencia energética, o del consumo de energía relacionada con el uso de la energía, comparada con la línea base energética. (Tomada de la NTC-ISO 50001:2019).</w:t>
      </w:r>
    </w:p>
    <w:p w14:paraId="46A00A2B" w14:textId="60306878" w:rsidR="00D009BF" w:rsidRDefault="00D009BF"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B67FCB">
        <w:rPr>
          <w:rFonts w:asciiTheme="majorHAnsi" w:hAnsiTheme="majorHAnsi" w:cstheme="majorHAnsi"/>
          <w:b/>
          <w:bCs/>
          <w:spacing w:val="2"/>
          <w:sz w:val="24"/>
          <w:szCs w:val="24"/>
          <w:lang w:val="es-ES"/>
        </w:rPr>
        <w:t>Planes de Gestión Eficiente de la Energía – PGEE:</w:t>
      </w:r>
      <w:r w:rsidRPr="00D009BF">
        <w:rPr>
          <w:rFonts w:asciiTheme="majorHAnsi" w:hAnsiTheme="majorHAnsi" w:cstheme="majorHAnsi"/>
          <w:spacing w:val="2"/>
          <w:sz w:val="24"/>
          <w:szCs w:val="24"/>
          <w:lang w:val="es-ES"/>
        </w:rPr>
        <w:t xml:space="preserve"> Instrumento conformado por acciones, estrategias y metodologías de uso racional y eficiente de energía, con el objetivo de reducir el consumo y disminuir los costos asociados. (Tomada de la Resolución 40412 de 2024 del Ministerio de Minas y Energía).</w:t>
      </w:r>
    </w:p>
    <w:p w14:paraId="3C24BDF4" w14:textId="181DE331" w:rsidR="001162A1" w:rsidRPr="00D009BF" w:rsidRDefault="001162A1"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0A083D">
        <w:rPr>
          <w:rFonts w:asciiTheme="majorHAnsi" w:hAnsiTheme="majorHAnsi" w:cstheme="majorHAnsi"/>
          <w:b/>
          <w:bCs/>
          <w:spacing w:val="2"/>
          <w:sz w:val="24"/>
          <w:szCs w:val="24"/>
          <w:lang w:val="es-ES"/>
        </w:rPr>
        <w:t>Programa SENA Energy</w:t>
      </w:r>
      <w:r w:rsidR="007F7CBE" w:rsidRPr="000A083D">
        <w:rPr>
          <w:rFonts w:asciiTheme="majorHAnsi" w:hAnsiTheme="majorHAnsi" w:cstheme="majorHAnsi"/>
          <w:b/>
          <w:bCs/>
          <w:spacing w:val="2"/>
          <w:sz w:val="24"/>
          <w:szCs w:val="24"/>
          <w:lang w:val="es-ES"/>
        </w:rPr>
        <w:t>:</w:t>
      </w:r>
      <w:r w:rsidR="007F7CBE">
        <w:rPr>
          <w:rFonts w:asciiTheme="majorHAnsi" w:hAnsiTheme="majorHAnsi" w:cstheme="majorHAnsi"/>
          <w:spacing w:val="2"/>
          <w:sz w:val="24"/>
          <w:szCs w:val="24"/>
          <w:lang w:val="es-ES"/>
        </w:rPr>
        <w:t xml:space="preserve"> Programa que </w:t>
      </w:r>
      <w:r w:rsidR="007F7CBE" w:rsidRPr="007F7CBE">
        <w:rPr>
          <w:rFonts w:asciiTheme="majorHAnsi" w:hAnsiTheme="majorHAnsi" w:cstheme="majorHAnsi"/>
          <w:spacing w:val="2"/>
          <w:sz w:val="24"/>
          <w:szCs w:val="24"/>
          <w:lang w:val="es-ES"/>
        </w:rPr>
        <w:t>establece las actividades orientadas al mejoramiento continuo del desempeño energético y a asegurar la operación eficaz del Sistema de Gestión de la Energía de la Entidad, en concordancia con los requisitos del estándar ISO 50001 vigente. Estas acciones contribuyen al logro de los objetivos, metas e indicadores energéticos definidos. Asimismo, el programa integra las acciones previstas en el marco del Plan de Gestión Eficiente de la Energía (PGEE), exigido para las entidades públicas según lo establecido en la Ley 2407 de 2024.</w:t>
      </w:r>
      <w:r w:rsidR="00CE4C5E">
        <w:rPr>
          <w:rFonts w:asciiTheme="majorHAnsi" w:hAnsiTheme="majorHAnsi" w:cstheme="majorHAnsi"/>
          <w:spacing w:val="2"/>
          <w:sz w:val="24"/>
          <w:szCs w:val="24"/>
          <w:lang w:val="es-ES"/>
        </w:rPr>
        <w:t xml:space="preserve"> (Tomado del Instructivo </w:t>
      </w:r>
      <w:r w:rsidR="00D35B64">
        <w:rPr>
          <w:rFonts w:asciiTheme="majorHAnsi" w:hAnsiTheme="majorHAnsi" w:cstheme="majorHAnsi"/>
          <w:spacing w:val="2"/>
          <w:sz w:val="24"/>
          <w:szCs w:val="24"/>
          <w:lang w:val="es-ES"/>
        </w:rPr>
        <w:t>Programas Ambientales y Energéticos de la Entidad GOR-I-088).</w:t>
      </w:r>
    </w:p>
    <w:p w14:paraId="04B2EAB1" w14:textId="77777777" w:rsidR="00D009BF" w:rsidRPr="00D009BF" w:rsidRDefault="00D009BF"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B67FCB">
        <w:rPr>
          <w:rFonts w:asciiTheme="majorHAnsi" w:hAnsiTheme="majorHAnsi" w:cstheme="majorHAnsi"/>
          <w:b/>
          <w:bCs/>
          <w:spacing w:val="2"/>
          <w:sz w:val="24"/>
          <w:szCs w:val="24"/>
          <w:lang w:val="es-ES"/>
        </w:rPr>
        <w:lastRenderedPageBreak/>
        <w:t>Revisión energética:</w:t>
      </w:r>
      <w:r w:rsidRPr="00D009BF">
        <w:rPr>
          <w:rFonts w:asciiTheme="majorHAnsi" w:hAnsiTheme="majorHAnsi" w:cstheme="majorHAnsi"/>
          <w:spacing w:val="2"/>
          <w:sz w:val="24"/>
          <w:szCs w:val="24"/>
          <w:lang w:val="es-ES"/>
        </w:rPr>
        <w:t xml:space="preserve"> Análisis de la eficiencia energética, del uso de la energía y del consumo de energía, con base en los datos y otra información, orientada a la identificación de los Usos Significativos de la Energía - USE y de las oportunidades de mejora del desempeño energético. (Tomada de la NTC-ISO 50001:2019).</w:t>
      </w:r>
    </w:p>
    <w:p w14:paraId="5EE23E53" w14:textId="77777777" w:rsidR="00D009BF" w:rsidRPr="00D009BF" w:rsidRDefault="00D009BF"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B67FCB">
        <w:rPr>
          <w:rFonts w:asciiTheme="majorHAnsi" w:hAnsiTheme="majorHAnsi" w:cstheme="majorHAnsi"/>
          <w:b/>
          <w:bCs/>
          <w:spacing w:val="2"/>
          <w:sz w:val="24"/>
          <w:szCs w:val="24"/>
          <w:lang w:val="es-ES"/>
        </w:rPr>
        <w:t>Uso de la energía:</w:t>
      </w:r>
      <w:r w:rsidRPr="00D009BF">
        <w:rPr>
          <w:rFonts w:asciiTheme="majorHAnsi" w:hAnsiTheme="majorHAnsi" w:cstheme="majorHAnsi"/>
          <w:spacing w:val="2"/>
          <w:sz w:val="24"/>
          <w:szCs w:val="24"/>
          <w:lang w:val="es-ES"/>
        </w:rPr>
        <w:t xml:space="preserve"> Aplicación de la energía. EJEMPLO: ventilación, iluminación, climatización, transporte, almacenamiento de datos, proceso de producción. (Adaptada de la NTC-ISO 50001:2019).</w:t>
      </w:r>
    </w:p>
    <w:p w14:paraId="287DCE92" w14:textId="77777777" w:rsidR="00D009BF" w:rsidRPr="00D009BF" w:rsidRDefault="00D009BF" w:rsidP="00D009BF">
      <w:pPr>
        <w:pStyle w:val="Sinespaciado"/>
        <w:spacing w:before="100" w:beforeAutospacing="1" w:after="100" w:afterAutospacing="1" w:line="360" w:lineRule="auto"/>
        <w:jc w:val="both"/>
        <w:rPr>
          <w:rFonts w:asciiTheme="majorHAnsi" w:hAnsiTheme="majorHAnsi" w:cstheme="majorHAnsi"/>
          <w:spacing w:val="2"/>
          <w:sz w:val="24"/>
          <w:szCs w:val="24"/>
          <w:lang w:val="es-ES"/>
        </w:rPr>
      </w:pPr>
      <w:r w:rsidRPr="00B67FCB">
        <w:rPr>
          <w:rFonts w:asciiTheme="majorHAnsi" w:hAnsiTheme="majorHAnsi" w:cstheme="majorHAnsi"/>
          <w:b/>
          <w:bCs/>
          <w:spacing w:val="2"/>
          <w:sz w:val="24"/>
          <w:szCs w:val="24"/>
          <w:lang w:val="es-ES"/>
        </w:rPr>
        <w:t>Uso Significativo de la Energía – USE:</w:t>
      </w:r>
      <w:r w:rsidRPr="00D009BF">
        <w:rPr>
          <w:rFonts w:asciiTheme="majorHAnsi" w:hAnsiTheme="majorHAnsi" w:cstheme="majorHAnsi"/>
          <w:spacing w:val="2"/>
          <w:sz w:val="24"/>
          <w:szCs w:val="24"/>
          <w:lang w:val="es-ES"/>
        </w:rPr>
        <w:t xml:space="preserve"> Uso de la Energía que representa un consumo de energía sustancial y/o que ofrece un potencial considerable para la mejora del desempeño energético. (Tomada de la NTC-ISO 50001:2019).</w:t>
      </w:r>
    </w:p>
    <w:p w14:paraId="00E6D18F" w14:textId="7D6A7766" w:rsidR="00F96301" w:rsidRDefault="00D009BF" w:rsidP="00D009BF">
      <w:pPr>
        <w:pStyle w:val="Sinespaciado"/>
        <w:spacing w:before="100" w:beforeAutospacing="1" w:after="100" w:afterAutospacing="1" w:line="360" w:lineRule="auto"/>
        <w:jc w:val="both"/>
        <w:rPr>
          <w:rFonts w:asciiTheme="majorHAnsi" w:hAnsiTheme="majorHAnsi" w:cstheme="majorHAnsi"/>
          <w:sz w:val="24"/>
          <w:szCs w:val="24"/>
          <w:shd w:val="clear" w:color="auto" w:fill="FFFFFF"/>
        </w:rPr>
      </w:pPr>
      <w:r w:rsidRPr="00B67FCB">
        <w:rPr>
          <w:rFonts w:asciiTheme="majorHAnsi" w:hAnsiTheme="majorHAnsi" w:cstheme="majorHAnsi"/>
          <w:b/>
          <w:bCs/>
          <w:spacing w:val="2"/>
          <w:sz w:val="24"/>
          <w:szCs w:val="24"/>
          <w:lang w:val="es-ES"/>
        </w:rPr>
        <w:t>Variable relevante:</w:t>
      </w:r>
      <w:r w:rsidRPr="00D009BF">
        <w:rPr>
          <w:rFonts w:asciiTheme="majorHAnsi" w:hAnsiTheme="majorHAnsi" w:cstheme="majorHAnsi"/>
          <w:spacing w:val="2"/>
          <w:sz w:val="24"/>
          <w:szCs w:val="24"/>
          <w:lang w:val="es-ES"/>
        </w:rPr>
        <w:t xml:space="preserve"> Factor cuantificable que impacta en forma significativa en el desempeño energético, y cambia de forma rutinaria. El criterio de significación de la variable es determinado por la organización. Ejemplo: Las condiciones del clima, las condiciones operativas (temperatura interior, nivel de iluminación), horas laborales, volumen de producción. (Tomada de la NTC-ISO 50001:2019).</w:t>
      </w:r>
    </w:p>
    <w:p w14:paraId="130487E1" w14:textId="77777777" w:rsidR="00F96301" w:rsidRDefault="00F96301" w:rsidP="009F4403">
      <w:pPr>
        <w:pStyle w:val="Textoindependiente"/>
        <w:jc w:val="both"/>
        <w:rPr>
          <w:rFonts w:asciiTheme="majorHAnsi" w:hAnsiTheme="majorHAnsi" w:cstheme="majorHAnsi"/>
          <w:sz w:val="24"/>
          <w:szCs w:val="24"/>
          <w:shd w:val="clear" w:color="auto" w:fill="FFFFFF"/>
        </w:rPr>
      </w:pPr>
    </w:p>
    <w:p w14:paraId="095A12C4" w14:textId="77777777" w:rsidR="009F4403" w:rsidRPr="004A17E5" w:rsidRDefault="009F4403" w:rsidP="009F4403">
      <w:pPr>
        <w:pStyle w:val="Ttulo1"/>
        <w:keepLines/>
        <w:numPr>
          <w:ilvl w:val="0"/>
          <w:numId w:val="5"/>
        </w:numPr>
        <w:spacing w:before="100" w:beforeAutospacing="1" w:after="100" w:afterAutospacing="1"/>
        <w:jc w:val="both"/>
        <w:rPr>
          <w:rFonts w:asciiTheme="majorHAnsi" w:hAnsiTheme="majorHAnsi" w:cstheme="majorHAnsi"/>
          <w:b/>
          <w:bCs/>
          <w:color w:val="000000" w:themeColor="text1"/>
          <w:spacing w:val="2"/>
          <w:sz w:val="24"/>
        </w:rPr>
      </w:pPr>
      <w:bookmarkStart w:id="9" w:name="_Toc183363583"/>
      <w:bookmarkEnd w:id="6"/>
      <w:bookmarkEnd w:id="7"/>
      <w:bookmarkEnd w:id="8"/>
      <w:r w:rsidRPr="004A17E5">
        <w:rPr>
          <w:rFonts w:asciiTheme="majorHAnsi" w:hAnsiTheme="majorHAnsi" w:cstheme="majorHAnsi"/>
          <w:b/>
          <w:bCs/>
          <w:color w:val="000000" w:themeColor="text1"/>
          <w:spacing w:val="2"/>
          <w:sz w:val="24"/>
        </w:rPr>
        <w:t>Marco normativo</w:t>
      </w:r>
      <w:bookmarkEnd w:id="9"/>
      <w:r w:rsidRPr="004A17E5">
        <w:rPr>
          <w:rFonts w:asciiTheme="majorHAnsi" w:hAnsiTheme="majorHAnsi" w:cstheme="majorHAnsi"/>
          <w:b/>
          <w:bCs/>
          <w:color w:val="000000" w:themeColor="text1"/>
          <w:spacing w:val="2"/>
          <w:sz w:val="24"/>
        </w:rPr>
        <w:t xml:space="preserve"> </w:t>
      </w:r>
    </w:p>
    <w:p w14:paraId="02B9F9BA" w14:textId="77777777" w:rsidR="00D32498" w:rsidRPr="00D32498" w:rsidRDefault="00D32498" w:rsidP="00D32498">
      <w:pPr>
        <w:pStyle w:val="Textoindependiente"/>
        <w:numPr>
          <w:ilvl w:val="0"/>
          <w:numId w:val="23"/>
        </w:numPr>
        <w:spacing w:line="360" w:lineRule="auto"/>
        <w:jc w:val="both"/>
        <w:rPr>
          <w:rFonts w:asciiTheme="majorHAnsi" w:hAnsiTheme="majorHAnsi" w:cstheme="majorHAnsi"/>
          <w:sz w:val="24"/>
          <w:szCs w:val="24"/>
          <w:lang w:val="es-ES" w:eastAsia="es-ES"/>
        </w:rPr>
      </w:pPr>
      <w:r w:rsidRPr="00D32498">
        <w:rPr>
          <w:rFonts w:asciiTheme="majorHAnsi" w:hAnsiTheme="majorHAnsi" w:cstheme="majorHAnsi"/>
          <w:sz w:val="24"/>
          <w:szCs w:val="24"/>
          <w:lang w:val="es-ES" w:eastAsia="es-ES"/>
        </w:rPr>
        <w:t>NTC ISO 50001:2019: Norma Técnica Colombiana, alineada con los estándares de la Organización Internacional de Estandarización (ISO, por sus siglas en inglés), que especifica los requisitos para establecer, implementar, mantener y mejorar un Sistema de Gestión de la Energía (</w:t>
      </w:r>
      <w:proofErr w:type="spellStart"/>
      <w:r w:rsidRPr="00D32498">
        <w:rPr>
          <w:rFonts w:asciiTheme="majorHAnsi" w:hAnsiTheme="majorHAnsi" w:cstheme="majorHAnsi"/>
          <w:sz w:val="24"/>
          <w:szCs w:val="24"/>
          <w:lang w:val="es-ES" w:eastAsia="es-ES"/>
        </w:rPr>
        <w:t>SGEn</w:t>
      </w:r>
      <w:proofErr w:type="spellEnd"/>
      <w:r w:rsidRPr="00D32498">
        <w:rPr>
          <w:rFonts w:asciiTheme="majorHAnsi" w:hAnsiTheme="majorHAnsi" w:cstheme="majorHAnsi"/>
          <w:sz w:val="24"/>
          <w:szCs w:val="24"/>
          <w:lang w:val="es-ES" w:eastAsia="es-ES"/>
        </w:rPr>
        <w:t>).</w:t>
      </w:r>
    </w:p>
    <w:p w14:paraId="33ADF4CA" w14:textId="77777777" w:rsidR="00D32498" w:rsidRPr="00D32498" w:rsidRDefault="00D32498" w:rsidP="00D32498">
      <w:pPr>
        <w:pStyle w:val="Textoindependiente"/>
        <w:numPr>
          <w:ilvl w:val="0"/>
          <w:numId w:val="23"/>
        </w:numPr>
        <w:spacing w:line="360" w:lineRule="auto"/>
        <w:jc w:val="both"/>
        <w:rPr>
          <w:rFonts w:asciiTheme="majorHAnsi" w:hAnsiTheme="majorHAnsi" w:cstheme="majorHAnsi"/>
          <w:sz w:val="24"/>
          <w:szCs w:val="24"/>
          <w:lang w:val="es-ES" w:eastAsia="es-ES"/>
        </w:rPr>
      </w:pPr>
      <w:r w:rsidRPr="00D32498">
        <w:rPr>
          <w:rFonts w:asciiTheme="majorHAnsi" w:hAnsiTheme="majorHAnsi" w:cstheme="majorHAnsi"/>
          <w:sz w:val="24"/>
          <w:szCs w:val="24"/>
          <w:lang w:val="es-ES" w:eastAsia="es-ES"/>
        </w:rPr>
        <w:lastRenderedPageBreak/>
        <w:t xml:space="preserve">NTC ISO 50002:2018: Norma Técnica Colombiana, alineada con los estándares de la Organización Internacional de Estandarización (ISO, por sus siglas en inglés), que especifica los requisitos de proceso para llevar a cabo una auditoría energética en relación con el desempeño energético de una organización, y que puede servir de apoyo a una revisión energética.  </w:t>
      </w:r>
    </w:p>
    <w:p w14:paraId="3394C745" w14:textId="66EECF98" w:rsidR="00D32498" w:rsidRPr="00D32498" w:rsidRDefault="00D32498" w:rsidP="00D32498">
      <w:pPr>
        <w:pStyle w:val="Textoindependiente"/>
        <w:numPr>
          <w:ilvl w:val="0"/>
          <w:numId w:val="23"/>
        </w:numPr>
        <w:spacing w:line="360" w:lineRule="auto"/>
        <w:jc w:val="both"/>
        <w:rPr>
          <w:rFonts w:asciiTheme="majorHAnsi" w:hAnsiTheme="majorHAnsi" w:cstheme="majorHAnsi"/>
          <w:sz w:val="24"/>
          <w:szCs w:val="24"/>
          <w:lang w:val="es-ES" w:eastAsia="es-ES"/>
        </w:rPr>
      </w:pPr>
      <w:r w:rsidRPr="00D32498">
        <w:rPr>
          <w:rFonts w:asciiTheme="majorHAnsi" w:hAnsiTheme="majorHAnsi" w:cstheme="majorHAnsi"/>
          <w:sz w:val="24"/>
          <w:szCs w:val="24"/>
          <w:lang w:val="es-ES" w:eastAsia="es-ES"/>
        </w:rPr>
        <w:t>Ley 697 de 2001</w:t>
      </w:r>
      <w:r>
        <w:rPr>
          <w:rFonts w:asciiTheme="majorHAnsi" w:hAnsiTheme="majorHAnsi" w:cstheme="majorHAnsi"/>
          <w:sz w:val="24"/>
          <w:szCs w:val="24"/>
          <w:lang w:val="es-ES" w:eastAsia="es-ES"/>
        </w:rPr>
        <w:t>:</w:t>
      </w:r>
      <w:r w:rsidRPr="00D32498">
        <w:rPr>
          <w:rFonts w:asciiTheme="majorHAnsi" w:hAnsiTheme="majorHAnsi" w:cstheme="majorHAnsi"/>
          <w:sz w:val="24"/>
          <w:szCs w:val="24"/>
          <w:lang w:val="es-ES" w:eastAsia="es-ES"/>
        </w:rPr>
        <w:t xml:space="preserve"> Mediante la cual se fomenta el uso racional y eficiente de la energía, se promueve la utilización de energías alternativas y se dictan otras disposiciones.</w:t>
      </w:r>
    </w:p>
    <w:p w14:paraId="6DAD8365" w14:textId="572DBC16" w:rsidR="00D32498" w:rsidRPr="00D32498" w:rsidRDefault="00D32498" w:rsidP="00D32498">
      <w:pPr>
        <w:pStyle w:val="Textoindependiente"/>
        <w:numPr>
          <w:ilvl w:val="0"/>
          <w:numId w:val="23"/>
        </w:numPr>
        <w:spacing w:line="360" w:lineRule="auto"/>
        <w:jc w:val="both"/>
        <w:rPr>
          <w:rFonts w:asciiTheme="majorHAnsi" w:hAnsiTheme="majorHAnsi" w:cstheme="majorHAnsi"/>
          <w:sz w:val="24"/>
          <w:szCs w:val="24"/>
          <w:lang w:val="es-ES" w:eastAsia="es-ES"/>
        </w:rPr>
      </w:pPr>
      <w:r w:rsidRPr="00D32498">
        <w:rPr>
          <w:rFonts w:asciiTheme="majorHAnsi" w:hAnsiTheme="majorHAnsi" w:cstheme="majorHAnsi"/>
          <w:sz w:val="24"/>
          <w:szCs w:val="24"/>
          <w:lang w:val="es-ES" w:eastAsia="es-ES"/>
        </w:rPr>
        <w:t>Ley 1715 de 2014</w:t>
      </w:r>
      <w:r>
        <w:rPr>
          <w:rFonts w:asciiTheme="majorHAnsi" w:hAnsiTheme="majorHAnsi" w:cstheme="majorHAnsi"/>
          <w:sz w:val="24"/>
          <w:szCs w:val="24"/>
          <w:lang w:val="es-ES" w:eastAsia="es-ES"/>
        </w:rPr>
        <w:t>:</w:t>
      </w:r>
      <w:r w:rsidRPr="00D32498">
        <w:rPr>
          <w:rFonts w:asciiTheme="majorHAnsi" w:hAnsiTheme="majorHAnsi" w:cstheme="majorHAnsi"/>
          <w:sz w:val="24"/>
          <w:szCs w:val="24"/>
          <w:lang w:val="es-ES" w:eastAsia="es-ES"/>
        </w:rPr>
        <w:t xml:space="preserve"> Por medio de la cual se regula la integración de las energías renovables no convencionales al Sistema Energético Nacional.</w:t>
      </w:r>
    </w:p>
    <w:p w14:paraId="3496B806" w14:textId="076B1682" w:rsidR="00D32498" w:rsidRPr="00D32498" w:rsidRDefault="00D32498" w:rsidP="00D32498">
      <w:pPr>
        <w:pStyle w:val="Textoindependiente"/>
        <w:numPr>
          <w:ilvl w:val="0"/>
          <w:numId w:val="23"/>
        </w:numPr>
        <w:spacing w:line="360" w:lineRule="auto"/>
        <w:jc w:val="both"/>
        <w:rPr>
          <w:rFonts w:asciiTheme="majorHAnsi" w:hAnsiTheme="majorHAnsi" w:cstheme="majorHAnsi"/>
          <w:sz w:val="24"/>
          <w:szCs w:val="24"/>
          <w:lang w:val="es-ES" w:eastAsia="es-ES"/>
        </w:rPr>
      </w:pPr>
      <w:r w:rsidRPr="00D32498">
        <w:rPr>
          <w:rFonts w:asciiTheme="majorHAnsi" w:hAnsiTheme="majorHAnsi" w:cstheme="majorHAnsi"/>
          <w:sz w:val="24"/>
          <w:szCs w:val="24"/>
          <w:lang w:val="es-ES" w:eastAsia="es-ES"/>
        </w:rPr>
        <w:t>Ley 2294 de 2023</w:t>
      </w:r>
      <w:r>
        <w:rPr>
          <w:rFonts w:asciiTheme="majorHAnsi" w:hAnsiTheme="majorHAnsi" w:cstheme="majorHAnsi"/>
          <w:sz w:val="24"/>
          <w:szCs w:val="24"/>
          <w:lang w:val="es-ES" w:eastAsia="es-ES"/>
        </w:rPr>
        <w:t>:</w:t>
      </w:r>
      <w:r w:rsidRPr="00D32498">
        <w:rPr>
          <w:rFonts w:asciiTheme="majorHAnsi" w:hAnsiTheme="majorHAnsi" w:cstheme="majorHAnsi"/>
          <w:sz w:val="24"/>
          <w:szCs w:val="24"/>
          <w:lang w:val="es-ES" w:eastAsia="es-ES"/>
        </w:rPr>
        <w:t xml:space="preserve"> Por el cual se expide el Plan Nacional de Desarrollo 2022-2026 “Colombia Potencia Mundial de la Vida”.</w:t>
      </w:r>
    </w:p>
    <w:p w14:paraId="151E7B40" w14:textId="1EEE56CB" w:rsidR="00D32498" w:rsidRPr="00D32498" w:rsidRDefault="00D32498" w:rsidP="00D32498">
      <w:pPr>
        <w:pStyle w:val="Textoindependiente"/>
        <w:numPr>
          <w:ilvl w:val="0"/>
          <w:numId w:val="23"/>
        </w:numPr>
        <w:spacing w:line="360" w:lineRule="auto"/>
        <w:jc w:val="both"/>
        <w:rPr>
          <w:rFonts w:asciiTheme="majorHAnsi" w:hAnsiTheme="majorHAnsi" w:cstheme="majorHAnsi"/>
          <w:sz w:val="24"/>
          <w:szCs w:val="24"/>
          <w:lang w:val="es-ES" w:eastAsia="es-ES"/>
        </w:rPr>
      </w:pPr>
      <w:r w:rsidRPr="00D32498">
        <w:rPr>
          <w:rFonts w:asciiTheme="majorHAnsi" w:hAnsiTheme="majorHAnsi" w:cstheme="majorHAnsi"/>
          <w:sz w:val="24"/>
          <w:szCs w:val="24"/>
          <w:lang w:val="es-ES" w:eastAsia="es-ES"/>
        </w:rPr>
        <w:t>Ley 2407 de 2024</w:t>
      </w:r>
      <w:r>
        <w:rPr>
          <w:rFonts w:asciiTheme="majorHAnsi" w:hAnsiTheme="majorHAnsi" w:cstheme="majorHAnsi"/>
          <w:sz w:val="24"/>
          <w:szCs w:val="24"/>
          <w:lang w:val="es-ES" w:eastAsia="es-ES"/>
        </w:rPr>
        <w:t>:</w:t>
      </w:r>
      <w:r w:rsidRPr="00D32498">
        <w:rPr>
          <w:rFonts w:asciiTheme="majorHAnsi" w:hAnsiTheme="majorHAnsi" w:cstheme="majorHAnsi"/>
          <w:sz w:val="24"/>
          <w:szCs w:val="24"/>
          <w:lang w:val="es-ES" w:eastAsia="es-ES"/>
        </w:rPr>
        <w:t xml:space="preserve"> Por medio de la cual se adoptan medidas para promover el uso racional y eficiente de energía, se establecen lineamientos para los planes de eficiencia energética de las entidades públicas, se incentivan construcciones sostenibles y se dictan otras disposiciones.</w:t>
      </w:r>
    </w:p>
    <w:p w14:paraId="4D6AFB26" w14:textId="03ADEF09" w:rsidR="00D32498" w:rsidRPr="00D32498" w:rsidRDefault="00D32498" w:rsidP="00D32498">
      <w:pPr>
        <w:pStyle w:val="Textoindependiente"/>
        <w:numPr>
          <w:ilvl w:val="0"/>
          <w:numId w:val="23"/>
        </w:numPr>
        <w:spacing w:line="360" w:lineRule="auto"/>
        <w:jc w:val="both"/>
        <w:rPr>
          <w:rFonts w:asciiTheme="majorHAnsi" w:hAnsiTheme="majorHAnsi" w:cstheme="majorHAnsi"/>
          <w:sz w:val="24"/>
          <w:szCs w:val="24"/>
          <w:lang w:val="es-ES" w:eastAsia="es-ES"/>
        </w:rPr>
      </w:pPr>
      <w:r w:rsidRPr="00D32498">
        <w:rPr>
          <w:rFonts w:asciiTheme="majorHAnsi" w:hAnsiTheme="majorHAnsi" w:cstheme="majorHAnsi"/>
          <w:sz w:val="24"/>
          <w:szCs w:val="24"/>
          <w:lang w:val="es-ES" w:eastAsia="es-ES"/>
        </w:rPr>
        <w:t>Resolución 40412 de 2024 del Ministerio de Minas y Energía</w:t>
      </w:r>
      <w:r>
        <w:rPr>
          <w:rFonts w:asciiTheme="majorHAnsi" w:hAnsiTheme="majorHAnsi" w:cstheme="majorHAnsi"/>
          <w:sz w:val="24"/>
          <w:szCs w:val="24"/>
          <w:lang w:val="es-ES" w:eastAsia="es-ES"/>
        </w:rPr>
        <w:t>:</w:t>
      </w:r>
      <w:r w:rsidRPr="00D32498">
        <w:rPr>
          <w:rFonts w:asciiTheme="majorHAnsi" w:hAnsiTheme="majorHAnsi" w:cstheme="majorHAnsi"/>
          <w:sz w:val="24"/>
          <w:szCs w:val="24"/>
          <w:lang w:val="es-ES" w:eastAsia="es-ES"/>
        </w:rPr>
        <w:t xml:space="preserve"> Por la cual se reglamenta parcialmente el artículo 237 de la Ley 2294 de 2023 del Plan Nacional de Desarrollo 2022 – 2026 “Colombia Potencia Mundial de la Vida”, en lo relacionado con la auditoría energética de los edificios pertenecientes a las Administraciones Públicas.</w:t>
      </w:r>
    </w:p>
    <w:p w14:paraId="1C31C3CA" w14:textId="1470FFA9" w:rsidR="00D32498" w:rsidRPr="00D32498" w:rsidRDefault="00D32498" w:rsidP="00D32498">
      <w:pPr>
        <w:pStyle w:val="Textoindependiente"/>
        <w:numPr>
          <w:ilvl w:val="0"/>
          <w:numId w:val="23"/>
        </w:numPr>
        <w:spacing w:line="360" w:lineRule="auto"/>
        <w:jc w:val="both"/>
        <w:rPr>
          <w:rFonts w:asciiTheme="majorHAnsi" w:hAnsiTheme="majorHAnsi" w:cstheme="majorHAnsi"/>
          <w:sz w:val="24"/>
          <w:szCs w:val="24"/>
          <w:lang w:val="es-ES" w:eastAsia="es-ES"/>
        </w:rPr>
      </w:pPr>
      <w:r w:rsidRPr="00D32498">
        <w:rPr>
          <w:rFonts w:asciiTheme="majorHAnsi" w:hAnsiTheme="majorHAnsi" w:cstheme="majorHAnsi"/>
          <w:sz w:val="24"/>
          <w:szCs w:val="24"/>
          <w:lang w:val="es-ES" w:eastAsia="es-ES"/>
        </w:rPr>
        <w:t xml:space="preserve">Resolución 016 de 2024 de la Unidad de Planeación </w:t>
      </w:r>
      <w:r w:rsidR="00552E79" w:rsidRPr="00D32498">
        <w:rPr>
          <w:rFonts w:asciiTheme="majorHAnsi" w:hAnsiTheme="majorHAnsi" w:cstheme="majorHAnsi"/>
          <w:sz w:val="24"/>
          <w:szCs w:val="24"/>
          <w:lang w:val="es-ES" w:eastAsia="es-ES"/>
        </w:rPr>
        <w:t>Minero-Energética</w:t>
      </w:r>
      <w:r>
        <w:rPr>
          <w:rFonts w:asciiTheme="majorHAnsi" w:hAnsiTheme="majorHAnsi" w:cstheme="majorHAnsi"/>
          <w:sz w:val="24"/>
          <w:szCs w:val="24"/>
          <w:lang w:val="es-ES" w:eastAsia="es-ES"/>
        </w:rPr>
        <w:t>:</w:t>
      </w:r>
      <w:r w:rsidRPr="00D32498">
        <w:rPr>
          <w:rFonts w:asciiTheme="majorHAnsi" w:hAnsiTheme="majorHAnsi" w:cstheme="majorHAnsi"/>
          <w:sz w:val="24"/>
          <w:szCs w:val="24"/>
          <w:lang w:val="es-ES" w:eastAsia="es-ES"/>
        </w:rPr>
        <w:t xml:space="preserve"> Por la cual se adopta la metodología de la línea base de consumo y ahorro estimado, la cual deberá ser atendida por las entidades en la elaboración e implementación de sus </w:t>
      </w:r>
      <w:r w:rsidRPr="00D32498">
        <w:rPr>
          <w:rFonts w:asciiTheme="majorHAnsi" w:hAnsiTheme="majorHAnsi" w:cstheme="majorHAnsi"/>
          <w:sz w:val="24"/>
          <w:szCs w:val="24"/>
          <w:lang w:val="es-ES" w:eastAsia="es-ES"/>
        </w:rPr>
        <w:lastRenderedPageBreak/>
        <w:t>medidas para dar cumplimiento a lo establecido en el artículo 237 de la Ley 2294 de 2023.</w:t>
      </w:r>
      <w:r w:rsidRPr="00D32498">
        <w:rPr>
          <w:rFonts w:asciiTheme="majorHAnsi" w:hAnsiTheme="majorHAnsi" w:cstheme="majorHAnsi"/>
          <w:sz w:val="24"/>
          <w:szCs w:val="24"/>
          <w:lang w:val="es-ES" w:eastAsia="es-ES"/>
        </w:rPr>
        <w:tab/>
        <w:t xml:space="preserve"> </w:t>
      </w:r>
    </w:p>
    <w:p w14:paraId="5F8EA080" w14:textId="3C30CDD6" w:rsidR="009F4403" w:rsidRDefault="00D32498" w:rsidP="00D32498">
      <w:pPr>
        <w:pStyle w:val="Textoindependiente"/>
        <w:spacing w:line="360" w:lineRule="auto"/>
        <w:jc w:val="both"/>
        <w:rPr>
          <w:rFonts w:asciiTheme="majorHAnsi" w:hAnsiTheme="majorHAnsi" w:cstheme="majorHAnsi"/>
          <w:sz w:val="24"/>
          <w:szCs w:val="24"/>
          <w:lang w:val="es-ES" w:eastAsia="es-ES"/>
        </w:rPr>
      </w:pPr>
      <w:r w:rsidRPr="00D32498">
        <w:rPr>
          <w:rFonts w:asciiTheme="majorHAnsi" w:hAnsiTheme="majorHAnsi" w:cstheme="majorHAnsi"/>
          <w:sz w:val="24"/>
          <w:szCs w:val="24"/>
          <w:lang w:val="es-ES" w:eastAsia="es-ES"/>
        </w:rPr>
        <w:t>O las que modifiquen, integren o sustituyan a las anteriores.</w:t>
      </w:r>
    </w:p>
    <w:p w14:paraId="7B1043B7" w14:textId="77777777" w:rsidR="00F8705F" w:rsidRPr="00D32498" w:rsidRDefault="00F8705F" w:rsidP="00D32498">
      <w:pPr>
        <w:pStyle w:val="Textoindependiente"/>
        <w:spacing w:line="360" w:lineRule="auto"/>
        <w:jc w:val="both"/>
        <w:rPr>
          <w:rFonts w:asciiTheme="majorHAnsi" w:hAnsiTheme="majorHAnsi" w:cstheme="majorHAnsi"/>
          <w:sz w:val="24"/>
          <w:szCs w:val="24"/>
          <w:lang w:val="es-ES" w:eastAsia="es-ES"/>
        </w:rPr>
      </w:pPr>
    </w:p>
    <w:p w14:paraId="7DB02A49" w14:textId="77777777" w:rsidR="009F4403" w:rsidRPr="004A17E5" w:rsidRDefault="009F4403" w:rsidP="009F4403">
      <w:pPr>
        <w:pStyle w:val="Ttulo1"/>
        <w:numPr>
          <w:ilvl w:val="0"/>
          <w:numId w:val="5"/>
        </w:numPr>
        <w:spacing w:before="100" w:beforeAutospacing="1" w:after="100" w:afterAutospacing="1"/>
        <w:jc w:val="both"/>
        <w:rPr>
          <w:rFonts w:asciiTheme="majorHAnsi" w:hAnsiTheme="majorHAnsi" w:cstheme="majorHAnsi"/>
          <w:b/>
          <w:bCs/>
          <w:color w:val="000000" w:themeColor="text1"/>
          <w:spacing w:val="2"/>
          <w:sz w:val="24"/>
        </w:rPr>
      </w:pPr>
      <w:bookmarkStart w:id="10" w:name="_Toc183363584"/>
      <w:r w:rsidRPr="004A17E5">
        <w:rPr>
          <w:rFonts w:asciiTheme="majorHAnsi" w:hAnsiTheme="majorHAnsi" w:cstheme="majorHAnsi"/>
          <w:b/>
          <w:bCs/>
          <w:color w:val="000000" w:themeColor="text1"/>
          <w:spacing w:val="2"/>
          <w:sz w:val="24"/>
        </w:rPr>
        <w:t>Generalidades</w:t>
      </w:r>
      <w:bookmarkEnd w:id="10"/>
    </w:p>
    <w:p w14:paraId="62DC35B4" w14:textId="528ADF71" w:rsidR="00377C82" w:rsidRDefault="00D250F3" w:rsidP="00D250F3">
      <w:pPr>
        <w:pStyle w:val="Textoindependiente"/>
        <w:spacing w:line="360" w:lineRule="auto"/>
        <w:jc w:val="both"/>
        <w:rPr>
          <w:rFonts w:asciiTheme="majorHAnsi" w:hAnsiTheme="majorHAnsi" w:cstheme="majorHAnsi"/>
          <w:sz w:val="24"/>
          <w:szCs w:val="24"/>
          <w:shd w:val="clear" w:color="auto" w:fill="FFFFFF"/>
        </w:rPr>
      </w:pPr>
      <w:r w:rsidRPr="00D250F3">
        <w:rPr>
          <w:rFonts w:asciiTheme="majorHAnsi" w:hAnsiTheme="majorHAnsi" w:cstheme="majorHAnsi"/>
          <w:sz w:val="24"/>
          <w:szCs w:val="24"/>
          <w:shd w:val="clear" w:color="auto" w:fill="FFFFFF"/>
        </w:rPr>
        <w:t>La revisión energétic</w:t>
      </w:r>
      <w:r>
        <w:rPr>
          <w:rFonts w:asciiTheme="majorHAnsi" w:hAnsiTheme="majorHAnsi" w:cstheme="majorHAnsi"/>
          <w:sz w:val="24"/>
          <w:szCs w:val="24"/>
          <w:shd w:val="clear" w:color="auto" w:fill="FFFFFF"/>
        </w:rPr>
        <w:t>a</w:t>
      </w:r>
      <w:r w:rsidRPr="00D250F3">
        <w:rPr>
          <w:rFonts w:asciiTheme="majorHAnsi" w:hAnsiTheme="majorHAnsi" w:cstheme="majorHAnsi"/>
          <w:sz w:val="24"/>
          <w:szCs w:val="24"/>
          <w:shd w:val="clear" w:color="auto" w:fill="FFFFFF"/>
        </w:rPr>
        <w:t xml:space="preserve"> se debe realizar o actualizar con una frecuencia de cada cuatro años para cada una de las sedes y/o complejos del SENA, alineado con lo establecido en el artículo 237 de la Ley 2294 de 2023, Plan Nacional de Desarrollo 2022-2026</w:t>
      </w:r>
      <w:r w:rsidR="00D74760">
        <w:rPr>
          <w:rFonts w:asciiTheme="majorHAnsi" w:hAnsiTheme="majorHAnsi" w:cstheme="majorHAnsi"/>
          <w:sz w:val="24"/>
          <w:szCs w:val="24"/>
          <w:shd w:val="clear" w:color="auto" w:fill="FFFFFF"/>
        </w:rPr>
        <w:t>,</w:t>
      </w:r>
      <w:r w:rsidRPr="00D250F3">
        <w:rPr>
          <w:rFonts w:asciiTheme="majorHAnsi" w:hAnsiTheme="majorHAnsi" w:cstheme="majorHAnsi"/>
          <w:sz w:val="24"/>
          <w:szCs w:val="24"/>
          <w:shd w:val="clear" w:color="auto" w:fill="FFFFFF"/>
        </w:rPr>
        <w:t xml:space="preserve"> </w:t>
      </w:r>
      <w:r w:rsidR="004C0A4D" w:rsidRPr="00BC5493">
        <w:rPr>
          <w:rFonts w:asciiTheme="majorHAnsi" w:hAnsiTheme="majorHAnsi" w:cstheme="majorHAnsi"/>
          <w:spacing w:val="2"/>
          <w:sz w:val="24"/>
          <w:szCs w:val="24"/>
          <w:lang w:val="es-ES"/>
        </w:rPr>
        <w:t>en la Resolución 40412 de 2024 del Ministerio de Minas y Energía y en la Ley 2407 de 2024</w:t>
      </w:r>
      <w:r w:rsidR="00D74760">
        <w:rPr>
          <w:rFonts w:asciiTheme="majorHAnsi" w:hAnsiTheme="majorHAnsi" w:cstheme="majorHAnsi"/>
          <w:spacing w:val="2"/>
          <w:sz w:val="24"/>
          <w:szCs w:val="24"/>
          <w:lang w:val="es-ES"/>
        </w:rPr>
        <w:t xml:space="preserve">. </w:t>
      </w:r>
      <w:r w:rsidRPr="00D250F3">
        <w:rPr>
          <w:rFonts w:asciiTheme="majorHAnsi" w:hAnsiTheme="majorHAnsi" w:cstheme="majorHAnsi"/>
          <w:sz w:val="24"/>
          <w:szCs w:val="24"/>
          <w:shd w:val="clear" w:color="auto" w:fill="FFFFFF"/>
        </w:rPr>
        <w:t>La Dirección General puede determinar que se desarrollen revisiones energéticas extraordinarias</w:t>
      </w:r>
      <w:r w:rsidR="00714EF7">
        <w:rPr>
          <w:rFonts w:asciiTheme="majorHAnsi" w:hAnsiTheme="majorHAnsi" w:cstheme="majorHAnsi"/>
          <w:sz w:val="24"/>
          <w:szCs w:val="24"/>
          <w:shd w:val="clear" w:color="auto" w:fill="FFFFFF"/>
        </w:rPr>
        <w:t xml:space="preserve"> en las sedes</w:t>
      </w:r>
      <w:r w:rsidR="00EE1F64">
        <w:rPr>
          <w:rFonts w:asciiTheme="majorHAnsi" w:hAnsiTheme="majorHAnsi" w:cstheme="majorHAnsi"/>
          <w:sz w:val="24"/>
          <w:szCs w:val="24"/>
          <w:shd w:val="clear" w:color="auto" w:fill="FFFFFF"/>
        </w:rPr>
        <w:t xml:space="preserve"> (antes de que se cumplan los cuatro años posterior a la última revisión energética)</w:t>
      </w:r>
      <w:r w:rsidRPr="00D250F3">
        <w:rPr>
          <w:rFonts w:asciiTheme="majorHAnsi" w:hAnsiTheme="majorHAnsi" w:cstheme="majorHAnsi"/>
          <w:sz w:val="24"/>
          <w:szCs w:val="24"/>
          <w:shd w:val="clear" w:color="auto" w:fill="FFFFFF"/>
        </w:rPr>
        <w:t xml:space="preserve"> como respuesta a </w:t>
      </w:r>
      <w:r w:rsidR="00011E1D">
        <w:rPr>
          <w:rFonts w:asciiTheme="majorHAnsi" w:hAnsiTheme="majorHAnsi" w:cstheme="majorHAnsi"/>
          <w:sz w:val="24"/>
          <w:szCs w:val="24"/>
          <w:shd w:val="clear" w:color="auto" w:fill="FFFFFF"/>
        </w:rPr>
        <w:t xml:space="preserve">cambios </w:t>
      </w:r>
      <w:r w:rsidR="00F86952">
        <w:rPr>
          <w:rFonts w:asciiTheme="majorHAnsi" w:hAnsiTheme="majorHAnsi" w:cstheme="majorHAnsi"/>
          <w:sz w:val="24"/>
          <w:szCs w:val="24"/>
          <w:shd w:val="clear" w:color="auto" w:fill="FFFFFF"/>
        </w:rPr>
        <w:t>en la infraestructura</w:t>
      </w:r>
      <w:r w:rsidRPr="00D250F3">
        <w:rPr>
          <w:rFonts w:asciiTheme="majorHAnsi" w:hAnsiTheme="majorHAnsi" w:cstheme="majorHAnsi"/>
          <w:sz w:val="24"/>
          <w:szCs w:val="24"/>
          <w:shd w:val="clear" w:color="auto" w:fill="FFFFFF"/>
        </w:rPr>
        <w:t xml:space="preserve"> que afecten significativamente el uso y consumo de la energía (ej. cambios en equipos, sistemas, instalaciones, actividades con impacto en el consumo de la energía).</w:t>
      </w:r>
    </w:p>
    <w:p w14:paraId="55EF71FD" w14:textId="34079304" w:rsidR="00BC619A" w:rsidRDefault="00633E41" w:rsidP="00D250F3">
      <w:pPr>
        <w:pStyle w:val="Textoindependiente"/>
        <w:spacing w:line="360" w:lineRule="auto"/>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Como principales resultados de</w:t>
      </w:r>
      <w:r w:rsidR="000A04B4">
        <w:rPr>
          <w:rFonts w:asciiTheme="majorHAnsi" w:hAnsiTheme="majorHAnsi" w:cstheme="majorHAnsi"/>
          <w:sz w:val="24"/>
          <w:szCs w:val="24"/>
          <w:shd w:val="clear" w:color="auto" w:fill="FFFFFF"/>
        </w:rPr>
        <w:t>l desarrollo de la revisión energética</w:t>
      </w:r>
      <w:r w:rsidR="00946389">
        <w:rPr>
          <w:rFonts w:asciiTheme="majorHAnsi" w:hAnsiTheme="majorHAnsi" w:cstheme="majorHAnsi"/>
          <w:sz w:val="24"/>
          <w:szCs w:val="24"/>
          <w:shd w:val="clear" w:color="auto" w:fill="FFFFFF"/>
        </w:rPr>
        <w:t xml:space="preserve"> se deberán </w:t>
      </w:r>
      <w:r w:rsidR="00744B42">
        <w:rPr>
          <w:rFonts w:asciiTheme="majorHAnsi" w:hAnsiTheme="majorHAnsi" w:cstheme="majorHAnsi"/>
          <w:sz w:val="24"/>
          <w:szCs w:val="24"/>
          <w:shd w:val="clear" w:color="auto" w:fill="FFFFFF"/>
        </w:rPr>
        <w:t xml:space="preserve">establecer </w:t>
      </w:r>
      <w:r w:rsidR="00A81C37">
        <w:rPr>
          <w:rFonts w:asciiTheme="majorHAnsi" w:hAnsiTheme="majorHAnsi" w:cstheme="majorHAnsi"/>
          <w:sz w:val="24"/>
          <w:szCs w:val="24"/>
          <w:shd w:val="clear" w:color="auto" w:fill="FFFFFF"/>
        </w:rPr>
        <w:t>medidas de eficiencia energética</w:t>
      </w:r>
      <w:r w:rsidR="00C2608B">
        <w:rPr>
          <w:rFonts w:asciiTheme="majorHAnsi" w:hAnsiTheme="majorHAnsi" w:cstheme="majorHAnsi"/>
          <w:sz w:val="24"/>
          <w:szCs w:val="24"/>
          <w:shd w:val="clear" w:color="auto" w:fill="FFFFFF"/>
        </w:rPr>
        <w:t xml:space="preserve"> o PGEE</w:t>
      </w:r>
      <w:r w:rsidR="00F07F4E">
        <w:rPr>
          <w:rFonts w:asciiTheme="majorHAnsi" w:hAnsiTheme="majorHAnsi" w:cstheme="majorHAnsi"/>
          <w:sz w:val="24"/>
          <w:szCs w:val="24"/>
          <w:shd w:val="clear" w:color="auto" w:fill="FFFFFF"/>
        </w:rPr>
        <w:t>, que permitan lograr un objetivo de ahorro energético del 15%</w:t>
      </w:r>
      <w:r w:rsidR="00D44156">
        <w:rPr>
          <w:rFonts w:asciiTheme="majorHAnsi" w:hAnsiTheme="majorHAnsi" w:cstheme="majorHAnsi"/>
          <w:sz w:val="24"/>
          <w:szCs w:val="24"/>
          <w:shd w:val="clear" w:color="auto" w:fill="FFFFFF"/>
        </w:rPr>
        <w:t xml:space="preserve">, con proyecciones </w:t>
      </w:r>
      <w:r w:rsidR="00B32BC7">
        <w:rPr>
          <w:rFonts w:asciiTheme="majorHAnsi" w:hAnsiTheme="majorHAnsi" w:cstheme="majorHAnsi"/>
          <w:sz w:val="24"/>
          <w:szCs w:val="24"/>
          <w:shd w:val="clear" w:color="auto" w:fill="FFFFFF"/>
        </w:rPr>
        <w:t xml:space="preserve">de metas de ahorro anuales </w:t>
      </w:r>
      <w:r w:rsidR="00E43972">
        <w:rPr>
          <w:rFonts w:asciiTheme="majorHAnsi" w:hAnsiTheme="majorHAnsi" w:cstheme="majorHAnsi"/>
          <w:sz w:val="24"/>
          <w:szCs w:val="24"/>
          <w:shd w:val="clear" w:color="auto" w:fill="FFFFFF"/>
        </w:rPr>
        <w:t>para los cuatro años siguientes</w:t>
      </w:r>
      <w:r w:rsidR="00BC619A">
        <w:rPr>
          <w:rFonts w:asciiTheme="majorHAnsi" w:hAnsiTheme="majorHAnsi" w:cstheme="majorHAnsi"/>
          <w:sz w:val="24"/>
          <w:szCs w:val="24"/>
          <w:shd w:val="clear" w:color="auto" w:fill="FFFFFF"/>
        </w:rPr>
        <w:t>.</w:t>
      </w:r>
    </w:p>
    <w:p w14:paraId="02FC517A" w14:textId="2D8A1B17" w:rsidR="00C01859" w:rsidRPr="00AC5EE2" w:rsidRDefault="00AA54B8" w:rsidP="00AC5EE2">
      <w:pPr>
        <w:pStyle w:val="Textoindependiente"/>
        <w:spacing w:line="360" w:lineRule="auto"/>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Las líneas</w:t>
      </w:r>
      <w:r w:rsidR="00C01859">
        <w:rPr>
          <w:rFonts w:asciiTheme="majorHAnsi" w:hAnsiTheme="majorHAnsi" w:cstheme="majorHAnsi"/>
          <w:sz w:val="24"/>
          <w:szCs w:val="24"/>
          <w:shd w:val="clear" w:color="auto" w:fill="FFFFFF"/>
        </w:rPr>
        <w:t xml:space="preserve"> de base energética </w:t>
      </w:r>
      <w:r w:rsidR="00D13762">
        <w:rPr>
          <w:rFonts w:asciiTheme="majorHAnsi" w:hAnsiTheme="majorHAnsi" w:cstheme="majorHAnsi"/>
          <w:sz w:val="24"/>
          <w:szCs w:val="24"/>
          <w:shd w:val="clear" w:color="auto" w:fill="FFFFFF"/>
        </w:rPr>
        <w:t>y los indicadores de desempeño energético</w:t>
      </w:r>
      <w:r w:rsidR="00262CE7">
        <w:rPr>
          <w:rFonts w:asciiTheme="majorHAnsi" w:hAnsiTheme="majorHAnsi" w:cstheme="majorHAnsi"/>
          <w:sz w:val="24"/>
          <w:szCs w:val="24"/>
          <w:shd w:val="clear" w:color="auto" w:fill="FFFFFF"/>
        </w:rPr>
        <w:t xml:space="preserve"> con su evaluación y seguimiento</w:t>
      </w:r>
      <w:r w:rsidR="00D13762">
        <w:rPr>
          <w:rFonts w:asciiTheme="majorHAnsi" w:hAnsiTheme="majorHAnsi" w:cstheme="majorHAnsi"/>
          <w:sz w:val="24"/>
          <w:szCs w:val="24"/>
          <w:shd w:val="clear" w:color="auto" w:fill="FFFFFF"/>
        </w:rPr>
        <w:t xml:space="preserve"> para las sedes del SENA no serán definidos como resultado de las </w:t>
      </w:r>
      <w:r w:rsidR="00A83979">
        <w:rPr>
          <w:rFonts w:asciiTheme="majorHAnsi" w:hAnsiTheme="majorHAnsi" w:cstheme="majorHAnsi"/>
          <w:sz w:val="24"/>
          <w:szCs w:val="24"/>
          <w:shd w:val="clear" w:color="auto" w:fill="FFFFFF"/>
        </w:rPr>
        <w:t>revisiones energéticas</w:t>
      </w:r>
      <w:r w:rsidR="004F17FD">
        <w:rPr>
          <w:rFonts w:asciiTheme="majorHAnsi" w:hAnsiTheme="majorHAnsi" w:cstheme="majorHAnsi"/>
          <w:sz w:val="24"/>
          <w:szCs w:val="24"/>
          <w:shd w:val="clear" w:color="auto" w:fill="FFFFFF"/>
        </w:rPr>
        <w:t>.</w:t>
      </w:r>
      <w:r w:rsidR="00A83979">
        <w:rPr>
          <w:rFonts w:asciiTheme="majorHAnsi" w:hAnsiTheme="majorHAnsi" w:cstheme="majorHAnsi"/>
          <w:sz w:val="24"/>
          <w:szCs w:val="24"/>
          <w:shd w:val="clear" w:color="auto" w:fill="FFFFFF"/>
        </w:rPr>
        <w:t xml:space="preserve"> </w:t>
      </w:r>
      <w:r w:rsidR="004F17FD">
        <w:rPr>
          <w:rFonts w:asciiTheme="majorHAnsi" w:hAnsiTheme="majorHAnsi" w:cstheme="majorHAnsi"/>
          <w:sz w:val="24"/>
          <w:szCs w:val="24"/>
          <w:shd w:val="clear" w:color="auto" w:fill="FFFFFF"/>
        </w:rPr>
        <w:t>E</w:t>
      </w:r>
      <w:r w:rsidR="00A83979">
        <w:rPr>
          <w:rFonts w:asciiTheme="majorHAnsi" w:hAnsiTheme="majorHAnsi" w:cstheme="majorHAnsi"/>
          <w:sz w:val="24"/>
          <w:szCs w:val="24"/>
          <w:shd w:val="clear" w:color="auto" w:fill="FFFFFF"/>
        </w:rPr>
        <w:t xml:space="preserve">stos </w:t>
      </w:r>
      <w:r w:rsidR="00262CE7">
        <w:rPr>
          <w:rFonts w:asciiTheme="majorHAnsi" w:hAnsiTheme="majorHAnsi" w:cstheme="majorHAnsi"/>
          <w:sz w:val="24"/>
          <w:szCs w:val="24"/>
          <w:shd w:val="clear" w:color="auto" w:fill="FFFFFF"/>
        </w:rPr>
        <w:t>serán definidos para todas las s</w:t>
      </w:r>
      <w:r>
        <w:rPr>
          <w:rFonts w:asciiTheme="majorHAnsi" w:hAnsiTheme="majorHAnsi" w:cstheme="majorHAnsi"/>
          <w:sz w:val="24"/>
          <w:szCs w:val="24"/>
          <w:shd w:val="clear" w:color="auto" w:fill="FFFFFF"/>
        </w:rPr>
        <w:t>e</w:t>
      </w:r>
      <w:r w:rsidR="00262CE7">
        <w:rPr>
          <w:rFonts w:asciiTheme="majorHAnsi" w:hAnsiTheme="majorHAnsi" w:cstheme="majorHAnsi"/>
          <w:sz w:val="24"/>
          <w:szCs w:val="24"/>
          <w:shd w:val="clear" w:color="auto" w:fill="FFFFFF"/>
        </w:rPr>
        <w:t>des del SENA</w:t>
      </w:r>
      <w:r w:rsidR="004F17FD">
        <w:rPr>
          <w:rFonts w:asciiTheme="majorHAnsi" w:hAnsiTheme="majorHAnsi" w:cstheme="majorHAnsi"/>
          <w:sz w:val="24"/>
          <w:szCs w:val="24"/>
          <w:shd w:val="clear" w:color="auto" w:fill="FFFFFF"/>
        </w:rPr>
        <w:t xml:space="preserve"> desde </w:t>
      </w:r>
      <w:r w:rsidR="008F57DC">
        <w:rPr>
          <w:rFonts w:asciiTheme="majorHAnsi" w:hAnsiTheme="majorHAnsi" w:cstheme="majorHAnsi"/>
          <w:sz w:val="24"/>
          <w:szCs w:val="24"/>
          <w:shd w:val="clear" w:color="auto" w:fill="FFFFFF"/>
        </w:rPr>
        <w:t xml:space="preserve">el </w:t>
      </w:r>
      <w:r w:rsidR="008F57DC">
        <w:rPr>
          <w:rFonts w:asciiTheme="majorHAnsi" w:hAnsiTheme="majorHAnsi" w:cstheme="majorHAnsi"/>
          <w:sz w:val="24"/>
          <w:szCs w:val="24"/>
        </w:rPr>
        <w:t>e</w:t>
      </w:r>
      <w:r w:rsidR="008F57DC" w:rsidRPr="00371855">
        <w:rPr>
          <w:rFonts w:asciiTheme="majorHAnsi" w:hAnsiTheme="majorHAnsi" w:cstheme="majorHAnsi"/>
          <w:sz w:val="24"/>
          <w:szCs w:val="24"/>
        </w:rPr>
        <w:t xml:space="preserve">quipo </w:t>
      </w:r>
      <w:r w:rsidR="008F57DC">
        <w:rPr>
          <w:rFonts w:asciiTheme="majorHAnsi" w:hAnsiTheme="majorHAnsi" w:cstheme="majorHAnsi"/>
          <w:sz w:val="24"/>
          <w:szCs w:val="24"/>
        </w:rPr>
        <w:t xml:space="preserve">del </w:t>
      </w:r>
      <w:r w:rsidR="008F57DC" w:rsidRPr="00371855">
        <w:rPr>
          <w:rFonts w:asciiTheme="majorHAnsi" w:hAnsiTheme="majorHAnsi" w:cstheme="majorHAnsi"/>
          <w:sz w:val="24"/>
          <w:szCs w:val="24"/>
        </w:rPr>
        <w:t xml:space="preserve">Sistema </w:t>
      </w:r>
      <w:r w:rsidR="008F57DC" w:rsidRPr="00AC5EE2">
        <w:rPr>
          <w:rFonts w:asciiTheme="majorHAnsi" w:hAnsiTheme="majorHAnsi" w:cstheme="majorHAnsi"/>
          <w:sz w:val="24"/>
          <w:szCs w:val="24"/>
        </w:rPr>
        <w:t>de Gestión de Energía del SIGA de Dirección General</w:t>
      </w:r>
      <w:r w:rsidR="008D7EF9" w:rsidRPr="00AC5EE2">
        <w:rPr>
          <w:rFonts w:asciiTheme="majorHAnsi" w:hAnsiTheme="majorHAnsi" w:cstheme="majorHAnsi"/>
          <w:sz w:val="24"/>
          <w:szCs w:val="24"/>
          <w:shd w:val="clear" w:color="auto" w:fill="FFFFFF"/>
        </w:rPr>
        <w:t xml:space="preserve">, siguiendo los lineamientos del </w:t>
      </w:r>
      <w:r w:rsidR="003F56FD" w:rsidRPr="00AC5EE2">
        <w:rPr>
          <w:rFonts w:asciiTheme="majorHAnsi" w:hAnsiTheme="majorHAnsi" w:cstheme="majorHAnsi"/>
          <w:sz w:val="24"/>
          <w:szCs w:val="24"/>
          <w:shd w:val="clear" w:color="auto" w:fill="FFFFFF"/>
        </w:rPr>
        <w:t xml:space="preserve">instructivo </w:t>
      </w:r>
      <w:r w:rsidR="00AC5EE2" w:rsidRPr="00AC5EE2">
        <w:rPr>
          <w:rFonts w:asciiTheme="majorHAnsi" w:eastAsiaTheme="minorEastAsia" w:hAnsiTheme="majorHAnsi" w:cstheme="majorHAnsi"/>
          <w:i/>
          <w:iCs/>
          <w:spacing w:val="2"/>
          <w:sz w:val="24"/>
          <w:szCs w:val="24"/>
          <w:lang w:val="es-ES" w:eastAsia="es-CO"/>
        </w:rPr>
        <w:t>GOR-I-019 Instructivo Línea de Base, Meta Energética E Indicadores de Desempeño Energético</w:t>
      </w:r>
      <w:r w:rsidR="00AC5EE2">
        <w:rPr>
          <w:rFonts w:asciiTheme="majorHAnsi" w:eastAsiaTheme="minorEastAsia" w:hAnsiTheme="majorHAnsi" w:cstheme="majorHAnsi"/>
          <w:spacing w:val="2"/>
          <w:sz w:val="24"/>
          <w:szCs w:val="24"/>
          <w:lang w:val="es-ES" w:eastAsia="es-CO"/>
        </w:rPr>
        <w:t>.</w:t>
      </w:r>
    </w:p>
    <w:p w14:paraId="6A531FEA" w14:textId="5568013C" w:rsidR="009F4403" w:rsidRDefault="00D250F3" w:rsidP="00D250F3">
      <w:pPr>
        <w:pStyle w:val="Textoindependiente"/>
        <w:spacing w:line="360" w:lineRule="auto"/>
        <w:jc w:val="both"/>
        <w:rPr>
          <w:rFonts w:asciiTheme="majorHAnsi" w:hAnsiTheme="majorHAnsi" w:cstheme="majorHAnsi"/>
          <w:sz w:val="24"/>
          <w:szCs w:val="24"/>
          <w:shd w:val="clear" w:color="auto" w:fill="FFFFFF"/>
        </w:rPr>
      </w:pPr>
      <w:r w:rsidRPr="00D250F3">
        <w:rPr>
          <w:rFonts w:asciiTheme="majorHAnsi" w:hAnsiTheme="majorHAnsi" w:cstheme="majorHAnsi"/>
          <w:sz w:val="24"/>
          <w:szCs w:val="24"/>
          <w:shd w:val="clear" w:color="auto" w:fill="FFFFFF"/>
        </w:rPr>
        <w:lastRenderedPageBreak/>
        <w:t>Desde la Dirección de Planeación y Direccionamiento Corporativo se establecerá la priorización de sedes en las que se desarrollará la revisión energética cada año y la Dirección Administrativa y Financiera asignará los recursos.</w:t>
      </w:r>
    </w:p>
    <w:p w14:paraId="120449C5" w14:textId="77777777" w:rsidR="00290707" w:rsidRDefault="00290707" w:rsidP="00D250F3">
      <w:pPr>
        <w:pStyle w:val="Textoindependiente"/>
        <w:spacing w:line="360" w:lineRule="auto"/>
        <w:jc w:val="both"/>
        <w:rPr>
          <w:rFonts w:asciiTheme="majorHAnsi" w:hAnsiTheme="majorHAnsi" w:cstheme="majorHAnsi"/>
          <w:sz w:val="24"/>
          <w:szCs w:val="24"/>
          <w:shd w:val="clear" w:color="auto" w:fill="FFFFFF"/>
        </w:rPr>
      </w:pPr>
    </w:p>
    <w:p w14:paraId="1137DD37" w14:textId="55E9B545" w:rsidR="008F6F92" w:rsidRPr="008F6F92" w:rsidRDefault="00290707" w:rsidP="008F6F92">
      <w:pPr>
        <w:pStyle w:val="Ttulo1"/>
        <w:spacing w:before="100" w:beforeAutospacing="1" w:after="100" w:afterAutospacing="1"/>
        <w:jc w:val="both"/>
        <w:rPr>
          <w:rFonts w:asciiTheme="majorHAnsi" w:hAnsiTheme="majorHAnsi" w:cstheme="majorHAnsi"/>
          <w:b/>
          <w:bCs/>
          <w:color w:val="000000" w:themeColor="text1"/>
          <w:spacing w:val="2"/>
          <w:sz w:val="24"/>
        </w:rPr>
      </w:pPr>
      <w:r w:rsidRPr="008F6F92">
        <w:rPr>
          <w:rFonts w:asciiTheme="majorHAnsi" w:hAnsiTheme="majorHAnsi" w:cstheme="majorHAnsi"/>
          <w:b/>
          <w:bCs/>
          <w:color w:val="000000" w:themeColor="text1"/>
          <w:spacing w:val="2"/>
          <w:sz w:val="24"/>
        </w:rPr>
        <w:t>6.1. Lineamientos de seguridad de la información y protección de datos</w:t>
      </w:r>
    </w:p>
    <w:p w14:paraId="0E4ABB9D" w14:textId="01DBF3EF" w:rsidR="00CA27CE" w:rsidRDefault="008F6F92" w:rsidP="008F6F92">
      <w:pPr>
        <w:jc w:val="both"/>
        <w:rPr>
          <w:rFonts w:asciiTheme="majorHAnsi" w:hAnsiTheme="majorHAnsi" w:cstheme="majorHAnsi"/>
          <w:sz w:val="24"/>
          <w:szCs w:val="24"/>
          <w:shd w:val="clear" w:color="auto" w:fill="FFFFFF"/>
        </w:rPr>
      </w:pPr>
      <w:r w:rsidRPr="008F6F92">
        <w:rPr>
          <w:rFonts w:asciiTheme="majorHAnsi" w:hAnsiTheme="majorHAnsi" w:cstheme="majorHAnsi"/>
          <w:sz w:val="24"/>
          <w:szCs w:val="24"/>
          <w:shd w:val="clear" w:color="auto" w:fill="FFFFFF"/>
        </w:rPr>
        <w:t>Durante el desarrollo de la revisión energética se deberá garantizar la adecuada gestión y protección de la información generada y recolectada, de acuerdo con las políticas institucionales de seguridad y privacidad de la información del SENA y la normativa vigente en la materia. En particular, se deberán tener en cuenta los siguientes lineamientos:</w:t>
      </w:r>
    </w:p>
    <w:p w14:paraId="6E29BF75" w14:textId="47CC3B01" w:rsidR="008F6F92" w:rsidRDefault="007404C0" w:rsidP="008F6F92">
      <w:pPr>
        <w:pStyle w:val="Prrafodelista"/>
        <w:numPr>
          <w:ilvl w:val="0"/>
          <w:numId w:val="40"/>
        </w:numPr>
        <w:jc w:val="both"/>
        <w:rPr>
          <w:rFonts w:asciiTheme="majorHAnsi" w:hAnsiTheme="majorHAnsi" w:cstheme="majorHAnsi"/>
          <w:sz w:val="24"/>
          <w:szCs w:val="24"/>
          <w:shd w:val="clear" w:color="auto" w:fill="FFFFFF"/>
        </w:rPr>
      </w:pPr>
      <w:r w:rsidRPr="00CE3324">
        <w:rPr>
          <w:rFonts w:asciiTheme="majorHAnsi" w:hAnsiTheme="majorHAnsi" w:cstheme="majorHAnsi"/>
          <w:sz w:val="24"/>
          <w:szCs w:val="24"/>
          <w:u w:val="single"/>
          <w:shd w:val="clear" w:color="auto" w:fill="FFFFFF"/>
        </w:rPr>
        <w:t>Confidencialidad y acuerdos con terceros</w:t>
      </w:r>
      <w:r w:rsidR="00B42C68">
        <w:rPr>
          <w:rFonts w:asciiTheme="majorHAnsi" w:hAnsiTheme="majorHAnsi" w:cstheme="majorHAnsi"/>
          <w:sz w:val="24"/>
          <w:szCs w:val="24"/>
          <w:shd w:val="clear" w:color="auto" w:fill="FFFFFF"/>
        </w:rPr>
        <w:t xml:space="preserve">: </w:t>
      </w:r>
      <w:r w:rsidR="00B42C68" w:rsidRPr="00B42C68">
        <w:rPr>
          <w:rFonts w:asciiTheme="majorHAnsi" w:hAnsiTheme="majorHAnsi" w:cstheme="majorHAnsi"/>
          <w:sz w:val="24"/>
          <w:szCs w:val="24"/>
          <w:shd w:val="clear" w:color="auto" w:fill="FFFFFF"/>
        </w:rPr>
        <w:t>Cuando la revisión energética sea ejecutada por personal externo (personas naturales o jurídicas), el ejecutor o su equipo técnico deberá suscribir un Acuerdo de Confidencialidad o No Divulgación (NDA), considerando que durante el proceso tendrá acceso a información técnica sensible de la infraestructura energética e instalaciones de la Entidad.</w:t>
      </w:r>
    </w:p>
    <w:p w14:paraId="01008024" w14:textId="77777777" w:rsidR="00CE3324" w:rsidRDefault="00CE3324" w:rsidP="00CE3324">
      <w:pPr>
        <w:pStyle w:val="Prrafodelista"/>
        <w:jc w:val="both"/>
        <w:rPr>
          <w:rFonts w:asciiTheme="majorHAnsi" w:hAnsiTheme="majorHAnsi" w:cstheme="majorHAnsi"/>
          <w:sz w:val="24"/>
          <w:szCs w:val="24"/>
          <w:shd w:val="clear" w:color="auto" w:fill="FFFFFF"/>
        </w:rPr>
      </w:pPr>
    </w:p>
    <w:p w14:paraId="7402CE40" w14:textId="29748464" w:rsidR="0004466E" w:rsidRDefault="00742C15" w:rsidP="008F6F92">
      <w:pPr>
        <w:pStyle w:val="Prrafodelista"/>
        <w:numPr>
          <w:ilvl w:val="0"/>
          <w:numId w:val="40"/>
        </w:numPr>
        <w:jc w:val="both"/>
        <w:rPr>
          <w:rFonts w:asciiTheme="majorHAnsi" w:hAnsiTheme="majorHAnsi" w:cstheme="majorHAnsi"/>
          <w:sz w:val="24"/>
          <w:szCs w:val="24"/>
          <w:shd w:val="clear" w:color="auto" w:fill="FFFFFF"/>
        </w:rPr>
      </w:pPr>
      <w:r w:rsidRPr="00CE3324">
        <w:rPr>
          <w:rFonts w:asciiTheme="majorHAnsi" w:hAnsiTheme="majorHAnsi" w:cstheme="majorHAnsi"/>
          <w:sz w:val="24"/>
          <w:szCs w:val="24"/>
          <w:u w:val="single"/>
          <w:shd w:val="clear" w:color="auto" w:fill="FFFFFF"/>
        </w:rPr>
        <w:t>Control de acceso a la información</w:t>
      </w:r>
      <w:r w:rsidR="00CE3324">
        <w:rPr>
          <w:rFonts w:asciiTheme="majorHAnsi" w:hAnsiTheme="majorHAnsi" w:cstheme="majorHAnsi"/>
          <w:sz w:val="24"/>
          <w:szCs w:val="24"/>
          <w:shd w:val="clear" w:color="auto" w:fill="FFFFFF"/>
        </w:rPr>
        <w:t xml:space="preserve">: </w:t>
      </w:r>
      <w:r w:rsidR="00CE3324" w:rsidRPr="00CE3324">
        <w:rPr>
          <w:rFonts w:asciiTheme="majorHAnsi" w:hAnsiTheme="majorHAnsi" w:cstheme="majorHAnsi"/>
          <w:sz w:val="24"/>
          <w:szCs w:val="24"/>
          <w:shd w:val="clear" w:color="auto" w:fill="FFFFFF"/>
        </w:rPr>
        <w:t>Los documentos e informes derivados de la revisión energética deberán almacenarse en repositorios institucionales autorizados, aplicando controles de acceso según el principio de mínimo privilegio.</w:t>
      </w:r>
    </w:p>
    <w:p w14:paraId="22C71219" w14:textId="77777777" w:rsidR="00793FF0" w:rsidRPr="00793FF0" w:rsidRDefault="00793FF0" w:rsidP="00793FF0">
      <w:pPr>
        <w:pStyle w:val="Prrafodelista"/>
        <w:rPr>
          <w:rFonts w:asciiTheme="majorHAnsi" w:hAnsiTheme="majorHAnsi" w:cstheme="majorHAnsi"/>
          <w:sz w:val="24"/>
          <w:szCs w:val="24"/>
          <w:shd w:val="clear" w:color="auto" w:fill="FFFFFF"/>
        </w:rPr>
      </w:pPr>
    </w:p>
    <w:p w14:paraId="7607C2BF" w14:textId="05276A46" w:rsidR="00793FF0" w:rsidRPr="00AE2DD2" w:rsidRDefault="00793FF0" w:rsidP="008F6F92">
      <w:pPr>
        <w:pStyle w:val="Prrafodelista"/>
        <w:numPr>
          <w:ilvl w:val="0"/>
          <w:numId w:val="40"/>
        </w:numPr>
        <w:jc w:val="both"/>
        <w:rPr>
          <w:rFonts w:asciiTheme="majorHAnsi" w:hAnsiTheme="majorHAnsi" w:cstheme="majorHAnsi"/>
          <w:sz w:val="24"/>
          <w:szCs w:val="24"/>
          <w:u w:val="single"/>
          <w:shd w:val="clear" w:color="auto" w:fill="FFFFFF"/>
        </w:rPr>
      </w:pPr>
      <w:r w:rsidRPr="00793FF0">
        <w:rPr>
          <w:rFonts w:asciiTheme="majorHAnsi" w:hAnsiTheme="majorHAnsi" w:cstheme="majorHAnsi"/>
          <w:sz w:val="24"/>
          <w:szCs w:val="24"/>
          <w:u w:val="single"/>
          <w:shd w:val="clear" w:color="auto" w:fill="FFFFFF"/>
        </w:rPr>
        <w:t>Clasificación de la información</w:t>
      </w:r>
      <w:r>
        <w:rPr>
          <w:rFonts w:asciiTheme="majorHAnsi" w:hAnsiTheme="majorHAnsi" w:cstheme="majorHAnsi"/>
          <w:sz w:val="24"/>
          <w:szCs w:val="24"/>
          <w:shd w:val="clear" w:color="auto" w:fill="FFFFFF"/>
        </w:rPr>
        <w:t xml:space="preserve">: </w:t>
      </w:r>
      <w:r w:rsidR="00E11E33" w:rsidRPr="00E11E33">
        <w:rPr>
          <w:rFonts w:asciiTheme="majorHAnsi" w:hAnsiTheme="majorHAnsi" w:cstheme="majorHAnsi"/>
          <w:sz w:val="24"/>
          <w:szCs w:val="24"/>
          <w:shd w:val="clear" w:color="auto" w:fill="FFFFFF"/>
        </w:rPr>
        <w:t>La información energética recolectada deberá gestionarse conforme a la política institucional de clasificación de la información, especialmente cuando incluya datos sobre infraestructura o sistemas críticos.</w:t>
      </w:r>
    </w:p>
    <w:p w14:paraId="3327DD02" w14:textId="77777777" w:rsidR="00AE2DD2" w:rsidRPr="00AE2DD2" w:rsidRDefault="00AE2DD2" w:rsidP="00AE2DD2">
      <w:pPr>
        <w:pStyle w:val="Prrafodelista"/>
        <w:rPr>
          <w:rFonts w:asciiTheme="majorHAnsi" w:hAnsiTheme="majorHAnsi" w:cstheme="majorHAnsi"/>
          <w:sz w:val="24"/>
          <w:szCs w:val="24"/>
          <w:u w:val="single"/>
          <w:shd w:val="clear" w:color="auto" w:fill="FFFFFF"/>
        </w:rPr>
      </w:pPr>
    </w:p>
    <w:p w14:paraId="5424BFCB" w14:textId="1E380659" w:rsidR="00AE2DD2" w:rsidRPr="00E63273" w:rsidRDefault="00AE2DD2" w:rsidP="008F6F92">
      <w:pPr>
        <w:pStyle w:val="Prrafodelista"/>
        <w:numPr>
          <w:ilvl w:val="0"/>
          <w:numId w:val="40"/>
        </w:numPr>
        <w:jc w:val="both"/>
        <w:rPr>
          <w:rFonts w:asciiTheme="majorHAnsi" w:hAnsiTheme="majorHAnsi" w:cstheme="majorHAnsi"/>
          <w:sz w:val="24"/>
          <w:szCs w:val="24"/>
          <w:u w:val="single"/>
          <w:shd w:val="clear" w:color="auto" w:fill="FFFFFF"/>
        </w:rPr>
      </w:pPr>
      <w:r>
        <w:rPr>
          <w:rFonts w:asciiTheme="majorHAnsi" w:hAnsiTheme="majorHAnsi" w:cstheme="majorHAnsi"/>
          <w:sz w:val="24"/>
          <w:szCs w:val="24"/>
          <w:u w:val="single"/>
          <w:shd w:val="clear" w:color="auto" w:fill="FFFFFF"/>
        </w:rPr>
        <w:t>Control de acceso físico</w:t>
      </w:r>
      <w:r>
        <w:rPr>
          <w:rFonts w:asciiTheme="majorHAnsi" w:hAnsiTheme="majorHAnsi" w:cstheme="majorHAnsi"/>
          <w:sz w:val="24"/>
          <w:szCs w:val="24"/>
          <w:shd w:val="clear" w:color="auto" w:fill="FFFFFF"/>
        </w:rPr>
        <w:t xml:space="preserve">: </w:t>
      </w:r>
      <w:r w:rsidR="00251FA8" w:rsidRPr="00251FA8">
        <w:rPr>
          <w:rFonts w:asciiTheme="majorHAnsi" w:hAnsiTheme="majorHAnsi" w:cstheme="majorHAnsi"/>
          <w:sz w:val="24"/>
          <w:szCs w:val="24"/>
          <w:shd w:val="clear" w:color="auto" w:fill="FFFFFF"/>
        </w:rPr>
        <w:t>El acceso de personal externo a áreas técnicas o infraestructura energética deberá realizarse bajo acompañamiento de personal autorizado de la sede y registrarse en los controles de acceso correspondientes.</w:t>
      </w:r>
    </w:p>
    <w:p w14:paraId="64C5EAD0" w14:textId="77777777" w:rsidR="00E63273" w:rsidRPr="00E63273" w:rsidRDefault="00E63273" w:rsidP="00E63273">
      <w:pPr>
        <w:pStyle w:val="Prrafodelista"/>
        <w:rPr>
          <w:rFonts w:asciiTheme="majorHAnsi" w:hAnsiTheme="majorHAnsi" w:cstheme="majorHAnsi"/>
          <w:sz w:val="24"/>
          <w:szCs w:val="24"/>
          <w:u w:val="single"/>
          <w:shd w:val="clear" w:color="auto" w:fill="FFFFFF"/>
        </w:rPr>
      </w:pPr>
    </w:p>
    <w:p w14:paraId="66584E6F" w14:textId="162F92DD" w:rsidR="00E63273" w:rsidRPr="00793FF0" w:rsidRDefault="00E63273" w:rsidP="008F6F92">
      <w:pPr>
        <w:pStyle w:val="Prrafodelista"/>
        <w:numPr>
          <w:ilvl w:val="0"/>
          <w:numId w:val="40"/>
        </w:numPr>
        <w:jc w:val="both"/>
        <w:rPr>
          <w:rFonts w:asciiTheme="majorHAnsi" w:hAnsiTheme="majorHAnsi" w:cstheme="majorHAnsi"/>
          <w:sz w:val="24"/>
          <w:szCs w:val="24"/>
          <w:u w:val="single"/>
          <w:shd w:val="clear" w:color="auto" w:fill="FFFFFF"/>
        </w:rPr>
      </w:pPr>
      <w:r>
        <w:rPr>
          <w:rFonts w:asciiTheme="majorHAnsi" w:hAnsiTheme="majorHAnsi" w:cstheme="majorHAnsi"/>
          <w:sz w:val="24"/>
          <w:szCs w:val="24"/>
          <w:u w:val="single"/>
          <w:shd w:val="clear" w:color="auto" w:fill="FFFFFF"/>
        </w:rPr>
        <w:t xml:space="preserve">Transferencia </w:t>
      </w:r>
      <w:r w:rsidR="008E6A53">
        <w:rPr>
          <w:rFonts w:asciiTheme="majorHAnsi" w:hAnsiTheme="majorHAnsi" w:cstheme="majorHAnsi"/>
          <w:sz w:val="24"/>
          <w:szCs w:val="24"/>
          <w:u w:val="single"/>
          <w:shd w:val="clear" w:color="auto" w:fill="FFFFFF"/>
        </w:rPr>
        <w:t>y divulgación de la información</w:t>
      </w:r>
      <w:r w:rsidR="008E6A53">
        <w:rPr>
          <w:rFonts w:asciiTheme="majorHAnsi" w:hAnsiTheme="majorHAnsi" w:cstheme="majorHAnsi"/>
          <w:sz w:val="24"/>
          <w:szCs w:val="24"/>
          <w:shd w:val="clear" w:color="auto" w:fill="FFFFFF"/>
        </w:rPr>
        <w:t xml:space="preserve">: </w:t>
      </w:r>
      <w:r w:rsidR="000432AF" w:rsidRPr="000432AF">
        <w:rPr>
          <w:rFonts w:asciiTheme="majorHAnsi" w:hAnsiTheme="majorHAnsi" w:cstheme="majorHAnsi"/>
          <w:sz w:val="24"/>
          <w:szCs w:val="24"/>
          <w:shd w:val="clear" w:color="auto" w:fill="FFFFFF"/>
        </w:rPr>
        <w:t xml:space="preserve">La información técnica generada o utilizada durante la revisión energética deberá compartirse únicamente a través de </w:t>
      </w:r>
      <w:r w:rsidR="000432AF" w:rsidRPr="000432AF">
        <w:rPr>
          <w:rFonts w:asciiTheme="majorHAnsi" w:hAnsiTheme="majorHAnsi" w:cstheme="majorHAnsi"/>
          <w:sz w:val="24"/>
          <w:szCs w:val="24"/>
          <w:shd w:val="clear" w:color="auto" w:fill="FFFFFF"/>
        </w:rPr>
        <w:lastRenderedPageBreak/>
        <w:t>los medios institucionales autorizados por la Entidad. Cuando esta información contenga datos sensibles o de carácter personal, se deberán aplicar medidas de protección antes de su divulgación, tales como restringir el acceso al documento o eliminar los datos personales que no sea necesario compartir.</w:t>
      </w:r>
    </w:p>
    <w:p w14:paraId="448F9682" w14:textId="07F85949" w:rsidR="00CA27CE" w:rsidRDefault="00CA27CE" w:rsidP="006F69E2">
      <w:pPr>
        <w:pStyle w:val="Ttulo1"/>
        <w:keepLines/>
        <w:numPr>
          <w:ilvl w:val="0"/>
          <w:numId w:val="5"/>
        </w:numPr>
        <w:spacing w:before="100" w:beforeAutospacing="1" w:after="100" w:afterAutospacing="1"/>
        <w:jc w:val="both"/>
        <w:rPr>
          <w:rFonts w:asciiTheme="majorHAnsi" w:hAnsiTheme="majorHAnsi" w:cstheme="majorHAnsi"/>
          <w:b/>
          <w:bCs/>
          <w:color w:val="000000" w:themeColor="text1"/>
          <w:spacing w:val="2"/>
          <w:sz w:val="24"/>
        </w:rPr>
      </w:pPr>
      <w:bookmarkStart w:id="11" w:name="_Toc183363585"/>
      <w:r w:rsidRPr="006F69E2">
        <w:rPr>
          <w:rFonts w:asciiTheme="majorHAnsi" w:hAnsiTheme="majorHAnsi" w:cstheme="majorHAnsi"/>
          <w:b/>
          <w:bCs/>
          <w:color w:val="000000" w:themeColor="text1"/>
          <w:spacing w:val="2"/>
          <w:sz w:val="24"/>
        </w:rPr>
        <w:t>Roles y responsabilidades</w:t>
      </w:r>
      <w:bookmarkEnd w:id="11"/>
    </w:p>
    <w:p w14:paraId="3AF4EB2E" w14:textId="0F3E12F7" w:rsidR="00971895" w:rsidRPr="00971895" w:rsidRDefault="00971895" w:rsidP="00971895">
      <w:pPr>
        <w:pStyle w:val="Descripcin"/>
        <w:keepNext/>
        <w:jc w:val="center"/>
        <w:rPr>
          <w:i w:val="0"/>
          <w:iCs w:val="0"/>
          <w:color w:val="auto"/>
          <w:sz w:val="24"/>
          <w:szCs w:val="24"/>
        </w:rPr>
      </w:pPr>
      <w:r w:rsidRPr="00971895">
        <w:rPr>
          <w:i w:val="0"/>
          <w:iCs w:val="0"/>
          <w:color w:val="auto"/>
          <w:sz w:val="24"/>
          <w:szCs w:val="24"/>
        </w:rPr>
        <w:t xml:space="preserve">Tabla </w:t>
      </w:r>
      <w:r w:rsidRPr="00971895">
        <w:rPr>
          <w:i w:val="0"/>
          <w:iCs w:val="0"/>
          <w:color w:val="auto"/>
          <w:sz w:val="24"/>
          <w:szCs w:val="24"/>
        </w:rPr>
        <w:fldChar w:fldCharType="begin"/>
      </w:r>
      <w:r w:rsidRPr="00971895">
        <w:rPr>
          <w:i w:val="0"/>
          <w:iCs w:val="0"/>
          <w:color w:val="auto"/>
          <w:sz w:val="24"/>
          <w:szCs w:val="24"/>
        </w:rPr>
        <w:instrText xml:space="preserve"> SEQ Tabla \* ARABIC </w:instrText>
      </w:r>
      <w:r w:rsidRPr="00971895">
        <w:rPr>
          <w:i w:val="0"/>
          <w:iCs w:val="0"/>
          <w:color w:val="auto"/>
          <w:sz w:val="24"/>
          <w:szCs w:val="24"/>
        </w:rPr>
        <w:fldChar w:fldCharType="separate"/>
      </w:r>
      <w:r w:rsidRPr="00971895">
        <w:rPr>
          <w:i w:val="0"/>
          <w:iCs w:val="0"/>
          <w:noProof/>
          <w:color w:val="auto"/>
          <w:sz w:val="24"/>
          <w:szCs w:val="24"/>
        </w:rPr>
        <w:t>1</w:t>
      </w:r>
      <w:r w:rsidRPr="00971895">
        <w:rPr>
          <w:i w:val="0"/>
          <w:iCs w:val="0"/>
          <w:color w:val="auto"/>
          <w:sz w:val="24"/>
          <w:szCs w:val="24"/>
        </w:rPr>
        <w:fldChar w:fldCharType="end"/>
      </w:r>
      <w:r w:rsidRPr="00971895">
        <w:rPr>
          <w:i w:val="0"/>
          <w:iCs w:val="0"/>
          <w:color w:val="auto"/>
          <w:sz w:val="24"/>
          <w:szCs w:val="24"/>
        </w:rPr>
        <w:t>. Roles y responsabilidades asociados a las revisiones energéticas</w:t>
      </w:r>
    </w:p>
    <w:tbl>
      <w:tblPr>
        <w:tblStyle w:val="Tabladecuadrcula4"/>
        <w:tblW w:w="0" w:type="auto"/>
        <w:tblLook w:val="04A0" w:firstRow="1" w:lastRow="0" w:firstColumn="1" w:lastColumn="0" w:noHBand="0" w:noVBand="1"/>
      </w:tblPr>
      <w:tblGrid>
        <w:gridCol w:w="4414"/>
        <w:gridCol w:w="4414"/>
      </w:tblGrid>
      <w:tr w:rsidR="00520DBF" w:rsidRPr="00371855" w14:paraId="076E659C" w14:textId="77777777" w:rsidTr="0097189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414" w:type="dxa"/>
          </w:tcPr>
          <w:p w14:paraId="471D19D2" w14:textId="77777777" w:rsidR="00520DBF" w:rsidRPr="00371855" w:rsidRDefault="00520DBF">
            <w:pPr>
              <w:autoSpaceDE w:val="0"/>
              <w:autoSpaceDN w:val="0"/>
              <w:adjustRightInd w:val="0"/>
              <w:spacing w:after="0" w:line="240" w:lineRule="auto"/>
              <w:jc w:val="center"/>
              <w:rPr>
                <w:rFonts w:asciiTheme="majorHAnsi" w:hAnsiTheme="majorHAnsi" w:cstheme="majorHAnsi"/>
                <w:b w:val="0"/>
                <w:bCs w:val="0"/>
                <w:sz w:val="24"/>
                <w:szCs w:val="24"/>
              </w:rPr>
            </w:pPr>
            <w:r w:rsidRPr="00371855">
              <w:rPr>
                <w:rFonts w:asciiTheme="majorHAnsi" w:hAnsiTheme="majorHAnsi" w:cstheme="majorHAnsi"/>
                <w:sz w:val="24"/>
                <w:szCs w:val="24"/>
              </w:rPr>
              <w:t>Rol</w:t>
            </w:r>
          </w:p>
        </w:tc>
        <w:tc>
          <w:tcPr>
            <w:tcW w:w="4414" w:type="dxa"/>
          </w:tcPr>
          <w:p w14:paraId="42746C60" w14:textId="77777777" w:rsidR="00520DBF" w:rsidRPr="00371855" w:rsidRDefault="00520DBF">
            <w:pPr>
              <w:autoSpaceDE w:val="0"/>
              <w:autoSpaceDN w:val="0"/>
              <w:adjustRightInd w:val="0"/>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sz w:val="24"/>
                <w:szCs w:val="24"/>
              </w:rPr>
            </w:pPr>
            <w:r w:rsidRPr="00371855">
              <w:rPr>
                <w:rFonts w:asciiTheme="majorHAnsi" w:hAnsiTheme="majorHAnsi" w:cstheme="majorHAnsi"/>
                <w:sz w:val="24"/>
                <w:szCs w:val="24"/>
              </w:rPr>
              <w:t>Responsabilidad/Autoridad</w:t>
            </w:r>
          </w:p>
        </w:tc>
      </w:tr>
      <w:tr w:rsidR="00520DBF" w:rsidRPr="00371855" w14:paraId="1375AB79" w14:textId="77777777" w:rsidTr="007F36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shd w:val="clear" w:color="auto" w:fill="auto"/>
            <w:vAlign w:val="center"/>
          </w:tcPr>
          <w:p w14:paraId="313CD722" w14:textId="77777777" w:rsidR="00520DBF" w:rsidRPr="00371855" w:rsidRDefault="00520DBF" w:rsidP="007F36AE">
            <w:pPr>
              <w:autoSpaceDE w:val="0"/>
              <w:autoSpaceDN w:val="0"/>
              <w:adjustRightInd w:val="0"/>
              <w:spacing w:after="0" w:line="240" w:lineRule="auto"/>
              <w:rPr>
                <w:rFonts w:asciiTheme="majorHAnsi" w:hAnsiTheme="majorHAnsi" w:cstheme="majorHAnsi"/>
                <w:sz w:val="24"/>
                <w:szCs w:val="24"/>
              </w:rPr>
            </w:pPr>
            <w:r w:rsidRPr="00371855">
              <w:rPr>
                <w:rFonts w:asciiTheme="majorHAnsi" w:hAnsiTheme="majorHAnsi" w:cstheme="majorHAnsi"/>
                <w:sz w:val="24"/>
                <w:szCs w:val="24"/>
              </w:rPr>
              <w:t>Director(a) de le Dirección de Planeación y Direccionamiento Corporativo</w:t>
            </w:r>
          </w:p>
        </w:tc>
        <w:tc>
          <w:tcPr>
            <w:tcW w:w="4414" w:type="dxa"/>
            <w:shd w:val="clear" w:color="auto" w:fill="auto"/>
          </w:tcPr>
          <w:p w14:paraId="0615F571" w14:textId="77777777" w:rsidR="00520DBF" w:rsidRPr="00371855" w:rsidRDefault="00520DBF">
            <w:pPr>
              <w:autoSpaceDE w:val="0"/>
              <w:autoSpaceDN w:val="0"/>
              <w:adjustRightInd w:val="0"/>
              <w:spacing w:after="0" w:line="24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371855">
              <w:rPr>
                <w:rFonts w:asciiTheme="majorHAnsi" w:hAnsiTheme="majorHAnsi" w:cstheme="majorHAnsi"/>
                <w:sz w:val="24"/>
                <w:szCs w:val="24"/>
              </w:rPr>
              <w:t>Autoridad para aprobar las sedes a nivel nacional a las que se les realizará la revisión energética en cada vigencia.</w:t>
            </w:r>
          </w:p>
        </w:tc>
      </w:tr>
      <w:tr w:rsidR="00520DBF" w:rsidRPr="00371855" w14:paraId="19191ABC" w14:textId="77777777" w:rsidTr="007F36AE">
        <w:tc>
          <w:tcPr>
            <w:cnfStyle w:val="001000000000" w:firstRow="0" w:lastRow="0" w:firstColumn="1" w:lastColumn="0" w:oddVBand="0" w:evenVBand="0" w:oddHBand="0" w:evenHBand="0" w:firstRowFirstColumn="0" w:firstRowLastColumn="0" w:lastRowFirstColumn="0" w:lastRowLastColumn="0"/>
            <w:tcW w:w="4414" w:type="dxa"/>
            <w:vAlign w:val="center"/>
          </w:tcPr>
          <w:p w14:paraId="243FF602" w14:textId="77777777" w:rsidR="00520DBF" w:rsidRPr="00371855" w:rsidRDefault="00520DBF" w:rsidP="007F36AE">
            <w:pPr>
              <w:autoSpaceDE w:val="0"/>
              <w:autoSpaceDN w:val="0"/>
              <w:adjustRightInd w:val="0"/>
              <w:spacing w:after="0" w:line="240" w:lineRule="auto"/>
              <w:rPr>
                <w:rFonts w:asciiTheme="majorHAnsi" w:hAnsiTheme="majorHAnsi" w:cstheme="majorHAnsi"/>
                <w:sz w:val="24"/>
                <w:szCs w:val="24"/>
              </w:rPr>
            </w:pPr>
            <w:r w:rsidRPr="00371855">
              <w:rPr>
                <w:rFonts w:asciiTheme="majorHAnsi" w:hAnsiTheme="majorHAnsi" w:cstheme="majorHAnsi"/>
                <w:sz w:val="24"/>
                <w:szCs w:val="24"/>
              </w:rPr>
              <w:t>Director(a) de la Dirección Administrativa y Financiera</w:t>
            </w:r>
          </w:p>
        </w:tc>
        <w:tc>
          <w:tcPr>
            <w:tcW w:w="4414" w:type="dxa"/>
          </w:tcPr>
          <w:p w14:paraId="44CD7548" w14:textId="77777777" w:rsidR="00520DBF" w:rsidRPr="00371855" w:rsidRDefault="00520DBF">
            <w:p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371855">
              <w:rPr>
                <w:rFonts w:asciiTheme="majorHAnsi" w:hAnsiTheme="majorHAnsi" w:cstheme="majorHAnsi"/>
                <w:sz w:val="24"/>
                <w:szCs w:val="24"/>
              </w:rPr>
              <w:t>Asignar recursos, según disponibilidad presupuesta, para el desarrollo de la revisión energética en las sedes.</w:t>
            </w:r>
          </w:p>
        </w:tc>
      </w:tr>
      <w:tr w:rsidR="00520DBF" w:rsidRPr="00371855" w14:paraId="26E840CE" w14:textId="77777777" w:rsidTr="007F36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shd w:val="clear" w:color="auto" w:fill="auto"/>
            <w:vAlign w:val="center"/>
          </w:tcPr>
          <w:p w14:paraId="73234E06" w14:textId="77777777" w:rsidR="00520DBF" w:rsidRPr="00371855" w:rsidRDefault="00520DBF" w:rsidP="007F36AE">
            <w:pPr>
              <w:autoSpaceDE w:val="0"/>
              <w:autoSpaceDN w:val="0"/>
              <w:adjustRightInd w:val="0"/>
              <w:spacing w:after="0" w:line="240" w:lineRule="auto"/>
              <w:rPr>
                <w:rFonts w:asciiTheme="majorHAnsi" w:hAnsiTheme="majorHAnsi" w:cstheme="majorHAnsi"/>
                <w:sz w:val="24"/>
                <w:szCs w:val="24"/>
              </w:rPr>
            </w:pPr>
            <w:r w:rsidRPr="00371855">
              <w:rPr>
                <w:rFonts w:asciiTheme="majorHAnsi" w:hAnsiTheme="majorHAnsi" w:cstheme="majorHAnsi"/>
                <w:sz w:val="24"/>
                <w:szCs w:val="24"/>
              </w:rPr>
              <w:t>Dinamizador (a) Nacional Ambiental y de Energía</w:t>
            </w:r>
          </w:p>
        </w:tc>
        <w:tc>
          <w:tcPr>
            <w:tcW w:w="4414" w:type="dxa"/>
            <w:shd w:val="clear" w:color="auto" w:fill="auto"/>
          </w:tcPr>
          <w:p w14:paraId="2C753112" w14:textId="24294F2B" w:rsidR="00520DBF" w:rsidRPr="00371855" w:rsidRDefault="00130323">
            <w:pPr>
              <w:autoSpaceDE w:val="0"/>
              <w:autoSpaceDN w:val="0"/>
              <w:adjustRightInd w:val="0"/>
              <w:spacing w:after="0" w:line="24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Pr>
                <w:rFonts w:asciiTheme="majorHAnsi" w:hAnsiTheme="majorHAnsi" w:cstheme="majorHAnsi"/>
                <w:sz w:val="24"/>
                <w:szCs w:val="24"/>
              </w:rPr>
              <w:t>Validar la lista de</w:t>
            </w:r>
            <w:r w:rsidR="00520DBF" w:rsidRPr="00371855">
              <w:rPr>
                <w:rFonts w:asciiTheme="majorHAnsi" w:hAnsiTheme="majorHAnsi" w:cstheme="majorHAnsi"/>
                <w:sz w:val="24"/>
                <w:szCs w:val="24"/>
              </w:rPr>
              <w:t xml:space="preserve"> sedes a las que se les realizará la revisión energética cada año.</w:t>
            </w:r>
          </w:p>
        </w:tc>
      </w:tr>
      <w:tr w:rsidR="00520DBF" w:rsidRPr="00371855" w14:paraId="56875CDC" w14:textId="77777777" w:rsidTr="007F36AE">
        <w:tc>
          <w:tcPr>
            <w:cnfStyle w:val="001000000000" w:firstRow="0" w:lastRow="0" w:firstColumn="1" w:lastColumn="0" w:oddVBand="0" w:evenVBand="0" w:oddHBand="0" w:evenHBand="0" w:firstRowFirstColumn="0" w:firstRowLastColumn="0" w:lastRowFirstColumn="0" w:lastRowLastColumn="0"/>
            <w:tcW w:w="4414" w:type="dxa"/>
            <w:vAlign w:val="center"/>
          </w:tcPr>
          <w:p w14:paraId="370ADA54" w14:textId="4B3D14FF" w:rsidR="00520DBF" w:rsidRPr="00371855" w:rsidRDefault="001E129C" w:rsidP="007F36AE">
            <w:p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Especialis</w:t>
            </w:r>
            <w:r w:rsidR="0020630C">
              <w:rPr>
                <w:rFonts w:asciiTheme="majorHAnsi" w:hAnsiTheme="majorHAnsi" w:cstheme="majorHAnsi"/>
                <w:sz w:val="24"/>
                <w:szCs w:val="24"/>
              </w:rPr>
              <w:t>ta Nacional de Energía</w:t>
            </w:r>
          </w:p>
        </w:tc>
        <w:tc>
          <w:tcPr>
            <w:tcW w:w="4414" w:type="dxa"/>
          </w:tcPr>
          <w:p w14:paraId="001D1CC1" w14:textId="71348DAD" w:rsidR="00896683" w:rsidRDefault="000F0BB1">
            <w:p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371855">
              <w:rPr>
                <w:rFonts w:asciiTheme="majorHAnsi" w:hAnsiTheme="majorHAnsi" w:cstheme="majorHAnsi"/>
                <w:sz w:val="24"/>
                <w:szCs w:val="24"/>
              </w:rPr>
              <w:t>Proponer las sedes a las que se les realizará la revisión energética cada año.</w:t>
            </w:r>
          </w:p>
          <w:p w14:paraId="1D3B4A5D" w14:textId="77777777" w:rsidR="00896683" w:rsidRDefault="00896683">
            <w:p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p>
          <w:p w14:paraId="3666AAE6" w14:textId="77E4BD33" w:rsidR="00520DBF" w:rsidRPr="00371855" w:rsidRDefault="00520DBF">
            <w:p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pacing w:val="2"/>
                <w:sz w:val="24"/>
                <w:szCs w:val="24"/>
                <w:lang w:val="es-ES"/>
              </w:rPr>
            </w:pPr>
            <w:r w:rsidRPr="00371855">
              <w:rPr>
                <w:rFonts w:asciiTheme="majorHAnsi" w:hAnsiTheme="majorHAnsi" w:cstheme="majorHAnsi"/>
                <w:sz w:val="24"/>
                <w:szCs w:val="24"/>
              </w:rPr>
              <w:t>Establecer lineamientos</w:t>
            </w:r>
            <w:r w:rsidRPr="00371855">
              <w:rPr>
                <w:rFonts w:asciiTheme="majorHAnsi" w:hAnsiTheme="majorHAnsi" w:cstheme="majorHAnsi"/>
                <w:spacing w:val="2"/>
                <w:sz w:val="24"/>
                <w:szCs w:val="24"/>
                <w:lang w:val="es-ES"/>
              </w:rPr>
              <w:t>, métodos y criterios necesarios para contratar y ejecutar las actividades de revisión energética a nivel nacional.</w:t>
            </w:r>
          </w:p>
          <w:p w14:paraId="68A192DB" w14:textId="77777777" w:rsidR="00520DBF" w:rsidRDefault="00520DBF">
            <w:p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371855">
              <w:rPr>
                <w:rFonts w:asciiTheme="majorHAnsi" w:hAnsiTheme="majorHAnsi" w:cstheme="majorHAnsi"/>
                <w:sz w:val="24"/>
                <w:szCs w:val="24"/>
              </w:rPr>
              <w:t>Realizar seguimiento a la implementación y verificación del desarrollo de las revisiones energéticas, de acuerdo con el procedimiento establecido desde la Dirección general.</w:t>
            </w:r>
          </w:p>
          <w:p w14:paraId="2421A908" w14:textId="77777777" w:rsidR="00FA39A0" w:rsidRDefault="00FA39A0">
            <w:p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p>
          <w:p w14:paraId="101F58CF" w14:textId="7501732A" w:rsidR="00006656" w:rsidRPr="00006656" w:rsidRDefault="00006656" w:rsidP="00006656">
            <w:p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Pr>
                <w:rFonts w:asciiTheme="majorHAnsi" w:hAnsiTheme="majorHAnsi" w:cstheme="majorHAnsi"/>
                <w:sz w:val="24"/>
                <w:szCs w:val="24"/>
              </w:rPr>
              <w:t>Realizar y p</w:t>
            </w:r>
            <w:r w:rsidRPr="00006656">
              <w:rPr>
                <w:rFonts w:asciiTheme="majorHAnsi" w:hAnsiTheme="majorHAnsi" w:cstheme="majorHAnsi"/>
                <w:sz w:val="24"/>
                <w:szCs w:val="24"/>
              </w:rPr>
              <w:t xml:space="preserve">resentar ante la </w:t>
            </w:r>
            <w:r>
              <w:rPr>
                <w:rFonts w:asciiTheme="majorHAnsi" w:hAnsiTheme="majorHAnsi" w:cstheme="majorHAnsi"/>
                <w:sz w:val="24"/>
                <w:szCs w:val="24"/>
              </w:rPr>
              <w:t xml:space="preserve">Unidad de Planeación </w:t>
            </w:r>
            <w:r w:rsidR="00897BBC">
              <w:rPr>
                <w:rFonts w:asciiTheme="majorHAnsi" w:hAnsiTheme="majorHAnsi" w:cstheme="majorHAnsi"/>
                <w:sz w:val="24"/>
                <w:szCs w:val="24"/>
              </w:rPr>
              <w:t>Minero-Energética</w:t>
            </w:r>
            <w:r>
              <w:rPr>
                <w:rFonts w:asciiTheme="majorHAnsi" w:hAnsiTheme="majorHAnsi" w:cstheme="majorHAnsi"/>
                <w:sz w:val="24"/>
                <w:szCs w:val="24"/>
              </w:rPr>
              <w:t xml:space="preserve"> (UPME)</w:t>
            </w:r>
            <w:r w:rsidRPr="00006656">
              <w:rPr>
                <w:rFonts w:asciiTheme="majorHAnsi" w:hAnsiTheme="majorHAnsi" w:cstheme="majorHAnsi"/>
                <w:sz w:val="24"/>
                <w:szCs w:val="24"/>
              </w:rPr>
              <w:t xml:space="preserve">, </w:t>
            </w:r>
            <w:r w:rsidR="00897BBC">
              <w:rPr>
                <w:rFonts w:asciiTheme="majorHAnsi" w:hAnsiTheme="majorHAnsi" w:cstheme="majorHAnsi"/>
                <w:sz w:val="24"/>
                <w:szCs w:val="24"/>
              </w:rPr>
              <w:t>un</w:t>
            </w:r>
            <w:r w:rsidRPr="00006656">
              <w:rPr>
                <w:rFonts w:asciiTheme="majorHAnsi" w:hAnsiTheme="majorHAnsi" w:cstheme="majorHAnsi"/>
                <w:sz w:val="24"/>
                <w:szCs w:val="24"/>
              </w:rPr>
              <w:t xml:space="preserve"> informe de las</w:t>
            </w:r>
            <w:r w:rsidR="00B81D5E">
              <w:rPr>
                <w:rFonts w:asciiTheme="majorHAnsi" w:hAnsiTheme="majorHAnsi" w:cstheme="majorHAnsi"/>
                <w:sz w:val="24"/>
                <w:szCs w:val="24"/>
              </w:rPr>
              <w:t xml:space="preserve"> revisiones energéticas</w:t>
            </w:r>
            <w:r w:rsidR="00897BBC">
              <w:rPr>
                <w:rFonts w:asciiTheme="majorHAnsi" w:hAnsiTheme="majorHAnsi" w:cstheme="majorHAnsi"/>
                <w:sz w:val="24"/>
                <w:szCs w:val="24"/>
              </w:rPr>
              <w:t xml:space="preserve"> a nivel nacional</w:t>
            </w:r>
            <w:r w:rsidRPr="00006656">
              <w:rPr>
                <w:rFonts w:asciiTheme="majorHAnsi" w:hAnsiTheme="majorHAnsi" w:cstheme="majorHAnsi"/>
                <w:sz w:val="24"/>
                <w:szCs w:val="24"/>
              </w:rPr>
              <w:t xml:space="preserve"> y los</w:t>
            </w:r>
            <w:r w:rsidR="00897BBC">
              <w:rPr>
                <w:rFonts w:asciiTheme="majorHAnsi" w:hAnsiTheme="majorHAnsi" w:cstheme="majorHAnsi"/>
                <w:sz w:val="24"/>
                <w:szCs w:val="24"/>
              </w:rPr>
              <w:t xml:space="preserve"> </w:t>
            </w:r>
            <w:r w:rsidRPr="00006656">
              <w:rPr>
                <w:rFonts w:asciiTheme="majorHAnsi" w:hAnsiTheme="majorHAnsi" w:cstheme="majorHAnsi"/>
                <w:sz w:val="24"/>
                <w:szCs w:val="24"/>
              </w:rPr>
              <w:t>resultados de la implementación de las medidas de eficiencia energética, de acuerdo con</w:t>
            </w:r>
          </w:p>
          <w:p w14:paraId="1BB6FFFD" w14:textId="1D9EB76C" w:rsidR="00FA39A0" w:rsidRPr="00371855" w:rsidRDefault="00006656" w:rsidP="00006656">
            <w:p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006656">
              <w:rPr>
                <w:rFonts w:asciiTheme="majorHAnsi" w:hAnsiTheme="majorHAnsi" w:cstheme="majorHAnsi"/>
                <w:sz w:val="24"/>
                <w:szCs w:val="24"/>
              </w:rPr>
              <w:lastRenderedPageBreak/>
              <w:t>el procedimiento, plazo, contenido y formatos que la UPME determine vía circular.</w:t>
            </w:r>
          </w:p>
        </w:tc>
      </w:tr>
      <w:tr w:rsidR="00520DBF" w:rsidRPr="00371855" w14:paraId="4BFEE296" w14:textId="77777777" w:rsidTr="007F36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shd w:val="clear" w:color="auto" w:fill="auto"/>
            <w:vAlign w:val="center"/>
          </w:tcPr>
          <w:p w14:paraId="2202367F" w14:textId="37A3F8C4" w:rsidR="00520DBF" w:rsidRPr="00371855" w:rsidRDefault="00520DBF" w:rsidP="007F36AE">
            <w:pPr>
              <w:autoSpaceDE w:val="0"/>
              <w:autoSpaceDN w:val="0"/>
              <w:adjustRightInd w:val="0"/>
              <w:spacing w:after="0" w:line="240" w:lineRule="auto"/>
              <w:rPr>
                <w:rFonts w:asciiTheme="majorHAnsi" w:hAnsiTheme="majorHAnsi" w:cstheme="majorHAnsi"/>
                <w:sz w:val="24"/>
                <w:szCs w:val="24"/>
                <w:highlight w:val="yellow"/>
              </w:rPr>
            </w:pPr>
            <w:r w:rsidRPr="00371855">
              <w:rPr>
                <w:rFonts w:asciiTheme="majorHAnsi" w:hAnsiTheme="majorHAnsi" w:cstheme="majorHAnsi"/>
                <w:sz w:val="24"/>
                <w:szCs w:val="24"/>
              </w:rPr>
              <w:lastRenderedPageBreak/>
              <w:t>Director Regional /subdirector de centro de formación</w:t>
            </w:r>
          </w:p>
        </w:tc>
        <w:tc>
          <w:tcPr>
            <w:tcW w:w="4414" w:type="dxa"/>
            <w:shd w:val="clear" w:color="auto" w:fill="auto"/>
          </w:tcPr>
          <w:p w14:paraId="49F1600E" w14:textId="77777777" w:rsidR="00520DBF" w:rsidRPr="00371855" w:rsidRDefault="00520DBF">
            <w:pPr>
              <w:autoSpaceDE w:val="0"/>
              <w:autoSpaceDN w:val="0"/>
              <w:adjustRightInd w:val="0"/>
              <w:spacing w:after="0" w:line="24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sz w:val="24"/>
                <w:szCs w:val="24"/>
                <w:highlight w:val="yellow"/>
              </w:rPr>
            </w:pPr>
            <w:r w:rsidRPr="00371855">
              <w:rPr>
                <w:rFonts w:asciiTheme="majorHAnsi" w:hAnsiTheme="majorHAnsi" w:cstheme="majorBidi"/>
                <w:sz w:val="24"/>
                <w:szCs w:val="24"/>
              </w:rPr>
              <w:t xml:space="preserve">Contratar y supervisar (apoyados en personal técnico del centro y dinamizadores ambientales y energéticos de la Regional, Centro o Sede) el desarrollo de la revisión energética, teniendo en cuenta el </w:t>
            </w:r>
            <w:r w:rsidRPr="00371855">
              <w:rPr>
                <w:rFonts w:asciiTheme="majorHAnsi" w:hAnsiTheme="majorHAnsi" w:cstheme="majorBidi"/>
                <w:b/>
                <w:bCs/>
                <w:i/>
                <w:iCs/>
                <w:sz w:val="24"/>
                <w:szCs w:val="24"/>
              </w:rPr>
              <w:t>Procedimiento</w:t>
            </w:r>
            <w:r w:rsidRPr="00371855">
              <w:rPr>
                <w:rFonts w:asciiTheme="majorHAnsi" w:hAnsiTheme="majorHAnsi" w:cstheme="majorBidi"/>
                <w:sz w:val="24"/>
                <w:szCs w:val="24"/>
              </w:rPr>
              <w:t xml:space="preserve"> descrito en este documento. </w:t>
            </w:r>
          </w:p>
        </w:tc>
      </w:tr>
      <w:tr w:rsidR="00FE31C7" w:rsidRPr="00371855" w14:paraId="65465435" w14:textId="77777777" w:rsidTr="007F36AE">
        <w:tc>
          <w:tcPr>
            <w:cnfStyle w:val="001000000000" w:firstRow="0" w:lastRow="0" w:firstColumn="1" w:lastColumn="0" w:oddVBand="0" w:evenVBand="0" w:oddHBand="0" w:evenHBand="0" w:firstRowFirstColumn="0" w:firstRowLastColumn="0" w:lastRowFirstColumn="0" w:lastRowLastColumn="0"/>
            <w:tcW w:w="4414" w:type="dxa"/>
            <w:vAlign w:val="center"/>
          </w:tcPr>
          <w:p w14:paraId="177FC488" w14:textId="4E2704A0" w:rsidR="00FE31C7" w:rsidRPr="00371855" w:rsidRDefault="00B561FB" w:rsidP="007F36AE">
            <w:p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Gestor energético</w:t>
            </w:r>
          </w:p>
        </w:tc>
        <w:tc>
          <w:tcPr>
            <w:tcW w:w="4414" w:type="dxa"/>
          </w:tcPr>
          <w:p w14:paraId="1BA35D7D" w14:textId="77534E67" w:rsidR="00FE31C7" w:rsidRPr="00371855" w:rsidRDefault="00C95542">
            <w:p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4"/>
                <w:szCs w:val="24"/>
              </w:rPr>
            </w:pPr>
            <w:r>
              <w:rPr>
                <w:rFonts w:asciiTheme="majorHAnsi" w:hAnsiTheme="majorHAnsi" w:cstheme="majorBidi"/>
                <w:sz w:val="24"/>
                <w:szCs w:val="24"/>
              </w:rPr>
              <w:t>Promover</w:t>
            </w:r>
            <w:r w:rsidR="00AF0199">
              <w:rPr>
                <w:rFonts w:asciiTheme="majorHAnsi" w:hAnsiTheme="majorHAnsi" w:cstheme="majorBidi"/>
                <w:sz w:val="24"/>
                <w:szCs w:val="24"/>
              </w:rPr>
              <w:t xml:space="preserve"> </w:t>
            </w:r>
            <w:r>
              <w:rPr>
                <w:rFonts w:asciiTheme="majorHAnsi" w:hAnsiTheme="majorHAnsi" w:cstheme="majorBidi"/>
                <w:sz w:val="24"/>
                <w:szCs w:val="24"/>
              </w:rPr>
              <w:t xml:space="preserve">la estructuración e implementación de los PGEE definidos </w:t>
            </w:r>
            <w:r w:rsidR="00C04D5F">
              <w:rPr>
                <w:rFonts w:asciiTheme="majorHAnsi" w:hAnsiTheme="majorHAnsi" w:cstheme="majorBidi"/>
                <w:sz w:val="24"/>
                <w:szCs w:val="24"/>
              </w:rPr>
              <w:t>como resultado de las revisiones energéticas.</w:t>
            </w:r>
          </w:p>
        </w:tc>
      </w:tr>
      <w:tr w:rsidR="00520DBF" w:rsidRPr="00371855" w14:paraId="27ABB14F" w14:textId="77777777" w:rsidTr="00BF52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shd w:val="clear" w:color="auto" w:fill="auto"/>
            <w:vAlign w:val="center"/>
          </w:tcPr>
          <w:p w14:paraId="0C4764BE" w14:textId="77777777" w:rsidR="00520DBF" w:rsidRPr="00371855" w:rsidRDefault="00520DBF" w:rsidP="007F36AE">
            <w:pPr>
              <w:autoSpaceDE w:val="0"/>
              <w:autoSpaceDN w:val="0"/>
              <w:adjustRightInd w:val="0"/>
              <w:spacing w:after="0" w:line="240" w:lineRule="auto"/>
              <w:rPr>
                <w:rFonts w:asciiTheme="majorHAnsi" w:hAnsiTheme="majorHAnsi" w:cstheme="majorHAnsi"/>
                <w:sz w:val="24"/>
                <w:szCs w:val="24"/>
              </w:rPr>
            </w:pPr>
            <w:r w:rsidRPr="00371855">
              <w:rPr>
                <w:rFonts w:asciiTheme="majorHAnsi" w:hAnsiTheme="majorHAnsi" w:cstheme="majorHAnsi"/>
                <w:sz w:val="24"/>
                <w:szCs w:val="24"/>
              </w:rPr>
              <w:t>Dinamizador ambiental y/o SIGA Regional / Dinamizador SIGA con responsabilidades ambientales – energéticas / Dinamizador Ambiental – energético / Dinamizador Ambiental – energético MC</w:t>
            </w:r>
          </w:p>
        </w:tc>
        <w:tc>
          <w:tcPr>
            <w:tcW w:w="4414" w:type="dxa"/>
            <w:shd w:val="clear" w:color="auto" w:fill="auto"/>
          </w:tcPr>
          <w:p w14:paraId="29F0951B" w14:textId="72ACCAC6" w:rsidR="00520DBF" w:rsidRPr="00371855" w:rsidRDefault="00520DBF">
            <w:pPr>
              <w:autoSpaceDE w:val="0"/>
              <w:autoSpaceDN w:val="0"/>
              <w:adjustRightInd w:val="0"/>
              <w:spacing w:after="0" w:line="24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371855">
              <w:rPr>
                <w:rFonts w:asciiTheme="majorHAnsi" w:hAnsiTheme="majorHAnsi" w:cstheme="majorHAnsi"/>
                <w:sz w:val="24"/>
                <w:szCs w:val="24"/>
              </w:rPr>
              <w:t>Garantizar la</w:t>
            </w:r>
            <w:r w:rsidR="009F6A99">
              <w:rPr>
                <w:rFonts w:asciiTheme="majorHAnsi" w:hAnsiTheme="majorHAnsi" w:cstheme="majorHAnsi"/>
                <w:sz w:val="24"/>
                <w:szCs w:val="24"/>
              </w:rPr>
              <w:t xml:space="preserve"> aplicación</w:t>
            </w:r>
            <w:r w:rsidRPr="00371855">
              <w:rPr>
                <w:rFonts w:asciiTheme="majorHAnsi" w:hAnsiTheme="majorHAnsi" w:cstheme="majorHAnsi"/>
                <w:sz w:val="24"/>
                <w:szCs w:val="24"/>
              </w:rPr>
              <w:t xml:space="preserve"> de</w:t>
            </w:r>
            <w:r w:rsidR="009F6A99">
              <w:rPr>
                <w:rFonts w:asciiTheme="majorHAnsi" w:hAnsiTheme="majorHAnsi" w:cstheme="majorHAnsi"/>
                <w:sz w:val="24"/>
                <w:szCs w:val="24"/>
              </w:rPr>
              <w:t xml:space="preserve"> los</w:t>
            </w:r>
            <w:r w:rsidRPr="00371855">
              <w:rPr>
                <w:rFonts w:asciiTheme="majorHAnsi" w:hAnsiTheme="majorHAnsi" w:cstheme="majorHAnsi"/>
                <w:sz w:val="24"/>
                <w:szCs w:val="24"/>
              </w:rPr>
              <w:t xml:space="preserve"> criterios descritos en el presente documento como criterio de contratación </w:t>
            </w:r>
            <w:r w:rsidR="004359B9">
              <w:rPr>
                <w:rFonts w:asciiTheme="majorHAnsi" w:hAnsiTheme="majorHAnsi" w:cstheme="majorHAnsi"/>
                <w:sz w:val="24"/>
                <w:szCs w:val="24"/>
              </w:rPr>
              <w:t xml:space="preserve">y ejecución </w:t>
            </w:r>
            <w:r w:rsidRPr="00371855">
              <w:rPr>
                <w:rFonts w:asciiTheme="majorHAnsi" w:hAnsiTheme="majorHAnsi" w:cstheme="majorHAnsi"/>
                <w:sz w:val="24"/>
                <w:szCs w:val="24"/>
              </w:rPr>
              <w:t xml:space="preserve">de </w:t>
            </w:r>
            <w:r w:rsidR="004359B9">
              <w:rPr>
                <w:rFonts w:asciiTheme="majorHAnsi" w:hAnsiTheme="majorHAnsi" w:cstheme="majorHAnsi"/>
                <w:sz w:val="24"/>
                <w:szCs w:val="24"/>
              </w:rPr>
              <w:t xml:space="preserve">la </w:t>
            </w:r>
            <w:r w:rsidRPr="00371855">
              <w:rPr>
                <w:rFonts w:asciiTheme="majorHAnsi" w:hAnsiTheme="majorHAnsi" w:cstheme="majorHAnsi"/>
                <w:sz w:val="24"/>
                <w:szCs w:val="24"/>
              </w:rPr>
              <w:t xml:space="preserve">revisión energética. </w:t>
            </w:r>
          </w:p>
          <w:p w14:paraId="0D94FC9C" w14:textId="77777777" w:rsidR="00520DBF" w:rsidRPr="00371855" w:rsidRDefault="00520DBF">
            <w:pPr>
              <w:autoSpaceDE w:val="0"/>
              <w:autoSpaceDN w:val="0"/>
              <w:adjustRightInd w:val="0"/>
              <w:spacing w:after="0" w:line="240" w:lineRule="auto"/>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p>
        </w:tc>
      </w:tr>
      <w:tr w:rsidR="00520DBF" w:rsidRPr="00371855" w14:paraId="65E235F1" w14:textId="77777777" w:rsidTr="007F36AE">
        <w:tc>
          <w:tcPr>
            <w:cnfStyle w:val="001000000000" w:firstRow="0" w:lastRow="0" w:firstColumn="1" w:lastColumn="0" w:oddVBand="0" w:evenVBand="0" w:oddHBand="0" w:evenHBand="0" w:firstRowFirstColumn="0" w:firstRowLastColumn="0" w:lastRowFirstColumn="0" w:lastRowLastColumn="0"/>
            <w:tcW w:w="4414" w:type="dxa"/>
            <w:vAlign w:val="center"/>
          </w:tcPr>
          <w:p w14:paraId="00BDE5DD" w14:textId="288B5923" w:rsidR="00520DBF" w:rsidRPr="00371855" w:rsidRDefault="00520DBF" w:rsidP="007F36AE">
            <w:pPr>
              <w:autoSpaceDE w:val="0"/>
              <w:autoSpaceDN w:val="0"/>
              <w:adjustRightInd w:val="0"/>
              <w:spacing w:after="0" w:line="240" w:lineRule="auto"/>
              <w:rPr>
                <w:rFonts w:asciiTheme="majorHAnsi" w:hAnsiTheme="majorHAnsi" w:cstheme="majorHAnsi"/>
                <w:sz w:val="24"/>
                <w:szCs w:val="24"/>
              </w:rPr>
            </w:pPr>
            <w:r w:rsidRPr="00371855">
              <w:rPr>
                <w:rFonts w:asciiTheme="majorHAnsi" w:hAnsiTheme="majorHAnsi" w:cstheme="majorHAnsi"/>
                <w:sz w:val="24"/>
                <w:szCs w:val="24"/>
              </w:rPr>
              <w:t>Equipo de Energía de sede.</w:t>
            </w:r>
          </w:p>
          <w:p w14:paraId="102811AD" w14:textId="77777777" w:rsidR="00520DBF" w:rsidRPr="00371855" w:rsidRDefault="00520DBF" w:rsidP="007F36AE">
            <w:pPr>
              <w:autoSpaceDE w:val="0"/>
              <w:autoSpaceDN w:val="0"/>
              <w:adjustRightInd w:val="0"/>
              <w:spacing w:after="0" w:line="240" w:lineRule="auto"/>
              <w:rPr>
                <w:rFonts w:asciiTheme="majorHAnsi" w:hAnsiTheme="majorHAnsi" w:cstheme="majorHAnsi"/>
                <w:sz w:val="24"/>
                <w:szCs w:val="24"/>
              </w:rPr>
            </w:pPr>
          </w:p>
        </w:tc>
        <w:tc>
          <w:tcPr>
            <w:tcW w:w="4414" w:type="dxa"/>
          </w:tcPr>
          <w:p w14:paraId="6C3ACAC6" w14:textId="77777777" w:rsidR="00520DBF" w:rsidRPr="00371855" w:rsidRDefault="00520DBF">
            <w:p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sz w:val="24"/>
                <w:szCs w:val="24"/>
              </w:rPr>
            </w:pPr>
            <w:r w:rsidRPr="00371855">
              <w:rPr>
                <w:rFonts w:asciiTheme="majorHAnsi" w:hAnsiTheme="majorHAnsi" w:cstheme="majorBidi"/>
                <w:sz w:val="24"/>
                <w:szCs w:val="24"/>
              </w:rPr>
              <w:t>Recibir socialización de los resultados del desarrollo de la revisión energética según lo establecido en el Instructivo de Revisión Energética.</w:t>
            </w:r>
          </w:p>
          <w:p w14:paraId="26820ABA" w14:textId="77777777" w:rsidR="00520DBF" w:rsidRPr="00371855" w:rsidRDefault="00520DBF">
            <w:p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371855">
              <w:rPr>
                <w:rFonts w:asciiTheme="majorHAnsi" w:hAnsiTheme="majorHAnsi" w:cstheme="majorHAnsi"/>
                <w:sz w:val="24"/>
                <w:szCs w:val="24"/>
              </w:rPr>
              <w:t>Verificar informe, y formatos entregados.</w:t>
            </w:r>
          </w:p>
        </w:tc>
      </w:tr>
    </w:tbl>
    <w:p w14:paraId="4F74FE96" w14:textId="77777777" w:rsidR="006F69E2" w:rsidRPr="006F69E2" w:rsidRDefault="006F69E2" w:rsidP="006F69E2">
      <w:pPr>
        <w:pStyle w:val="Textoindependiente"/>
        <w:jc w:val="both"/>
      </w:pPr>
    </w:p>
    <w:p w14:paraId="11FC3558" w14:textId="77777777" w:rsidR="009F4403" w:rsidRPr="004A17E5" w:rsidRDefault="009F4403" w:rsidP="009F4403">
      <w:pPr>
        <w:pStyle w:val="Ttulo1"/>
        <w:keepLines/>
        <w:numPr>
          <w:ilvl w:val="0"/>
          <w:numId w:val="5"/>
        </w:numPr>
        <w:spacing w:before="100" w:beforeAutospacing="1" w:after="100" w:afterAutospacing="1"/>
        <w:jc w:val="both"/>
        <w:rPr>
          <w:rFonts w:asciiTheme="majorHAnsi" w:hAnsiTheme="majorHAnsi" w:cstheme="majorHAnsi"/>
          <w:b/>
          <w:bCs/>
          <w:color w:val="000000" w:themeColor="text1"/>
          <w:spacing w:val="2"/>
          <w:sz w:val="24"/>
        </w:rPr>
      </w:pPr>
      <w:bookmarkStart w:id="12" w:name="_Toc183363586"/>
      <w:r w:rsidRPr="004A17E5">
        <w:rPr>
          <w:rFonts w:asciiTheme="majorHAnsi" w:hAnsiTheme="majorHAnsi" w:cstheme="majorHAnsi"/>
          <w:b/>
          <w:bCs/>
          <w:color w:val="000000" w:themeColor="text1"/>
          <w:spacing w:val="2"/>
          <w:sz w:val="24"/>
        </w:rPr>
        <w:t>Contenido</w:t>
      </w:r>
      <w:bookmarkEnd w:id="12"/>
    </w:p>
    <w:p w14:paraId="4F15F9EF" w14:textId="077A1DAD" w:rsidR="005A3D28" w:rsidRDefault="005A3D28" w:rsidP="00E5000C">
      <w:pPr>
        <w:spacing w:line="360" w:lineRule="auto"/>
        <w:jc w:val="both"/>
        <w:rPr>
          <w:sz w:val="24"/>
          <w:szCs w:val="24"/>
        </w:rPr>
      </w:pPr>
      <w:r w:rsidRPr="005A3D28">
        <w:rPr>
          <w:sz w:val="24"/>
          <w:szCs w:val="24"/>
        </w:rPr>
        <w:t xml:space="preserve">Las revisiones energéticas en las sedes podrán ser realizadas por personas jurídicas, personas naturales externas o personal propio de la Entidad (de planta o contratista) que posean título profesional en Ingeniería Eléctrica, Ingeniería Electromecánica, Ingeniería Mecánica, Ingeniería Química, Ingeniería de Energía, Ingeniería Ambiental o Ingeniería Industrial. Asimismo, deberán contar con certificación como auditor interno en ISO 50001 </w:t>
      </w:r>
      <w:r w:rsidRPr="005A3D28">
        <w:rPr>
          <w:sz w:val="24"/>
          <w:szCs w:val="24"/>
        </w:rPr>
        <w:lastRenderedPageBreak/>
        <w:t>(versión vigente) o con un diploma nacional o internacional en Sistemas de Gestión de la Energía, auditorías energéticas o áreas afines.</w:t>
      </w:r>
    </w:p>
    <w:p w14:paraId="72D1360F" w14:textId="36733769" w:rsidR="003A57D7" w:rsidRDefault="003A57D7" w:rsidP="00E5000C">
      <w:pPr>
        <w:spacing w:line="360" w:lineRule="auto"/>
        <w:jc w:val="both"/>
        <w:rPr>
          <w:sz w:val="24"/>
          <w:szCs w:val="24"/>
        </w:rPr>
      </w:pPr>
      <w:r w:rsidRPr="003A57D7">
        <w:rPr>
          <w:sz w:val="24"/>
          <w:szCs w:val="24"/>
        </w:rPr>
        <w:t>Igualmente, deberán acreditar experiencia demostrable en al menos dos (2) revisiones energéticas (o auditorías energéticas) realizadas en cualquier sector de la economía —oficial, industrial, residencial, transporte o servicios— y contar con un mínimo de tres (3) años de experiencia en proyectos relacionados con eficiencia o gestión energética.</w:t>
      </w:r>
    </w:p>
    <w:p w14:paraId="280447BD" w14:textId="77777777" w:rsidR="001C429F" w:rsidRPr="001C429F" w:rsidRDefault="001C429F" w:rsidP="001C429F">
      <w:pPr>
        <w:spacing w:line="360" w:lineRule="auto"/>
        <w:jc w:val="both"/>
        <w:rPr>
          <w:sz w:val="24"/>
          <w:szCs w:val="24"/>
        </w:rPr>
      </w:pPr>
      <w:r w:rsidRPr="001C429F">
        <w:rPr>
          <w:sz w:val="24"/>
          <w:szCs w:val="24"/>
        </w:rPr>
        <w:t>Cuando la revisión energética sea ejecutada por una persona jurídica, el cumplimiento de los requisitos de certificación o formación en Sistemas de Gestión de la Energía deberá recaer en el personal técnico vinculado a dicha empresa.</w:t>
      </w:r>
    </w:p>
    <w:p w14:paraId="7D21807F" w14:textId="4740E178" w:rsidR="001C429F" w:rsidRDefault="001C429F" w:rsidP="001C429F">
      <w:pPr>
        <w:spacing w:line="360" w:lineRule="auto"/>
        <w:jc w:val="both"/>
        <w:rPr>
          <w:sz w:val="24"/>
          <w:szCs w:val="24"/>
        </w:rPr>
      </w:pPr>
      <w:r w:rsidRPr="001C429F">
        <w:rPr>
          <w:sz w:val="24"/>
          <w:szCs w:val="24"/>
        </w:rPr>
        <w:t>Las personas jurídicas o personas naturales externas para la realización de las revisiones energéticas en las sedes serán contratadas desde la Dirección General o desde cada sede, de acuerdo con el lineamiento en cada vigencia, verificando la idoneidad y veracidad de la información relacionada con la personal natural o jurídica, analizando por lo menos la siguiente información:</w:t>
      </w:r>
    </w:p>
    <w:p w14:paraId="4E1423B2" w14:textId="77777777" w:rsidR="005A3D28" w:rsidRDefault="005A3D28" w:rsidP="00E5000C">
      <w:pPr>
        <w:spacing w:line="360" w:lineRule="auto"/>
        <w:jc w:val="both"/>
        <w:rPr>
          <w:sz w:val="24"/>
          <w:szCs w:val="24"/>
        </w:rPr>
      </w:pPr>
    </w:p>
    <w:p w14:paraId="4348C1CE" w14:textId="1BAE9D05" w:rsidR="00DB515B" w:rsidRDefault="00DB515B" w:rsidP="00E5000C">
      <w:pPr>
        <w:pStyle w:val="Prrafodelista"/>
        <w:numPr>
          <w:ilvl w:val="0"/>
          <w:numId w:val="24"/>
        </w:numPr>
        <w:spacing w:line="360" w:lineRule="auto"/>
        <w:jc w:val="both"/>
        <w:rPr>
          <w:sz w:val="24"/>
          <w:szCs w:val="24"/>
        </w:rPr>
      </w:pPr>
      <w:r w:rsidRPr="00DB515B">
        <w:rPr>
          <w:sz w:val="24"/>
          <w:szCs w:val="24"/>
        </w:rPr>
        <w:t xml:space="preserve">Fotocopia de la cédula de ciudadanía, Registro Único Tributario — RUT </w:t>
      </w:r>
      <w:r w:rsidR="00256FE1">
        <w:rPr>
          <w:sz w:val="24"/>
          <w:szCs w:val="24"/>
        </w:rPr>
        <w:t>o</w:t>
      </w:r>
      <w:r w:rsidRPr="00DB515B">
        <w:rPr>
          <w:sz w:val="24"/>
          <w:szCs w:val="24"/>
        </w:rPr>
        <w:t xml:space="preserve"> certificado</w:t>
      </w:r>
      <w:r>
        <w:rPr>
          <w:sz w:val="24"/>
          <w:szCs w:val="24"/>
        </w:rPr>
        <w:t xml:space="preserve"> </w:t>
      </w:r>
      <w:r w:rsidRPr="00DB515B">
        <w:rPr>
          <w:sz w:val="24"/>
          <w:szCs w:val="24"/>
        </w:rPr>
        <w:t>de existencia y representación legal, Según corresponda.</w:t>
      </w:r>
    </w:p>
    <w:p w14:paraId="7646F6BA" w14:textId="77777777" w:rsidR="00DB515B" w:rsidRDefault="00DB515B" w:rsidP="00E5000C">
      <w:pPr>
        <w:pStyle w:val="Prrafodelista"/>
        <w:numPr>
          <w:ilvl w:val="0"/>
          <w:numId w:val="24"/>
        </w:numPr>
        <w:spacing w:line="360" w:lineRule="auto"/>
        <w:jc w:val="both"/>
        <w:rPr>
          <w:sz w:val="24"/>
          <w:szCs w:val="24"/>
        </w:rPr>
      </w:pPr>
      <w:r w:rsidRPr="00DB515B">
        <w:rPr>
          <w:sz w:val="24"/>
          <w:szCs w:val="24"/>
        </w:rPr>
        <w:t>Nombre completo o razón social.</w:t>
      </w:r>
    </w:p>
    <w:p w14:paraId="7AC1B098" w14:textId="2194F47A" w:rsidR="00DB024B" w:rsidRDefault="00DB515B" w:rsidP="00E5000C">
      <w:pPr>
        <w:pStyle w:val="Prrafodelista"/>
        <w:numPr>
          <w:ilvl w:val="0"/>
          <w:numId w:val="24"/>
        </w:numPr>
        <w:spacing w:line="360" w:lineRule="auto"/>
        <w:jc w:val="both"/>
        <w:rPr>
          <w:sz w:val="24"/>
          <w:szCs w:val="24"/>
        </w:rPr>
      </w:pPr>
      <w:r w:rsidRPr="00DB515B">
        <w:rPr>
          <w:sz w:val="24"/>
          <w:szCs w:val="24"/>
        </w:rPr>
        <w:t>Documento expedido por entidad, organización o institución que acredite la</w:t>
      </w:r>
      <w:r>
        <w:rPr>
          <w:sz w:val="24"/>
          <w:szCs w:val="24"/>
        </w:rPr>
        <w:t xml:space="preserve"> </w:t>
      </w:r>
      <w:r w:rsidRPr="00DB515B">
        <w:rPr>
          <w:sz w:val="24"/>
          <w:szCs w:val="24"/>
        </w:rPr>
        <w:t>formación, certificación</w:t>
      </w:r>
      <w:r>
        <w:rPr>
          <w:sz w:val="24"/>
          <w:szCs w:val="24"/>
        </w:rPr>
        <w:t xml:space="preserve"> </w:t>
      </w:r>
      <w:r w:rsidR="00DB024B">
        <w:rPr>
          <w:sz w:val="24"/>
          <w:szCs w:val="24"/>
        </w:rPr>
        <w:t>en auditor interno en la ISO 50001 versión vigente</w:t>
      </w:r>
      <w:r w:rsidRPr="00DB515B">
        <w:rPr>
          <w:sz w:val="24"/>
          <w:szCs w:val="24"/>
        </w:rPr>
        <w:t xml:space="preserve"> o diploma a nivel nacional o internacional en materia de</w:t>
      </w:r>
      <w:r>
        <w:rPr>
          <w:sz w:val="24"/>
          <w:szCs w:val="24"/>
        </w:rPr>
        <w:t xml:space="preserve"> </w:t>
      </w:r>
      <w:r w:rsidRPr="00DB515B">
        <w:rPr>
          <w:sz w:val="24"/>
          <w:szCs w:val="24"/>
        </w:rPr>
        <w:t xml:space="preserve">Sistemas de Gestión de Energía, </w:t>
      </w:r>
      <w:r w:rsidR="00041FE3" w:rsidRPr="00DB515B">
        <w:rPr>
          <w:sz w:val="24"/>
          <w:szCs w:val="24"/>
        </w:rPr>
        <w:t>Auditorías</w:t>
      </w:r>
      <w:r w:rsidRPr="00DB515B">
        <w:rPr>
          <w:sz w:val="24"/>
          <w:szCs w:val="24"/>
        </w:rPr>
        <w:t xml:space="preserve"> Energéticas o afines.</w:t>
      </w:r>
    </w:p>
    <w:p w14:paraId="43ECE98C" w14:textId="657D5879" w:rsidR="00446FCC" w:rsidRDefault="00446FCC" w:rsidP="009F4403">
      <w:pPr>
        <w:pStyle w:val="Prrafodelista"/>
        <w:numPr>
          <w:ilvl w:val="0"/>
          <w:numId w:val="24"/>
        </w:numPr>
        <w:spacing w:line="360" w:lineRule="auto"/>
        <w:jc w:val="both"/>
        <w:rPr>
          <w:sz w:val="24"/>
          <w:szCs w:val="24"/>
        </w:rPr>
      </w:pPr>
      <w:r w:rsidRPr="00446FCC">
        <w:rPr>
          <w:sz w:val="24"/>
          <w:szCs w:val="24"/>
        </w:rPr>
        <w:lastRenderedPageBreak/>
        <w:t xml:space="preserve">Certificación expedida por un tercero que acredite la experiencia mínima requerida en </w:t>
      </w:r>
      <w:r w:rsidR="008253C4" w:rsidRPr="00446FCC">
        <w:rPr>
          <w:sz w:val="24"/>
          <w:szCs w:val="24"/>
        </w:rPr>
        <w:t>revisiones o auditorías energéticas</w:t>
      </w:r>
      <w:r w:rsidRPr="00446FCC">
        <w:rPr>
          <w:sz w:val="24"/>
          <w:szCs w:val="24"/>
        </w:rPr>
        <w:t xml:space="preserve"> en algún sector de la demanda energética.</w:t>
      </w:r>
    </w:p>
    <w:p w14:paraId="68CCA549" w14:textId="6EDF2EE9" w:rsidR="00DD2597" w:rsidRPr="00894AE0" w:rsidRDefault="00041FE3" w:rsidP="00894AE0">
      <w:pPr>
        <w:spacing w:line="360" w:lineRule="auto"/>
        <w:jc w:val="both"/>
        <w:rPr>
          <w:sz w:val="24"/>
          <w:szCs w:val="24"/>
        </w:rPr>
      </w:pPr>
      <w:r w:rsidRPr="00041FE3">
        <w:rPr>
          <w:sz w:val="24"/>
          <w:szCs w:val="24"/>
        </w:rPr>
        <w:t>Una vez contratada la revisión, cada sede del SENA deberá asegurar que la persona responsable de su ejecución cumpla con todas las actividades previstas en este instructivo para el desarrollo adecuado de la revisión energética.</w:t>
      </w:r>
    </w:p>
    <w:p w14:paraId="63A4C0C6" w14:textId="551AF251" w:rsidR="000761D9" w:rsidRDefault="008E2B72" w:rsidP="00DF643C">
      <w:pPr>
        <w:spacing w:line="360" w:lineRule="auto"/>
        <w:jc w:val="both"/>
        <w:rPr>
          <w:sz w:val="24"/>
          <w:szCs w:val="24"/>
        </w:rPr>
      </w:pPr>
      <w:r w:rsidRPr="00894AE0">
        <w:rPr>
          <w:sz w:val="24"/>
          <w:szCs w:val="24"/>
        </w:rPr>
        <w:t>A continuación, se presenta el paso a paso de actividades que se deben llevar a cabo en el desarrollo de la revisión energética:</w:t>
      </w:r>
    </w:p>
    <w:p w14:paraId="6E8DA1BC" w14:textId="77777777" w:rsidR="007805D9" w:rsidRPr="00DF643C" w:rsidRDefault="007805D9" w:rsidP="00DF643C">
      <w:pPr>
        <w:spacing w:line="360" w:lineRule="auto"/>
        <w:jc w:val="both"/>
        <w:rPr>
          <w:sz w:val="24"/>
          <w:szCs w:val="24"/>
        </w:rPr>
      </w:pPr>
    </w:p>
    <w:p w14:paraId="5E02446D" w14:textId="3813AE58" w:rsidR="007805D9" w:rsidRDefault="007805D9" w:rsidP="00CC414E">
      <w:pPr>
        <w:pStyle w:val="Ttulo2"/>
        <w:jc w:val="both"/>
        <w:rPr>
          <w:b/>
          <w:bCs/>
          <w:color w:val="auto"/>
          <w:sz w:val="24"/>
          <w:szCs w:val="24"/>
        </w:rPr>
      </w:pPr>
      <w:bookmarkStart w:id="13" w:name="_Toc183363587"/>
      <w:r w:rsidRPr="007805D9">
        <w:rPr>
          <w:b/>
          <w:bCs/>
          <w:color w:val="auto"/>
          <w:sz w:val="24"/>
          <w:szCs w:val="24"/>
        </w:rPr>
        <w:t xml:space="preserve">8.1. </w:t>
      </w:r>
      <w:r w:rsidR="005F7048" w:rsidRPr="007805D9">
        <w:rPr>
          <w:b/>
          <w:bCs/>
          <w:color w:val="auto"/>
          <w:sz w:val="24"/>
          <w:szCs w:val="24"/>
        </w:rPr>
        <w:t>Determinar aspectos generales de la sede</w:t>
      </w:r>
      <w:bookmarkEnd w:id="13"/>
    </w:p>
    <w:p w14:paraId="66143398" w14:textId="77777777" w:rsidR="00CC414E" w:rsidRPr="00CC414E" w:rsidRDefault="00CC414E" w:rsidP="00CC414E"/>
    <w:p w14:paraId="43CB1CA3" w14:textId="77777777" w:rsidR="00345847" w:rsidRPr="00345847" w:rsidRDefault="00345847" w:rsidP="00345847">
      <w:pPr>
        <w:spacing w:line="360" w:lineRule="auto"/>
        <w:jc w:val="both"/>
        <w:rPr>
          <w:sz w:val="24"/>
          <w:szCs w:val="24"/>
        </w:rPr>
      </w:pPr>
      <w:r w:rsidRPr="00345847">
        <w:rPr>
          <w:sz w:val="24"/>
          <w:szCs w:val="24"/>
        </w:rPr>
        <w:t>Se debe identificar y documentar la información general de la sede, incluyendo la ubicación geográfica, las características climáticas de la zona (temperatura, precipitaciones, velocidad del viento y radiación solar), la antigüedad y condición de propiedad de la edificación, los niveles de ocupación y la existencia de fuentes de energía renovable, entre otros aspectos relevantes.</w:t>
      </w:r>
    </w:p>
    <w:p w14:paraId="4C35FDC4" w14:textId="62167AB2" w:rsidR="00345847" w:rsidRDefault="00345847" w:rsidP="00345847">
      <w:pPr>
        <w:spacing w:line="360" w:lineRule="auto"/>
        <w:jc w:val="both"/>
        <w:rPr>
          <w:sz w:val="24"/>
          <w:szCs w:val="24"/>
        </w:rPr>
      </w:pPr>
      <w:r w:rsidRPr="00345847">
        <w:rPr>
          <w:sz w:val="24"/>
          <w:szCs w:val="24"/>
        </w:rPr>
        <w:t>Asimismo, se debe registrar el régimen de trabajo —horas de operación diaria— y las actividades que se desarrollan en la sede.</w:t>
      </w:r>
    </w:p>
    <w:p w14:paraId="5C1C2CC2" w14:textId="07D034D2" w:rsidR="009F4403" w:rsidRDefault="00C714DB" w:rsidP="009E4632">
      <w:pPr>
        <w:spacing w:line="360" w:lineRule="auto"/>
        <w:jc w:val="both"/>
        <w:rPr>
          <w:sz w:val="24"/>
          <w:szCs w:val="24"/>
        </w:rPr>
      </w:pPr>
      <w:r w:rsidRPr="00C714DB">
        <w:rPr>
          <w:sz w:val="24"/>
          <w:szCs w:val="24"/>
        </w:rPr>
        <w:t xml:space="preserve">A partir de la información recolectada en este paso, </w:t>
      </w:r>
      <w:bookmarkStart w:id="14" w:name="_Hlk163746333"/>
      <w:r w:rsidRPr="00C714DB">
        <w:rPr>
          <w:sz w:val="24"/>
          <w:szCs w:val="24"/>
        </w:rPr>
        <w:t xml:space="preserve">se debe diligenciar el ítem </w:t>
      </w:r>
      <w:r w:rsidRPr="00C714DB">
        <w:rPr>
          <w:i/>
          <w:iCs/>
          <w:sz w:val="24"/>
          <w:szCs w:val="24"/>
        </w:rPr>
        <w:t>1. Información General de la sede</w:t>
      </w:r>
      <w:r w:rsidRPr="00C714DB">
        <w:rPr>
          <w:sz w:val="24"/>
          <w:szCs w:val="24"/>
        </w:rPr>
        <w:t xml:space="preserve"> del formato GOR-F-088 </w:t>
      </w:r>
      <w:r w:rsidRPr="00C714DB">
        <w:rPr>
          <w:b/>
          <w:bCs/>
          <w:i/>
          <w:iCs/>
          <w:sz w:val="24"/>
          <w:szCs w:val="24"/>
          <w:u w:val="single"/>
        </w:rPr>
        <w:t>Formato revisión energética</w:t>
      </w:r>
      <w:bookmarkEnd w:id="14"/>
      <w:r w:rsidR="005D193B">
        <w:rPr>
          <w:sz w:val="24"/>
          <w:szCs w:val="24"/>
        </w:rPr>
        <w:t xml:space="preserve"> vigente</w:t>
      </w:r>
      <w:r w:rsidR="0054686E">
        <w:rPr>
          <w:sz w:val="24"/>
          <w:szCs w:val="24"/>
        </w:rPr>
        <w:t>.</w:t>
      </w:r>
    </w:p>
    <w:p w14:paraId="6BA2B820" w14:textId="77777777" w:rsidR="000761D9" w:rsidRDefault="000761D9" w:rsidP="009E4632">
      <w:pPr>
        <w:spacing w:line="360" w:lineRule="auto"/>
        <w:jc w:val="both"/>
        <w:rPr>
          <w:sz w:val="24"/>
          <w:szCs w:val="24"/>
        </w:rPr>
      </w:pPr>
    </w:p>
    <w:p w14:paraId="013CF668" w14:textId="0EC64940" w:rsidR="007805D9" w:rsidRDefault="007805D9" w:rsidP="007805D9">
      <w:pPr>
        <w:pStyle w:val="Ttulo2"/>
        <w:jc w:val="both"/>
        <w:rPr>
          <w:b/>
          <w:bCs/>
          <w:color w:val="auto"/>
          <w:sz w:val="24"/>
          <w:szCs w:val="24"/>
        </w:rPr>
      </w:pPr>
      <w:bookmarkStart w:id="15" w:name="_Toc163766300"/>
      <w:bookmarkStart w:id="16" w:name="_Toc183363588"/>
      <w:r>
        <w:rPr>
          <w:b/>
          <w:bCs/>
          <w:color w:val="auto"/>
          <w:sz w:val="24"/>
          <w:szCs w:val="24"/>
        </w:rPr>
        <w:t xml:space="preserve">8.2. </w:t>
      </w:r>
      <w:r w:rsidR="009E4632" w:rsidRPr="007805D9">
        <w:rPr>
          <w:b/>
          <w:bCs/>
          <w:color w:val="auto"/>
          <w:sz w:val="24"/>
          <w:szCs w:val="24"/>
        </w:rPr>
        <w:t>Recolectar y documentar información relevante para la revisión energética</w:t>
      </w:r>
      <w:bookmarkEnd w:id="15"/>
      <w:bookmarkEnd w:id="16"/>
    </w:p>
    <w:p w14:paraId="35A27661" w14:textId="77777777" w:rsidR="007805D9" w:rsidRPr="007805D9" w:rsidRDefault="007805D9" w:rsidP="007805D9"/>
    <w:p w14:paraId="7DB7C058" w14:textId="77777777" w:rsidR="00DB50C6" w:rsidRPr="00DB50C6" w:rsidRDefault="00DB50C6" w:rsidP="00DB50C6">
      <w:pPr>
        <w:spacing w:line="360" w:lineRule="auto"/>
        <w:jc w:val="both"/>
        <w:rPr>
          <w:sz w:val="24"/>
          <w:szCs w:val="24"/>
        </w:rPr>
      </w:pPr>
      <w:r w:rsidRPr="00DB50C6">
        <w:rPr>
          <w:sz w:val="24"/>
          <w:szCs w:val="24"/>
        </w:rPr>
        <w:lastRenderedPageBreak/>
        <w:t>Se debe recolectar información relevante que incluye:</w:t>
      </w:r>
    </w:p>
    <w:p w14:paraId="0D5AEAEE" w14:textId="77777777" w:rsidR="00DB50C6" w:rsidRPr="00DB50C6" w:rsidRDefault="00DB50C6" w:rsidP="00DB50C6">
      <w:pPr>
        <w:pStyle w:val="Prrafodelista"/>
        <w:numPr>
          <w:ilvl w:val="0"/>
          <w:numId w:val="27"/>
        </w:numPr>
        <w:spacing w:line="360" w:lineRule="auto"/>
        <w:jc w:val="both"/>
        <w:rPr>
          <w:sz w:val="24"/>
          <w:szCs w:val="24"/>
        </w:rPr>
      </w:pPr>
      <w:r w:rsidRPr="00DB50C6">
        <w:rPr>
          <w:sz w:val="24"/>
          <w:szCs w:val="24"/>
        </w:rPr>
        <w:t>Facturas, consumos y/o registros de compra de energía eléctrica, gas natural y combustibles líquidos del último año.</w:t>
      </w:r>
    </w:p>
    <w:p w14:paraId="73F362C8" w14:textId="77777777" w:rsidR="00DB50C6" w:rsidRPr="00DB50C6" w:rsidRDefault="00DB50C6" w:rsidP="00DB50C6">
      <w:pPr>
        <w:pStyle w:val="Prrafodelista"/>
        <w:numPr>
          <w:ilvl w:val="0"/>
          <w:numId w:val="27"/>
        </w:numPr>
        <w:spacing w:line="360" w:lineRule="auto"/>
        <w:jc w:val="both"/>
        <w:rPr>
          <w:rFonts w:asciiTheme="majorHAnsi" w:eastAsiaTheme="majorEastAsia" w:hAnsiTheme="majorHAnsi" w:cstheme="majorBidi"/>
          <w:color w:val="000000" w:themeColor="text1"/>
          <w:sz w:val="24"/>
          <w:szCs w:val="24"/>
        </w:rPr>
      </w:pPr>
      <w:r w:rsidRPr="00DB50C6">
        <w:rPr>
          <w:rFonts w:asciiTheme="majorHAnsi" w:eastAsiaTheme="majorEastAsia" w:hAnsiTheme="majorHAnsi" w:cstheme="majorBidi"/>
          <w:color w:val="000000" w:themeColor="text1"/>
          <w:sz w:val="24"/>
          <w:szCs w:val="24"/>
        </w:rPr>
        <w:t>Diagramas unifilares (de energía eléctrica, gas, sistemas de climatización etc.).</w:t>
      </w:r>
    </w:p>
    <w:p w14:paraId="5B2186F2" w14:textId="77777777" w:rsidR="00DB50C6" w:rsidRPr="00DB50C6" w:rsidRDefault="00DB50C6" w:rsidP="00DB50C6">
      <w:pPr>
        <w:pStyle w:val="Prrafodelista"/>
        <w:numPr>
          <w:ilvl w:val="0"/>
          <w:numId w:val="27"/>
        </w:numPr>
        <w:spacing w:line="360" w:lineRule="auto"/>
        <w:jc w:val="both"/>
        <w:rPr>
          <w:rFonts w:asciiTheme="majorHAnsi" w:eastAsiaTheme="majorEastAsia" w:hAnsiTheme="majorHAnsi" w:cstheme="majorBidi"/>
          <w:color w:val="000000" w:themeColor="text1"/>
          <w:sz w:val="24"/>
          <w:szCs w:val="24"/>
        </w:rPr>
      </w:pPr>
      <w:r w:rsidRPr="00DB50C6">
        <w:rPr>
          <w:rFonts w:asciiTheme="majorHAnsi" w:eastAsiaTheme="majorEastAsia" w:hAnsiTheme="majorHAnsi" w:cstheme="majorBidi"/>
          <w:color w:val="000000" w:themeColor="text1"/>
          <w:sz w:val="24"/>
          <w:szCs w:val="24"/>
        </w:rPr>
        <w:t xml:space="preserve">Inventarios de equipos de uso final de energía de la sede. </w:t>
      </w:r>
    </w:p>
    <w:p w14:paraId="3042C828" w14:textId="77777777" w:rsidR="00DB50C6" w:rsidRPr="00DB50C6" w:rsidRDefault="00DB50C6" w:rsidP="00DB50C6">
      <w:pPr>
        <w:pStyle w:val="Prrafodelista"/>
        <w:numPr>
          <w:ilvl w:val="0"/>
          <w:numId w:val="27"/>
        </w:numPr>
        <w:spacing w:line="360" w:lineRule="auto"/>
        <w:jc w:val="both"/>
        <w:rPr>
          <w:rFonts w:asciiTheme="majorHAnsi" w:eastAsiaTheme="majorEastAsia" w:hAnsiTheme="majorHAnsi" w:cstheme="majorBidi"/>
          <w:color w:val="000000" w:themeColor="text1"/>
          <w:sz w:val="24"/>
          <w:szCs w:val="24"/>
        </w:rPr>
      </w:pPr>
      <w:r w:rsidRPr="00DB50C6">
        <w:rPr>
          <w:rFonts w:asciiTheme="majorHAnsi" w:eastAsiaTheme="majorEastAsia" w:hAnsiTheme="majorHAnsi" w:cstheme="majorBidi"/>
          <w:color w:val="000000" w:themeColor="text1"/>
          <w:sz w:val="24"/>
          <w:szCs w:val="24"/>
        </w:rPr>
        <w:t>Información histórica de proyectos que se hayan desarrollado con impacto en los usos significativos de la energía.</w:t>
      </w:r>
    </w:p>
    <w:p w14:paraId="0D0582FF" w14:textId="77777777" w:rsidR="00DB50C6" w:rsidRPr="00DB50C6" w:rsidRDefault="00DB50C6" w:rsidP="00DB50C6">
      <w:pPr>
        <w:pStyle w:val="Prrafodelista"/>
        <w:numPr>
          <w:ilvl w:val="0"/>
          <w:numId w:val="27"/>
        </w:numPr>
        <w:spacing w:line="360" w:lineRule="auto"/>
        <w:jc w:val="both"/>
        <w:rPr>
          <w:rFonts w:asciiTheme="majorHAnsi" w:eastAsiaTheme="majorEastAsia" w:hAnsiTheme="majorHAnsi" w:cstheme="majorBidi"/>
          <w:color w:val="000000" w:themeColor="text1"/>
          <w:sz w:val="24"/>
          <w:szCs w:val="24"/>
        </w:rPr>
      </w:pPr>
      <w:r w:rsidRPr="00DB50C6">
        <w:rPr>
          <w:rFonts w:asciiTheme="majorHAnsi" w:eastAsiaTheme="majorEastAsia" w:hAnsiTheme="majorHAnsi" w:cstheme="majorBidi"/>
          <w:color w:val="000000" w:themeColor="text1"/>
          <w:sz w:val="24"/>
          <w:szCs w:val="24"/>
        </w:rPr>
        <w:t>Información de consultorías o trabajos que se hayan realizado para mejorar el desempeño energético de la sede.</w:t>
      </w:r>
    </w:p>
    <w:p w14:paraId="277F29A9" w14:textId="77777777" w:rsidR="00DB50C6" w:rsidRPr="00DB50C6" w:rsidRDefault="00DB50C6" w:rsidP="00DB50C6">
      <w:pPr>
        <w:pStyle w:val="Prrafodelista"/>
        <w:numPr>
          <w:ilvl w:val="0"/>
          <w:numId w:val="27"/>
        </w:numPr>
        <w:spacing w:line="360" w:lineRule="auto"/>
        <w:jc w:val="both"/>
        <w:rPr>
          <w:rFonts w:asciiTheme="majorHAnsi" w:eastAsiaTheme="majorEastAsia" w:hAnsiTheme="majorHAnsi" w:cstheme="majorBidi"/>
          <w:color w:val="000000" w:themeColor="text1"/>
          <w:sz w:val="24"/>
          <w:szCs w:val="24"/>
        </w:rPr>
      </w:pPr>
      <w:r w:rsidRPr="00DB50C6">
        <w:rPr>
          <w:rFonts w:asciiTheme="majorHAnsi" w:eastAsiaTheme="majorEastAsia" w:hAnsiTheme="majorHAnsi" w:cstheme="majorBidi"/>
          <w:color w:val="000000" w:themeColor="text1"/>
          <w:sz w:val="24"/>
          <w:szCs w:val="24"/>
        </w:rPr>
        <w:t xml:space="preserve">Resultados o documentación de actividades de mantenimiento en usos finales de energía realizadas por personal interno y externo de la sede. </w:t>
      </w:r>
    </w:p>
    <w:p w14:paraId="546DF4A3" w14:textId="77777777" w:rsidR="00DB50C6" w:rsidRPr="00DB50C6" w:rsidRDefault="00DB50C6" w:rsidP="00DB50C6">
      <w:pPr>
        <w:pStyle w:val="Prrafodelista"/>
        <w:numPr>
          <w:ilvl w:val="0"/>
          <w:numId w:val="27"/>
        </w:numPr>
        <w:spacing w:line="360" w:lineRule="auto"/>
        <w:jc w:val="both"/>
        <w:rPr>
          <w:rFonts w:asciiTheme="majorHAnsi" w:eastAsiaTheme="majorEastAsia" w:hAnsiTheme="majorHAnsi" w:cstheme="majorBidi"/>
          <w:color w:val="000000" w:themeColor="text1"/>
          <w:sz w:val="24"/>
          <w:szCs w:val="24"/>
        </w:rPr>
      </w:pPr>
      <w:r w:rsidRPr="00DB50C6">
        <w:rPr>
          <w:rFonts w:asciiTheme="majorHAnsi" w:eastAsiaTheme="majorEastAsia" w:hAnsiTheme="majorHAnsi" w:cstheme="majorBidi"/>
          <w:color w:val="000000" w:themeColor="text1"/>
          <w:sz w:val="24"/>
          <w:szCs w:val="24"/>
        </w:rPr>
        <w:t>Información histórica de variables relevantes que impacten el consumo de la energía.</w:t>
      </w:r>
    </w:p>
    <w:p w14:paraId="194EEC8E" w14:textId="77777777" w:rsidR="00DB50C6" w:rsidRPr="00DB50C6" w:rsidRDefault="00DB50C6" w:rsidP="00DB50C6">
      <w:pPr>
        <w:pStyle w:val="Prrafodelista"/>
        <w:numPr>
          <w:ilvl w:val="0"/>
          <w:numId w:val="27"/>
        </w:numPr>
        <w:spacing w:line="360" w:lineRule="auto"/>
        <w:jc w:val="both"/>
        <w:rPr>
          <w:rFonts w:asciiTheme="majorHAnsi" w:eastAsiaTheme="majorEastAsia" w:hAnsiTheme="majorHAnsi" w:cstheme="majorBidi"/>
          <w:color w:val="000000" w:themeColor="text1"/>
          <w:sz w:val="24"/>
          <w:szCs w:val="24"/>
        </w:rPr>
      </w:pPr>
      <w:r w:rsidRPr="00DB50C6">
        <w:rPr>
          <w:rFonts w:asciiTheme="majorHAnsi" w:eastAsiaTheme="majorEastAsia" w:hAnsiTheme="majorHAnsi" w:cstheme="majorBidi"/>
          <w:color w:val="000000" w:themeColor="text1"/>
          <w:sz w:val="24"/>
          <w:szCs w:val="24"/>
        </w:rPr>
        <w:t>Otra información que el ejecutor práctico de la revisión energética determine como relevante.</w:t>
      </w:r>
    </w:p>
    <w:p w14:paraId="03D5C72D" w14:textId="77777777" w:rsidR="00DB50C6" w:rsidRDefault="00DB50C6" w:rsidP="00DB50C6">
      <w:pPr>
        <w:spacing w:line="360" w:lineRule="auto"/>
        <w:jc w:val="both"/>
        <w:rPr>
          <w:sz w:val="24"/>
          <w:szCs w:val="24"/>
        </w:rPr>
      </w:pPr>
      <w:r w:rsidRPr="00DB50C6">
        <w:rPr>
          <w:sz w:val="24"/>
          <w:szCs w:val="24"/>
        </w:rPr>
        <w:t>El ejecutor práctico de la revisión energética recolectará toda la información y documentación necesaria y pertinente a partir de la suministrada por parte de personal de la sede (dinamizadores ambientales energéticos o quien designe el director o subdirector de la sede). Esta información corresponderá a documentos de las plataformas internas de comunicación de la sede y la entidad en general, a la documentación física y digital y a entrevistarse con el personal encargado de la información, en caso de así requerirse.</w:t>
      </w:r>
    </w:p>
    <w:p w14:paraId="01880BF5" w14:textId="77777777" w:rsidR="000761D9" w:rsidRPr="00DB50C6" w:rsidRDefault="000761D9" w:rsidP="00DB50C6">
      <w:pPr>
        <w:spacing w:line="360" w:lineRule="auto"/>
        <w:jc w:val="both"/>
        <w:rPr>
          <w:sz w:val="24"/>
          <w:szCs w:val="24"/>
        </w:rPr>
      </w:pPr>
    </w:p>
    <w:p w14:paraId="2BC475D0" w14:textId="0A9D0312" w:rsidR="00146C82" w:rsidRDefault="007805D9" w:rsidP="007805D9">
      <w:pPr>
        <w:pStyle w:val="Ttulo2"/>
        <w:jc w:val="both"/>
        <w:rPr>
          <w:b/>
          <w:bCs/>
          <w:color w:val="auto"/>
          <w:sz w:val="24"/>
          <w:szCs w:val="24"/>
        </w:rPr>
      </w:pPr>
      <w:bookmarkStart w:id="17" w:name="_Toc163766301"/>
      <w:bookmarkStart w:id="18" w:name="_Toc183363589"/>
      <w:r>
        <w:rPr>
          <w:b/>
          <w:bCs/>
          <w:color w:val="auto"/>
          <w:sz w:val="24"/>
          <w:szCs w:val="24"/>
        </w:rPr>
        <w:lastRenderedPageBreak/>
        <w:t xml:space="preserve">8.3. </w:t>
      </w:r>
      <w:r w:rsidR="00146C82" w:rsidRPr="007805D9">
        <w:rPr>
          <w:b/>
          <w:bCs/>
          <w:color w:val="auto"/>
          <w:sz w:val="24"/>
          <w:szCs w:val="24"/>
        </w:rPr>
        <w:t>Realizar inspección de las Instalaciones Eléctricas y análisis de calidad de potencia eléctrica.</w:t>
      </w:r>
      <w:bookmarkEnd w:id="17"/>
      <w:bookmarkEnd w:id="18"/>
    </w:p>
    <w:p w14:paraId="5E3D15F2" w14:textId="77777777" w:rsidR="007805D9" w:rsidRPr="007805D9" w:rsidRDefault="007805D9" w:rsidP="007805D9"/>
    <w:p w14:paraId="5737616E" w14:textId="71FB2621" w:rsidR="00303B78" w:rsidRPr="00303B78" w:rsidRDefault="00303B78" w:rsidP="00303B78">
      <w:pPr>
        <w:spacing w:line="360" w:lineRule="auto"/>
        <w:jc w:val="both"/>
        <w:rPr>
          <w:sz w:val="24"/>
          <w:szCs w:val="24"/>
        </w:rPr>
      </w:pPr>
      <w:r w:rsidRPr="00303B78">
        <w:rPr>
          <w:sz w:val="24"/>
          <w:szCs w:val="24"/>
        </w:rPr>
        <w:t>El ejecutor práctico de la revisión energética, apoyado</w:t>
      </w:r>
      <w:r w:rsidR="00963E37">
        <w:rPr>
          <w:sz w:val="24"/>
          <w:szCs w:val="24"/>
        </w:rPr>
        <w:t xml:space="preserve"> por el dinamizador ambiental y energético</w:t>
      </w:r>
      <w:r w:rsidRPr="00303B78">
        <w:rPr>
          <w:sz w:val="24"/>
          <w:szCs w:val="24"/>
        </w:rPr>
        <w:t xml:space="preserve"> (si es requerido) </w:t>
      </w:r>
      <w:r w:rsidR="002C11F7">
        <w:rPr>
          <w:sz w:val="24"/>
          <w:szCs w:val="24"/>
        </w:rPr>
        <w:t>y</w:t>
      </w:r>
      <w:r w:rsidRPr="00303B78">
        <w:rPr>
          <w:sz w:val="24"/>
          <w:szCs w:val="24"/>
        </w:rPr>
        <w:t xml:space="preserve"> los responsables de mantenimiento</w:t>
      </w:r>
      <w:r w:rsidR="00963E37">
        <w:rPr>
          <w:sz w:val="24"/>
          <w:szCs w:val="24"/>
        </w:rPr>
        <w:t xml:space="preserve"> (si es requerido)</w:t>
      </w:r>
      <w:r w:rsidRPr="00303B78">
        <w:rPr>
          <w:sz w:val="24"/>
          <w:szCs w:val="24"/>
        </w:rPr>
        <w:t xml:space="preserve"> de la sede, debe realizar un recorrido por las instalaciones eléctricas donde verificará y documentará su estado actual teniendo en cuenta como mínimo: </w:t>
      </w:r>
    </w:p>
    <w:p w14:paraId="02A19534" w14:textId="77777777" w:rsidR="00303B78" w:rsidRPr="00303B78" w:rsidRDefault="00303B78" w:rsidP="00303B78">
      <w:pPr>
        <w:pStyle w:val="Prrafodelista"/>
        <w:numPr>
          <w:ilvl w:val="0"/>
          <w:numId w:val="28"/>
        </w:numPr>
        <w:spacing w:line="360" w:lineRule="auto"/>
        <w:jc w:val="both"/>
        <w:rPr>
          <w:sz w:val="24"/>
          <w:szCs w:val="24"/>
        </w:rPr>
      </w:pPr>
      <w:r w:rsidRPr="00303B78">
        <w:rPr>
          <w:sz w:val="24"/>
          <w:szCs w:val="24"/>
        </w:rPr>
        <w:t>Aseo del tablero principal en las instalaciones eléctricas.</w:t>
      </w:r>
    </w:p>
    <w:p w14:paraId="0BE59002" w14:textId="77777777" w:rsidR="00303B78" w:rsidRPr="00303B78" w:rsidRDefault="00303B78" w:rsidP="00303B78">
      <w:pPr>
        <w:pStyle w:val="Prrafodelista"/>
        <w:numPr>
          <w:ilvl w:val="0"/>
          <w:numId w:val="28"/>
        </w:numPr>
        <w:spacing w:line="360" w:lineRule="auto"/>
        <w:jc w:val="both"/>
        <w:rPr>
          <w:sz w:val="24"/>
          <w:szCs w:val="24"/>
        </w:rPr>
      </w:pPr>
      <w:r w:rsidRPr="00303B78">
        <w:rPr>
          <w:sz w:val="24"/>
          <w:szCs w:val="24"/>
        </w:rPr>
        <w:t>Distribución y organización de los circuitos eléctricos.</w:t>
      </w:r>
    </w:p>
    <w:p w14:paraId="00D26557" w14:textId="77777777" w:rsidR="00303B78" w:rsidRPr="00303B78" w:rsidRDefault="00303B78" w:rsidP="00303B78">
      <w:pPr>
        <w:pStyle w:val="Prrafodelista"/>
        <w:numPr>
          <w:ilvl w:val="0"/>
          <w:numId w:val="28"/>
        </w:numPr>
        <w:spacing w:line="360" w:lineRule="auto"/>
        <w:jc w:val="both"/>
        <w:rPr>
          <w:sz w:val="24"/>
          <w:szCs w:val="24"/>
        </w:rPr>
      </w:pPr>
      <w:r w:rsidRPr="00303B78">
        <w:rPr>
          <w:sz w:val="24"/>
          <w:szCs w:val="24"/>
        </w:rPr>
        <w:t xml:space="preserve">Estado actual del mantenimiento de los circuitos eléctricos. </w:t>
      </w:r>
    </w:p>
    <w:p w14:paraId="22865F17" w14:textId="7A9DE3C6" w:rsidR="00303B78" w:rsidRPr="00303B78" w:rsidRDefault="00303B78" w:rsidP="00303B78">
      <w:pPr>
        <w:spacing w:line="360" w:lineRule="auto"/>
        <w:jc w:val="both"/>
        <w:rPr>
          <w:sz w:val="24"/>
          <w:szCs w:val="24"/>
        </w:rPr>
      </w:pPr>
      <w:r w:rsidRPr="00303B78">
        <w:rPr>
          <w:sz w:val="24"/>
          <w:szCs w:val="24"/>
        </w:rPr>
        <w:t>El ejecutor práctico de la revisión energética debe realizar y documentar un análisis de calidad de potencia eléctrica a partir de la medición continua</w:t>
      </w:r>
      <w:r w:rsidR="00E53670">
        <w:rPr>
          <w:sz w:val="24"/>
          <w:szCs w:val="24"/>
        </w:rPr>
        <w:t xml:space="preserve"> de 24 horas</w:t>
      </w:r>
      <w:r w:rsidRPr="00303B78">
        <w:rPr>
          <w:sz w:val="24"/>
          <w:szCs w:val="24"/>
        </w:rPr>
        <w:t xml:space="preserve"> de las principales variables eléctricas (energía, potencia, tensión, corriente eléctrica, frecuencia) del </w:t>
      </w:r>
      <w:r w:rsidR="001256ED">
        <w:rPr>
          <w:sz w:val="24"/>
          <w:szCs w:val="24"/>
        </w:rPr>
        <w:t xml:space="preserve">tablero del </w:t>
      </w:r>
      <w:r w:rsidRPr="00303B78">
        <w:rPr>
          <w:sz w:val="24"/>
          <w:szCs w:val="24"/>
        </w:rPr>
        <w:t>circuito principal</w:t>
      </w:r>
      <w:r w:rsidR="0019281A">
        <w:rPr>
          <w:rStyle w:val="Refdenotaalpie"/>
          <w:sz w:val="24"/>
          <w:szCs w:val="24"/>
        </w:rPr>
        <w:footnoteReference w:id="2"/>
      </w:r>
      <w:r w:rsidRPr="00303B78">
        <w:rPr>
          <w:sz w:val="24"/>
          <w:szCs w:val="24"/>
        </w:rPr>
        <w:t xml:space="preserve"> </w:t>
      </w:r>
      <w:r w:rsidR="00E53670">
        <w:rPr>
          <w:sz w:val="24"/>
          <w:szCs w:val="24"/>
        </w:rPr>
        <w:t>(se debe medir durante las 24 horas del día de operación más</w:t>
      </w:r>
      <w:r w:rsidR="0058581B">
        <w:rPr>
          <w:sz w:val="24"/>
          <w:szCs w:val="24"/>
        </w:rPr>
        <w:t xml:space="preserve"> significativa de la sede</w:t>
      </w:r>
      <w:r w:rsidR="005965DF">
        <w:rPr>
          <w:sz w:val="24"/>
          <w:szCs w:val="24"/>
        </w:rPr>
        <w:t>)</w:t>
      </w:r>
      <w:r w:rsidRPr="00303B78">
        <w:rPr>
          <w:sz w:val="24"/>
          <w:szCs w:val="24"/>
        </w:rPr>
        <w:t xml:space="preserve">. A partir de los datos obtenidos con la medición, se deberá presentar un análisis, descripción e ilustración de: </w:t>
      </w:r>
    </w:p>
    <w:p w14:paraId="17FAAB30" w14:textId="77777777" w:rsidR="00303B78" w:rsidRPr="00303B78" w:rsidRDefault="00303B78" w:rsidP="00303B78">
      <w:pPr>
        <w:pStyle w:val="Prrafodelista"/>
        <w:numPr>
          <w:ilvl w:val="0"/>
          <w:numId w:val="29"/>
        </w:numPr>
        <w:spacing w:line="360" w:lineRule="auto"/>
        <w:jc w:val="both"/>
        <w:rPr>
          <w:sz w:val="24"/>
          <w:szCs w:val="24"/>
        </w:rPr>
      </w:pPr>
      <w:bookmarkStart w:id="19" w:name="_Hlk163764786"/>
      <w:r w:rsidRPr="00303B78">
        <w:rPr>
          <w:sz w:val="24"/>
          <w:szCs w:val="24"/>
        </w:rPr>
        <w:t>Tensiones de fase promedio.</w:t>
      </w:r>
    </w:p>
    <w:p w14:paraId="06860082" w14:textId="77777777" w:rsidR="00303B78" w:rsidRPr="00303B78" w:rsidRDefault="00303B78" w:rsidP="00303B78">
      <w:pPr>
        <w:pStyle w:val="Prrafodelista"/>
        <w:numPr>
          <w:ilvl w:val="0"/>
          <w:numId w:val="29"/>
        </w:numPr>
        <w:spacing w:line="360" w:lineRule="auto"/>
        <w:jc w:val="both"/>
        <w:rPr>
          <w:sz w:val="24"/>
          <w:szCs w:val="24"/>
        </w:rPr>
      </w:pPr>
      <w:r w:rsidRPr="00303B78">
        <w:rPr>
          <w:sz w:val="24"/>
          <w:szCs w:val="24"/>
        </w:rPr>
        <w:t xml:space="preserve">Tensiones de fase máximas. </w:t>
      </w:r>
    </w:p>
    <w:p w14:paraId="5DCE2F90" w14:textId="77777777" w:rsidR="00303B78" w:rsidRPr="00303B78" w:rsidRDefault="00303B78" w:rsidP="00303B78">
      <w:pPr>
        <w:pStyle w:val="Prrafodelista"/>
        <w:numPr>
          <w:ilvl w:val="0"/>
          <w:numId w:val="29"/>
        </w:numPr>
        <w:spacing w:line="360" w:lineRule="auto"/>
        <w:jc w:val="both"/>
        <w:rPr>
          <w:sz w:val="24"/>
          <w:szCs w:val="24"/>
        </w:rPr>
      </w:pPr>
      <w:r w:rsidRPr="00303B78">
        <w:rPr>
          <w:sz w:val="24"/>
          <w:szCs w:val="24"/>
        </w:rPr>
        <w:t xml:space="preserve">Tensiones de fase mínimas. </w:t>
      </w:r>
    </w:p>
    <w:p w14:paraId="4A038F93" w14:textId="77777777" w:rsidR="00303B78" w:rsidRPr="00303B78" w:rsidRDefault="00303B78" w:rsidP="00303B78">
      <w:pPr>
        <w:pStyle w:val="Prrafodelista"/>
        <w:numPr>
          <w:ilvl w:val="0"/>
          <w:numId w:val="29"/>
        </w:numPr>
        <w:spacing w:line="360" w:lineRule="auto"/>
        <w:jc w:val="both"/>
        <w:rPr>
          <w:sz w:val="24"/>
          <w:szCs w:val="24"/>
        </w:rPr>
      </w:pPr>
      <w:r w:rsidRPr="00303B78">
        <w:rPr>
          <w:sz w:val="24"/>
          <w:szCs w:val="24"/>
        </w:rPr>
        <w:t>Desequilibrio de tensiones.</w:t>
      </w:r>
    </w:p>
    <w:p w14:paraId="05A7DDE9" w14:textId="77777777" w:rsidR="00303B78" w:rsidRPr="00303B78" w:rsidRDefault="00303B78" w:rsidP="00303B78">
      <w:pPr>
        <w:pStyle w:val="Prrafodelista"/>
        <w:numPr>
          <w:ilvl w:val="0"/>
          <w:numId w:val="29"/>
        </w:numPr>
        <w:spacing w:line="360" w:lineRule="auto"/>
        <w:jc w:val="both"/>
        <w:rPr>
          <w:sz w:val="24"/>
          <w:szCs w:val="24"/>
        </w:rPr>
      </w:pPr>
      <w:r w:rsidRPr="00303B78">
        <w:rPr>
          <w:sz w:val="24"/>
          <w:szCs w:val="24"/>
        </w:rPr>
        <w:t xml:space="preserve">Desviación de frecuencia de operación. </w:t>
      </w:r>
    </w:p>
    <w:p w14:paraId="13F8EF84" w14:textId="77777777" w:rsidR="00303B78" w:rsidRPr="00303B78" w:rsidRDefault="00303B78" w:rsidP="00303B78">
      <w:pPr>
        <w:pStyle w:val="Prrafodelista"/>
        <w:numPr>
          <w:ilvl w:val="0"/>
          <w:numId w:val="29"/>
        </w:numPr>
        <w:spacing w:line="360" w:lineRule="auto"/>
        <w:jc w:val="both"/>
        <w:rPr>
          <w:sz w:val="24"/>
          <w:szCs w:val="24"/>
        </w:rPr>
      </w:pPr>
      <w:r w:rsidRPr="00303B78">
        <w:rPr>
          <w:sz w:val="24"/>
          <w:szCs w:val="24"/>
        </w:rPr>
        <w:t>Distorsiones armónicas totales promedio en tensión.</w:t>
      </w:r>
    </w:p>
    <w:p w14:paraId="50095373" w14:textId="77777777" w:rsidR="00303B78" w:rsidRPr="00303B78" w:rsidRDefault="00303B78" w:rsidP="00303B78">
      <w:pPr>
        <w:pStyle w:val="Prrafodelista"/>
        <w:numPr>
          <w:ilvl w:val="0"/>
          <w:numId w:val="29"/>
        </w:numPr>
        <w:spacing w:line="360" w:lineRule="auto"/>
        <w:jc w:val="both"/>
        <w:rPr>
          <w:sz w:val="24"/>
          <w:szCs w:val="24"/>
        </w:rPr>
      </w:pPr>
      <w:r w:rsidRPr="00303B78">
        <w:rPr>
          <w:sz w:val="24"/>
          <w:szCs w:val="24"/>
        </w:rPr>
        <w:t xml:space="preserve">Corriente promedio. </w:t>
      </w:r>
    </w:p>
    <w:p w14:paraId="10D33AF9" w14:textId="77777777" w:rsidR="00303B78" w:rsidRPr="00303B78" w:rsidRDefault="00303B78" w:rsidP="00303B78">
      <w:pPr>
        <w:pStyle w:val="Prrafodelista"/>
        <w:numPr>
          <w:ilvl w:val="0"/>
          <w:numId w:val="29"/>
        </w:numPr>
        <w:spacing w:line="360" w:lineRule="auto"/>
        <w:jc w:val="both"/>
        <w:rPr>
          <w:sz w:val="24"/>
          <w:szCs w:val="24"/>
        </w:rPr>
      </w:pPr>
      <w:r w:rsidRPr="00303B78">
        <w:rPr>
          <w:sz w:val="24"/>
          <w:szCs w:val="24"/>
        </w:rPr>
        <w:lastRenderedPageBreak/>
        <w:t xml:space="preserve">Desequilibrio en corrientes. </w:t>
      </w:r>
    </w:p>
    <w:p w14:paraId="128A0DEB" w14:textId="77777777" w:rsidR="00303B78" w:rsidRPr="00303B78" w:rsidRDefault="00303B78" w:rsidP="00303B78">
      <w:pPr>
        <w:pStyle w:val="Prrafodelista"/>
        <w:numPr>
          <w:ilvl w:val="0"/>
          <w:numId w:val="29"/>
        </w:numPr>
        <w:spacing w:line="360" w:lineRule="auto"/>
        <w:jc w:val="both"/>
        <w:rPr>
          <w:sz w:val="24"/>
          <w:szCs w:val="24"/>
        </w:rPr>
      </w:pPr>
      <w:r w:rsidRPr="00303B78">
        <w:rPr>
          <w:sz w:val="24"/>
          <w:szCs w:val="24"/>
        </w:rPr>
        <w:t xml:space="preserve">Zona de operación de eventos anómalos en tensión factor de potencia. </w:t>
      </w:r>
    </w:p>
    <w:p w14:paraId="5544B155" w14:textId="77777777" w:rsidR="00303B78" w:rsidRPr="00303B78" w:rsidRDefault="00303B78" w:rsidP="00303B78">
      <w:pPr>
        <w:pStyle w:val="Prrafodelista"/>
        <w:numPr>
          <w:ilvl w:val="0"/>
          <w:numId w:val="29"/>
        </w:numPr>
        <w:spacing w:line="360" w:lineRule="auto"/>
        <w:jc w:val="both"/>
        <w:rPr>
          <w:sz w:val="24"/>
          <w:szCs w:val="24"/>
        </w:rPr>
      </w:pPr>
      <w:r w:rsidRPr="00303B78">
        <w:rPr>
          <w:sz w:val="24"/>
          <w:szCs w:val="24"/>
        </w:rPr>
        <w:t>Análisis de potencias: Potencia activa (P), Potencia reactiva (Q) y Potencia aparente (S).</w:t>
      </w:r>
    </w:p>
    <w:bookmarkEnd w:id="19"/>
    <w:p w14:paraId="4753F63A" w14:textId="2685260F" w:rsidR="00303B78" w:rsidRPr="000C5FCA" w:rsidRDefault="00303B78" w:rsidP="00303B78">
      <w:pPr>
        <w:spacing w:line="360" w:lineRule="auto"/>
        <w:jc w:val="both"/>
        <w:rPr>
          <w:sz w:val="24"/>
          <w:szCs w:val="24"/>
        </w:rPr>
      </w:pPr>
      <w:r w:rsidRPr="00303B78">
        <w:rPr>
          <w:sz w:val="24"/>
          <w:szCs w:val="24"/>
        </w:rPr>
        <w:t>La medición de las variables eléctricas se debe realizar con medidores cuyas características técnicas cumplan con el Código de Medida establecido por resolución CREG 038 de 2014 (o la que la sustituya), definido en su artículo 9 y Tabla 2 de dicha resolución. Se deberá adjuntar evidencias de este cumplimiento dentro del Informe Técnico de resultados de la revisión energética. Como resultado de la inspección de las instalaciones eléctricas, el histórico de los últimos doce meses de facturas de energía eléctrica</w:t>
      </w:r>
      <w:r w:rsidR="002C563C">
        <w:rPr>
          <w:sz w:val="24"/>
          <w:szCs w:val="24"/>
        </w:rPr>
        <w:t>, las mediciones</w:t>
      </w:r>
      <w:r w:rsidRPr="00303B78">
        <w:rPr>
          <w:sz w:val="24"/>
          <w:szCs w:val="24"/>
        </w:rPr>
        <w:t xml:space="preserve"> y el análisis de calidad de potencia eléctrica, se debe presentar </w:t>
      </w:r>
      <w:r w:rsidR="000F47D6">
        <w:rPr>
          <w:sz w:val="24"/>
          <w:szCs w:val="24"/>
        </w:rPr>
        <w:t xml:space="preserve">la curva de carga del día </w:t>
      </w:r>
      <w:r w:rsidR="00CD1A07">
        <w:rPr>
          <w:sz w:val="24"/>
          <w:szCs w:val="24"/>
        </w:rPr>
        <w:t xml:space="preserve">en qué se realizó la medición, </w:t>
      </w:r>
      <w:r w:rsidRPr="00303B78">
        <w:rPr>
          <w:sz w:val="24"/>
          <w:szCs w:val="24"/>
        </w:rPr>
        <w:t xml:space="preserve">el estado actual de absorción y generación de energía reactiva a la red de distribución local, penalizaciones por este concepto por parte del comercializador de energía (si han ocurrido) y una propuesta de acciones para subsanarlas, las cuales el SENA </w:t>
      </w:r>
      <w:r w:rsidRPr="000C5FCA">
        <w:rPr>
          <w:sz w:val="24"/>
          <w:szCs w:val="24"/>
        </w:rPr>
        <w:t xml:space="preserve">evaluará para gestionar desde la funcionalidad de matriz de planificación ambiental y energética en el módulo ambiental y de energía de la plataforma </w:t>
      </w:r>
      <w:proofErr w:type="spellStart"/>
      <w:r w:rsidRPr="000C5FCA">
        <w:rPr>
          <w:sz w:val="24"/>
          <w:szCs w:val="24"/>
        </w:rPr>
        <w:t>compromISO</w:t>
      </w:r>
      <w:proofErr w:type="spellEnd"/>
      <w:r w:rsidRPr="000C5FCA">
        <w:rPr>
          <w:sz w:val="24"/>
          <w:szCs w:val="24"/>
        </w:rPr>
        <w:t>.</w:t>
      </w:r>
    </w:p>
    <w:p w14:paraId="5F318D99" w14:textId="7B1734F6" w:rsidR="00B721AE" w:rsidRDefault="00B721AE" w:rsidP="00303B78">
      <w:pPr>
        <w:spacing w:line="360" w:lineRule="auto"/>
        <w:jc w:val="both"/>
        <w:rPr>
          <w:sz w:val="24"/>
          <w:szCs w:val="24"/>
        </w:rPr>
      </w:pPr>
      <w:r w:rsidRPr="000C5FCA">
        <w:rPr>
          <w:sz w:val="24"/>
          <w:szCs w:val="24"/>
        </w:rPr>
        <w:t>La curva de car</w:t>
      </w:r>
      <w:r w:rsidR="00D00EEB" w:rsidRPr="000C5FCA">
        <w:rPr>
          <w:sz w:val="24"/>
          <w:szCs w:val="24"/>
        </w:rPr>
        <w:t xml:space="preserve">ga de la sede se debe presentar en el ítem </w:t>
      </w:r>
      <w:r w:rsidR="005B0323" w:rsidRPr="000C5FCA">
        <w:rPr>
          <w:i/>
          <w:iCs/>
          <w:sz w:val="24"/>
          <w:szCs w:val="24"/>
        </w:rPr>
        <w:t xml:space="preserve">2.1. Curva de carga del día de </w:t>
      </w:r>
      <w:r w:rsidR="000C5FCA" w:rsidRPr="000C5FCA">
        <w:rPr>
          <w:i/>
          <w:iCs/>
          <w:sz w:val="24"/>
          <w:szCs w:val="24"/>
        </w:rPr>
        <w:t>operación</w:t>
      </w:r>
      <w:r w:rsidR="005B0323" w:rsidRPr="000C5FCA">
        <w:rPr>
          <w:i/>
          <w:iCs/>
          <w:sz w:val="24"/>
          <w:szCs w:val="24"/>
        </w:rPr>
        <w:t xml:space="preserve"> más significativo de la sede</w:t>
      </w:r>
      <w:r w:rsidR="00D00EEB" w:rsidRPr="000C5FCA">
        <w:rPr>
          <w:sz w:val="24"/>
          <w:szCs w:val="24"/>
        </w:rPr>
        <w:t xml:space="preserve"> del formato GOR-F-088 </w:t>
      </w:r>
      <w:r w:rsidR="00D00EEB" w:rsidRPr="000C5FCA">
        <w:rPr>
          <w:b/>
          <w:bCs/>
          <w:i/>
          <w:iCs/>
          <w:sz w:val="24"/>
          <w:szCs w:val="24"/>
          <w:u w:val="single"/>
        </w:rPr>
        <w:t>Formato revisión energética</w:t>
      </w:r>
      <w:r w:rsidR="0025007D">
        <w:rPr>
          <w:b/>
          <w:bCs/>
          <w:i/>
          <w:iCs/>
          <w:sz w:val="24"/>
          <w:szCs w:val="24"/>
        </w:rPr>
        <w:t xml:space="preserve"> </w:t>
      </w:r>
      <w:r w:rsidR="0025007D">
        <w:rPr>
          <w:sz w:val="24"/>
          <w:szCs w:val="24"/>
        </w:rPr>
        <w:t>vigente.</w:t>
      </w:r>
    </w:p>
    <w:p w14:paraId="5D67DE10" w14:textId="201A0B2C" w:rsidR="006A13F4" w:rsidRPr="00DA3A7A" w:rsidRDefault="005E015B" w:rsidP="00303B78">
      <w:pPr>
        <w:spacing w:line="360" w:lineRule="auto"/>
        <w:jc w:val="both"/>
        <w:rPr>
          <w:b/>
          <w:bCs/>
          <w:sz w:val="24"/>
          <w:szCs w:val="24"/>
          <w:u w:val="single"/>
        </w:rPr>
      </w:pPr>
      <w:r w:rsidRPr="00DA3A7A">
        <w:rPr>
          <w:b/>
          <w:bCs/>
          <w:sz w:val="24"/>
          <w:szCs w:val="24"/>
          <w:u w:val="single"/>
        </w:rPr>
        <w:t>En</w:t>
      </w:r>
      <w:r w:rsidR="006A13F4" w:rsidRPr="00DA3A7A">
        <w:rPr>
          <w:b/>
          <w:bCs/>
          <w:sz w:val="24"/>
          <w:szCs w:val="24"/>
          <w:u w:val="single"/>
        </w:rPr>
        <w:t xml:space="preserve"> las sedes del SENA </w:t>
      </w:r>
      <w:r w:rsidR="003E2509" w:rsidRPr="00DA3A7A">
        <w:rPr>
          <w:b/>
          <w:bCs/>
          <w:sz w:val="24"/>
          <w:szCs w:val="24"/>
          <w:u w:val="single"/>
        </w:rPr>
        <w:t xml:space="preserve">en calidad de arrendamiento, </w:t>
      </w:r>
      <w:r w:rsidR="00404559" w:rsidRPr="00DA3A7A">
        <w:rPr>
          <w:b/>
          <w:bCs/>
          <w:sz w:val="24"/>
          <w:szCs w:val="24"/>
          <w:u w:val="single"/>
        </w:rPr>
        <w:t>comodato</w:t>
      </w:r>
      <w:r w:rsidR="003E2509" w:rsidRPr="00DA3A7A">
        <w:rPr>
          <w:b/>
          <w:bCs/>
          <w:sz w:val="24"/>
          <w:szCs w:val="24"/>
          <w:u w:val="single"/>
        </w:rPr>
        <w:t xml:space="preserve"> u otra figura jurídica similar</w:t>
      </w:r>
      <w:r w:rsidR="0015636F" w:rsidRPr="00DA3A7A">
        <w:rPr>
          <w:b/>
          <w:bCs/>
          <w:sz w:val="24"/>
          <w:szCs w:val="24"/>
          <w:u w:val="single"/>
        </w:rPr>
        <w:t xml:space="preserve">, </w:t>
      </w:r>
      <w:r w:rsidRPr="00DA3A7A">
        <w:rPr>
          <w:b/>
          <w:bCs/>
          <w:sz w:val="24"/>
          <w:szCs w:val="24"/>
          <w:u w:val="single"/>
        </w:rPr>
        <w:t xml:space="preserve">no </w:t>
      </w:r>
      <w:r w:rsidR="000D6A87" w:rsidRPr="00DA3A7A">
        <w:rPr>
          <w:b/>
          <w:bCs/>
          <w:sz w:val="24"/>
          <w:szCs w:val="24"/>
          <w:u w:val="single"/>
        </w:rPr>
        <w:t xml:space="preserve">se </w:t>
      </w:r>
      <w:r w:rsidRPr="00DA3A7A">
        <w:rPr>
          <w:b/>
          <w:bCs/>
          <w:sz w:val="24"/>
          <w:szCs w:val="24"/>
          <w:u w:val="single"/>
        </w:rPr>
        <w:t>realizarán mediciones de variables eléctricas ni se presentará</w:t>
      </w:r>
      <w:r w:rsidR="00404559" w:rsidRPr="00DA3A7A">
        <w:rPr>
          <w:b/>
          <w:bCs/>
          <w:sz w:val="24"/>
          <w:szCs w:val="24"/>
          <w:u w:val="single"/>
        </w:rPr>
        <w:t>n</w:t>
      </w:r>
      <w:r w:rsidR="00B90C53" w:rsidRPr="00DA3A7A">
        <w:rPr>
          <w:b/>
          <w:bCs/>
          <w:sz w:val="24"/>
          <w:szCs w:val="24"/>
          <w:u w:val="single"/>
        </w:rPr>
        <w:t xml:space="preserve"> análisis de calidad de potencia </w:t>
      </w:r>
      <w:r w:rsidR="00404559" w:rsidRPr="00DA3A7A">
        <w:rPr>
          <w:b/>
          <w:bCs/>
          <w:sz w:val="24"/>
          <w:szCs w:val="24"/>
          <w:u w:val="single"/>
        </w:rPr>
        <w:t>y</w:t>
      </w:r>
      <w:r w:rsidR="00B90C53" w:rsidRPr="00DA3A7A">
        <w:rPr>
          <w:b/>
          <w:bCs/>
          <w:sz w:val="24"/>
          <w:szCs w:val="24"/>
          <w:u w:val="single"/>
        </w:rPr>
        <w:t xml:space="preserve"> curva de carga</w:t>
      </w:r>
      <w:r w:rsidR="000D6A87" w:rsidRPr="00DA3A7A">
        <w:rPr>
          <w:b/>
          <w:bCs/>
          <w:sz w:val="24"/>
          <w:szCs w:val="24"/>
          <w:u w:val="single"/>
        </w:rPr>
        <w:t xml:space="preserve"> de día de</w:t>
      </w:r>
      <w:r w:rsidR="00DA3A7A" w:rsidRPr="00DA3A7A">
        <w:rPr>
          <w:b/>
          <w:bCs/>
          <w:sz w:val="24"/>
          <w:szCs w:val="24"/>
          <w:u w:val="single"/>
        </w:rPr>
        <w:t xml:space="preserve"> operación</w:t>
      </w:r>
      <w:r w:rsidR="00B90C53" w:rsidRPr="00DA3A7A">
        <w:rPr>
          <w:b/>
          <w:bCs/>
          <w:sz w:val="24"/>
          <w:szCs w:val="24"/>
          <w:u w:val="single"/>
        </w:rPr>
        <w:t>.</w:t>
      </w:r>
    </w:p>
    <w:p w14:paraId="3B8CC61C" w14:textId="77777777" w:rsidR="000761D9" w:rsidRPr="000761D9" w:rsidRDefault="000761D9" w:rsidP="000761D9"/>
    <w:p w14:paraId="4359C5E2" w14:textId="4F21B2E8" w:rsidR="009F4403" w:rsidRPr="007805D9" w:rsidRDefault="007805D9" w:rsidP="00BA025B">
      <w:pPr>
        <w:pStyle w:val="Ttulo2"/>
        <w:jc w:val="both"/>
        <w:rPr>
          <w:b/>
          <w:bCs/>
          <w:color w:val="auto"/>
          <w:sz w:val="24"/>
          <w:szCs w:val="24"/>
        </w:rPr>
      </w:pPr>
      <w:bookmarkStart w:id="20" w:name="_Toc163766302"/>
      <w:bookmarkStart w:id="21" w:name="_Toc183363590"/>
      <w:r w:rsidRPr="007805D9">
        <w:rPr>
          <w:b/>
          <w:bCs/>
          <w:color w:val="auto"/>
          <w:sz w:val="24"/>
          <w:szCs w:val="24"/>
        </w:rPr>
        <w:lastRenderedPageBreak/>
        <w:t xml:space="preserve">8.4. </w:t>
      </w:r>
      <w:r w:rsidR="001010A6" w:rsidRPr="007805D9">
        <w:rPr>
          <w:b/>
          <w:bCs/>
          <w:color w:val="auto"/>
          <w:sz w:val="24"/>
          <w:szCs w:val="24"/>
        </w:rPr>
        <w:t>Establecer la matriz energética de la sede e identificar las fuentes de energía significativas para la sede</w:t>
      </w:r>
      <w:bookmarkEnd w:id="20"/>
      <w:bookmarkEnd w:id="21"/>
    </w:p>
    <w:p w14:paraId="5EFB048D" w14:textId="77777777" w:rsidR="007805D9" w:rsidRPr="007805D9" w:rsidRDefault="007805D9" w:rsidP="007805D9"/>
    <w:p w14:paraId="454FB721" w14:textId="73679BAB" w:rsidR="00227AEF" w:rsidRPr="00255238" w:rsidRDefault="00227AEF" w:rsidP="00255238">
      <w:pPr>
        <w:spacing w:line="360" w:lineRule="auto"/>
        <w:jc w:val="both"/>
        <w:rPr>
          <w:sz w:val="24"/>
          <w:szCs w:val="24"/>
        </w:rPr>
      </w:pPr>
      <w:r w:rsidRPr="00255238">
        <w:rPr>
          <w:sz w:val="24"/>
          <w:szCs w:val="24"/>
        </w:rPr>
        <w:t xml:space="preserve">Con base en la información histórica de consumos de cada energético (por lo menos del último año), tales como energía eléctrica, gas natural y/o combustibles líquidos que utilice la sede para su operación, se debe determinar y documentar en el ítem </w:t>
      </w:r>
      <w:r w:rsidRPr="00255238">
        <w:rPr>
          <w:i/>
          <w:iCs/>
          <w:sz w:val="24"/>
          <w:szCs w:val="24"/>
        </w:rPr>
        <w:t>2.</w:t>
      </w:r>
      <w:r w:rsidR="00255238" w:rsidRPr="00255238">
        <w:rPr>
          <w:i/>
          <w:iCs/>
          <w:sz w:val="24"/>
          <w:szCs w:val="24"/>
        </w:rPr>
        <w:t>2</w:t>
      </w:r>
      <w:r w:rsidRPr="00255238">
        <w:rPr>
          <w:i/>
          <w:iCs/>
          <w:sz w:val="24"/>
          <w:szCs w:val="24"/>
        </w:rPr>
        <w:t xml:space="preserve"> Matriz energética</w:t>
      </w:r>
      <w:r w:rsidRPr="00255238">
        <w:rPr>
          <w:sz w:val="24"/>
          <w:szCs w:val="24"/>
        </w:rPr>
        <w:t xml:space="preserve"> del formato </w:t>
      </w:r>
      <w:bookmarkStart w:id="22" w:name="_Hlk165376769"/>
      <w:r w:rsidRPr="00255238">
        <w:rPr>
          <w:sz w:val="24"/>
          <w:szCs w:val="24"/>
        </w:rPr>
        <w:t xml:space="preserve">GOR-F-088 </w:t>
      </w:r>
      <w:bookmarkEnd w:id="22"/>
      <w:r w:rsidRPr="00255238">
        <w:rPr>
          <w:b/>
          <w:bCs/>
          <w:i/>
          <w:iCs/>
          <w:sz w:val="24"/>
          <w:szCs w:val="24"/>
          <w:u w:val="single"/>
        </w:rPr>
        <w:t>Formato revisión energética</w:t>
      </w:r>
      <w:r w:rsidRPr="00255238">
        <w:rPr>
          <w:sz w:val="24"/>
          <w:szCs w:val="24"/>
        </w:rPr>
        <w:t xml:space="preserve"> vigente la matriz de consumo y costo energético de la sede. </w:t>
      </w:r>
    </w:p>
    <w:p w14:paraId="1E31412C" w14:textId="77777777" w:rsidR="00227AEF" w:rsidRPr="00255238" w:rsidRDefault="00227AEF" w:rsidP="00255238">
      <w:pPr>
        <w:spacing w:line="360" w:lineRule="auto"/>
        <w:jc w:val="both"/>
        <w:rPr>
          <w:sz w:val="24"/>
          <w:szCs w:val="24"/>
        </w:rPr>
      </w:pPr>
      <w:r w:rsidRPr="00255238">
        <w:rPr>
          <w:sz w:val="24"/>
          <w:szCs w:val="24"/>
        </w:rPr>
        <w:t>Para establecer la matriz energética de manera gráfica se deben llevar todas las unidades energéticas de cada energético a una misma unidad de Tera Julios.</w:t>
      </w:r>
    </w:p>
    <w:p w14:paraId="629DFE6A" w14:textId="77777777" w:rsidR="00227AEF" w:rsidRDefault="00227AEF" w:rsidP="00255238">
      <w:pPr>
        <w:spacing w:line="360" w:lineRule="auto"/>
        <w:jc w:val="both"/>
        <w:rPr>
          <w:sz w:val="24"/>
          <w:szCs w:val="24"/>
        </w:rPr>
      </w:pPr>
      <w:r w:rsidRPr="00255238">
        <w:rPr>
          <w:sz w:val="24"/>
          <w:szCs w:val="24"/>
        </w:rPr>
        <w:t>Posterior a la determinación de la matriz energética, el ejecutor práctico de la revisión energética debe identificar las fuentes de energía significativas para la sede, es decir, aquella que tenga una participación mayor al 25% en la matriz de costos energéticos. Los esfuerzos del SGE se centrarán en las fuentes de energía significativas.</w:t>
      </w:r>
    </w:p>
    <w:p w14:paraId="11A0E20B" w14:textId="77777777" w:rsidR="00B57A7F" w:rsidRDefault="00B57A7F" w:rsidP="00255238">
      <w:pPr>
        <w:spacing w:line="360" w:lineRule="auto"/>
        <w:jc w:val="both"/>
        <w:rPr>
          <w:sz w:val="24"/>
          <w:szCs w:val="24"/>
        </w:rPr>
      </w:pPr>
    </w:p>
    <w:p w14:paraId="67E2AEC8" w14:textId="799BB6A0" w:rsidR="00B57A7F" w:rsidRDefault="007805D9" w:rsidP="007805D9">
      <w:pPr>
        <w:pStyle w:val="Ttulo2"/>
        <w:rPr>
          <w:b/>
          <w:bCs/>
          <w:color w:val="auto"/>
          <w:sz w:val="24"/>
          <w:szCs w:val="24"/>
        </w:rPr>
      </w:pPr>
      <w:bookmarkStart w:id="23" w:name="_Toc183363591"/>
      <w:r>
        <w:rPr>
          <w:b/>
          <w:bCs/>
          <w:color w:val="auto"/>
          <w:sz w:val="24"/>
          <w:szCs w:val="24"/>
        </w:rPr>
        <w:t xml:space="preserve">8.5. </w:t>
      </w:r>
      <w:r w:rsidR="00CD144D" w:rsidRPr="007805D9">
        <w:rPr>
          <w:b/>
          <w:bCs/>
          <w:color w:val="auto"/>
          <w:sz w:val="24"/>
          <w:szCs w:val="24"/>
        </w:rPr>
        <w:t>Identificar los Usos Significativos de la Energía</w:t>
      </w:r>
      <w:bookmarkEnd w:id="23"/>
    </w:p>
    <w:p w14:paraId="2EC2C629" w14:textId="77777777" w:rsidR="007805D9" w:rsidRPr="007805D9" w:rsidRDefault="007805D9" w:rsidP="007805D9"/>
    <w:p w14:paraId="716DEF03" w14:textId="74E8AC7A" w:rsidR="009F162A" w:rsidRPr="009F162A" w:rsidRDefault="009F162A" w:rsidP="009F162A">
      <w:pPr>
        <w:spacing w:line="360" w:lineRule="auto"/>
        <w:jc w:val="both"/>
        <w:rPr>
          <w:sz w:val="24"/>
          <w:szCs w:val="24"/>
        </w:rPr>
      </w:pPr>
      <w:r w:rsidRPr="009F162A">
        <w:rPr>
          <w:sz w:val="24"/>
          <w:szCs w:val="24"/>
        </w:rPr>
        <w:t>El ejecutor práctico de la revisión energética debe realizar y documentar un inventario de equipos de uso final de energía, en el</w:t>
      </w:r>
      <w:r w:rsidRPr="009F162A">
        <w:rPr>
          <w:i/>
          <w:iCs/>
          <w:sz w:val="24"/>
          <w:szCs w:val="24"/>
        </w:rPr>
        <w:t xml:space="preserve"> </w:t>
      </w:r>
      <w:r w:rsidRPr="009F162A">
        <w:rPr>
          <w:sz w:val="24"/>
          <w:szCs w:val="24"/>
        </w:rPr>
        <w:t>formato</w:t>
      </w:r>
      <w:r w:rsidRPr="009F162A">
        <w:rPr>
          <w:i/>
          <w:iCs/>
          <w:sz w:val="24"/>
          <w:szCs w:val="24"/>
        </w:rPr>
        <w:t xml:space="preserve"> </w:t>
      </w:r>
      <w:r w:rsidRPr="009F162A">
        <w:rPr>
          <w:sz w:val="24"/>
          <w:szCs w:val="24"/>
        </w:rPr>
        <w:t xml:space="preserve">GOR-F-087 </w:t>
      </w:r>
      <w:r w:rsidRPr="009F162A">
        <w:rPr>
          <w:b/>
          <w:bCs/>
          <w:i/>
          <w:iCs/>
          <w:sz w:val="24"/>
          <w:szCs w:val="24"/>
          <w:u w:val="single"/>
        </w:rPr>
        <w:t>Formato inventario de usos finales de energía</w:t>
      </w:r>
      <w:r>
        <w:rPr>
          <w:b/>
          <w:bCs/>
          <w:i/>
          <w:iCs/>
          <w:sz w:val="24"/>
          <w:szCs w:val="24"/>
          <w:u w:val="single"/>
        </w:rPr>
        <w:t xml:space="preserve"> </w:t>
      </w:r>
      <w:r>
        <w:rPr>
          <w:sz w:val="24"/>
          <w:szCs w:val="24"/>
        </w:rPr>
        <w:t>vigente,</w:t>
      </w:r>
      <w:r w:rsidRPr="009F162A">
        <w:rPr>
          <w:sz w:val="24"/>
          <w:szCs w:val="24"/>
        </w:rPr>
        <w:t xml:space="preserve"> se debe estimar y documentar el consumo mensual promedio de cada uso de la energía en la hoja denominada </w:t>
      </w:r>
      <w:r w:rsidRPr="009F162A">
        <w:rPr>
          <w:i/>
          <w:iCs/>
          <w:sz w:val="24"/>
          <w:szCs w:val="24"/>
          <w:u w:val="single"/>
        </w:rPr>
        <w:t xml:space="preserve">Consolidado Uso final de energía, </w:t>
      </w:r>
      <w:r w:rsidRPr="009F162A">
        <w:rPr>
          <w:sz w:val="24"/>
          <w:szCs w:val="24"/>
        </w:rPr>
        <w:t>del formato</w:t>
      </w:r>
      <w:r w:rsidRPr="009F162A">
        <w:rPr>
          <w:i/>
          <w:iCs/>
          <w:sz w:val="24"/>
          <w:szCs w:val="24"/>
        </w:rPr>
        <w:t xml:space="preserve"> </w:t>
      </w:r>
      <w:r w:rsidRPr="009F162A">
        <w:rPr>
          <w:sz w:val="24"/>
          <w:szCs w:val="24"/>
        </w:rPr>
        <w:t xml:space="preserve">GOR-F-087 </w:t>
      </w:r>
      <w:r w:rsidRPr="009F162A">
        <w:rPr>
          <w:b/>
          <w:bCs/>
          <w:i/>
          <w:iCs/>
          <w:sz w:val="24"/>
          <w:szCs w:val="24"/>
          <w:u w:val="single"/>
        </w:rPr>
        <w:t>Formato inventario de usos finales de energía</w:t>
      </w:r>
      <w:r>
        <w:rPr>
          <w:b/>
          <w:bCs/>
          <w:i/>
          <w:iCs/>
          <w:sz w:val="24"/>
          <w:szCs w:val="24"/>
          <w:u w:val="single"/>
        </w:rPr>
        <w:t xml:space="preserve"> </w:t>
      </w:r>
      <w:r>
        <w:rPr>
          <w:sz w:val="24"/>
          <w:szCs w:val="24"/>
        </w:rPr>
        <w:t>vigente</w:t>
      </w:r>
      <w:r w:rsidRPr="009F162A">
        <w:rPr>
          <w:sz w:val="24"/>
          <w:szCs w:val="24"/>
        </w:rPr>
        <w:t>. Posterior a esto, se determinan y documentan los Usos Significativos de la Energía (</w:t>
      </w:r>
      <w:proofErr w:type="spellStart"/>
      <w:r w:rsidRPr="009F162A">
        <w:rPr>
          <w:sz w:val="24"/>
          <w:szCs w:val="24"/>
        </w:rPr>
        <w:t>USEn</w:t>
      </w:r>
      <w:proofErr w:type="spellEnd"/>
      <w:r w:rsidRPr="009F162A">
        <w:rPr>
          <w:sz w:val="24"/>
          <w:szCs w:val="24"/>
        </w:rPr>
        <w:t xml:space="preserve">) a partir de la metodología de diagrama de Pareto. Los </w:t>
      </w:r>
      <w:proofErr w:type="spellStart"/>
      <w:r w:rsidRPr="009F162A">
        <w:rPr>
          <w:sz w:val="24"/>
          <w:szCs w:val="24"/>
        </w:rPr>
        <w:t>USEn</w:t>
      </w:r>
      <w:proofErr w:type="spellEnd"/>
      <w:r w:rsidRPr="009F162A">
        <w:rPr>
          <w:sz w:val="24"/>
          <w:szCs w:val="24"/>
        </w:rPr>
        <w:t xml:space="preserve"> se </w:t>
      </w:r>
      <w:bookmarkStart w:id="24" w:name="_Hlk163752968"/>
      <w:r w:rsidRPr="009F162A">
        <w:rPr>
          <w:sz w:val="24"/>
          <w:szCs w:val="24"/>
        </w:rPr>
        <w:t xml:space="preserve">diligencian en el ítem </w:t>
      </w:r>
      <w:r w:rsidRPr="009F162A">
        <w:rPr>
          <w:i/>
          <w:iCs/>
          <w:sz w:val="24"/>
          <w:szCs w:val="24"/>
        </w:rPr>
        <w:t xml:space="preserve">3.1. Identificación </w:t>
      </w:r>
      <w:r w:rsidRPr="009F162A">
        <w:rPr>
          <w:i/>
          <w:iCs/>
          <w:sz w:val="24"/>
          <w:szCs w:val="24"/>
        </w:rPr>
        <w:lastRenderedPageBreak/>
        <w:t>de los usos significativos la energía</w:t>
      </w:r>
      <w:r w:rsidRPr="009F162A">
        <w:rPr>
          <w:sz w:val="24"/>
          <w:szCs w:val="24"/>
        </w:rPr>
        <w:t xml:space="preserve"> del formato GOR-F-088 -</w:t>
      </w:r>
      <w:r w:rsidRPr="009F162A">
        <w:rPr>
          <w:b/>
          <w:bCs/>
          <w:i/>
          <w:iCs/>
          <w:sz w:val="24"/>
          <w:szCs w:val="24"/>
          <w:u w:val="single"/>
        </w:rPr>
        <w:t>Formato revisión energética</w:t>
      </w:r>
      <w:r>
        <w:rPr>
          <w:sz w:val="24"/>
          <w:szCs w:val="24"/>
        </w:rPr>
        <w:t xml:space="preserve"> vigente</w:t>
      </w:r>
      <w:bookmarkEnd w:id="24"/>
      <w:r>
        <w:rPr>
          <w:sz w:val="24"/>
          <w:szCs w:val="24"/>
        </w:rPr>
        <w:t>.</w:t>
      </w:r>
    </w:p>
    <w:p w14:paraId="21773C2E" w14:textId="77777777" w:rsidR="009F162A" w:rsidRPr="009F162A" w:rsidRDefault="009F162A" w:rsidP="009F162A">
      <w:pPr>
        <w:spacing w:line="360" w:lineRule="auto"/>
        <w:jc w:val="both"/>
        <w:rPr>
          <w:sz w:val="24"/>
          <w:szCs w:val="24"/>
        </w:rPr>
      </w:pPr>
      <w:r w:rsidRPr="009F162A">
        <w:rPr>
          <w:sz w:val="24"/>
          <w:szCs w:val="24"/>
        </w:rPr>
        <w:t xml:space="preserve">Solo se debe diligenciar e identificar los </w:t>
      </w:r>
      <w:proofErr w:type="spellStart"/>
      <w:r w:rsidRPr="009F162A">
        <w:rPr>
          <w:sz w:val="24"/>
          <w:szCs w:val="24"/>
        </w:rPr>
        <w:t>USEn</w:t>
      </w:r>
      <w:proofErr w:type="spellEnd"/>
      <w:r w:rsidRPr="009F162A">
        <w:rPr>
          <w:sz w:val="24"/>
          <w:szCs w:val="24"/>
        </w:rPr>
        <w:t xml:space="preserve"> de las fuentes de energía significativas para la sede, es decir, aquella que tenga una participación mayor al 25% en la matriz de costos energéticos, tal como se indica en el ítem 8.4 de este instructivo.</w:t>
      </w:r>
    </w:p>
    <w:p w14:paraId="764C6E60" w14:textId="49A35F8A" w:rsidR="009F162A" w:rsidRPr="009F162A" w:rsidRDefault="009F162A" w:rsidP="009F162A">
      <w:pPr>
        <w:spacing w:line="360" w:lineRule="auto"/>
        <w:jc w:val="both"/>
        <w:rPr>
          <w:sz w:val="24"/>
          <w:szCs w:val="24"/>
        </w:rPr>
      </w:pPr>
      <w:r w:rsidRPr="009F162A">
        <w:rPr>
          <w:sz w:val="24"/>
          <w:szCs w:val="24"/>
        </w:rPr>
        <w:t xml:space="preserve">Una vez identificados los </w:t>
      </w:r>
      <w:proofErr w:type="spellStart"/>
      <w:r w:rsidRPr="009F162A">
        <w:rPr>
          <w:sz w:val="24"/>
          <w:szCs w:val="24"/>
        </w:rPr>
        <w:t>USEn</w:t>
      </w:r>
      <w:proofErr w:type="spellEnd"/>
      <w:r w:rsidRPr="009F162A">
        <w:rPr>
          <w:sz w:val="24"/>
          <w:szCs w:val="24"/>
        </w:rPr>
        <w:t>, se debe</w:t>
      </w:r>
      <w:r w:rsidR="00745E3E">
        <w:rPr>
          <w:sz w:val="24"/>
          <w:szCs w:val="24"/>
        </w:rPr>
        <w:t>n caracterizar</w:t>
      </w:r>
      <w:r w:rsidR="00A27DBF">
        <w:rPr>
          <w:sz w:val="24"/>
          <w:szCs w:val="24"/>
        </w:rPr>
        <w:t>,</w:t>
      </w:r>
      <w:r w:rsidRPr="009F162A">
        <w:rPr>
          <w:sz w:val="24"/>
          <w:szCs w:val="24"/>
        </w:rPr>
        <w:t xml:space="preserve"> determina</w:t>
      </w:r>
      <w:r w:rsidR="00A27DBF">
        <w:rPr>
          <w:sz w:val="24"/>
          <w:szCs w:val="24"/>
        </w:rPr>
        <w:t>ndo</w:t>
      </w:r>
      <w:r w:rsidRPr="009F162A">
        <w:rPr>
          <w:sz w:val="24"/>
          <w:szCs w:val="24"/>
        </w:rPr>
        <w:t xml:space="preserve"> y documenta</w:t>
      </w:r>
      <w:r w:rsidR="00A27DBF">
        <w:rPr>
          <w:sz w:val="24"/>
          <w:szCs w:val="24"/>
        </w:rPr>
        <w:t>ndo</w:t>
      </w:r>
      <w:r w:rsidRPr="009F162A">
        <w:rPr>
          <w:sz w:val="24"/>
          <w:szCs w:val="24"/>
        </w:rPr>
        <w:t xml:space="preserve"> por cada uno:</w:t>
      </w:r>
    </w:p>
    <w:p w14:paraId="6D334585" w14:textId="77777777" w:rsidR="009F162A" w:rsidRPr="009F162A" w:rsidRDefault="009F162A" w:rsidP="009F162A">
      <w:pPr>
        <w:pStyle w:val="Prrafodelista"/>
        <w:numPr>
          <w:ilvl w:val="0"/>
          <w:numId w:val="31"/>
        </w:numPr>
        <w:spacing w:line="360" w:lineRule="auto"/>
        <w:jc w:val="both"/>
        <w:rPr>
          <w:sz w:val="24"/>
          <w:szCs w:val="24"/>
        </w:rPr>
      </w:pPr>
      <w:r w:rsidRPr="009F162A">
        <w:rPr>
          <w:sz w:val="24"/>
          <w:szCs w:val="24"/>
        </w:rPr>
        <w:t>Tecnología</w:t>
      </w:r>
    </w:p>
    <w:p w14:paraId="62FEE7D7" w14:textId="77777777" w:rsidR="009F162A" w:rsidRPr="009F162A" w:rsidRDefault="009F162A" w:rsidP="009F162A">
      <w:pPr>
        <w:pStyle w:val="Prrafodelista"/>
        <w:numPr>
          <w:ilvl w:val="0"/>
          <w:numId w:val="31"/>
        </w:numPr>
        <w:spacing w:line="360" w:lineRule="auto"/>
        <w:jc w:val="both"/>
        <w:rPr>
          <w:sz w:val="24"/>
          <w:szCs w:val="24"/>
        </w:rPr>
      </w:pPr>
      <w:r w:rsidRPr="009F162A">
        <w:rPr>
          <w:sz w:val="24"/>
          <w:szCs w:val="24"/>
        </w:rPr>
        <w:t>Eficiencia energética</w:t>
      </w:r>
    </w:p>
    <w:p w14:paraId="68110BEE" w14:textId="77777777" w:rsidR="009F162A" w:rsidRPr="009F162A" w:rsidRDefault="009F162A" w:rsidP="009F162A">
      <w:pPr>
        <w:pStyle w:val="Prrafodelista"/>
        <w:numPr>
          <w:ilvl w:val="0"/>
          <w:numId w:val="31"/>
        </w:numPr>
        <w:spacing w:line="360" w:lineRule="auto"/>
        <w:jc w:val="both"/>
        <w:rPr>
          <w:sz w:val="24"/>
          <w:szCs w:val="24"/>
        </w:rPr>
      </w:pPr>
      <w:r w:rsidRPr="009F162A">
        <w:rPr>
          <w:sz w:val="24"/>
          <w:szCs w:val="24"/>
        </w:rPr>
        <w:t>Variables pertinentes</w:t>
      </w:r>
    </w:p>
    <w:p w14:paraId="710387B8" w14:textId="77777777" w:rsidR="009F162A" w:rsidRPr="009F162A" w:rsidRDefault="009F162A" w:rsidP="009F162A">
      <w:pPr>
        <w:pStyle w:val="Prrafodelista"/>
        <w:numPr>
          <w:ilvl w:val="0"/>
          <w:numId w:val="31"/>
        </w:numPr>
        <w:spacing w:line="360" w:lineRule="auto"/>
        <w:jc w:val="both"/>
        <w:rPr>
          <w:sz w:val="24"/>
          <w:szCs w:val="24"/>
        </w:rPr>
      </w:pPr>
      <w:r w:rsidRPr="009F162A">
        <w:rPr>
          <w:sz w:val="24"/>
          <w:szCs w:val="24"/>
        </w:rPr>
        <w:t xml:space="preserve">Personas que afectan o influyen en los </w:t>
      </w:r>
      <w:proofErr w:type="spellStart"/>
      <w:r w:rsidRPr="009F162A">
        <w:rPr>
          <w:sz w:val="24"/>
          <w:szCs w:val="24"/>
        </w:rPr>
        <w:t>USEn</w:t>
      </w:r>
      <w:proofErr w:type="spellEnd"/>
      <w:r w:rsidRPr="009F162A">
        <w:rPr>
          <w:sz w:val="24"/>
          <w:szCs w:val="24"/>
        </w:rPr>
        <w:t>.</w:t>
      </w:r>
    </w:p>
    <w:p w14:paraId="2F7A8B04" w14:textId="77777777" w:rsidR="009F162A" w:rsidRPr="009F162A" w:rsidRDefault="009F162A" w:rsidP="009F162A">
      <w:pPr>
        <w:pStyle w:val="Prrafodelista"/>
        <w:numPr>
          <w:ilvl w:val="0"/>
          <w:numId w:val="31"/>
        </w:numPr>
        <w:spacing w:line="360" w:lineRule="auto"/>
        <w:jc w:val="both"/>
        <w:rPr>
          <w:sz w:val="24"/>
          <w:szCs w:val="24"/>
        </w:rPr>
      </w:pPr>
      <w:r w:rsidRPr="009F162A">
        <w:rPr>
          <w:sz w:val="24"/>
          <w:szCs w:val="24"/>
        </w:rPr>
        <w:t>Tipo y régimen de mantenimiento</w:t>
      </w:r>
    </w:p>
    <w:p w14:paraId="4CD37956" w14:textId="0B33E4F5" w:rsidR="00B57A7F" w:rsidRDefault="009F162A" w:rsidP="009F162A">
      <w:pPr>
        <w:spacing w:line="360" w:lineRule="auto"/>
        <w:jc w:val="both"/>
        <w:rPr>
          <w:b/>
          <w:bCs/>
          <w:i/>
          <w:iCs/>
          <w:sz w:val="24"/>
          <w:szCs w:val="24"/>
        </w:rPr>
      </w:pPr>
      <w:r w:rsidRPr="009F162A">
        <w:rPr>
          <w:sz w:val="24"/>
          <w:szCs w:val="24"/>
        </w:rPr>
        <w:t xml:space="preserve">Esto se diligencia en el ítem </w:t>
      </w:r>
      <w:r w:rsidRPr="009F162A">
        <w:rPr>
          <w:i/>
          <w:iCs/>
          <w:sz w:val="24"/>
          <w:szCs w:val="24"/>
        </w:rPr>
        <w:t>3.2. Caracterización de los usos significativos la energía</w:t>
      </w:r>
      <w:r w:rsidRPr="009F162A">
        <w:rPr>
          <w:sz w:val="24"/>
          <w:szCs w:val="24"/>
        </w:rPr>
        <w:t xml:space="preserve"> del formato GOR-F-088 </w:t>
      </w:r>
      <w:r w:rsidRPr="009F162A">
        <w:rPr>
          <w:b/>
          <w:bCs/>
          <w:i/>
          <w:iCs/>
          <w:sz w:val="24"/>
          <w:szCs w:val="24"/>
          <w:u w:val="single"/>
        </w:rPr>
        <w:t>Formato revisión energética</w:t>
      </w:r>
      <w:r w:rsidRPr="009F162A">
        <w:rPr>
          <w:b/>
          <w:bCs/>
          <w:i/>
          <w:iCs/>
          <w:sz w:val="24"/>
          <w:szCs w:val="24"/>
        </w:rPr>
        <w:t>.</w:t>
      </w:r>
    </w:p>
    <w:p w14:paraId="496AC430" w14:textId="77777777" w:rsidR="006F0BE4" w:rsidRDefault="006F0BE4" w:rsidP="009F162A">
      <w:pPr>
        <w:spacing w:line="360" w:lineRule="auto"/>
        <w:jc w:val="both"/>
        <w:rPr>
          <w:b/>
          <w:bCs/>
          <w:i/>
          <w:iCs/>
          <w:sz w:val="24"/>
          <w:szCs w:val="24"/>
        </w:rPr>
      </w:pPr>
    </w:p>
    <w:p w14:paraId="21BB3938" w14:textId="103E5A77" w:rsidR="006F0BE4" w:rsidRDefault="007805D9" w:rsidP="007805D9">
      <w:pPr>
        <w:pStyle w:val="Ttulo2"/>
        <w:rPr>
          <w:b/>
          <w:bCs/>
          <w:color w:val="auto"/>
          <w:sz w:val="24"/>
          <w:szCs w:val="24"/>
        </w:rPr>
      </w:pPr>
      <w:bookmarkStart w:id="25" w:name="_Toc183363592"/>
      <w:r>
        <w:rPr>
          <w:b/>
          <w:bCs/>
          <w:color w:val="auto"/>
          <w:sz w:val="24"/>
          <w:szCs w:val="24"/>
        </w:rPr>
        <w:t xml:space="preserve">8.6. </w:t>
      </w:r>
      <w:r w:rsidR="002F304F" w:rsidRPr="007805D9">
        <w:rPr>
          <w:b/>
          <w:bCs/>
          <w:color w:val="auto"/>
          <w:sz w:val="24"/>
          <w:szCs w:val="24"/>
        </w:rPr>
        <w:t xml:space="preserve">Determinar las </w:t>
      </w:r>
      <w:r w:rsidR="00BA6C0B" w:rsidRPr="007805D9">
        <w:rPr>
          <w:b/>
          <w:bCs/>
          <w:color w:val="auto"/>
          <w:sz w:val="24"/>
          <w:szCs w:val="24"/>
        </w:rPr>
        <w:t>oportunidades de mejora del desempeño energético</w:t>
      </w:r>
      <w:bookmarkEnd w:id="25"/>
    </w:p>
    <w:p w14:paraId="13488170" w14:textId="77777777" w:rsidR="007805D9" w:rsidRPr="007805D9" w:rsidRDefault="007805D9" w:rsidP="007805D9"/>
    <w:p w14:paraId="47CC1EEF" w14:textId="77777777" w:rsidR="00A7793E" w:rsidRPr="00A7793E" w:rsidRDefault="00A7793E" w:rsidP="00A7793E">
      <w:pPr>
        <w:spacing w:line="360" w:lineRule="auto"/>
        <w:jc w:val="both"/>
        <w:rPr>
          <w:sz w:val="24"/>
          <w:szCs w:val="24"/>
        </w:rPr>
      </w:pPr>
      <w:r w:rsidRPr="00A7793E">
        <w:rPr>
          <w:sz w:val="24"/>
          <w:szCs w:val="24"/>
        </w:rPr>
        <w:t>Con base en la información recopilada en los numerales anteriores, se deben determinar y documentar las oportunidades de mejora del desempeño energético de la sede, como parte del Plan de Gestión Eficiente de la Energía (PGEE). Estas oportunidades deben incluir, como mínimo, Buenas Prácticas Operativas (BPO), acciones de reconversión tecnológica en los usos finales de energía, actividades de mantenimiento y proyectos de autogeneración con energías renovables, entre otros.</w:t>
      </w:r>
    </w:p>
    <w:p w14:paraId="7CCB8A4A" w14:textId="77777777" w:rsidR="00A7793E" w:rsidRPr="00A7793E" w:rsidRDefault="00A7793E" w:rsidP="00A7793E">
      <w:pPr>
        <w:spacing w:line="360" w:lineRule="auto"/>
        <w:jc w:val="both"/>
        <w:rPr>
          <w:sz w:val="24"/>
          <w:szCs w:val="24"/>
        </w:rPr>
      </w:pPr>
      <w:r w:rsidRPr="00A7793E">
        <w:rPr>
          <w:sz w:val="24"/>
          <w:szCs w:val="24"/>
        </w:rPr>
        <w:lastRenderedPageBreak/>
        <w:t>Cada oportunidad de mejora debe contar con una evaluación técnico</w:t>
      </w:r>
      <w:r w:rsidRPr="00A7793E">
        <w:rPr>
          <w:rFonts w:ascii="Cambria Math" w:hAnsi="Cambria Math" w:cs="Cambria Math"/>
          <w:sz w:val="24"/>
          <w:szCs w:val="24"/>
        </w:rPr>
        <w:t>‑</w:t>
      </w:r>
      <w:r w:rsidRPr="00A7793E">
        <w:rPr>
          <w:sz w:val="24"/>
          <w:szCs w:val="24"/>
        </w:rPr>
        <w:t>financiera que estime el potencial de ahorro de energ</w:t>
      </w:r>
      <w:r w:rsidRPr="00A7793E">
        <w:rPr>
          <w:rFonts w:cs="Calibri"/>
          <w:sz w:val="24"/>
          <w:szCs w:val="24"/>
        </w:rPr>
        <w:t>í</w:t>
      </w:r>
      <w:r w:rsidRPr="00A7793E">
        <w:rPr>
          <w:sz w:val="24"/>
          <w:szCs w:val="24"/>
        </w:rPr>
        <w:t>a, la reducci</w:t>
      </w:r>
      <w:r w:rsidRPr="00A7793E">
        <w:rPr>
          <w:rFonts w:cs="Calibri"/>
          <w:sz w:val="24"/>
          <w:szCs w:val="24"/>
        </w:rPr>
        <w:t>ó</w:t>
      </w:r>
      <w:r w:rsidRPr="00A7793E">
        <w:rPr>
          <w:sz w:val="24"/>
          <w:szCs w:val="24"/>
        </w:rPr>
        <w:t>n en costos energ</w:t>
      </w:r>
      <w:r w:rsidRPr="00A7793E">
        <w:rPr>
          <w:rFonts w:cs="Calibri"/>
          <w:sz w:val="24"/>
          <w:szCs w:val="24"/>
        </w:rPr>
        <w:t>é</w:t>
      </w:r>
      <w:r w:rsidRPr="00A7793E">
        <w:rPr>
          <w:sz w:val="24"/>
          <w:szCs w:val="24"/>
        </w:rPr>
        <w:t>ticos, la disminuci</w:t>
      </w:r>
      <w:r w:rsidRPr="00A7793E">
        <w:rPr>
          <w:rFonts w:cs="Calibri"/>
          <w:sz w:val="24"/>
          <w:szCs w:val="24"/>
        </w:rPr>
        <w:t>ó</w:t>
      </w:r>
      <w:r w:rsidRPr="00A7793E">
        <w:rPr>
          <w:sz w:val="24"/>
          <w:szCs w:val="24"/>
        </w:rPr>
        <w:t>n proyectada de emisiones de CO</w:t>
      </w:r>
      <w:r w:rsidRPr="00A7793E">
        <w:rPr>
          <w:rFonts w:cs="Calibri"/>
          <w:sz w:val="24"/>
          <w:szCs w:val="24"/>
        </w:rPr>
        <w:t>₂</w:t>
      </w:r>
      <w:r w:rsidRPr="00A7793E">
        <w:rPr>
          <w:sz w:val="24"/>
          <w:szCs w:val="24"/>
        </w:rPr>
        <w:t>, la inversi</w:t>
      </w:r>
      <w:r w:rsidRPr="00A7793E">
        <w:rPr>
          <w:rFonts w:cs="Calibri"/>
          <w:sz w:val="24"/>
          <w:szCs w:val="24"/>
        </w:rPr>
        <w:t>ó</w:t>
      </w:r>
      <w:r w:rsidRPr="00A7793E">
        <w:rPr>
          <w:sz w:val="24"/>
          <w:szCs w:val="24"/>
        </w:rPr>
        <w:t>n requerida y el tiempo de retorno de la inversi</w:t>
      </w:r>
      <w:r w:rsidRPr="00A7793E">
        <w:rPr>
          <w:rFonts w:cs="Calibri"/>
          <w:sz w:val="24"/>
          <w:szCs w:val="24"/>
        </w:rPr>
        <w:t>ó</w:t>
      </w:r>
      <w:r w:rsidRPr="00A7793E">
        <w:rPr>
          <w:sz w:val="24"/>
          <w:szCs w:val="24"/>
        </w:rPr>
        <w:t>n (calculado como: ahorro anual estimado en costos energéticos / inversión estimada).</w:t>
      </w:r>
    </w:p>
    <w:p w14:paraId="2785466D" w14:textId="77777777" w:rsidR="00A7793E" w:rsidRPr="00A7793E" w:rsidRDefault="00A7793E" w:rsidP="00A7793E">
      <w:pPr>
        <w:spacing w:line="360" w:lineRule="auto"/>
        <w:jc w:val="both"/>
        <w:rPr>
          <w:sz w:val="24"/>
          <w:szCs w:val="24"/>
        </w:rPr>
      </w:pPr>
      <w:r w:rsidRPr="00A7793E">
        <w:rPr>
          <w:sz w:val="24"/>
          <w:szCs w:val="24"/>
        </w:rPr>
        <w:t>Las oportunidades de mejora deben desarrollarse para los usos finales asociados a las fuentes de energía significativas de la sede, es decir, aquellas que representen más del 25% de la matriz de costos energéticos, conforme se establece en el numeral 8.4 de este instructivo.</w:t>
      </w:r>
    </w:p>
    <w:p w14:paraId="7B79272C" w14:textId="77777777" w:rsidR="00C81518" w:rsidRDefault="00A7793E" w:rsidP="00DB67B9">
      <w:pPr>
        <w:spacing w:line="360" w:lineRule="auto"/>
        <w:jc w:val="both"/>
        <w:rPr>
          <w:sz w:val="24"/>
          <w:szCs w:val="24"/>
        </w:rPr>
      </w:pPr>
      <w:r w:rsidRPr="00A7793E">
        <w:rPr>
          <w:sz w:val="24"/>
          <w:szCs w:val="24"/>
        </w:rPr>
        <w:t>Posteriormente, se deben priorizar las oportunidades más costo</w:t>
      </w:r>
      <w:r w:rsidRPr="00A7793E">
        <w:rPr>
          <w:rFonts w:ascii="Cambria Math" w:hAnsi="Cambria Math" w:cs="Cambria Math"/>
          <w:sz w:val="24"/>
          <w:szCs w:val="24"/>
        </w:rPr>
        <w:t>‑</w:t>
      </w:r>
      <w:r w:rsidRPr="00A7793E">
        <w:rPr>
          <w:sz w:val="24"/>
          <w:szCs w:val="24"/>
        </w:rPr>
        <w:t>efectivas, tomando como criterio principal aquellas con menor tiempo de retorno de la inversi</w:t>
      </w:r>
      <w:r w:rsidRPr="00A7793E">
        <w:rPr>
          <w:rFonts w:cs="Calibri"/>
          <w:sz w:val="24"/>
          <w:szCs w:val="24"/>
        </w:rPr>
        <w:t>ó</w:t>
      </w:r>
      <w:r w:rsidRPr="00A7793E">
        <w:rPr>
          <w:sz w:val="24"/>
          <w:szCs w:val="24"/>
        </w:rPr>
        <w:t>n. Las oportunidades priorizadas constituirán el PGEE de la sede y se integrarán como actividades del Programa SENA Energy de la Entidad. Estas oportunidades priorizadas deben representar un potencial de ahorro energético equivalente a, como mínimo, el 15% respecto de la línea base energética de la sede.</w:t>
      </w:r>
      <w:bookmarkStart w:id="26" w:name="_Hlk163763676"/>
      <w:r w:rsidR="00C81518">
        <w:rPr>
          <w:sz w:val="24"/>
          <w:szCs w:val="24"/>
        </w:rPr>
        <w:t xml:space="preserve"> </w:t>
      </w:r>
    </w:p>
    <w:p w14:paraId="0DC852D1" w14:textId="0EEB7F23" w:rsidR="00DB67B9" w:rsidRPr="00D07836" w:rsidRDefault="00054EBE" w:rsidP="00DB67B9">
      <w:pPr>
        <w:spacing w:line="360" w:lineRule="auto"/>
        <w:jc w:val="both"/>
        <w:rPr>
          <w:sz w:val="24"/>
          <w:szCs w:val="24"/>
        </w:rPr>
      </w:pPr>
      <w:r>
        <w:rPr>
          <w:sz w:val="24"/>
          <w:szCs w:val="24"/>
        </w:rPr>
        <w:t>Las oportunidades de mejora priorizadas</w:t>
      </w:r>
      <w:r w:rsidR="006010E7">
        <w:rPr>
          <w:sz w:val="24"/>
          <w:szCs w:val="24"/>
        </w:rPr>
        <w:t xml:space="preserve"> </w:t>
      </w:r>
      <w:r w:rsidR="00DB67B9" w:rsidRPr="00DB67B9">
        <w:rPr>
          <w:sz w:val="24"/>
          <w:szCs w:val="24"/>
        </w:rPr>
        <w:t xml:space="preserve">se deben diligenciar en el ítem </w:t>
      </w:r>
      <w:r w:rsidR="00DB67B9" w:rsidRPr="00DB67B9">
        <w:rPr>
          <w:i/>
          <w:iCs/>
          <w:sz w:val="24"/>
          <w:szCs w:val="24"/>
        </w:rPr>
        <w:t>4. Oportunidades</w:t>
      </w:r>
      <w:r w:rsidR="006010E7">
        <w:rPr>
          <w:i/>
          <w:iCs/>
          <w:sz w:val="24"/>
          <w:szCs w:val="24"/>
        </w:rPr>
        <w:t xml:space="preserve"> priorizadas</w:t>
      </w:r>
      <w:r w:rsidR="00DB67B9" w:rsidRPr="00DB67B9">
        <w:rPr>
          <w:i/>
          <w:iCs/>
          <w:sz w:val="24"/>
          <w:szCs w:val="24"/>
        </w:rPr>
        <w:t xml:space="preserve"> para la mejora del desempeño energético</w:t>
      </w:r>
      <w:r w:rsidR="00DB67B9" w:rsidRPr="00DB67B9">
        <w:rPr>
          <w:sz w:val="24"/>
          <w:szCs w:val="24"/>
        </w:rPr>
        <w:t xml:space="preserve"> del formato GOR-F-088 </w:t>
      </w:r>
      <w:r w:rsidR="00DB67B9" w:rsidRPr="00DB67B9">
        <w:rPr>
          <w:b/>
          <w:bCs/>
          <w:i/>
          <w:iCs/>
          <w:sz w:val="24"/>
          <w:szCs w:val="24"/>
          <w:u w:val="single"/>
        </w:rPr>
        <w:t>Formato revisión energética</w:t>
      </w:r>
      <w:r w:rsidR="005E6BCF">
        <w:rPr>
          <w:sz w:val="24"/>
          <w:szCs w:val="24"/>
        </w:rPr>
        <w:t xml:space="preserve"> vi</w:t>
      </w:r>
      <w:r w:rsidR="001E29DF">
        <w:rPr>
          <w:sz w:val="24"/>
          <w:szCs w:val="24"/>
        </w:rPr>
        <w:t>gente</w:t>
      </w:r>
      <w:bookmarkEnd w:id="26"/>
      <w:r w:rsidR="001E29DF">
        <w:rPr>
          <w:sz w:val="24"/>
          <w:szCs w:val="24"/>
        </w:rPr>
        <w:t>.</w:t>
      </w:r>
      <w:r w:rsidR="00DB67B9" w:rsidRPr="00DB67B9">
        <w:rPr>
          <w:b/>
          <w:bCs/>
          <w:i/>
          <w:iCs/>
          <w:sz w:val="24"/>
          <w:szCs w:val="24"/>
        </w:rPr>
        <w:t xml:space="preserve"> </w:t>
      </w:r>
    </w:p>
    <w:p w14:paraId="32ED7286" w14:textId="3B745B40" w:rsidR="00E34538" w:rsidRPr="001C1FA8" w:rsidRDefault="00E34538" w:rsidP="00DB67B9">
      <w:pPr>
        <w:spacing w:line="360" w:lineRule="auto"/>
        <w:jc w:val="both"/>
        <w:rPr>
          <w:b/>
          <w:bCs/>
          <w:sz w:val="24"/>
          <w:szCs w:val="24"/>
        </w:rPr>
      </w:pPr>
      <w:r w:rsidRPr="00DA3A7A">
        <w:rPr>
          <w:b/>
          <w:bCs/>
          <w:sz w:val="24"/>
          <w:szCs w:val="24"/>
          <w:u w:val="single"/>
        </w:rPr>
        <w:t xml:space="preserve">En las sedes del SENA en calidad de arrendamiento, comodato u otra figura jurídica similar, </w:t>
      </w:r>
      <w:r w:rsidR="00456B20">
        <w:rPr>
          <w:b/>
          <w:bCs/>
          <w:sz w:val="24"/>
          <w:szCs w:val="24"/>
          <w:u w:val="single"/>
        </w:rPr>
        <w:t>se deberán definir e implementar únicamente</w:t>
      </w:r>
      <w:r w:rsidR="00E5486A">
        <w:rPr>
          <w:b/>
          <w:bCs/>
          <w:sz w:val="24"/>
          <w:szCs w:val="24"/>
          <w:u w:val="single"/>
        </w:rPr>
        <w:t xml:space="preserve"> medidas u</w:t>
      </w:r>
      <w:r w:rsidR="00456B20">
        <w:rPr>
          <w:b/>
          <w:bCs/>
          <w:sz w:val="24"/>
          <w:szCs w:val="24"/>
          <w:u w:val="single"/>
        </w:rPr>
        <w:t xml:space="preserve"> </w:t>
      </w:r>
      <w:r w:rsidR="001C1FA8">
        <w:rPr>
          <w:b/>
          <w:bCs/>
          <w:sz w:val="24"/>
          <w:szCs w:val="24"/>
          <w:u w:val="single"/>
        </w:rPr>
        <w:t>oportunidades</w:t>
      </w:r>
      <w:r w:rsidR="00E5486A">
        <w:rPr>
          <w:b/>
          <w:bCs/>
          <w:sz w:val="24"/>
          <w:szCs w:val="24"/>
          <w:u w:val="single"/>
        </w:rPr>
        <w:t xml:space="preserve"> de mejora </w:t>
      </w:r>
      <w:r w:rsidR="001C1FA8">
        <w:rPr>
          <w:b/>
          <w:bCs/>
          <w:sz w:val="24"/>
          <w:szCs w:val="24"/>
          <w:u w:val="single"/>
        </w:rPr>
        <w:t>asociadas</w:t>
      </w:r>
      <w:r w:rsidR="00E5486A">
        <w:rPr>
          <w:b/>
          <w:bCs/>
          <w:sz w:val="24"/>
          <w:szCs w:val="24"/>
          <w:u w:val="single"/>
        </w:rPr>
        <w:t xml:space="preserve"> a Buenas Prácticas de </w:t>
      </w:r>
      <w:r w:rsidR="001C1FA8">
        <w:rPr>
          <w:b/>
          <w:bCs/>
          <w:sz w:val="24"/>
          <w:szCs w:val="24"/>
          <w:u w:val="single"/>
        </w:rPr>
        <w:t>Operación</w:t>
      </w:r>
      <w:r w:rsidR="00E5486A">
        <w:rPr>
          <w:b/>
          <w:bCs/>
          <w:sz w:val="24"/>
          <w:szCs w:val="24"/>
          <w:u w:val="single"/>
        </w:rPr>
        <w:t xml:space="preserve"> (BPO</w:t>
      </w:r>
      <w:r w:rsidR="001C1FA8">
        <w:rPr>
          <w:b/>
          <w:bCs/>
          <w:sz w:val="24"/>
          <w:szCs w:val="24"/>
          <w:u w:val="single"/>
        </w:rPr>
        <w:t>)</w:t>
      </w:r>
      <w:r w:rsidR="001C1FA8">
        <w:rPr>
          <w:b/>
          <w:bCs/>
          <w:sz w:val="24"/>
          <w:szCs w:val="24"/>
        </w:rPr>
        <w:t>.</w:t>
      </w:r>
    </w:p>
    <w:p w14:paraId="62D48EE7" w14:textId="69DBFD34" w:rsidR="00CA484F" w:rsidRDefault="00823A30" w:rsidP="00DB67B9">
      <w:pPr>
        <w:spacing w:line="360" w:lineRule="auto"/>
        <w:jc w:val="both"/>
        <w:rPr>
          <w:sz w:val="24"/>
          <w:szCs w:val="24"/>
        </w:rPr>
      </w:pPr>
      <w:r w:rsidRPr="00823A30">
        <w:rPr>
          <w:sz w:val="24"/>
          <w:szCs w:val="24"/>
        </w:rPr>
        <w:t xml:space="preserve">Finalmente, las oportunidades priorizadas entregadas por el ejecutor práctico deben incorporarse al Programa SENA Energy dentro de los programas ambientales y energéticos del SGA y SGE. El seguimiento a su implementación se realizará de manera cuatrimestral </w:t>
      </w:r>
      <w:r w:rsidRPr="00823A30">
        <w:rPr>
          <w:sz w:val="24"/>
          <w:szCs w:val="24"/>
        </w:rPr>
        <w:lastRenderedPageBreak/>
        <w:t>por los dinamizadores regionales y el equipo de seguimiento de la Dirección General del Sistema de Gestión Ambiental y Energía de la Entidad.</w:t>
      </w:r>
    </w:p>
    <w:p w14:paraId="378D9958" w14:textId="77777777" w:rsidR="00823A30" w:rsidRDefault="00823A30" w:rsidP="00DB67B9">
      <w:pPr>
        <w:spacing w:line="360" w:lineRule="auto"/>
        <w:jc w:val="both"/>
        <w:rPr>
          <w:sz w:val="24"/>
          <w:szCs w:val="24"/>
        </w:rPr>
      </w:pPr>
    </w:p>
    <w:p w14:paraId="012A21DD" w14:textId="6610307C" w:rsidR="00CA484F" w:rsidRDefault="007805D9" w:rsidP="007805D9">
      <w:pPr>
        <w:pStyle w:val="Ttulo2"/>
        <w:rPr>
          <w:b/>
          <w:bCs/>
          <w:color w:val="auto"/>
          <w:sz w:val="24"/>
          <w:szCs w:val="24"/>
        </w:rPr>
      </w:pPr>
      <w:bookmarkStart w:id="27" w:name="_Toc183363593"/>
      <w:r>
        <w:rPr>
          <w:b/>
          <w:bCs/>
          <w:color w:val="auto"/>
          <w:sz w:val="24"/>
          <w:szCs w:val="24"/>
        </w:rPr>
        <w:t xml:space="preserve">8.7. </w:t>
      </w:r>
      <w:r w:rsidR="001008B2" w:rsidRPr="007805D9">
        <w:rPr>
          <w:b/>
          <w:bCs/>
          <w:color w:val="auto"/>
          <w:sz w:val="24"/>
          <w:szCs w:val="24"/>
        </w:rPr>
        <w:t xml:space="preserve">Estimar los usos y consumos futuros de </w:t>
      </w:r>
      <w:r w:rsidR="005D1CCE" w:rsidRPr="007805D9">
        <w:rPr>
          <w:b/>
          <w:bCs/>
          <w:color w:val="auto"/>
          <w:sz w:val="24"/>
          <w:szCs w:val="24"/>
        </w:rPr>
        <w:t>energía</w:t>
      </w:r>
      <w:bookmarkEnd w:id="27"/>
    </w:p>
    <w:p w14:paraId="0A6EC9F6" w14:textId="77777777" w:rsidR="007805D9" w:rsidRPr="007805D9" w:rsidRDefault="007805D9" w:rsidP="007805D9"/>
    <w:p w14:paraId="4BB57CB5" w14:textId="77777777" w:rsidR="007805D9" w:rsidRDefault="00A03513" w:rsidP="00A03513">
      <w:pPr>
        <w:spacing w:line="360" w:lineRule="auto"/>
        <w:jc w:val="both"/>
        <w:rPr>
          <w:sz w:val="24"/>
          <w:szCs w:val="24"/>
        </w:rPr>
      </w:pPr>
      <w:r w:rsidRPr="00A03513">
        <w:rPr>
          <w:sz w:val="24"/>
          <w:szCs w:val="24"/>
        </w:rPr>
        <w:t>Se debe determinar y documentar estimaciones de usos y consumos futuros de la energía (esto para las fuentes de energía significativas para la sede, es decir, aquella que tenga una participación mayor al 25% en la matriz de costos energéticos, tal como se indica en el numeral 8.4 de este instructivo) para la sede durante próximo año calendario, con base en los potenciales de ahorro energético determinados en las oportunidades de mejora del desempeño energético identificadas.</w:t>
      </w:r>
    </w:p>
    <w:p w14:paraId="099AE87B" w14:textId="278AED82" w:rsidR="00A03513" w:rsidRPr="00A03513" w:rsidRDefault="00A03513" w:rsidP="00A03513">
      <w:pPr>
        <w:spacing w:line="360" w:lineRule="auto"/>
        <w:jc w:val="both"/>
        <w:rPr>
          <w:sz w:val="24"/>
          <w:szCs w:val="24"/>
        </w:rPr>
      </w:pPr>
      <w:r w:rsidRPr="00A03513">
        <w:rPr>
          <w:sz w:val="24"/>
          <w:szCs w:val="24"/>
        </w:rPr>
        <w:t xml:space="preserve"> La estimación de los usos y consumos futuros de energía se deben diligenciar en el ítem </w:t>
      </w:r>
      <w:r w:rsidRPr="00A03513">
        <w:rPr>
          <w:i/>
          <w:iCs/>
          <w:sz w:val="24"/>
          <w:szCs w:val="24"/>
        </w:rPr>
        <w:t>5. Estimación de usos y consumos futuros de energía</w:t>
      </w:r>
      <w:r w:rsidRPr="00A03513">
        <w:rPr>
          <w:sz w:val="24"/>
          <w:szCs w:val="24"/>
        </w:rPr>
        <w:t xml:space="preserve"> del formato GOR-F-088 </w:t>
      </w:r>
      <w:r w:rsidRPr="00A03513">
        <w:rPr>
          <w:b/>
          <w:bCs/>
          <w:i/>
          <w:iCs/>
          <w:sz w:val="24"/>
          <w:szCs w:val="24"/>
          <w:u w:val="single"/>
        </w:rPr>
        <w:t>Formato revisión energética</w:t>
      </w:r>
      <w:r w:rsidR="00D913CD">
        <w:rPr>
          <w:sz w:val="24"/>
          <w:szCs w:val="24"/>
        </w:rPr>
        <w:t xml:space="preserve"> vigente</w:t>
      </w:r>
      <w:r w:rsidR="00C37D9A">
        <w:rPr>
          <w:sz w:val="24"/>
          <w:szCs w:val="24"/>
        </w:rPr>
        <w:t>.</w:t>
      </w:r>
      <w:r w:rsidRPr="00A03513">
        <w:rPr>
          <w:b/>
          <w:bCs/>
          <w:i/>
          <w:iCs/>
          <w:sz w:val="24"/>
          <w:szCs w:val="24"/>
        </w:rPr>
        <w:t xml:space="preserve"> </w:t>
      </w:r>
      <w:r w:rsidRPr="00A03513">
        <w:rPr>
          <w:sz w:val="24"/>
          <w:szCs w:val="24"/>
        </w:rPr>
        <w:t xml:space="preserve">El ejecutor práctico de la revisión energética debe presentar </w:t>
      </w:r>
      <w:r w:rsidR="00E0466E">
        <w:rPr>
          <w:sz w:val="24"/>
          <w:szCs w:val="24"/>
        </w:rPr>
        <w:t xml:space="preserve">un </w:t>
      </w:r>
      <w:r w:rsidR="00E0466E" w:rsidRPr="00ED476B">
        <w:rPr>
          <w:b/>
          <w:bCs/>
          <w:sz w:val="24"/>
          <w:szCs w:val="24"/>
        </w:rPr>
        <w:t>informe</w:t>
      </w:r>
      <w:r w:rsidRPr="00ED476B">
        <w:rPr>
          <w:b/>
          <w:bCs/>
          <w:sz w:val="24"/>
          <w:szCs w:val="24"/>
        </w:rPr>
        <w:t xml:space="preserve"> técnico</w:t>
      </w:r>
      <w:r w:rsidRPr="00A03513">
        <w:rPr>
          <w:sz w:val="24"/>
          <w:szCs w:val="24"/>
        </w:rPr>
        <w:t xml:space="preserve"> con los resultados generales de la revisión energética, consignando en este, como mínimo, lo que se </w:t>
      </w:r>
      <w:r w:rsidR="00ED476B">
        <w:rPr>
          <w:sz w:val="24"/>
          <w:szCs w:val="24"/>
        </w:rPr>
        <w:t>solicita</w:t>
      </w:r>
      <w:r w:rsidRPr="00A03513">
        <w:rPr>
          <w:sz w:val="24"/>
          <w:szCs w:val="24"/>
        </w:rPr>
        <w:t xml:space="preserve"> en </w:t>
      </w:r>
      <w:r w:rsidR="00ED476B">
        <w:rPr>
          <w:sz w:val="24"/>
          <w:szCs w:val="24"/>
        </w:rPr>
        <w:t>este instructivo.</w:t>
      </w:r>
    </w:p>
    <w:p w14:paraId="3CF93BC5" w14:textId="70C6FFE5" w:rsidR="005D1CCE" w:rsidRPr="00C37D9A" w:rsidRDefault="00A03513" w:rsidP="00A03513">
      <w:pPr>
        <w:spacing w:line="360" w:lineRule="auto"/>
        <w:rPr>
          <w:sz w:val="24"/>
          <w:szCs w:val="24"/>
        </w:rPr>
      </w:pPr>
      <w:r w:rsidRPr="00A03513">
        <w:rPr>
          <w:sz w:val="24"/>
          <w:szCs w:val="24"/>
        </w:rPr>
        <w:t xml:space="preserve">Por otro lado, a partir de los resultados de la revisión energética, se debe presentar el formato GOR-F-088 - </w:t>
      </w:r>
      <w:r w:rsidRPr="00A03513">
        <w:rPr>
          <w:b/>
          <w:bCs/>
          <w:i/>
          <w:iCs/>
          <w:sz w:val="24"/>
          <w:szCs w:val="24"/>
          <w:u w:val="single"/>
        </w:rPr>
        <w:t>Formato revisión energética</w:t>
      </w:r>
      <w:r w:rsidRPr="00A03513">
        <w:rPr>
          <w:i/>
          <w:iCs/>
          <w:sz w:val="24"/>
          <w:szCs w:val="24"/>
        </w:rPr>
        <w:t xml:space="preserve"> </w:t>
      </w:r>
      <w:r w:rsidR="00C37D9A" w:rsidRPr="00C37D9A">
        <w:rPr>
          <w:sz w:val="24"/>
          <w:szCs w:val="24"/>
        </w:rPr>
        <w:t>vigente</w:t>
      </w:r>
      <w:r w:rsidR="00C37D9A">
        <w:rPr>
          <w:sz w:val="24"/>
          <w:szCs w:val="24"/>
        </w:rPr>
        <w:t xml:space="preserve"> </w:t>
      </w:r>
      <w:r w:rsidRPr="00C37D9A">
        <w:rPr>
          <w:sz w:val="24"/>
          <w:szCs w:val="24"/>
        </w:rPr>
        <w:t>(a</w:t>
      </w:r>
      <w:r w:rsidRPr="00A03513">
        <w:rPr>
          <w:sz w:val="24"/>
          <w:szCs w:val="24"/>
        </w:rPr>
        <w:t>nexo a este instructivo)</w:t>
      </w:r>
      <w:r w:rsidRPr="00A03513">
        <w:rPr>
          <w:i/>
          <w:iCs/>
          <w:sz w:val="24"/>
          <w:szCs w:val="24"/>
        </w:rPr>
        <w:t xml:space="preserve"> </w:t>
      </w:r>
      <w:r w:rsidRPr="00A03513">
        <w:rPr>
          <w:sz w:val="24"/>
          <w:szCs w:val="24"/>
        </w:rPr>
        <w:t xml:space="preserve">diligenciado, junto con el inventario de equipos en el formato </w:t>
      </w:r>
      <w:r w:rsidRPr="0017283B">
        <w:rPr>
          <w:sz w:val="24"/>
          <w:szCs w:val="24"/>
        </w:rPr>
        <w:t xml:space="preserve">GOR-F-087 </w:t>
      </w:r>
      <w:r w:rsidRPr="00A03513">
        <w:rPr>
          <w:b/>
          <w:bCs/>
          <w:i/>
          <w:iCs/>
          <w:sz w:val="24"/>
          <w:szCs w:val="24"/>
          <w:u w:val="single"/>
        </w:rPr>
        <w:t>Formato inventario de usos finales de energía</w:t>
      </w:r>
      <w:r w:rsidR="0017283B" w:rsidRPr="0017283B">
        <w:rPr>
          <w:sz w:val="24"/>
          <w:szCs w:val="24"/>
        </w:rPr>
        <w:t xml:space="preserve"> </w:t>
      </w:r>
      <w:r w:rsidR="00C37D9A">
        <w:rPr>
          <w:sz w:val="24"/>
          <w:szCs w:val="24"/>
        </w:rPr>
        <w:t>vigente.</w:t>
      </w:r>
    </w:p>
    <w:p w14:paraId="06560119" w14:textId="1DEFD4F0" w:rsidR="00783B29" w:rsidRDefault="00783B29" w:rsidP="00245ACC">
      <w:pPr>
        <w:spacing w:line="360" w:lineRule="auto"/>
        <w:jc w:val="both"/>
        <w:rPr>
          <w:sz w:val="24"/>
          <w:szCs w:val="24"/>
        </w:rPr>
      </w:pPr>
      <w:r w:rsidRPr="00245ACC">
        <w:rPr>
          <w:sz w:val="24"/>
          <w:szCs w:val="24"/>
        </w:rPr>
        <w:t xml:space="preserve">El resultado del desarrollo de la revisión energética debe ser socializado con el personal asignado de la sede, para garantizar la conformidad con lo establecido en el numeral </w:t>
      </w:r>
      <w:r w:rsidRPr="00245ACC">
        <w:rPr>
          <w:i/>
          <w:iCs/>
          <w:sz w:val="24"/>
          <w:szCs w:val="24"/>
        </w:rPr>
        <w:t>8. Procedimiento</w:t>
      </w:r>
      <w:r w:rsidRPr="00245ACC">
        <w:rPr>
          <w:sz w:val="24"/>
          <w:szCs w:val="24"/>
        </w:rPr>
        <w:t xml:space="preserve"> de este instructivo.</w:t>
      </w:r>
    </w:p>
    <w:p w14:paraId="0DBF28F0" w14:textId="1B5818A1" w:rsidR="00E77C25" w:rsidRPr="00E77C25" w:rsidRDefault="00E77C25" w:rsidP="00E77C25">
      <w:pPr>
        <w:spacing w:line="360" w:lineRule="auto"/>
        <w:jc w:val="both"/>
        <w:rPr>
          <w:sz w:val="24"/>
          <w:szCs w:val="24"/>
        </w:rPr>
      </w:pPr>
      <w:r w:rsidRPr="00E77C25">
        <w:rPr>
          <w:sz w:val="24"/>
          <w:szCs w:val="24"/>
        </w:rPr>
        <w:lastRenderedPageBreak/>
        <w:t>Antes de emitir el visto bueno técnico a la supervisión del contrato, los entregables de la revisión energética deberán surtir un flujo de revisión y aprobación técnica al interior de la Entidad. Este flujo comprende la revisión inicial por parte del dinamizador ambiental y de energía del centro, seguida de la revisión del dinamizador ambiental y de energía regional, y finalmente la validación técnica por parte del especialista nacional de energía de la Dirección General. En caso de identificarse observaciones en cualquiera de estas etapas, se deberán gestionar los ajustes correspondientes con el proveedor antes de continuar con el proceso.</w:t>
      </w:r>
    </w:p>
    <w:p w14:paraId="39520091" w14:textId="7E370329" w:rsidR="00DB30BE" w:rsidRDefault="00E77C25" w:rsidP="00E77C25">
      <w:pPr>
        <w:spacing w:line="360" w:lineRule="auto"/>
        <w:jc w:val="both"/>
        <w:rPr>
          <w:sz w:val="24"/>
          <w:szCs w:val="24"/>
        </w:rPr>
      </w:pPr>
      <w:r w:rsidRPr="00E77C25">
        <w:rPr>
          <w:sz w:val="24"/>
          <w:szCs w:val="24"/>
        </w:rPr>
        <w:t>El concepto emitido corresponde exclusivamente a la validación técnica de la información energética presentada y no constituye aprobación de aspectos contractuales, tales como autorización de pagos, verificación de obligaciones o aceptación de entregables, los cuales son responsabilidad de la supervisión contractual, conforme a la normatividad vigente.</w:t>
      </w:r>
    </w:p>
    <w:p w14:paraId="508F591E" w14:textId="5235F260" w:rsidR="00141F8E" w:rsidRPr="00141F8E" w:rsidRDefault="00141F8E" w:rsidP="00141F8E">
      <w:pPr>
        <w:spacing w:line="360" w:lineRule="auto"/>
        <w:jc w:val="both"/>
        <w:rPr>
          <w:sz w:val="24"/>
          <w:szCs w:val="24"/>
        </w:rPr>
      </w:pPr>
      <w:r w:rsidRPr="00141F8E">
        <w:rPr>
          <w:sz w:val="24"/>
          <w:szCs w:val="24"/>
        </w:rPr>
        <w:t xml:space="preserve">Una vez avalado el informe de la revisión energética, este deberá ser cargado en la plataforma </w:t>
      </w:r>
      <w:proofErr w:type="spellStart"/>
      <w:r w:rsidRPr="00141F8E">
        <w:rPr>
          <w:sz w:val="24"/>
          <w:szCs w:val="24"/>
        </w:rPr>
        <w:t>compromISO</w:t>
      </w:r>
      <w:proofErr w:type="spellEnd"/>
      <w:r w:rsidRPr="00141F8E">
        <w:rPr>
          <w:sz w:val="24"/>
          <w:szCs w:val="24"/>
        </w:rPr>
        <w:t>, o en la herramienta que la sustituya, por parte de los dinamizadores ambientales y de energía.</w:t>
      </w:r>
    </w:p>
    <w:p w14:paraId="265AAF76" w14:textId="77777777" w:rsidR="00141F8E" w:rsidRPr="00141F8E" w:rsidRDefault="00141F8E" w:rsidP="00141F8E">
      <w:pPr>
        <w:spacing w:line="360" w:lineRule="auto"/>
        <w:jc w:val="both"/>
        <w:rPr>
          <w:sz w:val="24"/>
          <w:szCs w:val="24"/>
        </w:rPr>
      </w:pPr>
      <w:r w:rsidRPr="00141F8E">
        <w:rPr>
          <w:sz w:val="24"/>
          <w:szCs w:val="24"/>
        </w:rPr>
        <w:t>En aplicación del principio de mínimo privilegio para el control de acceso a la información, el informe y sus resultados estarán disponibles únicamente para los dinamizadores ambientales y de energía de la sede donde se realizó la revisión energética y para el personal que integra el equipo de energía de dicha sede.</w:t>
      </w:r>
    </w:p>
    <w:p w14:paraId="48507CF5" w14:textId="35274F0C" w:rsidR="00141F8E" w:rsidRPr="00141F8E" w:rsidRDefault="00141F8E" w:rsidP="00141F8E">
      <w:pPr>
        <w:spacing w:line="360" w:lineRule="auto"/>
        <w:jc w:val="both"/>
        <w:rPr>
          <w:sz w:val="24"/>
          <w:szCs w:val="24"/>
        </w:rPr>
      </w:pPr>
      <w:r w:rsidRPr="00141F8E">
        <w:rPr>
          <w:sz w:val="24"/>
          <w:szCs w:val="24"/>
        </w:rPr>
        <w:t>Los dinamizadores ambientales y de energía regionales podrán acceder a los resultados de las revisiones energéticas de las sedes de los centros de formación adscritos a su respectiva regional.</w:t>
      </w:r>
    </w:p>
    <w:p w14:paraId="50556FA7" w14:textId="52D6981F" w:rsidR="00141F8E" w:rsidRDefault="00141F8E" w:rsidP="00141F8E">
      <w:pPr>
        <w:spacing w:line="360" w:lineRule="auto"/>
        <w:jc w:val="both"/>
        <w:rPr>
          <w:sz w:val="24"/>
          <w:szCs w:val="24"/>
        </w:rPr>
      </w:pPr>
      <w:r w:rsidRPr="00141F8E">
        <w:rPr>
          <w:sz w:val="24"/>
          <w:szCs w:val="24"/>
        </w:rPr>
        <w:t>El equipo ambiental y de energía de la Dirección General tendrá acceso a la totalidad de los resultados de las revisiones energéticas a nivel nacional.</w:t>
      </w:r>
    </w:p>
    <w:p w14:paraId="2C74D03C" w14:textId="736DA4BA" w:rsidR="00783B29" w:rsidRPr="00245ACC" w:rsidRDefault="00783B29" w:rsidP="00245ACC">
      <w:pPr>
        <w:spacing w:line="360" w:lineRule="auto"/>
        <w:jc w:val="both"/>
        <w:rPr>
          <w:sz w:val="24"/>
          <w:szCs w:val="24"/>
        </w:rPr>
      </w:pPr>
      <w:r w:rsidRPr="00245ACC">
        <w:rPr>
          <w:sz w:val="24"/>
          <w:szCs w:val="24"/>
        </w:rPr>
        <w:lastRenderedPageBreak/>
        <w:t>El Contenido del informe técnico debe ser presentado en un documento en</w:t>
      </w:r>
      <w:r w:rsidR="00BD637F">
        <w:rPr>
          <w:sz w:val="24"/>
          <w:szCs w:val="24"/>
        </w:rPr>
        <w:t xml:space="preserve"> formato</w:t>
      </w:r>
      <w:r w:rsidRPr="00245ACC">
        <w:rPr>
          <w:sz w:val="24"/>
          <w:szCs w:val="24"/>
        </w:rPr>
        <w:t xml:space="preserve"> Word con</w:t>
      </w:r>
      <w:r w:rsidR="00C05941">
        <w:rPr>
          <w:sz w:val="24"/>
          <w:szCs w:val="24"/>
        </w:rPr>
        <w:t xml:space="preserve"> la siguiente estructura y</w:t>
      </w:r>
      <w:r w:rsidRPr="00245ACC">
        <w:rPr>
          <w:sz w:val="24"/>
          <w:szCs w:val="24"/>
        </w:rPr>
        <w:t xml:space="preserve"> contenido:</w:t>
      </w:r>
    </w:p>
    <w:p w14:paraId="18655176" w14:textId="77777777" w:rsidR="00783B29" w:rsidRPr="00245ACC" w:rsidRDefault="00783B29" w:rsidP="00245ACC">
      <w:pPr>
        <w:pStyle w:val="Prrafodelista"/>
        <w:numPr>
          <w:ilvl w:val="0"/>
          <w:numId w:val="34"/>
        </w:numPr>
        <w:spacing w:line="360" w:lineRule="auto"/>
        <w:jc w:val="both"/>
        <w:rPr>
          <w:sz w:val="24"/>
          <w:szCs w:val="24"/>
        </w:rPr>
      </w:pPr>
      <w:r w:rsidRPr="00245ACC">
        <w:rPr>
          <w:sz w:val="24"/>
          <w:szCs w:val="24"/>
        </w:rPr>
        <w:t>Resumen ejecutivo</w:t>
      </w:r>
    </w:p>
    <w:p w14:paraId="01F2D02C" w14:textId="77777777" w:rsidR="00783B29" w:rsidRPr="00245ACC" w:rsidRDefault="00783B29" w:rsidP="00245ACC">
      <w:pPr>
        <w:pStyle w:val="Prrafodelista"/>
        <w:numPr>
          <w:ilvl w:val="0"/>
          <w:numId w:val="34"/>
        </w:numPr>
        <w:spacing w:line="360" w:lineRule="auto"/>
        <w:jc w:val="both"/>
        <w:rPr>
          <w:sz w:val="24"/>
          <w:szCs w:val="24"/>
        </w:rPr>
      </w:pPr>
      <w:r w:rsidRPr="00245ACC">
        <w:rPr>
          <w:sz w:val="24"/>
          <w:szCs w:val="24"/>
        </w:rPr>
        <w:t>Introducción</w:t>
      </w:r>
    </w:p>
    <w:p w14:paraId="5B28D337" w14:textId="7EDA160D" w:rsidR="00783B29" w:rsidRDefault="00783B29" w:rsidP="00245ACC">
      <w:pPr>
        <w:pStyle w:val="Prrafodelista"/>
        <w:numPr>
          <w:ilvl w:val="0"/>
          <w:numId w:val="34"/>
        </w:numPr>
        <w:spacing w:line="360" w:lineRule="auto"/>
        <w:jc w:val="both"/>
        <w:rPr>
          <w:sz w:val="24"/>
          <w:szCs w:val="24"/>
        </w:rPr>
      </w:pPr>
      <w:r w:rsidRPr="00245ACC">
        <w:rPr>
          <w:sz w:val="24"/>
          <w:szCs w:val="24"/>
        </w:rPr>
        <w:t>Descripción física general de la sede</w:t>
      </w:r>
    </w:p>
    <w:p w14:paraId="0F8CF9C5" w14:textId="765CD21B" w:rsidR="002E19D4" w:rsidRPr="002E19D4" w:rsidRDefault="002E19D4" w:rsidP="002E19D4">
      <w:pPr>
        <w:pStyle w:val="Prrafodelista"/>
        <w:spacing w:line="360" w:lineRule="auto"/>
        <w:jc w:val="both"/>
        <w:rPr>
          <w:i/>
          <w:iCs/>
          <w:sz w:val="24"/>
          <w:szCs w:val="24"/>
        </w:rPr>
      </w:pPr>
      <w:r w:rsidRPr="002E19D4">
        <w:rPr>
          <w:i/>
          <w:iCs/>
          <w:sz w:val="24"/>
          <w:szCs w:val="24"/>
        </w:rPr>
        <w:t>La descripción física general de la sede debe incluir los datos básicos de identificación —regional, centro de formación, sede, dirección y ciudad— y las características físicas como el área total, el área útil ocupada, el número de pisos y la distribución general. También debe incorporarse la información sobre la edificación, indicando el año de construcción o remodelación, su antigüedad, si comparte instalaciones con otras dependencias y la condición de propiedad (propia, en arriendo o en comodato). Se deben registrar las variables climáticas de la zona, incluyendo temperatura promedio, radiación solar y velocidad del viento, así como los niveles de ocupación expresados en el número promedio diario de trabajadores, aprendices y visitantes. En caso de contar con fuentes de energía renovable, se debe especificar el tipo de tecnología instalada y la generación anual estimada. Finalmente, es necesario incluir la ubicación geográfica mediante imagen o mapa, el régimen de trabajo reflejado en el horario de operación de la sede y la naturaleza de las actividades que se desarrollan en ella.</w:t>
      </w:r>
    </w:p>
    <w:p w14:paraId="0C57B6E7" w14:textId="77777777" w:rsidR="00783B29" w:rsidRPr="004B22D0" w:rsidRDefault="00783B29" w:rsidP="00245ACC">
      <w:pPr>
        <w:pStyle w:val="Prrafodelista"/>
        <w:numPr>
          <w:ilvl w:val="0"/>
          <w:numId w:val="34"/>
        </w:numPr>
        <w:spacing w:line="360" w:lineRule="auto"/>
        <w:jc w:val="both"/>
        <w:rPr>
          <w:sz w:val="24"/>
          <w:szCs w:val="24"/>
        </w:rPr>
      </w:pPr>
      <w:r w:rsidRPr="004B22D0">
        <w:rPr>
          <w:sz w:val="24"/>
          <w:szCs w:val="24"/>
        </w:rPr>
        <w:t>Análisis de calidad de potencia</w:t>
      </w:r>
    </w:p>
    <w:p w14:paraId="1C1065E1" w14:textId="77777777" w:rsidR="00783B29" w:rsidRPr="00245ACC" w:rsidRDefault="00783B29" w:rsidP="00245ACC">
      <w:pPr>
        <w:pStyle w:val="Prrafodelista"/>
        <w:spacing w:line="360" w:lineRule="auto"/>
        <w:jc w:val="both"/>
        <w:rPr>
          <w:i/>
          <w:iCs/>
          <w:sz w:val="24"/>
          <w:szCs w:val="24"/>
        </w:rPr>
      </w:pPr>
      <w:r w:rsidRPr="00245ACC">
        <w:rPr>
          <w:i/>
          <w:iCs/>
          <w:sz w:val="24"/>
          <w:szCs w:val="24"/>
        </w:rPr>
        <w:t>Describir la instalación eléctrica de la sede</w:t>
      </w:r>
    </w:p>
    <w:p w14:paraId="3C2137CA" w14:textId="2F062A72" w:rsidR="00783B29" w:rsidRPr="00245ACC" w:rsidRDefault="00783B29" w:rsidP="00245ACC">
      <w:pPr>
        <w:pStyle w:val="Prrafodelista"/>
        <w:spacing w:line="360" w:lineRule="auto"/>
        <w:jc w:val="both"/>
        <w:rPr>
          <w:i/>
          <w:iCs/>
          <w:sz w:val="24"/>
          <w:szCs w:val="24"/>
        </w:rPr>
      </w:pPr>
      <w:r w:rsidRPr="00245ACC">
        <w:rPr>
          <w:i/>
          <w:iCs/>
          <w:sz w:val="24"/>
          <w:szCs w:val="24"/>
        </w:rPr>
        <w:t xml:space="preserve">Describir e ilustrar </w:t>
      </w:r>
      <w:r w:rsidR="00DC14D7">
        <w:rPr>
          <w:i/>
          <w:iCs/>
          <w:sz w:val="24"/>
          <w:szCs w:val="24"/>
        </w:rPr>
        <w:t xml:space="preserve">los </w:t>
      </w:r>
      <w:r w:rsidRPr="00245ACC">
        <w:rPr>
          <w:i/>
          <w:iCs/>
          <w:sz w:val="24"/>
          <w:szCs w:val="24"/>
        </w:rPr>
        <w:t>resultados de:</w:t>
      </w:r>
    </w:p>
    <w:p w14:paraId="61660C0F" w14:textId="77777777" w:rsidR="00783B29" w:rsidRPr="00245ACC" w:rsidRDefault="00783B29" w:rsidP="00245ACC">
      <w:pPr>
        <w:pStyle w:val="Prrafodelista"/>
        <w:numPr>
          <w:ilvl w:val="0"/>
          <w:numId w:val="35"/>
        </w:numPr>
        <w:spacing w:line="360" w:lineRule="auto"/>
        <w:jc w:val="both"/>
        <w:rPr>
          <w:i/>
          <w:iCs/>
          <w:sz w:val="24"/>
          <w:szCs w:val="24"/>
        </w:rPr>
      </w:pPr>
      <w:r w:rsidRPr="00245ACC">
        <w:rPr>
          <w:i/>
          <w:iCs/>
          <w:sz w:val="24"/>
          <w:szCs w:val="24"/>
        </w:rPr>
        <w:t>Tensiones de fase promedio.</w:t>
      </w:r>
    </w:p>
    <w:p w14:paraId="22E986D3" w14:textId="77777777" w:rsidR="00783B29" w:rsidRPr="00245ACC" w:rsidRDefault="00783B29" w:rsidP="00245ACC">
      <w:pPr>
        <w:pStyle w:val="Prrafodelista"/>
        <w:numPr>
          <w:ilvl w:val="0"/>
          <w:numId w:val="35"/>
        </w:numPr>
        <w:spacing w:line="360" w:lineRule="auto"/>
        <w:jc w:val="both"/>
        <w:rPr>
          <w:i/>
          <w:iCs/>
          <w:sz w:val="24"/>
          <w:szCs w:val="24"/>
        </w:rPr>
      </w:pPr>
      <w:r w:rsidRPr="00245ACC">
        <w:rPr>
          <w:i/>
          <w:iCs/>
          <w:sz w:val="24"/>
          <w:szCs w:val="24"/>
        </w:rPr>
        <w:t xml:space="preserve">Tensiones de fase máximas. </w:t>
      </w:r>
    </w:p>
    <w:p w14:paraId="73E60B4A" w14:textId="77777777" w:rsidR="00783B29" w:rsidRPr="00245ACC" w:rsidRDefault="00783B29" w:rsidP="00245ACC">
      <w:pPr>
        <w:pStyle w:val="Prrafodelista"/>
        <w:numPr>
          <w:ilvl w:val="0"/>
          <w:numId w:val="35"/>
        </w:numPr>
        <w:spacing w:line="360" w:lineRule="auto"/>
        <w:jc w:val="both"/>
        <w:rPr>
          <w:i/>
          <w:iCs/>
          <w:sz w:val="24"/>
          <w:szCs w:val="24"/>
        </w:rPr>
      </w:pPr>
      <w:r w:rsidRPr="00245ACC">
        <w:rPr>
          <w:i/>
          <w:iCs/>
          <w:sz w:val="24"/>
          <w:szCs w:val="24"/>
        </w:rPr>
        <w:t xml:space="preserve">Tensiones de fase mínimas. </w:t>
      </w:r>
    </w:p>
    <w:p w14:paraId="5B4C1064" w14:textId="77777777" w:rsidR="00783B29" w:rsidRPr="00245ACC" w:rsidRDefault="00783B29" w:rsidP="00245ACC">
      <w:pPr>
        <w:pStyle w:val="Prrafodelista"/>
        <w:numPr>
          <w:ilvl w:val="0"/>
          <w:numId w:val="35"/>
        </w:numPr>
        <w:spacing w:line="360" w:lineRule="auto"/>
        <w:jc w:val="both"/>
        <w:rPr>
          <w:i/>
          <w:iCs/>
          <w:sz w:val="24"/>
          <w:szCs w:val="24"/>
        </w:rPr>
      </w:pPr>
      <w:r w:rsidRPr="00245ACC">
        <w:rPr>
          <w:i/>
          <w:iCs/>
          <w:sz w:val="24"/>
          <w:szCs w:val="24"/>
        </w:rPr>
        <w:lastRenderedPageBreak/>
        <w:t>Desequilibrio de tensiones.</w:t>
      </w:r>
    </w:p>
    <w:p w14:paraId="101DA592" w14:textId="77777777" w:rsidR="00783B29" w:rsidRPr="00245ACC" w:rsidRDefault="00783B29" w:rsidP="00245ACC">
      <w:pPr>
        <w:pStyle w:val="Prrafodelista"/>
        <w:numPr>
          <w:ilvl w:val="0"/>
          <w:numId w:val="35"/>
        </w:numPr>
        <w:spacing w:line="360" w:lineRule="auto"/>
        <w:jc w:val="both"/>
        <w:rPr>
          <w:i/>
          <w:iCs/>
          <w:sz w:val="24"/>
          <w:szCs w:val="24"/>
        </w:rPr>
      </w:pPr>
      <w:r w:rsidRPr="00245ACC">
        <w:rPr>
          <w:i/>
          <w:iCs/>
          <w:sz w:val="24"/>
          <w:szCs w:val="24"/>
        </w:rPr>
        <w:t xml:space="preserve">Desviación de frecuencia de operación. </w:t>
      </w:r>
    </w:p>
    <w:p w14:paraId="5C659253" w14:textId="77777777" w:rsidR="00783B29" w:rsidRPr="00245ACC" w:rsidRDefault="00783B29" w:rsidP="00245ACC">
      <w:pPr>
        <w:pStyle w:val="Prrafodelista"/>
        <w:numPr>
          <w:ilvl w:val="0"/>
          <w:numId w:val="35"/>
        </w:numPr>
        <w:spacing w:line="360" w:lineRule="auto"/>
        <w:jc w:val="both"/>
        <w:rPr>
          <w:i/>
          <w:iCs/>
          <w:sz w:val="24"/>
          <w:szCs w:val="24"/>
        </w:rPr>
      </w:pPr>
      <w:r w:rsidRPr="00245ACC">
        <w:rPr>
          <w:i/>
          <w:iCs/>
          <w:sz w:val="24"/>
          <w:szCs w:val="24"/>
        </w:rPr>
        <w:t>Distorsiones armónicas totales promedio en tensión.</w:t>
      </w:r>
    </w:p>
    <w:p w14:paraId="3FAB7483" w14:textId="77777777" w:rsidR="00783B29" w:rsidRPr="00245ACC" w:rsidRDefault="00783B29" w:rsidP="00245ACC">
      <w:pPr>
        <w:pStyle w:val="Prrafodelista"/>
        <w:numPr>
          <w:ilvl w:val="0"/>
          <w:numId w:val="35"/>
        </w:numPr>
        <w:spacing w:line="360" w:lineRule="auto"/>
        <w:jc w:val="both"/>
        <w:rPr>
          <w:i/>
          <w:iCs/>
          <w:sz w:val="24"/>
          <w:szCs w:val="24"/>
        </w:rPr>
      </w:pPr>
      <w:r w:rsidRPr="00245ACC">
        <w:rPr>
          <w:i/>
          <w:iCs/>
          <w:sz w:val="24"/>
          <w:szCs w:val="24"/>
        </w:rPr>
        <w:t xml:space="preserve">Corriente promedio. </w:t>
      </w:r>
    </w:p>
    <w:p w14:paraId="2FA190D2" w14:textId="77777777" w:rsidR="00783B29" w:rsidRPr="00245ACC" w:rsidRDefault="00783B29" w:rsidP="00245ACC">
      <w:pPr>
        <w:pStyle w:val="Prrafodelista"/>
        <w:numPr>
          <w:ilvl w:val="0"/>
          <w:numId w:val="35"/>
        </w:numPr>
        <w:spacing w:line="360" w:lineRule="auto"/>
        <w:jc w:val="both"/>
        <w:rPr>
          <w:i/>
          <w:iCs/>
          <w:sz w:val="24"/>
          <w:szCs w:val="24"/>
        </w:rPr>
      </w:pPr>
      <w:r w:rsidRPr="00245ACC">
        <w:rPr>
          <w:i/>
          <w:iCs/>
          <w:sz w:val="24"/>
          <w:szCs w:val="24"/>
        </w:rPr>
        <w:t xml:space="preserve">Desequilibrio en corrientes. </w:t>
      </w:r>
    </w:p>
    <w:p w14:paraId="643D89D9" w14:textId="77777777" w:rsidR="00783B29" w:rsidRPr="00245ACC" w:rsidRDefault="00783B29" w:rsidP="00245ACC">
      <w:pPr>
        <w:pStyle w:val="Prrafodelista"/>
        <w:numPr>
          <w:ilvl w:val="0"/>
          <w:numId w:val="35"/>
        </w:numPr>
        <w:spacing w:line="360" w:lineRule="auto"/>
        <w:jc w:val="both"/>
        <w:rPr>
          <w:i/>
          <w:iCs/>
          <w:sz w:val="24"/>
          <w:szCs w:val="24"/>
        </w:rPr>
      </w:pPr>
      <w:r w:rsidRPr="00245ACC">
        <w:rPr>
          <w:i/>
          <w:iCs/>
          <w:sz w:val="24"/>
          <w:szCs w:val="24"/>
        </w:rPr>
        <w:t xml:space="preserve">Zona de operación de eventos anómalos en tensión factor de potencia. </w:t>
      </w:r>
    </w:p>
    <w:p w14:paraId="27DE4790" w14:textId="77777777" w:rsidR="00783B29" w:rsidRPr="00245ACC" w:rsidRDefault="00783B29" w:rsidP="00245ACC">
      <w:pPr>
        <w:pStyle w:val="Prrafodelista"/>
        <w:numPr>
          <w:ilvl w:val="0"/>
          <w:numId w:val="35"/>
        </w:numPr>
        <w:spacing w:line="360" w:lineRule="auto"/>
        <w:jc w:val="both"/>
        <w:rPr>
          <w:i/>
          <w:iCs/>
          <w:sz w:val="24"/>
          <w:szCs w:val="24"/>
        </w:rPr>
      </w:pPr>
      <w:r w:rsidRPr="00245ACC">
        <w:rPr>
          <w:i/>
          <w:iCs/>
          <w:sz w:val="24"/>
          <w:szCs w:val="24"/>
        </w:rPr>
        <w:t>Análisis de potencias: Potencia activa, Potencia reactiva y Potencia aparente.</w:t>
      </w:r>
    </w:p>
    <w:p w14:paraId="156C3136" w14:textId="77777777" w:rsidR="00783B29" w:rsidRPr="00245ACC" w:rsidRDefault="00783B29" w:rsidP="00245ACC">
      <w:pPr>
        <w:pStyle w:val="Prrafodelista"/>
        <w:spacing w:line="360" w:lineRule="auto"/>
        <w:jc w:val="both"/>
        <w:rPr>
          <w:i/>
          <w:iCs/>
          <w:sz w:val="24"/>
          <w:szCs w:val="24"/>
        </w:rPr>
      </w:pPr>
      <w:r w:rsidRPr="00245ACC">
        <w:rPr>
          <w:i/>
          <w:iCs/>
          <w:sz w:val="24"/>
          <w:szCs w:val="24"/>
        </w:rPr>
        <w:t>Describir características técnicas de equipos usados para las mediciones. Presentar fotos de equipos y sus fichas técnicas dónde se evidencie que cumple con la normatividad del Código de Medida.</w:t>
      </w:r>
    </w:p>
    <w:p w14:paraId="4BF05F16" w14:textId="5E4151E7" w:rsidR="00783B29" w:rsidRPr="004B22D0" w:rsidRDefault="00783B29" w:rsidP="004B22D0">
      <w:pPr>
        <w:pStyle w:val="Prrafodelista"/>
        <w:spacing w:line="360" w:lineRule="auto"/>
        <w:jc w:val="both"/>
        <w:rPr>
          <w:i/>
          <w:iCs/>
          <w:color w:val="A6A6A6" w:themeColor="background1" w:themeShade="A6"/>
          <w:sz w:val="24"/>
          <w:szCs w:val="24"/>
        </w:rPr>
      </w:pPr>
      <w:r w:rsidRPr="00245ACC">
        <w:rPr>
          <w:i/>
          <w:iCs/>
          <w:sz w:val="24"/>
          <w:szCs w:val="24"/>
        </w:rPr>
        <w:t>Presentar fotos pertinentes de las instalaciones eléctricas, tableros principales, tableros secundarios.</w:t>
      </w:r>
    </w:p>
    <w:p w14:paraId="5F7C9BF1" w14:textId="77777777" w:rsidR="00783B29" w:rsidRPr="00245ACC" w:rsidRDefault="00783B29" w:rsidP="00245ACC">
      <w:pPr>
        <w:pStyle w:val="Prrafodelista"/>
        <w:numPr>
          <w:ilvl w:val="0"/>
          <w:numId w:val="36"/>
        </w:numPr>
        <w:spacing w:line="360" w:lineRule="auto"/>
        <w:jc w:val="both"/>
        <w:rPr>
          <w:sz w:val="24"/>
          <w:szCs w:val="24"/>
        </w:rPr>
      </w:pPr>
      <w:r w:rsidRPr="00245ACC">
        <w:rPr>
          <w:sz w:val="24"/>
          <w:szCs w:val="24"/>
        </w:rPr>
        <w:t>Matriz energética de la sede</w:t>
      </w:r>
    </w:p>
    <w:p w14:paraId="5FF637EB" w14:textId="16371F0E" w:rsidR="00783B29" w:rsidRPr="004B22D0" w:rsidRDefault="00783B29" w:rsidP="004B22D0">
      <w:pPr>
        <w:pStyle w:val="Prrafodelista"/>
        <w:spacing w:line="360" w:lineRule="auto"/>
        <w:jc w:val="both"/>
        <w:rPr>
          <w:i/>
          <w:iCs/>
          <w:sz w:val="24"/>
          <w:szCs w:val="24"/>
        </w:rPr>
      </w:pPr>
      <w:r w:rsidRPr="00245ACC">
        <w:rPr>
          <w:i/>
          <w:iCs/>
          <w:sz w:val="24"/>
          <w:szCs w:val="24"/>
        </w:rPr>
        <w:t>Describir bajo qué mercado compra la energía (o energías) la sede y a qué precio. Describir las fuentes energéticas e ilustrar participación de cada fuente dentro de la matriz energética y de costos energéticos.</w:t>
      </w:r>
    </w:p>
    <w:p w14:paraId="03CC0CE3" w14:textId="77777777" w:rsidR="00783B29" w:rsidRPr="00245ACC" w:rsidRDefault="00783B29" w:rsidP="00245ACC">
      <w:pPr>
        <w:pStyle w:val="Prrafodelista"/>
        <w:numPr>
          <w:ilvl w:val="0"/>
          <w:numId w:val="36"/>
        </w:numPr>
        <w:spacing w:line="360" w:lineRule="auto"/>
        <w:jc w:val="both"/>
        <w:rPr>
          <w:sz w:val="24"/>
          <w:szCs w:val="24"/>
        </w:rPr>
      </w:pPr>
      <w:r w:rsidRPr="00245ACC">
        <w:rPr>
          <w:sz w:val="24"/>
          <w:szCs w:val="24"/>
        </w:rPr>
        <w:t>Usos significativos de la energía de la sede.</w:t>
      </w:r>
    </w:p>
    <w:p w14:paraId="00D1BA4B" w14:textId="197CA9CB" w:rsidR="00783B29" w:rsidRPr="00CA0946" w:rsidRDefault="00783B29" w:rsidP="00CA0946">
      <w:pPr>
        <w:pStyle w:val="Prrafodelista"/>
        <w:spacing w:line="360" w:lineRule="auto"/>
        <w:jc w:val="both"/>
        <w:rPr>
          <w:i/>
          <w:iCs/>
          <w:sz w:val="24"/>
          <w:szCs w:val="24"/>
        </w:rPr>
      </w:pPr>
      <w:r w:rsidRPr="00245ACC">
        <w:rPr>
          <w:i/>
          <w:iCs/>
          <w:sz w:val="24"/>
          <w:szCs w:val="24"/>
        </w:rPr>
        <w:t>Describir, ilustrar (diagramas Pareto) y caracterizar los usos significativos de energía de la sede.</w:t>
      </w:r>
    </w:p>
    <w:p w14:paraId="08E47A7C" w14:textId="77777777" w:rsidR="00783B29" w:rsidRPr="00245ACC" w:rsidRDefault="00783B29" w:rsidP="00245ACC">
      <w:pPr>
        <w:pStyle w:val="Prrafodelista"/>
        <w:numPr>
          <w:ilvl w:val="1"/>
          <w:numId w:val="37"/>
        </w:numPr>
        <w:spacing w:line="360" w:lineRule="auto"/>
        <w:jc w:val="both"/>
        <w:rPr>
          <w:sz w:val="24"/>
          <w:szCs w:val="24"/>
        </w:rPr>
      </w:pPr>
      <w:r w:rsidRPr="00245ACC">
        <w:rPr>
          <w:sz w:val="24"/>
          <w:szCs w:val="24"/>
        </w:rPr>
        <w:t>Oportunidades de mejora del desempeño energético de la sede</w:t>
      </w:r>
    </w:p>
    <w:p w14:paraId="6CEADEAD" w14:textId="340526D3" w:rsidR="00245ACC" w:rsidRPr="00CA0946" w:rsidRDefault="00783B29" w:rsidP="00CA0946">
      <w:pPr>
        <w:pStyle w:val="Prrafodelista"/>
        <w:spacing w:line="360" w:lineRule="auto"/>
        <w:jc w:val="both"/>
        <w:rPr>
          <w:sz w:val="24"/>
          <w:szCs w:val="24"/>
        </w:rPr>
      </w:pPr>
      <w:r w:rsidRPr="00245ACC">
        <w:rPr>
          <w:i/>
          <w:iCs/>
          <w:sz w:val="24"/>
          <w:szCs w:val="24"/>
        </w:rPr>
        <w:t xml:space="preserve">Presentar y detallar las oportunidades de mejora del desempeño energético identificadas en la sede, presentando por cada una </w:t>
      </w:r>
      <w:r w:rsidR="00E81C3B">
        <w:rPr>
          <w:i/>
          <w:iCs/>
          <w:sz w:val="24"/>
          <w:szCs w:val="24"/>
        </w:rPr>
        <w:t xml:space="preserve">el </w:t>
      </w:r>
      <w:r w:rsidRPr="00245ACC">
        <w:rPr>
          <w:i/>
          <w:iCs/>
          <w:sz w:val="24"/>
          <w:szCs w:val="24"/>
        </w:rPr>
        <w:t xml:space="preserve">potencial de ahorro energético, potencial de ahorro económico, potencial de reducción de emisiones de CO2 asociado al ahorro energético, inversión por la implementación de la oportunidad y retorno a la </w:t>
      </w:r>
      <w:r w:rsidRPr="00DC14D7">
        <w:rPr>
          <w:i/>
          <w:iCs/>
          <w:sz w:val="24"/>
          <w:szCs w:val="24"/>
        </w:rPr>
        <w:t>inversión.</w:t>
      </w:r>
      <w:r w:rsidR="00E81C3B" w:rsidRPr="00DC14D7">
        <w:rPr>
          <w:i/>
          <w:iCs/>
          <w:sz w:val="24"/>
          <w:szCs w:val="24"/>
        </w:rPr>
        <w:t xml:space="preserve"> </w:t>
      </w:r>
      <w:r w:rsidR="00FD4BDE" w:rsidRPr="00DC14D7">
        <w:rPr>
          <w:i/>
          <w:iCs/>
          <w:sz w:val="24"/>
          <w:szCs w:val="24"/>
        </w:rPr>
        <w:t>Adjuntar</w:t>
      </w:r>
      <w:r w:rsidR="00E81C3B" w:rsidRPr="00DC14D7">
        <w:rPr>
          <w:i/>
          <w:iCs/>
          <w:sz w:val="24"/>
          <w:szCs w:val="24"/>
        </w:rPr>
        <w:t xml:space="preserve"> las memorias de cálculo, fotos</w:t>
      </w:r>
      <w:r w:rsidR="00B17845" w:rsidRPr="00DC14D7">
        <w:rPr>
          <w:i/>
          <w:iCs/>
          <w:sz w:val="24"/>
          <w:szCs w:val="24"/>
        </w:rPr>
        <w:t xml:space="preserve"> y otras evidencias que </w:t>
      </w:r>
      <w:r w:rsidR="00FD4BDE" w:rsidRPr="00DC14D7">
        <w:rPr>
          <w:i/>
          <w:iCs/>
          <w:sz w:val="24"/>
          <w:szCs w:val="24"/>
        </w:rPr>
        <w:lastRenderedPageBreak/>
        <w:t>sustenten</w:t>
      </w:r>
      <w:r w:rsidR="00B17845" w:rsidRPr="00DC14D7">
        <w:rPr>
          <w:i/>
          <w:iCs/>
          <w:sz w:val="24"/>
          <w:szCs w:val="24"/>
        </w:rPr>
        <w:t xml:space="preserve"> </w:t>
      </w:r>
      <w:r w:rsidR="00FD4BDE" w:rsidRPr="00DC14D7">
        <w:rPr>
          <w:i/>
          <w:iCs/>
          <w:sz w:val="24"/>
          <w:szCs w:val="24"/>
        </w:rPr>
        <w:t>las estimaciones de evaluación técnico</w:t>
      </w:r>
      <w:r w:rsidR="00DC14D7">
        <w:rPr>
          <w:i/>
          <w:iCs/>
          <w:sz w:val="24"/>
          <w:szCs w:val="24"/>
        </w:rPr>
        <w:t>-e</w:t>
      </w:r>
      <w:r w:rsidR="00FD4BDE" w:rsidRPr="00DC14D7">
        <w:rPr>
          <w:i/>
          <w:iCs/>
          <w:sz w:val="24"/>
          <w:szCs w:val="24"/>
        </w:rPr>
        <w:t>conómica de cada oportunidad de mejora del desempeño energético.</w:t>
      </w:r>
    </w:p>
    <w:p w14:paraId="6609468A" w14:textId="455C9C37" w:rsidR="009F4403" w:rsidRPr="00A6459A" w:rsidRDefault="00783B29" w:rsidP="00245ACC">
      <w:pPr>
        <w:pStyle w:val="Prrafodelista"/>
        <w:numPr>
          <w:ilvl w:val="1"/>
          <w:numId w:val="37"/>
        </w:numPr>
        <w:spacing w:line="360" w:lineRule="auto"/>
        <w:jc w:val="both"/>
        <w:rPr>
          <w:i/>
          <w:iCs/>
          <w:sz w:val="24"/>
          <w:szCs w:val="24"/>
        </w:rPr>
      </w:pPr>
      <w:r w:rsidRPr="00245ACC">
        <w:rPr>
          <w:sz w:val="24"/>
          <w:szCs w:val="24"/>
        </w:rPr>
        <w:t>Conclusiones</w:t>
      </w:r>
    </w:p>
    <w:p w14:paraId="0CE1C579" w14:textId="77777777" w:rsidR="00A6459A" w:rsidRPr="007D6962" w:rsidRDefault="00A6459A" w:rsidP="00A6459A">
      <w:pPr>
        <w:pStyle w:val="Prrafodelista"/>
        <w:spacing w:line="360" w:lineRule="auto"/>
        <w:jc w:val="both"/>
        <w:rPr>
          <w:i/>
          <w:iCs/>
          <w:sz w:val="24"/>
          <w:szCs w:val="24"/>
        </w:rPr>
      </w:pPr>
    </w:p>
    <w:p w14:paraId="0CE41B5D" w14:textId="280DDD17" w:rsidR="009F4403" w:rsidRDefault="009F4403" w:rsidP="00C42F66">
      <w:pPr>
        <w:pStyle w:val="Ttulo1"/>
        <w:keepLines/>
        <w:numPr>
          <w:ilvl w:val="0"/>
          <w:numId w:val="5"/>
        </w:numPr>
        <w:spacing w:before="100" w:beforeAutospacing="1" w:after="100" w:afterAutospacing="1"/>
        <w:jc w:val="both"/>
        <w:rPr>
          <w:rFonts w:asciiTheme="majorHAnsi" w:hAnsiTheme="majorHAnsi" w:cstheme="majorHAnsi"/>
          <w:b/>
          <w:bCs/>
          <w:color w:val="000000" w:themeColor="text1"/>
          <w:spacing w:val="2"/>
          <w:sz w:val="24"/>
        </w:rPr>
      </w:pPr>
      <w:bookmarkStart w:id="28" w:name="_Toc183363594"/>
      <w:r w:rsidRPr="004A17E5">
        <w:rPr>
          <w:rFonts w:asciiTheme="majorHAnsi" w:hAnsiTheme="majorHAnsi" w:cstheme="majorHAnsi"/>
          <w:b/>
          <w:bCs/>
          <w:color w:val="000000" w:themeColor="text1"/>
          <w:spacing w:val="2"/>
          <w:sz w:val="24"/>
        </w:rPr>
        <w:t>Anexos</w:t>
      </w:r>
      <w:bookmarkEnd w:id="28"/>
    </w:p>
    <w:p w14:paraId="23B439E7" w14:textId="77777777" w:rsidR="00584E0F" w:rsidRPr="009C4AD9" w:rsidRDefault="00584E0F" w:rsidP="00584E0F">
      <w:pPr>
        <w:jc w:val="both"/>
      </w:pPr>
      <w:r w:rsidRPr="009C4AD9">
        <w:rPr>
          <w:i/>
          <w:iCs/>
        </w:rPr>
        <w:t>GOR-F-088 -Formato revisión energética</w:t>
      </w:r>
      <w:r w:rsidRPr="009C4AD9">
        <w:t>.</w:t>
      </w:r>
    </w:p>
    <w:p w14:paraId="541E1AA0" w14:textId="77777777" w:rsidR="00584E0F" w:rsidRPr="00F346AD" w:rsidRDefault="00584E0F" w:rsidP="00584E0F">
      <w:pPr>
        <w:jc w:val="both"/>
      </w:pPr>
      <w:r w:rsidRPr="009C4AD9">
        <w:rPr>
          <w:i/>
          <w:iCs/>
        </w:rPr>
        <w:t>GOR-F-087 -Formato</w:t>
      </w:r>
      <w:r w:rsidRPr="00DC012B">
        <w:rPr>
          <w:i/>
          <w:iCs/>
        </w:rPr>
        <w:t xml:space="preserve"> inventario de </w:t>
      </w:r>
      <w:r>
        <w:rPr>
          <w:i/>
          <w:iCs/>
        </w:rPr>
        <w:t>usos finales de energía</w:t>
      </w:r>
      <w:r>
        <w:t>.</w:t>
      </w:r>
    </w:p>
    <w:p w14:paraId="1F629328" w14:textId="77777777" w:rsidR="00584E0F" w:rsidRPr="00584E0F" w:rsidRDefault="00584E0F" w:rsidP="00584E0F"/>
    <w:p w14:paraId="6FB2714A" w14:textId="54F7C829" w:rsidR="008E764E" w:rsidRDefault="008E764E" w:rsidP="00C42F66">
      <w:pPr>
        <w:pStyle w:val="Ttulo1"/>
        <w:keepLines/>
        <w:numPr>
          <w:ilvl w:val="0"/>
          <w:numId w:val="5"/>
        </w:numPr>
        <w:spacing w:before="100" w:beforeAutospacing="1" w:after="100" w:afterAutospacing="1"/>
        <w:jc w:val="both"/>
        <w:rPr>
          <w:rFonts w:asciiTheme="majorHAnsi" w:hAnsiTheme="majorHAnsi" w:cstheme="majorHAnsi"/>
          <w:b/>
          <w:bCs/>
          <w:color w:val="000000" w:themeColor="text1"/>
          <w:spacing w:val="2"/>
          <w:sz w:val="24"/>
        </w:rPr>
      </w:pPr>
      <w:bookmarkStart w:id="29" w:name="_Toc183363595"/>
      <w:r>
        <w:rPr>
          <w:rFonts w:asciiTheme="majorHAnsi" w:hAnsiTheme="majorHAnsi" w:cstheme="majorHAnsi"/>
          <w:b/>
          <w:bCs/>
          <w:color w:val="000000" w:themeColor="text1"/>
          <w:spacing w:val="2"/>
          <w:sz w:val="24"/>
        </w:rPr>
        <w:t>Control de cambios</w:t>
      </w:r>
      <w:bookmarkEnd w:id="29"/>
    </w:p>
    <w:tbl>
      <w:tblPr>
        <w:tblStyle w:val="Tablaconcuadrcula"/>
        <w:tblW w:w="9209" w:type="dxa"/>
        <w:tblLook w:val="04A0" w:firstRow="1" w:lastRow="0" w:firstColumn="1" w:lastColumn="0" w:noHBand="0" w:noVBand="1"/>
      </w:tblPr>
      <w:tblGrid>
        <w:gridCol w:w="1129"/>
        <w:gridCol w:w="2268"/>
        <w:gridCol w:w="5812"/>
      </w:tblGrid>
      <w:tr w:rsidR="008E764E" w:rsidRPr="00C61188"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F48ADD9" w:rsidR="008E764E" w:rsidRPr="00C61188" w:rsidRDefault="008E764E">
            <w:pPr>
              <w:jc w:val="center"/>
              <w:rPr>
                <w:rFonts w:cs="Calibri"/>
                <w:b/>
                <w:bCs/>
                <w:sz w:val="24"/>
                <w:szCs w:val="24"/>
                <w:lang w:val="es-ES"/>
              </w:rPr>
            </w:pPr>
            <w:r w:rsidRPr="00C61188">
              <w:rPr>
                <w:rFonts w:cs="Calibri"/>
                <w:b/>
                <w:bCs/>
                <w:sz w:val="24"/>
                <w:szCs w:val="24"/>
                <w:lang w:val="es-ES"/>
              </w:rPr>
              <w:t>VERSI</w:t>
            </w:r>
            <w:r w:rsidR="001A6448">
              <w:rPr>
                <w:rFonts w:cs="Calibri"/>
                <w:b/>
                <w:bCs/>
                <w:sz w:val="24"/>
                <w:szCs w:val="24"/>
                <w:lang w:val="es-ES"/>
              </w:rPr>
              <w:t>Ó</w:t>
            </w:r>
            <w:r w:rsidRPr="00C61188">
              <w:rPr>
                <w:rFonts w:cs="Calibri"/>
                <w:b/>
                <w:bCs/>
                <w:sz w:val="24"/>
                <w:szCs w:val="24"/>
                <w:lang w:val="es-ES"/>
              </w:rPr>
              <w:t>N</w:t>
            </w:r>
          </w:p>
        </w:tc>
        <w:tc>
          <w:tcPr>
            <w:tcW w:w="2268" w:type="dxa"/>
            <w:tcBorders>
              <w:left w:val="single" w:sz="4" w:space="0" w:color="auto"/>
            </w:tcBorders>
          </w:tcPr>
          <w:p w14:paraId="49DEF922" w14:textId="541AE182" w:rsidR="008E764E" w:rsidRPr="00C61188" w:rsidRDefault="008E764E">
            <w:pPr>
              <w:jc w:val="center"/>
              <w:rPr>
                <w:rFonts w:cs="Calibri"/>
                <w:b/>
                <w:bCs/>
                <w:sz w:val="24"/>
                <w:szCs w:val="24"/>
                <w:lang w:val="es-ES"/>
              </w:rPr>
            </w:pPr>
            <w:r w:rsidRPr="00C61188">
              <w:rPr>
                <w:rFonts w:cs="Calibri"/>
                <w:b/>
                <w:bCs/>
                <w:sz w:val="24"/>
                <w:szCs w:val="24"/>
                <w:lang w:val="es-ES"/>
              </w:rPr>
              <w:t>FECHA DE ENTRADA EN VIG</w:t>
            </w:r>
            <w:r>
              <w:rPr>
                <w:rFonts w:cs="Calibri"/>
                <w:b/>
                <w:bCs/>
                <w:sz w:val="24"/>
                <w:szCs w:val="24"/>
                <w:lang w:val="es-ES"/>
              </w:rPr>
              <w:t>E</w:t>
            </w:r>
            <w:r w:rsidR="001A6448">
              <w:rPr>
                <w:rFonts w:cs="Calibri"/>
                <w:b/>
                <w:bCs/>
                <w:sz w:val="24"/>
                <w:szCs w:val="24"/>
                <w:lang w:val="es-ES"/>
              </w:rPr>
              <w:t>NCIA</w:t>
            </w:r>
          </w:p>
        </w:tc>
        <w:tc>
          <w:tcPr>
            <w:tcW w:w="5812" w:type="dxa"/>
          </w:tcPr>
          <w:p w14:paraId="0A085E5A" w14:textId="77777777" w:rsidR="008E764E" w:rsidRPr="00C61188" w:rsidRDefault="008E764E">
            <w:pPr>
              <w:jc w:val="center"/>
              <w:rPr>
                <w:rFonts w:cs="Calibri"/>
                <w:b/>
                <w:bCs/>
                <w:sz w:val="24"/>
                <w:szCs w:val="24"/>
                <w:lang w:val="es-ES"/>
              </w:rPr>
            </w:pPr>
            <w:r w:rsidRPr="00C61188">
              <w:rPr>
                <w:rFonts w:cs="Calibri"/>
                <w:b/>
                <w:bCs/>
                <w:sz w:val="24"/>
                <w:szCs w:val="24"/>
                <w:lang w:val="es-ES"/>
              </w:rPr>
              <w:t>NATURALEZA DEL CAMBIO</w:t>
            </w:r>
          </w:p>
        </w:tc>
      </w:tr>
      <w:tr w:rsidR="008E764E" w:rsidRPr="00C61188" w14:paraId="765D0C72" w14:textId="77777777" w:rsidTr="007D6EF4">
        <w:tc>
          <w:tcPr>
            <w:tcW w:w="1129" w:type="dxa"/>
            <w:tcBorders>
              <w:top w:val="single" w:sz="4" w:space="0" w:color="auto"/>
              <w:left w:val="single" w:sz="4" w:space="0" w:color="auto"/>
              <w:bottom w:val="single" w:sz="4" w:space="0" w:color="auto"/>
              <w:right w:val="single" w:sz="4" w:space="0" w:color="auto"/>
            </w:tcBorders>
            <w:vAlign w:val="center"/>
          </w:tcPr>
          <w:p w14:paraId="08B6F040" w14:textId="0BED558A" w:rsidR="008E764E" w:rsidRPr="00C61188" w:rsidRDefault="00524085" w:rsidP="007D6EF4">
            <w:pPr>
              <w:jc w:val="center"/>
              <w:rPr>
                <w:rFonts w:cs="Calibri"/>
                <w:sz w:val="24"/>
                <w:szCs w:val="24"/>
                <w:lang w:val="es-ES"/>
              </w:rPr>
            </w:pPr>
            <w:r>
              <w:rPr>
                <w:rFonts w:cs="Calibri"/>
                <w:sz w:val="24"/>
                <w:szCs w:val="24"/>
                <w:lang w:val="es-ES"/>
              </w:rPr>
              <w:t>01</w:t>
            </w:r>
          </w:p>
        </w:tc>
        <w:tc>
          <w:tcPr>
            <w:tcW w:w="2268" w:type="dxa"/>
            <w:tcBorders>
              <w:left w:val="single" w:sz="4" w:space="0" w:color="auto"/>
            </w:tcBorders>
            <w:vAlign w:val="center"/>
          </w:tcPr>
          <w:p w14:paraId="6D2B8FB4" w14:textId="79C723F4" w:rsidR="008E764E" w:rsidRPr="00C61188" w:rsidRDefault="00524085" w:rsidP="007D6EF4">
            <w:pPr>
              <w:jc w:val="center"/>
              <w:rPr>
                <w:rFonts w:cs="Calibri"/>
                <w:sz w:val="24"/>
                <w:szCs w:val="24"/>
                <w:lang w:val="es-ES"/>
              </w:rPr>
            </w:pPr>
            <w:r>
              <w:rPr>
                <w:rFonts w:cs="Calibri"/>
                <w:sz w:val="24"/>
                <w:szCs w:val="24"/>
                <w:lang w:val="es-ES"/>
              </w:rPr>
              <w:t>Mayo de 2024</w:t>
            </w:r>
          </w:p>
        </w:tc>
        <w:tc>
          <w:tcPr>
            <w:tcW w:w="5812" w:type="dxa"/>
            <w:vAlign w:val="center"/>
          </w:tcPr>
          <w:p w14:paraId="3B34DF08" w14:textId="7B0DEFC3" w:rsidR="008E764E" w:rsidRPr="00C61188" w:rsidRDefault="00524085" w:rsidP="00FE1C11">
            <w:pPr>
              <w:rPr>
                <w:rFonts w:cs="Calibri"/>
                <w:sz w:val="24"/>
                <w:szCs w:val="24"/>
                <w:lang w:val="es-ES"/>
              </w:rPr>
            </w:pPr>
            <w:r>
              <w:rPr>
                <w:rFonts w:cs="Calibri"/>
                <w:sz w:val="24"/>
                <w:szCs w:val="24"/>
                <w:lang w:val="es-ES"/>
              </w:rPr>
              <w:t>Se crea el instructivo</w:t>
            </w:r>
          </w:p>
        </w:tc>
      </w:tr>
      <w:tr w:rsidR="008E764E" w:rsidRPr="00C61188" w14:paraId="2BEBD254" w14:textId="77777777" w:rsidTr="007D6EF4">
        <w:tc>
          <w:tcPr>
            <w:tcW w:w="1129" w:type="dxa"/>
            <w:tcBorders>
              <w:top w:val="single" w:sz="4" w:space="0" w:color="auto"/>
              <w:left w:val="single" w:sz="4" w:space="0" w:color="auto"/>
              <w:bottom w:val="single" w:sz="4" w:space="0" w:color="auto"/>
              <w:right w:val="single" w:sz="4" w:space="0" w:color="auto"/>
            </w:tcBorders>
            <w:vAlign w:val="center"/>
          </w:tcPr>
          <w:p w14:paraId="6AB369BF" w14:textId="55E4DC70" w:rsidR="008E764E" w:rsidRPr="00C61188" w:rsidRDefault="007D6EF4" w:rsidP="007D6EF4">
            <w:pPr>
              <w:jc w:val="center"/>
              <w:rPr>
                <w:rFonts w:cs="Calibri"/>
                <w:sz w:val="24"/>
                <w:szCs w:val="24"/>
                <w:lang w:val="es-ES"/>
              </w:rPr>
            </w:pPr>
            <w:r>
              <w:rPr>
                <w:rFonts w:cs="Calibri"/>
                <w:sz w:val="24"/>
                <w:szCs w:val="24"/>
                <w:lang w:val="es-ES"/>
              </w:rPr>
              <w:t>02</w:t>
            </w:r>
          </w:p>
        </w:tc>
        <w:tc>
          <w:tcPr>
            <w:tcW w:w="2268" w:type="dxa"/>
            <w:tcBorders>
              <w:left w:val="single" w:sz="4" w:space="0" w:color="auto"/>
            </w:tcBorders>
            <w:vAlign w:val="center"/>
          </w:tcPr>
          <w:p w14:paraId="7FECB9CC" w14:textId="122BD2D5" w:rsidR="008E764E" w:rsidRPr="00C61188" w:rsidRDefault="00BB2FD5" w:rsidP="007D6EF4">
            <w:pPr>
              <w:jc w:val="center"/>
              <w:rPr>
                <w:rFonts w:cs="Calibri"/>
                <w:sz w:val="24"/>
                <w:szCs w:val="24"/>
                <w:lang w:val="es-ES"/>
              </w:rPr>
            </w:pPr>
            <w:r>
              <w:rPr>
                <w:rFonts w:cs="Calibri"/>
                <w:sz w:val="24"/>
                <w:szCs w:val="24"/>
                <w:lang w:val="es-ES"/>
              </w:rPr>
              <w:t>Diciembre</w:t>
            </w:r>
            <w:r w:rsidR="007D6EF4">
              <w:rPr>
                <w:rFonts w:cs="Calibri"/>
                <w:sz w:val="24"/>
                <w:szCs w:val="24"/>
                <w:lang w:val="es-ES"/>
              </w:rPr>
              <w:t xml:space="preserve"> de 2024</w:t>
            </w:r>
          </w:p>
        </w:tc>
        <w:tc>
          <w:tcPr>
            <w:tcW w:w="5812" w:type="dxa"/>
            <w:vAlign w:val="center"/>
          </w:tcPr>
          <w:p w14:paraId="540AB191" w14:textId="77777777" w:rsidR="008E764E" w:rsidRDefault="00FE1C11" w:rsidP="003659CA">
            <w:pPr>
              <w:jc w:val="both"/>
              <w:rPr>
                <w:rFonts w:asciiTheme="majorHAnsi" w:hAnsiTheme="majorHAnsi" w:cstheme="majorHAnsi"/>
                <w:spacing w:val="2"/>
                <w:sz w:val="24"/>
                <w:szCs w:val="24"/>
                <w:lang w:val="es-ES"/>
              </w:rPr>
            </w:pPr>
            <w:r>
              <w:rPr>
                <w:rFonts w:cs="Calibri"/>
                <w:sz w:val="24"/>
                <w:szCs w:val="24"/>
                <w:lang w:val="es-ES"/>
              </w:rPr>
              <w:t>Se</w:t>
            </w:r>
            <w:r w:rsidR="005D467D">
              <w:rPr>
                <w:rFonts w:cs="Calibri"/>
                <w:sz w:val="24"/>
                <w:szCs w:val="24"/>
                <w:lang w:val="es-ES"/>
              </w:rPr>
              <w:t xml:space="preserve"> incluyeron los</w:t>
            </w:r>
            <w:r w:rsidR="00C64942">
              <w:rPr>
                <w:rFonts w:cs="Calibri"/>
                <w:sz w:val="24"/>
                <w:szCs w:val="24"/>
                <w:lang w:val="es-ES"/>
              </w:rPr>
              <w:t xml:space="preserve"> lineamientos </w:t>
            </w:r>
            <w:r w:rsidR="00816E93">
              <w:rPr>
                <w:rFonts w:cs="Calibri"/>
                <w:sz w:val="24"/>
                <w:szCs w:val="24"/>
                <w:lang w:val="es-ES"/>
              </w:rPr>
              <w:t xml:space="preserve">y requisitos legales establecidos en </w:t>
            </w:r>
            <w:r w:rsidR="003659CA" w:rsidRPr="00001245">
              <w:rPr>
                <w:rFonts w:asciiTheme="majorHAnsi" w:hAnsiTheme="majorHAnsi" w:cstheme="majorHAnsi"/>
                <w:spacing w:val="2"/>
                <w:sz w:val="24"/>
                <w:szCs w:val="24"/>
                <w:lang w:val="es-ES"/>
              </w:rPr>
              <w:t>la Resolución 40412 de 2024 del Ministerio de Minas y Energía y la Ley 2407 de 2024</w:t>
            </w:r>
            <w:r w:rsidR="005D467D">
              <w:rPr>
                <w:rFonts w:asciiTheme="majorHAnsi" w:hAnsiTheme="majorHAnsi" w:cstheme="majorHAnsi"/>
                <w:spacing w:val="2"/>
                <w:sz w:val="24"/>
                <w:szCs w:val="24"/>
                <w:lang w:val="es-ES"/>
              </w:rPr>
              <w:t>:</w:t>
            </w:r>
          </w:p>
          <w:p w14:paraId="082262AB" w14:textId="38A48779" w:rsidR="005D467D" w:rsidRPr="005D467D" w:rsidRDefault="005D467D" w:rsidP="005D467D">
            <w:pPr>
              <w:numPr>
                <w:ilvl w:val="0"/>
                <w:numId w:val="39"/>
              </w:numPr>
              <w:jc w:val="both"/>
              <w:rPr>
                <w:rFonts w:cs="Calibri"/>
                <w:sz w:val="24"/>
                <w:szCs w:val="24"/>
              </w:rPr>
            </w:pPr>
            <w:r>
              <w:rPr>
                <w:rFonts w:cs="Calibri"/>
                <w:sz w:val="24"/>
                <w:szCs w:val="24"/>
              </w:rPr>
              <w:t>Se c</w:t>
            </w:r>
            <w:r w:rsidRPr="005D467D">
              <w:rPr>
                <w:rFonts w:cs="Calibri"/>
                <w:sz w:val="24"/>
                <w:szCs w:val="24"/>
              </w:rPr>
              <w:t>ambi</w:t>
            </w:r>
            <w:r>
              <w:rPr>
                <w:rFonts w:cs="Calibri"/>
                <w:sz w:val="24"/>
                <w:szCs w:val="24"/>
              </w:rPr>
              <w:t>ó</w:t>
            </w:r>
            <w:r w:rsidRPr="005D467D">
              <w:rPr>
                <w:rFonts w:cs="Calibri"/>
                <w:sz w:val="24"/>
                <w:szCs w:val="24"/>
              </w:rPr>
              <w:t xml:space="preserve"> </w:t>
            </w:r>
            <w:r>
              <w:rPr>
                <w:rFonts w:cs="Calibri"/>
                <w:sz w:val="24"/>
                <w:szCs w:val="24"/>
              </w:rPr>
              <w:t xml:space="preserve">el </w:t>
            </w:r>
            <w:r w:rsidRPr="005D467D">
              <w:rPr>
                <w:rFonts w:cs="Calibri"/>
                <w:sz w:val="24"/>
                <w:szCs w:val="24"/>
              </w:rPr>
              <w:t xml:space="preserve">formato de elaboración del documento. </w:t>
            </w:r>
            <w:r>
              <w:rPr>
                <w:rFonts w:cs="Calibri"/>
                <w:sz w:val="24"/>
                <w:szCs w:val="24"/>
              </w:rPr>
              <w:t>Se utilizó</w:t>
            </w:r>
            <w:r w:rsidRPr="005D467D">
              <w:rPr>
                <w:rFonts w:cs="Calibri"/>
                <w:sz w:val="24"/>
                <w:szCs w:val="24"/>
              </w:rPr>
              <w:t xml:space="preserve"> el formato actualizado GOR-F-012</w:t>
            </w:r>
            <w:r w:rsidR="00716246">
              <w:rPr>
                <w:rFonts w:cs="Calibri"/>
                <w:sz w:val="24"/>
                <w:szCs w:val="24"/>
              </w:rPr>
              <w:t>.</w:t>
            </w:r>
          </w:p>
          <w:p w14:paraId="0D478669" w14:textId="033DD800" w:rsidR="005D467D" w:rsidRPr="005D467D" w:rsidRDefault="005D467D" w:rsidP="005D467D">
            <w:pPr>
              <w:numPr>
                <w:ilvl w:val="0"/>
                <w:numId w:val="39"/>
              </w:numPr>
              <w:jc w:val="both"/>
              <w:rPr>
                <w:rFonts w:cs="Calibri"/>
                <w:sz w:val="24"/>
                <w:szCs w:val="24"/>
              </w:rPr>
            </w:pPr>
            <w:r>
              <w:rPr>
                <w:rFonts w:cs="Calibri"/>
                <w:sz w:val="24"/>
                <w:szCs w:val="24"/>
              </w:rPr>
              <w:t>Se asoci</w:t>
            </w:r>
            <w:r w:rsidR="00716246">
              <w:rPr>
                <w:rFonts w:cs="Calibri"/>
                <w:sz w:val="24"/>
                <w:szCs w:val="24"/>
              </w:rPr>
              <w:t>aron</w:t>
            </w:r>
            <w:r>
              <w:rPr>
                <w:rFonts w:cs="Calibri"/>
                <w:sz w:val="24"/>
                <w:szCs w:val="24"/>
              </w:rPr>
              <w:t xml:space="preserve"> los</w:t>
            </w:r>
            <w:r w:rsidRPr="005D467D">
              <w:rPr>
                <w:rFonts w:cs="Calibri"/>
                <w:sz w:val="24"/>
                <w:szCs w:val="24"/>
              </w:rPr>
              <w:t xml:space="preserve"> planes de acción para la mejora del desempeño energético al termino PGEE (Planes de Gestión Eficiente de la Energía) que aparece en la Ley 2407 de 2024 y Resolución 40412 de 2024.</w:t>
            </w:r>
          </w:p>
          <w:p w14:paraId="0BFC23EB" w14:textId="1AEE01C7" w:rsidR="005D467D" w:rsidRPr="005D467D" w:rsidRDefault="00716246" w:rsidP="005D467D">
            <w:pPr>
              <w:numPr>
                <w:ilvl w:val="0"/>
                <w:numId w:val="39"/>
              </w:numPr>
              <w:jc w:val="both"/>
              <w:rPr>
                <w:rFonts w:cs="Calibri"/>
                <w:sz w:val="24"/>
                <w:szCs w:val="24"/>
              </w:rPr>
            </w:pPr>
            <w:r>
              <w:rPr>
                <w:rFonts w:cs="Calibri"/>
                <w:sz w:val="24"/>
                <w:szCs w:val="24"/>
              </w:rPr>
              <w:lastRenderedPageBreak/>
              <w:t>Se adicionaron las</w:t>
            </w:r>
            <w:r w:rsidR="005D467D" w:rsidRPr="005D467D">
              <w:rPr>
                <w:rFonts w:cs="Calibri"/>
                <w:sz w:val="24"/>
                <w:szCs w:val="24"/>
              </w:rPr>
              <w:t xml:space="preserve"> </w:t>
            </w:r>
            <w:r>
              <w:rPr>
                <w:rFonts w:cs="Calibri"/>
                <w:sz w:val="24"/>
                <w:szCs w:val="24"/>
              </w:rPr>
              <w:t>d</w:t>
            </w:r>
            <w:r w:rsidR="005D467D" w:rsidRPr="005D467D">
              <w:rPr>
                <w:rFonts w:cs="Calibri"/>
                <w:sz w:val="24"/>
                <w:szCs w:val="24"/>
              </w:rPr>
              <w:t>efiniciones asociadas a la Ley 2407 de 2024 y Resolución 40412 de 2024</w:t>
            </w:r>
            <w:r>
              <w:rPr>
                <w:rFonts w:cs="Calibri"/>
                <w:sz w:val="24"/>
                <w:szCs w:val="24"/>
              </w:rPr>
              <w:t>.</w:t>
            </w:r>
          </w:p>
          <w:p w14:paraId="62FAA392" w14:textId="42860218" w:rsidR="005D467D" w:rsidRPr="005D467D" w:rsidRDefault="00716246" w:rsidP="005D467D">
            <w:pPr>
              <w:numPr>
                <w:ilvl w:val="0"/>
                <w:numId w:val="39"/>
              </w:numPr>
              <w:jc w:val="both"/>
              <w:rPr>
                <w:rFonts w:cs="Calibri"/>
                <w:sz w:val="24"/>
                <w:szCs w:val="24"/>
              </w:rPr>
            </w:pPr>
            <w:r>
              <w:rPr>
                <w:rFonts w:cs="Calibri"/>
                <w:sz w:val="24"/>
                <w:szCs w:val="24"/>
              </w:rPr>
              <w:t>Se actualizó</w:t>
            </w:r>
            <w:r w:rsidR="005D467D" w:rsidRPr="005D467D">
              <w:rPr>
                <w:rFonts w:cs="Calibri"/>
                <w:sz w:val="24"/>
                <w:szCs w:val="24"/>
              </w:rPr>
              <w:t xml:space="preserve"> marco normativo</w:t>
            </w:r>
            <w:r w:rsidR="00081F0B">
              <w:rPr>
                <w:rFonts w:cs="Calibri"/>
                <w:sz w:val="24"/>
                <w:szCs w:val="24"/>
              </w:rPr>
              <w:t>.</w:t>
            </w:r>
          </w:p>
          <w:p w14:paraId="4461F088" w14:textId="6EB99886" w:rsidR="005D467D" w:rsidRPr="005D467D" w:rsidRDefault="00716246" w:rsidP="005D467D">
            <w:pPr>
              <w:numPr>
                <w:ilvl w:val="0"/>
                <w:numId w:val="39"/>
              </w:numPr>
              <w:jc w:val="both"/>
              <w:rPr>
                <w:rFonts w:cs="Calibri"/>
                <w:sz w:val="24"/>
                <w:szCs w:val="24"/>
              </w:rPr>
            </w:pPr>
            <w:r>
              <w:rPr>
                <w:rFonts w:cs="Calibri"/>
                <w:sz w:val="24"/>
                <w:szCs w:val="24"/>
              </w:rPr>
              <w:t>Se i</w:t>
            </w:r>
            <w:r w:rsidR="005D467D" w:rsidRPr="005D467D">
              <w:rPr>
                <w:rFonts w:cs="Calibri"/>
                <w:sz w:val="24"/>
                <w:szCs w:val="24"/>
              </w:rPr>
              <w:t>nclu</w:t>
            </w:r>
            <w:r>
              <w:rPr>
                <w:rFonts w:cs="Calibri"/>
                <w:sz w:val="24"/>
                <w:szCs w:val="24"/>
              </w:rPr>
              <w:t>yó</w:t>
            </w:r>
            <w:r w:rsidR="005D467D" w:rsidRPr="005D467D">
              <w:rPr>
                <w:rFonts w:cs="Calibri"/>
                <w:sz w:val="24"/>
                <w:szCs w:val="24"/>
              </w:rPr>
              <w:t xml:space="preserve"> al Gestor energético en Roles y responsabilidades (Promover la estructuración e implementación de los PGEE definidos como resultado de las revisiones energéticas). </w:t>
            </w:r>
            <w:r>
              <w:rPr>
                <w:rFonts w:cs="Calibri"/>
                <w:sz w:val="24"/>
                <w:szCs w:val="24"/>
              </w:rPr>
              <w:t>Se incluyó la</w:t>
            </w:r>
            <w:r w:rsidR="005D467D" w:rsidRPr="005D467D">
              <w:rPr>
                <w:rFonts w:cs="Calibri"/>
                <w:sz w:val="24"/>
                <w:szCs w:val="24"/>
              </w:rPr>
              <w:t xml:space="preserve"> responsabilidad de presentar informes de resultados de las revisiones energéticas a la UPME por parte del equipo </w:t>
            </w:r>
            <w:proofErr w:type="spellStart"/>
            <w:r w:rsidR="005D467D" w:rsidRPr="005D467D">
              <w:rPr>
                <w:rFonts w:cs="Calibri"/>
                <w:sz w:val="24"/>
                <w:szCs w:val="24"/>
              </w:rPr>
              <w:t>SGEn</w:t>
            </w:r>
            <w:proofErr w:type="spellEnd"/>
            <w:r w:rsidR="005D467D" w:rsidRPr="005D467D">
              <w:rPr>
                <w:rFonts w:cs="Calibri"/>
                <w:sz w:val="24"/>
                <w:szCs w:val="24"/>
              </w:rPr>
              <w:t xml:space="preserve"> de Dirección General.</w:t>
            </w:r>
          </w:p>
          <w:p w14:paraId="7C5558BC" w14:textId="029A8CF2" w:rsidR="005D467D" w:rsidRPr="005D467D" w:rsidRDefault="005D467D" w:rsidP="005D467D">
            <w:pPr>
              <w:numPr>
                <w:ilvl w:val="0"/>
                <w:numId w:val="39"/>
              </w:numPr>
              <w:jc w:val="both"/>
              <w:rPr>
                <w:rFonts w:cs="Calibri"/>
                <w:sz w:val="24"/>
                <w:szCs w:val="24"/>
              </w:rPr>
            </w:pPr>
            <w:r w:rsidRPr="005D467D">
              <w:rPr>
                <w:rFonts w:cs="Calibri"/>
                <w:sz w:val="24"/>
                <w:szCs w:val="24"/>
              </w:rPr>
              <w:t>En Generalidades</w:t>
            </w:r>
            <w:r w:rsidR="00716246">
              <w:rPr>
                <w:rFonts w:cs="Calibri"/>
                <w:sz w:val="24"/>
                <w:szCs w:val="24"/>
              </w:rPr>
              <w:t>,</w:t>
            </w:r>
            <w:r w:rsidRPr="005D467D">
              <w:rPr>
                <w:rFonts w:cs="Calibri"/>
                <w:sz w:val="24"/>
                <w:szCs w:val="24"/>
              </w:rPr>
              <w:t xml:space="preserve"> </w:t>
            </w:r>
            <w:r w:rsidR="00716246">
              <w:rPr>
                <w:rFonts w:cs="Calibri"/>
                <w:sz w:val="24"/>
                <w:szCs w:val="24"/>
              </w:rPr>
              <w:t>se incluyó</w:t>
            </w:r>
            <w:r w:rsidRPr="005D467D">
              <w:rPr>
                <w:rFonts w:cs="Calibri"/>
                <w:sz w:val="24"/>
                <w:szCs w:val="24"/>
              </w:rPr>
              <w:t xml:space="preserve"> que los PGEE que se establezcan como resultado de la revisión energética deben ser tal que permitan lograr un potencial de ahorro del 15%, con proyecciones de metas de ahorro anuales para los cuatro años siguientes.</w:t>
            </w:r>
          </w:p>
          <w:p w14:paraId="713A2180" w14:textId="57EA8485" w:rsidR="005D467D" w:rsidRPr="005D467D" w:rsidRDefault="005D467D" w:rsidP="005D467D">
            <w:pPr>
              <w:numPr>
                <w:ilvl w:val="0"/>
                <w:numId w:val="39"/>
              </w:numPr>
              <w:jc w:val="both"/>
              <w:rPr>
                <w:rFonts w:cs="Calibri"/>
                <w:sz w:val="24"/>
                <w:szCs w:val="24"/>
              </w:rPr>
            </w:pPr>
            <w:r>
              <w:rPr>
                <w:rFonts w:cs="Calibri"/>
                <w:sz w:val="24"/>
                <w:szCs w:val="24"/>
              </w:rPr>
              <w:t>Se incluyó</w:t>
            </w:r>
            <w:r w:rsidRPr="005D467D">
              <w:rPr>
                <w:rFonts w:cs="Calibri"/>
                <w:sz w:val="24"/>
                <w:szCs w:val="24"/>
              </w:rPr>
              <w:t xml:space="preserve"> que las </w:t>
            </w:r>
            <w:proofErr w:type="spellStart"/>
            <w:r w:rsidRPr="005D467D">
              <w:rPr>
                <w:rFonts w:cs="Calibri"/>
                <w:sz w:val="24"/>
                <w:szCs w:val="24"/>
              </w:rPr>
              <w:t>LBEn</w:t>
            </w:r>
            <w:proofErr w:type="spellEnd"/>
            <w:r w:rsidRPr="005D467D">
              <w:rPr>
                <w:rFonts w:cs="Calibri"/>
                <w:sz w:val="24"/>
                <w:szCs w:val="24"/>
              </w:rPr>
              <w:t xml:space="preserve"> y los IDEn NO serán establecidos por cada sede como resultado de la revisión energética. Estas serán establecidas por Dirección General con base en el instructivo de Línea base.</w:t>
            </w:r>
          </w:p>
          <w:p w14:paraId="5E24196B" w14:textId="2731E58B" w:rsidR="005D467D" w:rsidRPr="005D467D" w:rsidRDefault="005D467D" w:rsidP="005D467D">
            <w:pPr>
              <w:numPr>
                <w:ilvl w:val="0"/>
                <w:numId w:val="39"/>
              </w:numPr>
              <w:jc w:val="both"/>
              <w:rPr>
                <w:rFonts w:cs="Calibri"/>
                <w:sz w:val="24"/>
                <w:szCs w:val="24"/>
              </w:rPr>
            </w:pPr>
            <w:r>
              <w:rPr>
                <w:rFonts w:cs="Calibri"/>
                <w:sz w:val="24"/>
                <w:szCs w:val="24"/>
              </w:rPr>
              <w:t xml:space="preserve">Se incluyó que </w:t>
            </w:r>
            <w:r w:rsidRPr="005D467D">
              <w:rPr>
                <w:rFonts w:cs="Calibri"/>
                <w:sz w:val="24"/>
                <w:szCs w:val="24"/>
              </w:rPr>
              <w:t xml:space="preserve">las revisiones energéticas en las sedes podrán ser realizadas por personas jurídicas, personas naturales externas o personal propio de la entidad (de planta o contratista), que cuenten con las competencias indicadas en las Resolución </w:t>
            </w:r>
            <w:r w:rsidRPr="005D467D">
              <w:rPr>
                <w:rFonts w:cs="Calibri"/>
                <w:sz w:val="24"/>
                <w:szCs w:val="24"/>
              </w:rPr>
              <w:lastRenderedPageBreak/>
              <w:t>40412 de 2024 (en el instructivo se especifican las competencias).</w:t>
            </w:r>
          </w:p>
          <w:p w14:paraId="29F009B2" w14:textId="5CC8CA84" w:rsidR="005D467D" w:rsidRPr="005D467D" w:rsidRDefault="005D467D" w:rsidP="005D467D">
            <w:pPr>
              <w:numPr>
                <w:ilvl w:val="0"/>
                <w:numId w:val="39"/>
              </w:numPr>
              <w:jc w:val="both"/>
              <w:rPr>
                <w:rFonts w:cs="Calibri"/>
                <w:sz w:val="24"/>
                <w:szCs w:val="24"/>
              </w:rPr>
            </w:pPr>
            <w:r>
              <w:rPr>
                <w:rFonts w:cs="Calibri"/>
                <w:sz w:val="24"/>
                <w:szCs w:val="24"/>
              </w:rPr>
              <w:t>Se incluyó</w:t>
            </w:r>
            <w:r w:rsidRPr="005D467D">
              <w:rPr>
                <w:rFonts w:cs="Calibri"/>
                <w:sz w:val="24"/>
                <w:szCs w:val="24"/>
              </w:rPr>
              <w:t xml:space="preserve"> que se debe establecer en el informe de revisión energética la antigüedad y propiedad de la edificación (tal como lo pide la Resolución 40412 de 2024).</w:t>
            </w:r>
          </w:p>
          <w:p w14:paraId="78B0B3BF" w14:textId="36AC887C" w:rsidR="005D467D" w:rsidRPr="005D467D" w:rsidRDefault="005D467D" w:rsidP="005D467D">
            <w:pPr>
              <w:numPr>
                <w:ilvl w:val="0"/>
                <w:numId w:val="39"/>
              </w:numPr>
              <w:jc w:val="both"/>
              <w:rPr>
                <w:rFonts w:cs="Calibri"/>
                <w:sz w:val="24"/>
                <w:szCs w:val="24"/>
              </w:rPr>
            </w:pPr>
            <w:r w:rsidRPr="005D467D">
              <w:rPr>
                <w:rFonts w:cs="Calibri"/>
                <w:sz w:val="24"/>
                <w:szCs w:val="24"/>
              </w:rPr>
              <w:t xml:space="preserve">Para el análisis de calidad de potencia, </w:t>
            </w:r>
            <w:r>
              <w:rPr>
                <w:rFonts w:cs="Calibri"/>
                <w:sz w:val="24"/>
                <w:szCs w:val="24"/>
              </w:rPr>
              <w:t>se ajustó</w:t>
            </w:r>
            <w:r w:rsidRPr="005D467D">
              <w:rPr>
                <w:rFonts w:cs="Calibri"/>
                <w:sz w:val="24"/>
                <w:szCs w:val="24"/>
              </w:rPr>
              <w:t xml:space="preserve"> que se debe realizar las mediciones solo durante un día, durante el día de mayor operación de la sede.</w:t>
            </w:r>
          </w:p>
          <w:p w14:paraId="2DECAE88" w14:textId="69FCAB74" w:rsidR="005D467D" w:rsidRPr="005D467D" w:rsidRDefault="005D467D" w:rsidP="005D467D">
            <w:pPr>
              <w:numPr>
                <w:ilvl w:val="0"/>
                <w:numId w:val="39"/>
              </w:numPr>
              <w:jc w:val="both"/>
              <w:rPr>
                <w:rFonts w:cs="Calibri"/>
                <w:sz w:val="24"/>
                <w:szCs w:val="24"/>
              </w:rPr>
            </w:pPr>
            <w:r>
              <w:rPr>
                <w:rFonts w:cs="Calibri"/>
                <w:sz w:val="24"/>
                <w:szCs w:val="24"/>
              </w:rPr>
              <w:t>Se especificó que s</w:t>
            </w:r>
            <w:r w:rsidRPr="005D467D">
              <w:rPr>
                <w:rFonts w:cs="Calibri"/>
                <w:sz w:val="24"/>
                <w:szCs w:val="24"/>
              </w:rPr>
              <w:t>i la sede no cuenta con un circuito principal (no tiene una única frontera comercial de energía eléctrica), se debe medir en el tablero del circuito de carga o consumo energético más significativo.</w:t>
            </w:r>
          </w:p>
          <w:p w14:paraId="6BF072E4" w14:textId="02CDDC59" w:rsidR="005D467D" w:rsidRPr="005D467D" w:rsidRDefault="005D467D" w:rsidP="005D467D">
            <w:pPr>
              <w:numPr>
                <w:ilvl w:val="0"/>
                <w:numId w:val="39"/>
              </w:numPr>
              <w:jc w:val="both"/>
              <w:rPr>
                <w:rFonts w:cs="Calibri"/>
                <w:sz w:val="24"/>
                <w:szCs w:val="24"/>
              </w:rPr>
            </w:pPr>
            <w:r>
              <w:rPr>
                <w:rFonts w:cs="Calibri"/>
                <w:sz w:val="24"/>
                <w:szCs w:val="24"/>
              </w:rPr>
              <w:t>Se incluyó</w:t>
            </w:r>
            <w:r w:rsidRPr="005D467D">
              <w:rPr>
                <w:rFonts w:cs="Calibri"/>
                <w:sz w:val="24"/>
                <w:szCs w:val="24"/>
              </w:rPr>
              <w:t xml:space="preserve"> que se debe presentar la curva de carga diaria en el registro informe de revisión energética.</w:t>
            </w:r>
          </w:p>
          <w:p w14:paraId="02748CB8" w14:textId="6D16EE0F" w:rsidR="005D467D" w:rsidRPr="005D467D" w:rsidRDefault="005D467D" w:rsidP="005D467D">
            <w:pPr>
              <w:numPr>
                <w:ilvl w:val="0"/>
                <w:numId w:val="39"/>
              </w:numPr>
              <w:jc w:val="both"/>
              <w:rPr>
                <w:rFonts w:cs="Calibri"/>
                <w:sz w:val="24"/>
                <w:szCs w:val="24"/>
              </w:rPr>
            </w:pPr>
            <w:r>
              <w:rPr>
                <w:rFonts w:cs="Calibri"/>
                <w:sz w:val="24"/>
                <w:szCs w:val="24"/>
              </w:rPr>
              <w:t>Se incluyó</w:t>
            </w:r>
            <w:r w:rsidRPr="005D467D">
              <w:rPr>
                <w:rFonts w:cs="Calibri"/>
                <w:sz w:val="24"/>
                <w:szCs w:val="24"/>
              </w:rPr>
              <w:t xml:space="preserve"> que las oportunidades de mejora deben contener </w:t>
            </w:r>
            <w:r w:rsidRPr="005D467D">
              <w:rPr>
                <w:rFonts w:cs="Calibri"/>
                <w:b/>
                <w:bCs/>
                <w:sz w:val="24"/>
                <w:szCs w:val="24"/>
              </w:rPr>
              <w:t>como mínimo</w:t>
            </w:r>
            <w:r w:rsidRPr="005D467D">
              <w:rPr>
                <w:rFonts w:cs="Calibri"/>
                <w:sz w:val="24"/>
                <w:szCs w:val="24"/>
              </w:rPr>
              <w:t> </w:t>
            </w:r>
            <w:proofErr w:type="spellStart"/>
            <w:r w:rsidRPr="005D467D">
              <w:rPr>
                <w:rFonts w:cs="Calibri"/>
                <w:sz w:val="24"/>
                <w:szCs w:val="24"/>
              </w:rPr>
              <w:t>BPOs</w:t>
            </w:r>
            <w:proofErr w:type="spellEnd"/>
            <w:r w:rsidRPr="005D467D">
              <w:rPr>
                <w:rFonts w:cs="Calibri"/>
                <w:sz w:val="24"/>
                <w:szCs w:val="24"/>
              </w:rPr>
              <w:t>, reconversión tecnológica en los usos finales de energía, proyectos de autonegación con SSFV.</w:t>
            </w:r>
          </w:p>
          <w:p w14:paraId="4C4713EF" w14:textId="0DEC03FC" w:rsidR="005D467D" w:rsidRPr="005D467D" w:rsidRDefault="005D467D" w:rsidP="005D467D">
            <w:pPr>
              <w:numPr>
                <w:ilvl w:val="0"/>
                <w:numId w:val="39"/>
              </w:numPr>
              <w:jc w:val="both"/>
              <w:rPr>
                <w:rFonts w:cs="Calibri"/>
                <w:sz w:val="24"/>
                <w:szCs w:val="24"/>
              </w:rPr>
            </w:pPr>
            <w:r>
              <w:rPr>
                <w:rFonts w:cs="Calibri"/>
                <w:sz w:val="24"/>
                <w:szCs w:val="24"/>
              </w:rPr>
              <w:t>Se i</w:t>
            </w:r>
            <w:r w:rsidRPr="005D467D">
              <w:rPr>
                <w:rFonts w:cs="Calibri"/>
                <w:sz w:val="24"/>
                <w:szCs w:val="24"/>
              </w:rPr>
              <w:t>nclu</w:t>
            </w:r>
            <w:r>
              <w:rPr>
                <w:rFonts w:cs="Calibri"/>
                <w:sz w:val="24"/>
                <w:szCs w:val="24"/>
              </w:rPr>
              <w:t>yó</w:t>
            </w:r>
            <w:r w:rsidRPr="005D467D">
              <w:rPr>
                <w:rFonts w:cs="Calibri"/>
                <w:sz w:val="24"/>
                <w:szCs w:val="24"/>
              </w:rPr>
              <w:t xml:space="preserve"> que se deben priorizar las oportunidades de mejora del desempeño energético más costo efectivas, tomando como criterio las de menos tiempo de retorno a la inversión.</w:t>
            </w:r>
          </w:p>
          <w:p w14:paraId="68ABC3BB" w14:textId="77777777" w:rsidR="005D467D" w:rsidRDefault="005D467D" w:rsidP="003659CA">
            <w:pPr>
              <w:numPr>
                <w:ilvl w:val="0"/>
                <w:numId w:val="39"/>
              </w:numPr>
              <w:jc w:val="both"/>
              <w:rPr>
                <w:rFonts w:cs="Calibri"/>
                <w:sz w:val="24"/>
                <w:szCs w:val="24"/>
              </w:rPr>
            </w:pPr>
            <w:r>
              <w:rPr>
                <w:rFonts w:cs="Calibri"/>
                <w:sz w:val="24"/>
                <w:szCs w:val="24"/>
              </w:rPr>
              <w:lastRenderedPageBreak/>
              <w:t>Se i</w:t>
            </w:r>
            <w:r w:rsidRPr="005D467D">
              <w:rPr>
                <w:rFonts w:cs="Calibri"/>
                <w:sz w:val="24"/>
                <w:szCs w:val="24"/>
              </w:rPr>
              <w:t>nclu</w:t>
            </w:r>
            <w:r>
              <w:rPr>
                <w:rFonts w:cs="Calibri"/>
                <w:sz w:val="24"/>
                <w:szCs w:val="24"/>
              </w:rPr>
              <w:t>yó</w:t>
            </w:r>
            <w:r w:rsidRPr="005D467D">
              <w:rPr>
                <w:rFonts w:cs="Calibri"/>
                <w:sz w:val="24"/>
                <w:szCs w:val="24"/>
              </w:rPr>
              <w:t xml:space="preserve"> que las oportunidades de mejora priorizadas serán los PGEE de la sede.</w:t>
            </w:r>
          </w:p>
          <w:p w14:paraId="37A0B927" w14:textId="52017A0F" w:rsidR="0014149D" w:rsidRPr="005D467D" w:rsidRDefault="00375782" w:rsidP="003659CA">
            <w:pPr>
              <w:numPr>
                <w:ilvl w:val="0"/>
                <w:numId w:val="39"/>
              </w:numPr>
              <w:jc w:val="both"/>
              <w:rPr>
                <w:rFonts w:cs="Calibri"/>
                <w:sz w:val="24"/>
                <w:szCs w:val="24"/>
              </w:rPr>
            </w:pPr>
            <w:r>
              <w:rPr>
                <w:rFonts w:cs="Calibri"/>
                <w:sz w:val="24"/>
                <w:szCs w:val="24"/>
                <w:lang w:val="es-ES"/>
              </w:rPr>
              <w:t xml:space="preserve">Se realizaron ajustes de información, y clasificación de la información, en los formatos </w:t>
            </w:r>
            <w:r w:rsidRPr="001F769B">
              <w:rPr>
                <w:rFonts w:cs="Calibri"/>
                <w:b/>
                <w:bCs/>
                <w:i/>
                <w:iCs/>
                <w:sz w:val="24"/>
                <w:szCs w:val="24"/>
                <w:lang w:val="es-ES"/>
              </w:rPr>
              <w:t xml:space="preserve">GOR-F-088 </w:t>
            </w:r>
            <w:r w:rsidRPr="001F769B">
              <w:rPr>
                <w:b/>
                <w:bCs/>
                <w:i/>
                <w:iCs/>
                <w:sz w:val="24"/>
                <w:szCs w:val="24"/>
              </w:rPr>
              <w:t>Formato revisión energética</w:t>
            </w:r>
            <w:r w:rsidRPr="001F769B">
              <w:rPr>
                <w:rFonts w:cs="Calibri"/>
                <w:b/>
                <w:bCs/>
                <w:i/>
                <w:iCs/>
                <w:sz w:val="24"/>
                <w:szCs w:val="24"/>
                <w:lang w:val="es-ES"/>
              </w:rPr>
              <w:t xml:space="preserve"> </w:t>
            </w:r>
            <w:r>
              <w:rPr>
                <w:rFonts w:cs="Calibri"/>
                <w:sz w:val="24"/>
                <w:szCs w:val="24"/>
                <w:lang w:val="es-ES"/>
              </w:rPr>
              <w:t xml:space="preserve">y </w:t>
            </w:r>
            <w:r w:rsidRPr="001F769B">
              <w:rPr>
                <w:rFonts w:cs="Calibri"/>
                <w:b/>
                <w:bCs/>
                <w:i/>
                <w:iCs/>
                <w:sz w:val="24"/>
                <w:szCs w:val="24"/>
                <w:lang w:val="es-ES"/>
              </w:rPr>
              <w:t xml:space="preserve">GOR-F-087 </w:t>
            </w:r>
            <w:r w:rsidRPr="001F769B">
              <w:rPr>
                <w:b/>
                <w:bCs/>
                <w:i/>
                <w:iCs/>
                <w:sz w:val="24"/>
                <w:szCs w:val="24"/>
              </w:rPr>
              <w:t>Formato inventario de usos finales de energía.</w:t>
            </w:r>
          </w:p>
        </w:tc>
      </w:tr>
      <w:tr w:rsidR="008E764E" w:rsidRPr="00C61188" w14:paraId="51B5837D" w14:textId="77777777" w:rsidTr="00BD4AD5">
        <w:tc>
          <w:tcPr>
            <w:tcW w:w="1129" w:type="dxa"/>
            <w:tcBorders>
              <w:top w:val="single" w:sz="4" w:space="0" w:color="auto"/>
              <w:left w:val="single" w:sz="4" w:space="0" w:color="auto"/>
              <w:bottom w:val="single" w:sz="4" w:space="0" w:color="auto"/>
              <w:right w:val="single" w:sz="4" w:space="0" w:color="auto"/>
            </w:tcBorders>
          </w:tcPr>
          <w:p w14:paraId="10F0AD18" w14:textId="007DD5A5" w:rsidR="008E764E" w:rsidRPr="00C61188" w:rsidRDefault="00375782">
            <w:pPr>
              <w:rPr>
                <w:rFonts w:cs="Calibri"/>
                <w:sz w:val="24"/>
                <w:szCs w:val="24"/>
                <w:lang w:val="es-ES"/>
              </w:rPr>
            </w:pPr>
            <w:r>
              <w:rPr>
                <w:rFonts w:cs="Calibri"/>
                <w:sz w:val="24"/>
                <w:szCs w:val="24"/>
                <w:lang w:val="es-ES"/>
              </w:rPr>
              <w:lastRenderedPageBreak/>
              <w:t>03</w:t>
            </w:r>
          </w:p>
        </w:tc>
        <w:tc>
          <w:tcPr>
            <w:tcW w:w="2268" w:type="dxa"/>
            <w:tcBorders>
              <w:left w:val="single" w:sz="4" w:space="0" w:color="auto"/>
            </w:tcBorders>
          </w:tcPr>
          <w:p w14:paraId="7C2D3D9E" w14:textId="3563D8D9" w:rsidR="008E764E" w:rsidRPr="00C61188" w:rsidRDefault="00375782">
            <w:pPr>
              <w:rPr>
                <w:rFonts w:cs="Calibri"/>
                <w:sz w:val="24"/>
                <w:szCs w:val="24"/>
                <w:lang w:val="es-ES"/>
              </w:rPr>
            </w:pPr>
            <w:r>
              <w:rPr>
                <w:rFonts w:cs="Calibri"/>
                <w:sz w:val="24"/>
                <w:szCs w:val="24"/>
                <w:lang w:val="es-ES"/>
              </w:rPr>
              <w:t>Mayo de 2025</w:t>
            </w:r>
          </w:p>
        </w:tc>
        <w:tc>
          <w:tcPr>
            <w:tcW w:w="5812" w:type="dxa"/>
          </w:tcPr>
          <w:p w14:paraId="6EA1D6AC" w14:textId="46E9A249" w:rsidR="008E764E" w:rsidRPr="00C61188" w:rsidRDefault="005024B1" w:rsidP="001F769B">
            <w:pPr>
              <w:jc w:val="both"/>
              <w:rPr>
                <w:rFonts w:cs="Calibri"/>
                <w:sz w:val="24"/>
                <w:szCs w:val="24"/>
                <w:lang w:val="es-ES"/>
              </w:rPr>
            </w:pPr>
            <w:r>
              <w:rPr>
                <w:rFonts w:cs="Calibri"/>
                <w:sz w:val="24"/>
                <w:szCs w:val="24"/>
                <w:lang w:val="es-ES"/>
              </w:rPr>
              <w:t xml:space="preserve">Se </w:t>
            </w:r>
            <w:r w:rsidR="00A407DB">
              <w:rPr>
                <w:rFonts w:cs="Calibri"/>
                <w:sz w:val="24"/>
                <w:szCs w:val="24"/>
                <w:lang w:val="es-ES"/>
              </w:rPr>
              <w:t xml:space="preserve">incluyó </w:t>
            </w:r>
            <w:r w:rsidR="00936339">
              <w:rPr>
                <w:rFonts w:cs="Calibri"/>
                <w:sz w:val="24"/>
                <w:szCs w:val="24"/>
                <w:lang w:val="es-ES"/>
              </w:rPr>
              <w:t xml:space="preserve">el lineamiento de seguimiento a las </w:t>
            </w:r>
            <w:r w:rsidR="00B3393A">
              <w:rPr>
                <w:rFonts w:cs="Calibri"/>
                <w:sz w:val="24"/>
                <w:szCs w:val="24"/>
                <w:lang w:val="es-ES"/>
              </w:rPr>
              <w:t>oportunidades</w:t>
            </w:r>
            <w:r w:rsidR="00936339">
              <w:rPr>
                <w:rFonts w:cs="Calibri"/>
                <w:sz w:val="24"/>
                <w:szCs w:val="24"/>
                <w:lang w:val="es-ES"/>
              </w:rPr>
              <w:t xml:space="preserve"> de mejora</w:t>
            </w:r>
            <w:r w:rsidR="006E3350">
              <w:rPr>
                <w:rFonts w:cs="Calibri"/>
                <w:sz w:val="24"/>
                <w:szCs w:val="24"/>
                <w:lang w:val="es-ES"/>
              </w:rPr>
              <w:t xml:space="preserve"> resultados de las revisiones energéticas</w:t>
            </w:r>
            <w:r w:rsidR="00B3393A">
              <w:rPr>
                <w:rFonts w:cs="Calibri"/>
                <w:sz w:val="24"/>
                <w:szCs w:val="24"/>
                <w:lang w:val="es-ES"/>
              </w:rPr>
              <w:t>, incluida las frecuencias de seguimiento.</w:t>
            </w:r>
          </w:p>
        </w:tc>
      </w:tr>
      <w:tr w:rsidR="008E764E" w:rsidRPr="00C61188" w14:paraId="65274CAF" w14:textId="77777777" w:rsidTr="00BD4AD5">
        <w:tc>
          <w:tcPr>
            <w:tcW w:w="1129" w:type="dxa"/>
            <w:tcBorders>
              <w:top w:val="single" w:sz="4" w:space="0" w:color="auto"/>
              <w:left w:val="single" w:sz="4" w:space="0" w:color="auto"/>
              <w:bottom w:val="single" w:sz="4" w:space="0" w:color="auto"/>
              <w:right w:val="single" w:sz="4" w:space="0" w:color="auto"/>
            </w:tcBorders>
          </w:tcPr>
          <w:p w14:paraId="3B8227C1" w14:textId="5A459397" w:rsidR="008E764E" w:rsidRPr="00C61188" w:rsidRDefault="003E4F5C">
            <w:pPr>
              <w:rPr>
                <w:rFonts w:cs="Calibri"/>
                <w:sz w:val="24"/>
                <w:szCs w:val="24"/>
                <w:lang w:val="es-ES"/>
              </w:rPr>
            </w:pPr>
            <w:r>
              <w:rPr>
                <w:rFonts w:cs="Calibri"/>
                <w:sz w:val="24"/>
                <w:szCs w:val="24"/>
                <w:lang w:val="es-ES"/>
              </w:rPr>
              <w:t>04</w:t>
            </w:r>
          </w:p>
        </w:tc>
        <w:tc>
          <w:tcPr>
            <w:tcW w:w="2268" w:type="dxa"/>
            <w:tcBorders>
              <w:left w:val="single" w:sz="4" w:space="0" w:color="auto"/>
            </w:tcBorders>
          </w:tcPr>
          <w:p w14:paraId="0B3BECAF" w14:textId="27B88A1F" w:rsidR="008E764E" w:rsidRPr="00C61188" w:rsidRDefault="003E4F5C">
            <w:pPr>
              <w:rPr>
                <w:rFonts w:cs="Calibri"/>
                <w:sz w:val="24"/>
                <w:szCs w:val="24"/>
                <w:lang w:val="es-ES"/>
              </w:rPr>
            </w:pPr>
            <w:r>
              <w:rPr>
                <w:rFonts w:cs="Calibri"/>
                <w:sz w:val="24"/>
                <w:szCs w:val="24"/>
                <w:lang w:val="es-ES"/>
              </w:rPr>
              <w:t>Febrero de 2026</w:t>
            </w:r>
          </w:p>
        </w:tc>
        <w:tc>
          <w:tcPr>
            <w:tcW w:w="5812" w:type="dxa"/>
          </w:tcPr>
          <w:p w14:paraId="247F705B" w14:textId="77777777" w:rsidR="008E764E" w:rsidRDefault="002B2739">
            <w:pPr>
              <w:rPr>
                <w:rFonts w:cs="Calibri"/>
                <w:sz w:val="24"/>
                <w:szCs w:val="24"/>
                <w:lang w:val="es-ES"/>
              </w:rPr>
            </w:pPr>
            <w:r>
              <w:rPr>
                <w:rFonts w:cs="Calibri"/>
                <w:sz w:val="24"/>
                <w:szCs w:val="24"/>
                <w:lang w:val="es-ES"/>
              </w:rPr>
              <w:t>Se incluyó:</w:t>
            </w:r>
          </w:p>
          <w:p w14:paraId="15AF8610" w14:textId="337DF05E" w:rsidR="002B2739" w:rsidRPr="002B2739" w:rsidRDefault="002B2739" w:rsidP="002B2739">
            <w:pPr>
              <w:rPr>
                <w:rFonts w:cs="Calibri"/>
                <w:sz w:val="24"/>
                <w:szCs w:val="24"/>
                <w:lang w:val="es-ES"/>
              </w:rPr>
            </w:pPr>
            <w:r w:rsidRPr="002B2739">
              <w:rPr>
                <w:rFonts w:cs="Calibri"/>
                <w:sz w:val="24"/>
                <w:szCs w:val="24"/>
                <w:lang w:val="es-ES"/>
              </w:rPr>
              <w:t xml:space="preserve">Actualización de responsables y roles </w:t>
            </w:r>
            <w:r>
              <w:rPr>
                <w:rFonts w:cs="Calibri"/>
                <w:sz w:val="24"/>
                <w:szCs w:val="24"/>
                <w:lang w:val="es-ES"/>
              </w:rPr>
              <w:t>de la Entidad</w:t>
            </w:r>
            <w:r w:rsidRPr="002B2739">
              <w:rPr>
                <w:rFonts w:cs="Calibri"/>
                <w:sz w:val="24"/>
                <w:szCs w:val="24"/>
                <w:lang w:val="es-ES"/>
              </w:rPr>
              <w:t>.</w:t>
            </w:r>
          </w:p>
          <w:p w14:paraId="09B6C353" w14:textId="77777777" w:rsidR="002B2739" w:rsidRPr="002B2739" w:rsidRDefault="002B2739" w:rsidP="002B2739">
            <w:pPr>
              <w:rPr>
                <w:rFonts w:cs="Calibri"/>
                <w:sz w:val="24"/>
                <w:szCs w:val="24"/>
                <w:lang w:val="es-ES"/>
              </w:rPr>
            </w:pPr>
            <w:r w:rsidRPr="002B2739">
              <w:rPr>
                <w:rFonts w:cs="Calibri"/>
                <w:sz w:val="24"/>
                <w:szCs w:val="24"/>
                <w:lang w:val="es-ES"/>
              </w:rPr>
              <w:t>Mayor precisión en requisitos de experiencia y certificación para ejecutores de revisiones energéticas.</w:t>
            </w:r>
          </w:p>
          <w:p w14:paraId="436FF169" w14:textId="4AF9A4A7" w:rsidR="002B2739" w:rsidRPr="002B2739" w:rsidRDefault="002B2739" w:rsidP="002B2739">
            <w:pPr>
              <w:rPr>
                <w:rFonts w:cs="Calibri"/>
                <w:sz w:val="24"/>
                <w:szCs w:val="24"/>
                <w:lang w:val="es-ES"/>
              </w:rPr>
            </w:pPr>
            <w:r w:rsidRPr="002B2739">
              <w:rPr>
                <w:rFonts w:cs="Calibri"/>
                <w:sz w:val="24"/>
                <w:szCs w:val="24"/>
                <w:lang w:val="es-ES"/>
              </w:rPr>
              <w:t xml:space="preserve">Inclusión de nuevos campos y variables en la información general de la sede, alineados con los formatos requeridos por la </w:t>
            </w:r>
            <w:r>
              <w:rPr>
                <w:rFonts w:cs="Calibri"/>
                <w:sz w:val="24"/>
                <w:szCs w:val="24"/>
                <w:lang w:val="es-ES"/>
              </w:rPr>
              <w:t>Unidad de Planeación Minero Energética (</w:t>
            </w:r>
            <w:r w:rsidRPr="002B2739">
              <w:rPr>
                <w:rFonts w:cs="Calibri"/>
                <w:sz w:val="24"/>
                <w:szCs w:val="24"/>
                <w:lang w:val="es-ES"/>
              </w:rPr>
              <w:t>UPME</w:t>
            </w:r>
            <w:r>
              <w:rPr>
                <w:rFonts w:cs="Calibri"/>
                <w:sz w:val="24"/>
                <w:szCs w:val="24"/>
                <w:lang w:val="es-ES"/>
              </w:rPr>
              <w:t>)</w:t>
            </w:r>
            <w:r w:rsidRPr="002B2739">
              <w:rPr>
                <w:rFonts w:cs="Calibri"/>
                <w:sz w:val="24"/>
                <w:szCs w:val="24"/>
                <w:lang w:val="es-ES"/>
              </w:rPr>
              <w:t>.</w:t>
            </w:r>
          </w:p>
          <w:p w14:paraId="388D3411" w14:textId="4237FF3F" w:rsidR="002B2739" w:rsidRPr="002B2739" w:rsidRDefault="002B2739" w:rsidP="002B2739">
            <w:pPr>
              <w:rPr>
                <w:rFonts w:cs="Calibri"/>
                <w:sz w:val="24"/>
                <w:szCs w:val="24"/>
                <w:lang w:val="es-ES"/>
              </w:rPr>
            </w:pPr>
            <w:r w:rsidRPr="002B2739">
              <w:rPr>
                <w:rFonts w:cs="Calibri"/>
                <w:sz w:val="24"/>
                <w:szCs w:val="24"/>
                <w:lang w:val="es-ES"/>
              </w:rPr>
              <w:t>Ajustes en el procedimiento de priorización y seguimiento de oportunidades de mejora, considerando la estructura de reporte de</w:t>
            </w:r>
            <w:r w:rsidR="006D6472">
              <w:rPr>
                <w:rFonts w:cs="Calibri"/>
                <w:sz w:val="24"/>
                <w:szCs w:val="24"/>
                <w:lang w:val="es-ES"/>
              </w:rPr>
              <w:t xml:space="preserve"> la</w:t>
            </w:r>
            <w:r w:rsidR="00EA1BFE">
              <w:rPr>
                <w:rFonts w:cs="Calibri"/>
                <w:sz w:val="24"/>
                <w:szCs w:val="24"/>
                <w:lang w:val="es-ES"/>
              </w:rPr>
              <w:t xml:space="preserve"> plataforma</w:t>
            </w:r>
            <w:r w:rsidRPr="002B2739">
              <w:rPr>
                <w:rFonts w:cs="Calibri"/>
                <w:sz w:val="24"/>
                <w:szCs w:val="24"/>
                <w:lang w:val="es-ES"/>
              </w:rPr>
              <w:t xml:space="preserve"> Sistema Único de Usuario</w:t>
            </w:r>
            <w:r>
              <w:rPr>
                <w:rFonts w:cs="Calibri"/>
                <w:sz w:val="24"/>
                <w:szCs w:val="24"/>
                <w:lang w:val="es-ES"/>
              </w:rPr>
              <w:t xml:space="preserve"> (SUU) de la UPME.</w:t>
            </w:r>
          </w:p>
          <w:p w14:paraId="1C1351BC" w14:textId="3FC6E634" w:rsidR="002B2739" w:rsidRDefault="002B2739" w:rsidP="002B2739">
            <w:pPr>
              <w:rPr>
                <w:rFonts w:cs="Calibri"/>
                <w:sz w:val="24"/>
                <w:szCs w:val="24"/>
                <w:lang w:val="es-ES"/>
              </w:rPr>
            </w:pPr>
            <w:r w:rsidRPr="002B2739">
              <w:rPr>
                <w:rFonts w:cs="Calibri"/>
                <w:sz w:val="24"/>
                <w:szCs w:val="24"/>
                <w:lang w:val="es-ES"/>
              </w:rPr>
              <w:t>Refuerzo normativo y alineación con el PGEE, el Programa SENA Energy y la Ley 2407 de 2024.</w:t>
            </w:r>
          </w:p>
          <w:p w14:paraId="4C7A2A30" w14:textId="6BC3E862" w:rsidR="00FB747A" w:rsidRPr="002B2739" w:rsidRDefault="00070B05" w:rsidP="002B2739">
            <w:pPr>
              <w:rPr>
                <w:rFonts w:cs="Calibri"/>
                <w:sz w:val="24"/>
                <w:szCs w:val="24"/>
                <w:lang w:val="es-ES"/>
              </w:rPr>
            </w:pPr>
            <w:r>
              <w:rPr>
                <w:rFonts w:cs="Calibri"/>
                <w:sz w:val="24"/>
                <w:szCs w:val="24"/>
                <w:lang w:val="es-ES"/>
              </w:rPr>
              <w:lastRenderedPageBreak/>
              <w:t>Lineamientos de seguridad de la información y protección de datos.</w:t>
            </w:r>
          </w:p>
          <w:p w14:paraId="14F3B9B0" w14:textId="3E56EE69" w:rsidR="002B2739" w:rsidRPr="00C61188" w:rsidRDefault="002B2739" w:rsidP="002B2739">
            <w:pPr>
              <w:rPr>
                <w:rFonts w:cs="Calibri"/>
                <w:sz w:val="24"/>
                <w:szCs w:val="24"/>
                <w:lang w:val="es-ES"/>
              </w:rPr>
            </w:pPr>
            <w:r w:rsidRPr="002B2739">
              <w:rPr>
                <w:rFonts w:cs="Calibri"/>
                <w:sz w:val="24"/>
                <w:szCs w:val="24"/>
                <w:lang w:val="es-ES"/>
              </w:rPr>
              <w:t>Actualización de la estructura y contenido del informe técnico, para facilitar la carga de datos en la plataforma</w:t>
            </w:r>
            <w:r w:rsidR="006D6472">
              <w:rPr>
                <w:rFonts w:cs="Calibri"/>
                <w:sz w:val="24"/>
                <w:szCs w:val="24"/>
                <w:lang w:val="es-ES"/>
              </w:rPr>
              <w:t xml:space="preserve"> del</w:t>
            </w:r>
            <w:r w:rsidR="0017337A">
              <w:rPr>
                <w:rFonts w:cs="Calibri"/>
                <w:sz w:val="24"/>
                <w:szCs w:val="24"/>
                <w:lang w:val="es-ES"/>
              </w:rPr>
              <w:t xml:space="preserve"> SUU</w:t>
            </w:r>
            <w:r w:rsidR="006D6472">
              <w:rPr>
                <w:rFonts w:cs="Calibri"/>
                <w:sz w:val="24"/>
                <w:szCs w:val="24"/>
                <w:lang w:val="es-ES"/>
              </w:rPr>
              <w:t>.</w:t>
            </w:r>
          </w:p>
        </w:tc>
      </w:tr>
    </w:tbl>
    <w:p w14:paraId="40C6BCEA" w14:textId="77777777" w:rsidR="008E764E" w:rsidRPr="008E764E" w:rsidRDefault="008E764E" w:rsidP="008E764E"/>
    <w:p w14:paraId="3C9BF2D7" w14:textId="18033376" w:rsidR="009F4403" w:rsidRDefault="009F4403" w:rsidP="00C42F66">
      <w:pPr>
        <w:pStyle w:val="Textoindependiente"/>
        <w:jc w:val="both"/>
        <w:rPr>
          <w:rFonts w:asciiTheme="majorHAnsi" w:hAnsiTheme="majorHAnsi" w:cstheme="majorHAnsi"/>
          <w:sz w:val="24"/>
          <w:szCs w:val="24"/>
          <w:lang w:val="es-ES"/>
        </w:rPr>
      </w:pPr>
    </w:p>
    <w:sectPr w:rsidR="009F4403" w:rsidSect="007D3DE8">
      <w:headerReference w:type="default" r:id="rId11"/>
      <w:footerReference w:type="default" r:id="rId12"/>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00D41" w14:textId="77777777" w:rsidR="00FA0804" w:rsidRDefault="00FA0804" w:rsidP="001A74F0">
      <w:pPr>
        <w:spacing w:after="0" w:line="240" w:lineRule="auto"/>
      </w:pPr>
      <w:r>
        <w:separator/>
      </w:r>
    </w:p>
  </w:endnote>
  <w:endnote w:type="continuationSeparator" w:id="0">
    <w:p w14:paraId="3D5E56A0" w14:textId="77777777" w:rsidR="00FA0804" w:rsidRDefault="00FA080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0F39709E"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9A204F6" w:rsidR="006B3E42" w:rsidRPr="003A1E3B" w:rsidRDefault="00000000" w:rsidP="003A1E3B">
            <w:pPr>
              <w:pStyle w:val="Piedepgina"/>
              <w:jc w:val="center"/>
              <w:rPr>
                <w:sz w:val="24"/>
                <w:szCs w:val="24"/>
              </w:rPr>
            </w:pP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35E85" w14:textId="77777777" w:rsidR="00FA0804" w:rsidRDefault="00FA0804" w:rsidP="001A74F0">
      <w:pPr>
        <w:spacing w:after="0" w:line="240" w:lineRule="auto"/>
      </w:pPr>
      <w:r>
        <w:separator/>
      </w:r>
    </w:p>
  </w:footnote>
  <w:footnote w:type="continuationSeparator" w:id="0">
    <w:p w14:paraId="59352816" w14:textId="77777777" w:rsidR="00FA0804" w:rsidRDefault="00FA0804" w:rsidP="001A74F0">
      <w:pPr>
        <w:spacing w:after="0" w:line="240" w:lineRule="auto"/>
      </w:pPr>
      <w:r>
        <w:continuationSeparator/>
      </w:r>
    </w:p>
  </w:footnote>
  <w:footnote w:id="1">
    <w:p w14:paraId="70770A0B" w14:textId="62C3234D" w:rsidR="000B24C4" w:rsidRPr="000B24C4" w:rsidRDefault="000B24C4">
      <w:pPr>
        <w:pStyle w:val="Textonotapie"/>
        <w:rPr>
          <w:lang w:val="es-MX"/>
        </w:rPr>
      </w:pPr>
      <w:r>
        <w:rPr>
          <w:rStyle w:val="Refdenotaalpie"/>
        </w:rPr>
        <w:footnoteRef/>
      </w:r>
      <w:r>
        <w:t xml:space="preserve"> </w:t>
      </w:r>
      <w:r w:rsidRPr="006F51B9">
        <w:rPr>
          <w:sz w:val="16"/>
          <w:szCs w:val="16"/>
          <w:lang w:val="es-MX"/>
        </w:rPr>
        <w:t>En adelante, durante todo este instructivo se hará referencia solo a la palabra revisión energética que cubrirá también las actividades de auditoría energética alineadas con la reglamentación y normatividad vigente y lo que se defina en este documento.</w:t>
      </w:r>
    </w:p>
  </w:footnote>
  <w:footnote w:id="2">
    <w:p w14:paraId="2BA70FBA" w14:textId="4E85D4D1" w:rsidR="0019281A" w:rsidRDefault="0019281A">
      <w:pPr>
        <w:pStyle w:val="Textonotapie"/>
      </w:pPr>
      <w:r>
        <w:rPr>
          <w:rStyle w:val="Refdenotaalpie"/>
        </w:rPr>
        <w:footnoteRef/>
      </w:r>
      <w:r>
        <w:t xml:space="preserve"> </w:t>
      </w:r>
      <w:r w:rsidRPr="00AA54B8">
        <w:rPr>
          <w:sz w:val="16"/>
          <w:szCs w:val="16"/>
        </w:rPr>
        <w:t xml:space="preserve">Si </w:t>
      </w:r>
      <w:r w:rsidR="00147F8D" w:rsidRPr="00AA54B8">
        <w:rPr>
          <w:sz w:val="16"/>
          <w:szCs w:val="16"/>
        </w:rPr>
        <w:t>sede no cuenta con u</w:t>
      </w:r>
      <w:r w:rsidR="00CA0E86" w:rsidRPr="00AA54B8">
        <w:rPr>
          <w:sz w:val="16"/>
          <w:szCs w:val="16"/>
        </w:rPr>
        <w:t>n circuito principal (no tiene una única frontera comercial de energía eléctrica), se debe me</w:t>
      </w:r>
      <w:r w:rsidR="009A2791" w:rsidRPr="00AA54B8">
        <w:rPr>
          <w:sz w:val="16"/>
          <w:szCs w:val="16"/>
        </w:rPr>
        <w:t>dir en el tablero del circuito de carga o consumo energético más significativo.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7671"/>
    <w:multiLevelType w:val="multilevel"/>
    <w:tmpl w:val="59044F6E"/>
    <w:lvl w:ilvl="0">
      <w:start w:val="8"/>
      <w:numFmt w:val="decimal"/>
      <w:lvlText w:val="%1."/>
      <w:lvlJc w:val="left"/>
      <w:pPr>
        <w:ind w:left="408" w:hanging="408"/>
      </w:pPr>
      <w:rPr>
        <w:rFonts w:ascii="Arial" w:hAnsi="Arial" w:cs="Arial" w:hint="default"/>
        <w:b w:val="0"/>
        <w:color w:val="auto"/>
        <w:sz w:val="24"/>
      </w:rPr>
    </w:lvl>
    <w:lvl w:ilvl="1">
      <w:start w:val="2"/>
      <w:numFmt w:val="decimal"/>
      <w:lvlText w:val="%1.%2."/>
      <w:lvlJc w:val="left"/>
      <w:pPr>
        <w:ind w:left="1848" w:hanging="408"/>
      </w:pPr>
      <w:rPr>
        <w:rFonts w:ascii="Arial" w:hAnsi="Arial" w:cs="Arial" w:hint="default"/>
        <w:b w:val="0"/>
        <w:color w:val="auto"/>
        <w:sz w:val="24"/>
      </w:rPr>
    </w:lvl>
    <w:lvl w:ilvl="2">
      <w:start w:val="1"/>
      <w:numFmt w:val="decimal"/>
      <w:lvlText w:val="%1.%2.%3."/>
      <w:lvlJc w:val="left"/>
      <w:pPr>
        <w:ind w:left="3600" w:hanging="720"/>
      </w:pPr>
      <w:rPr>
        <w:rFonts w:ascii="Arial" w:hAnsi="Arial" w:cs="Arial" w:hint="default"/>
        <w:b w:val="0"/>
        <w:color w:val="auto"/>
        <w:sz w:val="24"/>
      </w:rPr>
    </w:lvl>
    <w:lvl w:ilvl="3">
      <w:start w:val="1"/>
      <w:numFmt w:val="decimal"/>
      <w:lvlText w:val="%1.%2.%3.%4."/>
      <w:lvlJc w:val="left"/>
      <w:pPr>
        <w:ind w:left="5040" w:hanging="720"/>
      </w:pPr>
      <w:rPr>
        <w:rFonts w:ascii="Arial" w:hAnsi="Arial" w:cs="Arial" w:hint="default"/>
        <w:b w:val="0"/>
        <w:color w:val="auto"/>
        <w:sz w:val="24"/>
      </w:rPr>
    </w:lvl>
    <w:lvl w:ilvl="4">
      <w:start w:val="1"/>
      <w:numFmt w:val="decimal"/>
      <w:lvlText w:val="%1.%2.%3.%4.%5."/>
      <w:lvlJc w:val="left"/>
      <w:pPr>
        <w:ind w:left="6840" w:hanging="1080"/>
      </w:pPr>
      <w:rPr>
        <w:rFonts w:ascii="Arial" w:hAnsi="Arial" w:cs="Arial" w:hint="default"/>
        <w:b w:val="0"/>
        <w:color w:val="auto"/>
        <w:sz w:val="24"/>
      </w:rPr>
    </w:lvl>
    <w:lvl w:ilvl="5">
      <w:start w:val="1"/>
      <w:numFmt w:val="decimal"/>
      <w:lvlText w:val="%1.%2.%3.%4.%5.%6."/>
      <w:lvlJc w:val="left"/>
      <w:pPr>
        <w:ind w:left="8280" w:hanging="1080"/>
      </w:pPr>
      <w:rPr>
        <w:rFonts w:ascii="Arial" w:hAnsi="Arial" w:cs="Arial" w:hint="default"/>
        <w:b w:val="0"/>
        <w:color w:val="auto"/>
        <w:sz w:val="24"/>
      </w:rPr>
    </w:lvl>
    <w:lvl w:ilvl="6">
      <w:start w:val="1"/>
      <w:numFmt w:val="decimal"/>
      <w:lvlText w:val="%1.%2.%3.%4.%5.%6.%7."/>
      <w:lvlJc w:val="left"/>
      <w:pPr>
        <w:ind w:left="10080" w:hanging="1440"/>
      </w:pPr>
      <w:rPr>
        <w:rFonts w:ascii="Arial" w:hAnsi="Arial" w:cs="Arial" w:hint="default"/>
        <w:b w:val="0"/>
        <w:color w:val="auto"/>
        <w:sz w:val="24"/>
      </w:rPr>
    </w:lvl>
    <w:lvl w:ilvl="7">
      <w:start w:val="1"/>
      <w:numFmt w:val="decimal"/>
      <w:lvlText w:val="%1.%2.%3.%4.%5.%6.%7.%8."/>
      <w:lvlJc w:val="left"/>
      <w:pPr>
        <w:ind w:left="11520" w:hanging="1440"/>
      </w:pPr>
      <w:rPr>
        <w:rFonts w:ascii="Arial" w:hAnsi="Arial" w:cs="Arial" w:hint="default"/>
        <w:b w:val="0"/>
        <w:color w:val="auto"/>
        <w:sz w:val="24"/>
      </w:rPr>
    </w:lvl>
    <w:lvl w:ilvl="8">
      <w:start w:val="1"/>
      <w:numFmt w:val="decimal"/>
      <w:lvlText w:val="%1.%2.%3.%4.%5.%6.%7.%8.%9."/>
      <w:lvlJc w:val="left"/>
      <w:pPr>
        <w:ind w:left="13320" w:hanging="1800"/>
      </w:pPr>
      <w:rPr>
        <w:rFonts w:ascii="Arial" w:hAnsi="Arial" w:cs="Arial" w:hint="default"/>
        <w:b w:val="0"/>
        <w:color w:val="auto"/>
        <w:sz w:val="24"/>
      </w:rPr>
    </w:lvl>
  </w:abstractNum>
  <w:abstractNum w:abstractNumId="1" w15:restartNumberingAfterBreak="0">
    <w:nsid w:val="041E17F5"/>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7754EA8"/>
    <w:multiLevelType w:val="hybridMultilevel"/>
    <w:tmpl w:val="ADB20C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A557DB7"/>
    <w:multiLevelType w:val="hybridMultilevel"/>
    <w:tmpl w:val="657CAD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5B043CE"/>
    <w:multiLevelType w:val="hybridMultilevel"/>
    <w:tmpl w:val="80D856C0"/>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6D17D5E"/>
    <w:multiLevelType w:val="hybridMultilevel"/>
    <w:tmpl w:val="B5EED8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263DF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3D5622"/>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1DD2CD5"/>
    <w:multiLevelType w:val="hybridMultilevel"/>
    <w:tmpl w:val="21AC2B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B060FA"/>
    <w:multiLevelType w:val="hybridMultilevel"/>
    <w:tmpl w:val="F2962C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1157416"/>
    <w:multiLevelType w:val="hybridMultilevel"/>
    <w:tmpl w:val="84E82C94"/>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35F5688"/>
    <w:multiLevelType w:val="multilevel"/>
    <w:tmpl w:val="BA9C8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2A24FBA"/>
    <w:multiLevelType w:val="hybridMultilevel"/>
    <w:tmpl w:val="95487D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695578E"/>
    <w:multiLevelType w:val="hybridMultilevel"/>
    <w:tmpl w:val="192040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61D4438F"/>
    <w:multiLevelType w:val="hybridMultilevel"/>
    <w:tmpl w:val="11CE5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4BA72F6"/>
    <w:multiLevelType w:val="hybridMultilevel"/>
    <w:tmpl w:val="FBD0E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7D3DE4"/>
    <w:multiLevelType w:val="hybridMultilevel"/>
    <w:tmpl w:val="0248DF7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700A015C"/>
    <w:multiLevelType w:val="hybridMultilevel"/>
    <w:tmpl w:val="83AE17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73C22EB8"/>
    <w:multiLevelType w:val="multilevel"/>
    <w:tmpl w:val="FD08B2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33889549">
    <w:abstractNumId w:val="11"/>
  </w:num>
  <w:num w:numId="2" w16cid:durableId="553811739">
    <w:abstractNumId w:val="23"/>
  </w:num>
  <w:num w:numId="3" w16cid:durableId="1477844119">
    <w:abstractNumId w:val="21"/>
  </w:num>
  <w:num w:numId="4" w16cid:durableId="740561630">
    <w:abstractNumId w:val="14"/>
  </w:num>
  <w:num w:numId="5" w16cid:durableId="132715582">
    <w:abstractNumId w:val="19"/>
  </w:num>
  <w:num w:numId="6" w16cid:durableId="97071628">
    <w:abstractNumId w:val="26"/>
  </w:num>
  <w:num w:numId="7" w16cid:durableId="43875627">
    <w:abstractNumId w:val="3"/>
  </w:num>
  <w:num w:numId="8" w16cid:durableId="757753509">
    <w:abstractNumId w:val="28"/>
  </w:num>
  <w:num w:numId="9" w16cid:durableId="175778390">
    <w:abstractNumId w:val="33"/>
  </w:num>
  <w:num w:numId="10" w16cid:durableId="1630470423">
    <w:abstractNumId w:val="16"/>
  </w:num>
  <w:num w:numId="11" w16cid:durableId="613907559">
    <w:abstractNumId w:val="36"/>
  </w:num>
  <w:num w:numId="12" w16cid:durableId="808787802">
    <w:abstractNumId w:val="13"/>
  </w:num>
  <w:num w:numId="13" w16cid:durableId="350575378">
    <w:abstractNumId w:val="5"/>
  </w:num>
  <w:num w:numId="14" w16cid:durableId="33892456">
    <w:abstractNumId w:val="10"/>
  </w:num>
  <w:num w:numId="15" w16cid:durableId="2079745495">
    <w:abstractNumId w:val="7"/>
  </w:num>
  <w:num w:numId="16" w16cid:durableId="372846641">
    <w:abstractNumId w:val="25"/>
  </w:num>
  <w:num w:numId="17" w16cid:durableId="1954054040">
    <w:abstractNumId w:val="38"/>
  </w:num>
  <w:num w:numId="18" w16cid:durableId="1718698626">
    <w:abstractNumId w:val="30"/>
  </w:num>
  <w:num w:numId="19" w16cid:durableId="1413966371">
    <w:abstractNumId w:val="35"/>
  </w:num>
  <w:num w:numId="20" w16cid:durableId="160120497">
    <w:abstractNumId w:val="6"/>
  </w:num>
  <w:num w:numId="21" w16cid:durableId="2126996048">
    <w:abstractNumId w:val="15"/>
  </w:num>
  <w:num w:numId="22" w16cid:durableId="2066637963">
    <w:abstractNumId w:val="31"/>
  </w:num>
  <w:num w:numId="23" w16cid:durableId="111025123">
    <w:abstractNumId w:val="2"/>
  </w:num>
  <w:num w:numId="24" w16cid:durableId="544096660">
    <w:abstractNumId w:val="4"/>
  </w:num>
  <w:num w:numId="25" w16cid:durableId="532378879">
    <w:abstractNumId w:val="39"/>
  </w:num>
  <w:num w:numId="26" w16cid:durableId="1601525370">
    <w:abstractNumId w:val="0"/>
  </w:num>
  <w:num w:numId="27" w16cid:durableId="1237938837">
    <w:abstractNumId w:val="37"/>
  </w:num>
  <w:num w:numId="28" w16cid:durableId="270863679">
    <w:abstractNumId w:val="20"/>
  </w:num>
  <w:num w:numId="29" w16cid:durableId="1973972174">
    <w:abstractNumId w:val="18"/>
  </w:num>
  <w:num w:numId="30" w16cid:durableId="593249221">
    <w:abstractNumId w:val="17"/>
  </w:num>
  <w:num w:numId="31" w16cid:durableId="864095696">
    <w:abstractNumId w:val="9"/>
  </w:num>
  <w:num w:numId="32" w16cid:durableId="983969798">
    <w:abstractNumId w:val="12"/>
  </w:num>
  <w:num w:numId="33" w16cid:durableId="540243729">
    <w:abstractNumId w:val="1"/>
  </w:num>
  <w:num w:numId="34" w16cid:durableId="625158744">
    <w:abstractNumId w:val="29"/>
  </w:num>
  <w:num w:numId="35" w16cid:durableId="1558081537">
    <w:abstractNumId w:val="22"/>
  </w:num>
  <w:num w:numId="36" w16cid:durableId="629281673">
    <w:abstractNumId w:val="32"/>
  </w:num>
  <w:num w:numId="37" w16cid:durableId="1859346547">
    <w:abstractNumId w:val="8"/>
  </w:num>
  <w:num w:numId="38" w16cid:durableId="126356129">
    <w:abstractNumId w:val="34"/>
  </w:num>
  <w:num w:numId="39" w16cid:durableId="421269409">
    <w:abstractNumId w:val="24"/>
  </w:num>
  <w:num w:numId="40" w16cid:durableId="78453942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245"/>
    <w:rsid w:val="00006656"/>
    <w:rsid w:val="00011E1D"/>
    <w:rsid w:val="00012918"/>
    <w:rsid w:val="00015FB5"/>
    <w:rsid w:val="00037CDF"/>
    <w:rsid w:val="00041FE3"/>
    <w:rsid w:val="00042E81"/>
    <w:rsid w:val="000432AF"/>
    <w:rsid w:val="0004466E"/>
    <w:rsid w:val="000457ED"/>
    <w:rsid w:val="00054EBE"/>
    <w:rsid w:val="00055753"/>
    <w:rsid w:val="00062986"/>
    <w:rsid w:val="00065640"/>
    <w:rsid w:val="00070B05"/>
    <w:rsid w:val="0007171F"/>
    <w:rsid w:val="000761D9"/>
    <w:rsid w:val="0007647E"/>
    <w:rsid w:val="000805A6"/>
    <w:rsid w:val="00081F0B"/>
    <w:rsid w:val="000A04B4"/>
    <w:rsid w:val="000A0598"/>
    <w:rsid w:val="000A083D"/>
    <w:rsid w:val="000A5A74"/>
    <w:rsid w:val="000A5CF6"/>
    <w:rsid w:val="000A7BBA"/>
    <w:rsid w:val="000B0B1E"/>
    <w:rsid w:val="000B1E70"/>
    <w:rsid w:val="000B24C4"/>
    <w:rsid w:val="000B43D4"/>
    <w:rsid w:val="000B6C7A"/>
    <w:rsid w:val="000C5FCA"/>
    <w:rsid w:val="000D1F35"/>
    <w:rsid w:val="000D6A87"/>
    <w:rsid w:val="000E4A02"/>
    <w:rsid w:val="000E4D05"/>
    <w:rsid w:val="000E7DC3"/>
    <w:rsid w:val="000F0BB1"/>
    <w:rsid w:val="000F47D6"/>
    <w:rsid w:val="001008B2"/>
    <w:rsid w:val="001010A6"/>
    <w:rsid w:val="00101A83"/>
    <w:rsid w:val="00103F6C"/>
    <w:rsid w:val="001076DE"/>
    <w:rsid w:val="00110244"/>
    <w:rsid w:val="00111266"/>
    <w:rsid w:val="00113168"/>
    <w:rsid w:val="00115817"/>
    <w:rsid w:val="001162A1"/>
    <w:rsid w:val="001256ED"/>
    <w:rsid w:val="00130323"/>
    <w:rsid w:val="0013109D"/>
    <w:rsid w:val="001346D0"/>
    <w:rsid w:val="00135713"/>
    <w:rsid w:val="00135F87"/>
    <w:rsid w:val="0013604E"/>
    <w:rsid w:val="001364BF"/>
    <w:rsid w:val="0013769C"/>
    <w:rsid w:val="00140547"/>
    <w:rsid w:val="0014149D"/>
    <w:rsid w:val="00141F8E"/>
    <w:rsid w:val="00144FA5"/>
    <w:rsid w:val="00145FB9"/>
    <w:rsid w:val="00146C82"/>
    <w:rsid w:val="00147F8D"/>
    <w:rsid w:val="0015636F"/>
    <w:rsid w:val="00170C70"/>
    <w:rsid w:val="0017283B"/>
    <w:rsid w:val="0017337A"/>
    <w:rsid w:val="0017522F"/>
    <w:rsid w:val="001760E9"/>
    <w:rsid w:val="001839CC"/>
    <w:rsid w:val="001840CE"/>
    <w:rsid w:val="00185F8C"/>
    <w:rsid w:val="00186D82"/>
    <w:rsid w:val="0019281A"/>
    <w:rsid w:val="00194FBF"/>
    <w:rsid w:val="001A153A"/>
    <w:rsid w:val="001A51F4"/>
    <w:rsid w:val="001A6448"/>
    <w:rsid w:val="001A74F0"/>
    <w:rsid w:val="001C0FBD"/>
    <w:rsid w:val="001C1FA8"/>
    <w:rsid w:val="001C333A"/>
    <w:rsid w:val="001C429F"/>
    <w:rsid w:val="001D09D9"/>
    <w:rsid w:val="001D322C"/>
    <w:rsid w:val="001E129C"/>
    <w:rsid w:val="001E29DF"/>
    <w:rsid w:val="001E586D"/>
    <w:rsid w:val="001F1282"/>
    <w:rsid w:val="001F1970"/>
    <w:rsid w:val="001F769B"/>
    <w:rsid w:val="002002EA"/>
    <w:rsid w:val="0020213C"/>
    <w:rsid w:val="0020630C"/>
    <w:rsid w:val="002064B0"/>
    <w:rsid w:val="00206E76"/>
    <w:rsid w:val="0021242C"/>
    <w:rsid w:val="00226A2C"/>
    <w:rsid w:val="00227AEF"/>
    <w:rsid w:val="00230F78"/>
    <w:rsid w:val="00240E43"/>
    <w:rsid w:val="00241DD2"/>
    <w:rsid w:val="002456CF"/>
    <w:rsid w:val="00245ACC"/>
    <w:rsid w:val="0025007D"/>
    <w:rsid w:val="002507F6"/>
    <w:rsid w:val="00251FA8"/>
    <w:rsid w:val="00255238"/>
    <w:rsid w:val="00256FE1"/>
    <w:rsid w:val="00262CE7"/>
    <w:rsid w:val="0026399D"/>
    <w:rsid w:val="00266764"/>
    <w:rsid w:val="0027143A"/>
    <w:rsid w:val="0027221A"/>
    <w:rsid w:val="00281197"/>
    <w:rsid w:val="00290707"/>
    <w:rsid w:val="0029186E"/>
    <w:rsid w:val="0029243D"/>
    <w:rsid w:val="00297EF8"/>
    <w:rsid w:val="002A15E7"/>
    <w:rsid w:val="002A661F"/>
    <w:rsid w:val="002B2648"/>
    <w:rsid w:val="002B2739"/>
    <w:rsid w:val="002B4B2C"/>
    <w:rsid w:val="002C11F7"/>
    <w:rsid w:val="002C38E4"/>
    <w:rsid w:val="002C563C"/>
    <w:rsid w:val="002D45A8"/>
    <w:rsid w:val="002D7DB3"/>
    <w:rsid w:val="002E19D4"/>
    <w:rsid w:val="002E7086"/>
    <w:rsid w:val="002F304F"/>
    <w:rsid w:val="002F31C0"/>
    <w:rsid w:val="002F3F61"/>
    <w:rsid w:val="002F4646"/>
    <w:rsid w:val="003003EC"/>
    <w:rsid w:val="00302E18"/>
    <w:rsid w:val="00303B78"/>
    <w:rsid w:val="00310101"/>
    <w:rsid w:val="00314142"/>
    <w:rsid w:val="003238F5"/>
    <w:rsid w:val="00326BE5"/>
    <w:rsid w:val="0033755E"/>
    <w:rsid w:val="00340E8F"/>
    <w:rsid w:val="00345847"/>
    <w:rsid w:val="0035610B"/>
    <w:rsid w:val="003570DD"/>
    <w:rsid w:val="0036491E"/>
    <w:rsid w:val="003659CA"/>
    <w:rsid w:val="00371855"/>
    <w:rsid w:val="00372D82"/>
    <w:rsid w:val="00375782"/>
    <w:rsid w:val="00377C82"/>
    <w:rsid w:val="00384A14"/>
    <w:rsid w:val="00384CA4"/>
    <w:rsid w:val="003869B0"/>
    <w:rsid w:val="00396207"/>
    <w:rsid w:val="00396F6D"/>
    <w:rsid w:val="003A0CA7"/>
    <w:rsid w:val="003A1E3B"/>
    <w:rsid w:val="003A3396"/>
    <w:rsid w:val="003A354D"/>
    <w:rsid w:val="003A57D7"/>
    <w:rsid w:val="003B2987"/>
    <w:rsid w:val="003B4B63"/>
    <w:rsid w:val="003C1934"/>
    <w:rsid w:val="003D6905"/>
    <w:rsid w:val="003E2509"/>
    <w:rsid w:val="003E4F5C"/>
    <w:rsid w:val="003F0E08"/>
    <w:rsid w:val="003F56FD"/>
    <w:rsid w:val="0040290A"/>
    <w:rsid w:val="00404559"/>
    <w:rsid w:val="00406105"/>
    <w:rsid w:val="00413C47"/>
    <w:rsid w:val="00421CFA"/>
    <w:rsid w:val="00424294"/>
    <w:rsid w:val="00425B88"/>
    <w:rsid w:val="00434A4F"/>
    <w:rsid w:val="00435847"/>
    <w:rsid w:val="004359B9"/>
    <w:rsid w:val="00446FCC"/>
    <w:rsid w:val="00456B20"/>
    <w:rsid w:val="00457C58"/>
    <w:rsid w:val="00463E25"/>
    <w:rsid w:val="004720EA"/>
    <w:rsid w:val="00473581"/>
    <w:rsid w:val="00482C9B"/>
    <w:rsid w:val="00482F50"/>
    <w:rsid w:val="00485D8A"/>
    <w:rsid w:val="004A091B"/>
    <w:rsid w:val="004A2596"/>
    <w:rsid w:val="004A493B"/>
    <w:rsid w:val="004B1DA5"/>
    <w:rsid w:val="004B22D0"/>
    <w:rsid w:val="004C0A4D"/>
    <w:rsid w:val="004F17FD"/>
    <w:rsid w:val="005024B1"/>
    <w:rsid w:val="0050262D"/>
    <w:rsid w:val="00505A4F"/>
    <w:rsid w:val="0051348C"/>
    <w:rsid w:val="005146C8"/>
    <w:rsid w:val="00520DBF"/>
    <w:rsid w:val="00524085"/>
    <w:rsid w:val="005273AB"/>
    <w:rsid w:val="005323CB"/>
    <w:rsid w:val="00534A1B"/>
    <w:rsid w:val="00535259"/>
    <w:rsid w:val="005353DB"/>
    <w:rsid w:val="0053722C"/>
    <w:rsid w:val="00537358"/>
    <w:rsid w:val="00537FE7"/>
    <w:rsid w:val="0054164D"/>
    <w:rsid w:val="005425FE"/>
    <w:rsid w:val="0054322E"/>
    <w:rsid w:val="00545772"/>
    <w:rsid w:val="0054686E"/>
    <w:rsid w:val="00552E79"/>
    <w:rsid w:val="00555B78"/>
    <w:rsid w:val="005608F4"/>
    <w:rsid w:val="00572125"/>
    <w:rsid w:val="00573EEC"/>
    <w:rsid w:val="00583DA2"/>
    <w:rsid w:val="0058429B"/>
    <w:rsid w:val="00584E0F"/>
    <w:rsid w:val="0058581B"/>
    <w:rsid w:val="00591D34"/>
    <w:rsid w:val="00593E65"/>
    <w:rsid w:val="0059486C"/>
    <w:rsid w:val="005965DF"/>
    <w:rsid w:val="005A16FC"/>
    <w:rsid w:val="005A3D28"/>
    <w:rsid w:val="005B0323"/>
    <w:rsid w:val="005B4BF8"/>
    <w:rsid w:val="005C4686"/>
    <w:rsid w:val="005D193B"/>
    <w:rsid w:val="005D1CCE"/>
    <w:rsid w:val="005D467D"/>
    <w:rsid w:val="005D7565"/>
    <w:rsid w:val="005E015B"/>
    <w:rsid w:val="005E03AB"/>
    <w:rsid w:val="005E4A7A"/>
    <w:rsid w:val="005E6BCF"/>
    <w:rsid w:val="005F7048"/>
    <w:rsid w:val="006010E7"/>
    <w:rsid w:val="0060216D"/>
    <w:rsid w:val="00611F7A"/>
    <w:rsid w:val="006143B5"/>
    <w:rsid w:val="0061449E"/>
    <w:rsid w:val="006146D5"/>
    <w:rsid w:val="00617EDF"/>
    <w:rsid w:val="00622367"/>
    <w:rsid w:val="00624BC7"/>
    <w:rsid w:val="00631050"/>
    <w:rsid w:val="00633E41"/>
    <w:rsid w:val="006350B8"/>
    <w:rsid w:val="006419AC"/>
    <w:rsid w:val="00645B72"/>
    <w:rsid w:val="00646306"/>
    <w:rsid w:val="00654BC2"/>
    <w:rsid w:val="00656606"/>
    <w:rsid w:val="00660BA0"/>
    <w:rsid w:val="00662F0C"/>
    <w:rsid w:val="00673A58"/>
    <w:rsid w:val="00680BCD"/>
    <w:rsid w:val="006845E1"/>
    <w:rsid w:val="0069479A"/>
    <w:rsid w:val="006A05C9"/>
    <w:rsid w:val="006A13F4"/>
    <w:rsid w:val="006B2646"/>
    <w:rsid w:val="006B3E42"/>
    <w:rsid w:val="006D6472"/>
    <w:rsid w:val="006E3350"/>
    <w:rsid w:val="006F0BE4"/>
    <w:rsid w:val="006F69E2"/>
    <w:rsid w:val="0071236B"/>
    <w:rsid w:val="00714EF7"/>
    <w:rsid w:val="00716246"/>
    <w:rsid w:val="007227AD"/>
    <w:rsid w:val="00722ECE"/>
    <w:rsid w:val="00726480"/>
    <w:rsid w:val="007404C0"/>
    <w:rsid w:val="007421BB"/>
    <w:rsid w:val="00742C15"/>
    <w:rsid w:val="00744B42"/>
    <w:rsid w:val="00745E3E"/>
    <w:rsid w:val="00750CE2"/>
    <w:rsid w:val="00753B5C"/>
    <w:rsid w:val="0075562D"/>
    <w:rsid w:val="007620EE"/>
    <w:rsid w:val="007656F8"/>
    <w:rsid w:val="00766764"/>
    <w:rsid w:val="007805D9"/>
    <w:rsid w:val="00782027"/>
    <w:rsid w:val="007826A8"/>
    <w:rsid w:val="00783B29"/>
    <w:rsid w:val="00793FF0"/>
    <w:rsid w:val="0079486F"/>
    <w:rsid w:val="00794927"/>
    <w:rsid w:val="00795E9B"/>
    <w:rsid w:val="007A67A9"/>
    <w:rsid w:val="007C5A06"/>
    <w:rsid w:val="007C74D1"/>
    <w:rsid w:val="007C75EB"/>
    <w:rsid w:val="007D1350"/>
    <w:rsid w:val="007D3DE8"/>
    <w:rsid w:val="007D6962"/>
    <w:rsid w:val="007D6EF4"/>
    <w:rsid w:val="007E1D66"/>
    <w:rsid w:val="007E2F97"/>
    <w:rsid w:val="007E4389"/>
    <w:rsid w:val="007E4AA8"/>
    <w:rsid w:val="007F1F8D"/>
    <w:rsid w:val="007F24C1"/>
    <w:rsid w:val="007F36AE"/>
    <w:rsid w:val="007F3D5C"/>
    <w:rsid w:val="007F7CBE"/>
    <w:rsid w:val="00807EFE"/>
    <w:rsid w:val="00815FE2"/>
    <w:rsid w:val="00816E93"/>
    <w:rsid w:val="00821CF1"/>
    <w:rsid w:val="00823A30"/>
    <w:rsid w:val="00823B16"/>
    <w:rsid w:val="008253C4"/>
    <w:rsid w:val="008306D9"/>
    <w:rsid w:val="00832165"/>
    <w:rsid w:val="00832511"/>
    <w:rsid w:val="008457D6"/>
    <w:rsid w:val="00855127"/>
    <w:rsid w:val="008560C2"/>
    <w:rsid w:val="00860FAD"/>
    <w:rsid w:val="008777BB"/>
    <w:rsid w:val="00881926"/>
    <w:rsid w:val="0088703D"/>
    <w:rsid w:val="0088742D"/>
    <w:rsid w:val="00892450"/>
    <w:rsid w:val="008946AE"/>
    <w:rsid w:val="00894AE0"/>
    <w:rsid w:val="00896683"/>
    <w:rsid w:val="00897BBC"/>
    <w:rsid w:val="008A156A"/>
    <w:rsid w:val="008A272F"/>
    <w:rsid w:val="008A671F"/>
    <w:rsid w:val="008B48EB"/>
    <w:rsid w:val="008D15B3"/>
    <w:rsid w:val="008D5D67"/>
    <w:rsid w:val="008D7EF9"/>
    <w:rsid w:val="008E019A"/>
    <w:rsid w:val="008E2B72"/>
    <w:rsid w:val="008E5EA9"/>
    <w:rsid w:val="008E6A53"/>
    <w:rsid w:val="008E764E"/>
    <w:rsid w:val="008F57DC"/>
    <w:rsid w:val="008F6A5B"/>
    <w:rsid w:val="008F6F92"/>
    <w:rsid w:val="00906D5C"/>
    <w:rsid w:val="00934920"/>
    <w:rsid w:val="00934D52"/>
    <w:rsid w:val="00936339"/>
    <w:rsid w:val="009373A9"/>
    <w:rsid w:val="00941154"/>
    <w:rsid w:val="00943873"/>
    <w:rsid w:val="009439C1"/>
    <w:rsid w:val="00943FA0"/>
    <w:rsid w:val="00946389"/>
    <w:rsid w:val="009502A1"/>
    <w:rsid w:val="00951AAA"/>
    <w:rsid w:val="00960C81"/>
    <w:rsid w:val="0096202E"/>
    <w:rsid w:val="00963E37"/>
    <w:rsid w:val="009645E2"/>
    <w:rsid w:val="009668F1"/>
    <w:rsid w:val="00971895"/>
    <w:rsid w:val="00973B57"/>
    <w:rsid w:val="00974052"/>
    <w:rsid w:val="0098040E"/>
    <w:rsid w:val="009833E2"/>
    <w:rsid w:val="00983BA2"/>
    <w:rsid w:val="009853AF"/>
    <w:rsid w:val="009949E0"/>
    <w:rsid w:val="00996CDD"/>
    <w:rsid w:val="009A2791"/>
    <w:rsid w:val="009A52AF"/>
    <w:rsid w:val="009B3E87"/>
    <w:rsid w:val="009B7790"/>
    <w:rsid w:val="009C0E1C"/>
    <w:rsid w:val="009D4B13"/>
    <w:rsid w:val="009E0E90"/>
    <w:rsid w:val="009E4632"/>
    <w:rsid w:val="009F117B"/>
    <w:rsid w:val="009F162A"/>
    <w:rsid w:val="009F1B11"/>
    <w:rsid w:val="009F2B91"/>
    <w:rsid w:val="009F4403"/>
    <w:rsid w:val="009F6A99"/>
    <w:rsid w:val="009F7393"/>
    <w:rsid w:val="009F73B0"/>
    <w:rsid w:val="00A0112A"/>
    <w:rsid w:val="00A02A90"/>
    <w:rsid w:val="00A03513"/>
    <w:rsid w:val="00A0659A"/>
    <w:rsid w:val="00A070F1"/>
    <w:rsid w:val="00A15051"/>
    <w:rsid w:val="00A27DBF"/>
    <w:rsid w:val="00A368F3"/>
    <w:rsid w:val="00A407DB"/>
    <w:rsid w:val="00A47132"/>
    <w:rsid w:val="00A50413"/>
    <w:rsid w:val="00A5501E"/>
    <w:rsid w:val="00A602C5"/>
    <w:rsid w:val="00A61EC4"/>
    <w:rsid w:val="00A6459A"/>
    <w:rsid w:val="00A65A8C"/>
    <w:rsid w:val="00A67776"/>
    <w:rsid w:val="00A67E51"/>
    <w:rsid w:val="00A76F2E"/>
    <w:rsid w:val="00A7793E"/>
    <w:rsid w:val="00A81C37"/>
    <w:rsid w:val="00A81DE1"/>
    <w:rsid w:val="00A83979"/>
    <w:rsid w:val="00A87558"/>
    <w:rsid w:val="00AA24BB"/>
    <w:rsid w:val="00AA5039"/>
    <w:rsid w:val="00AA54B8"/>
    <w:rsid w:val="00AC14AE"/>
    <w:rsid w:val="00AC5317"/>
    <w:rsid w:val="00AC5EE2"/>
    <w:rsid w:val="00AC731B"/>
    <w:rsid w:val="00AC738D"/>
    <w:rsid w:val="00AC7FB7"/>
    <w:rsid w:val="00AD2EDB"/>
    <w:rsid w:val="00AD420A"/>
    <w:rsid w:val="00AE2DD2"/>
    <w:rsid w:val="00AE3535"/>
    <w:rsid w:val="00AE3F69"/>
    <w:rsid w:val="00AE4746"/>
    <w:rsid w:val="00AF0199"/>
    <w:rsid w:val="00AF4AAC"/>
    <w:rsid w:val="00AF794A"/>
    <w:rsid w:val="00AF7BAE"/>
    <w:rsid w:val="00B05161"/>
    <w:rsid w:val="00B07648"/>
    <w:rsid w:val="00B11F33"/>
    <w:rsid w:val="00B123D6"/>
    <w:rsid w:val="00B153A2"/>
    <w:rsid w:val="00B17845"/>
    <w:rsid w:val="00B17AF3"/>
    <w:rsid w:val="00B2186D"/>
    <w:rsid w:val="00B22AAE"/>
    <w:rsid w:val="00B245AD"/>
    <w:rsid w:val="00B25066"/>
    <w:rsid w:val="00B26DC4"/>
    <w:rsid w:val="00B32BC7"/>
    <w:rsid w:val="00B3393A"/>
    <w:rsid w:val="00B360BC"/>
    <w:rsid w:val="00B36140"/>
    <w:rsid w:val="00B426AE"/>
    <w:rsid w:val="00B42C68"/>
    <w:rsid w:val="00B44242"/>
    <w:rsid w:val="00B53068"/>
    <w:rsid w:val="00B531F9"/>
    <w:rsid w:val="00B55C4D"/>
    <w:rsid w:val="00B56191"/>
    <w:rsid w:val="00B561FB"/>
    <w:rsid w:val="00B57A7F"/>
    <w:rsid w:val="00B61D5A"/>
    <w:rsid w:val="00B624BE"/>
    <w:rsid w:val="00B67FCB"/>
    <w:rsid w:val="00B709FA"/>
    <w:rsid w:val="00B716E2"/>
    <w:rsid w:val="00B721AE"/>
    <w:rsid w:val="00B73485"/>
    <w:rsid w:val="00B75A43"/>
    <w:rsid w:val="00B81A30"/>
    <w:rsid w:val="00B81D5E"/>
    <w:rsid w:val="00B90218"/>
    <w:rsid w:val="00B9094D"/>
    <w:rsid w:val="00B90C53"/>
    <w:rsid w:val="00B972FA"/>
    <w:rsid w:val="00BA025B"/>
    <w:rsid w:val="00BA1160"/>
    <w:rsid w:val="00BA6C0B"/>
    <w:rsid w:val="00BB2FD5"/>
    <w:rsid w:val="00BB33D3"/>
    <w:rsid w:val="00BC396D"/>
    <w:rsid w:val="00BC4491"/>
    <w:rsid w:val="00BC5493"/>
    <w:rsid w:val="00BC619A"/>
    <w:rsid w:val="00BD216E"/>
    <w:rsid w:val="00BD413C"/>
    <w:rsid w:val="00BD4AD5"/>
    <w:rsid w:val="00BD60C9"/>
    <w:rsid w:val="00BD617C"/>
    <w:rsid w:val="00BD637F"/>
    <w:rsid w:val="00BD6DB6"/>
    <w:rsid w:val="00BE17D6"/>
    <w:rsid w:val="00BE5D96"/>
    <w:rsid w:val="00BF07A5"/>
    <w:rsid w:val="00BF52B0"/>
    <w:rsid w:val="00BF64A1"/>
    <w:rsid w:val="00BF7918"/>
    <w:rsid w:val="00C01640"/>
    <w:rsid w:val="00C01859"/>
    <w:rsid w:val="00C04D5F"/>
    <w:rsid w:val="00C05941"/>
    <w:rsid w:val="00C10334"/>
    <w:rsid w:val="00C154E5"/>
    <w:rsid w:val="00C17D58"/>
    <w:rsid w:val="00C2608B"/>
    <w:rsid w:val="00C2679C"/>
    <w:rsid w:val="00C2761F"/>
    <w:rsid w:val="00C305B3"/>
    <w:rsid w:val="00C32575"/>
    <w:rsid w:val="00C37D9A"/>
    <w:rsid w:val="00C40898"/>
    <w:rsid w:val="00C42F66"/>
    <w:rsid w:val="00C64942"/>
    <w:rsid w:val="00C6589D"/>
    <w:rsid w:val="00C70FD4"/>
    <w:rsid w:val="00C714DB"/>
    <w:rsid w:val="00C7429C"/>
    <w:rsid w:val="00C81518"/>
    <w:rsid w:val="00C82BF6"/>
    <w:rsid w:val="00C869B1"/>
    <w:rsid w:val="00C93B88"/>
    <w:rsid w:val="00C95542"/>
    <w:rsid w:val="00C95769"/>
    <w:rsid w:val="00CA0946"/>
    <w:rsid w:val="00CA0E86"/>
    <w:rsid w:val="00CA1B91"/>
    <w:rsid w:val="00CA1C0A"/>
    <w:rsid w:val="00CA27CE"/>
    <w:rsid w:val="00CA484F"/>
    <w:rsid w:val="00CA5A8C"/>
    <w:rsid w:val="00CA99DF"/>
    <w:rsid w:val="00CB0F66"/>
    <w:rsid w:val="00CB0FCE"/>
    <w:rsid w:val="00CB28D7"/>
    <w:rsid w:val="00CB3F3D"/>
    <w:rsid w:val="00CB7499"/>
    <w:rsid w:val="00CC414E"/>
    <w:rsid w:val="00CC7AFD"/>
    <w:rsid w:val="00CD144D"/>
    <w:rsid w:val="00CD1A07"/>
    <w:rsid w:val="00CD2029"/>
    <w:rsid w:val="00CE22A3"/>
    <w:rsid w:val="00CE3324"/>
    <w:rsid w:val="00CE4C5E"/>
    <w:rsid w:val="00CF0D82"/>
    <w:rsid w:val="00CF2342"/>
    <w:rsid w:val="00CF775D"/>
    <w:rsid w:val="00D00400"/>
    <w:rsid w:val="00D009BF"/>
    <w:rsid w:val="00D00EEB"/>
    <w:rsid w:val="00D03806"/>
    <w:rsid w:val="00D05DAB"/>
    <w:rsid w:val="00D07836"/>
    <w:rsid w:val="00D13762"/>
    <w:rsid w:val="00D1530B"/>
    <w:rsid w:val="00D250F3"/>
    <w:rsid w:val="00D32498"/>
    <w:rsid w:val="00D35B64"/>
    <w:rsid w:val="00D44156"/>
    <w:rsid w:val="00D442CC"/>
    <w:rsid w:val="00D508CF"/>
    <w:rsid w:val="00D52EC2"/>
    <w:rsid w:val="00D53A48"/>
    <w:rsid w:val="00D54A83"/>
    <w:rsid w:val="00D62689"/>
    <w:rsid w:val="00D70BC6"/>
    <w:rsid w:val="00D74760"/>
    <w:rsid w:val="00D7718C"/>
    <w:rsid w:val="00D77DFF"/>
    <w:rsid w:val="00D8386A"/>
    <w:rsid w:val="00D913CD"/>
    <w:rsid w:val="00DA3A7A"/>
    <w:rsid w:val="00DA41F3"/>
    <w:rsid w:val="00DA632C"/>
    <w:rsid w:val="00DB024B"/>
    <w:rsid w:val="00DB30BE"/>
    <w:rsid w:val="00DB5091"/>
    <w:rsid w:val="00DB50C6"/>
    <w:rsid w:val="00DB515B"/>
    <w:rsid w:val="00DB537D"/>
    <w:rsid w:val="00DB67B9"/>
    <w:rsid w:val="00DC14D7"/>
    <w:rsid w:val="00DC1821"/>
    <w:rsid w:val="00DC27A9"/>
    <w:rsid w:val="00DC4325"/>
    <w:rsid w:val="00DD2597"/>
    <w:rsid w:val="00DE4AA3"/>
    <w:rsid w:val="00DE5E5F"/>
    <w:rsid w:val="00DF15D7"/>
    <w:rsid w:val="00DF2943"/>
    <w:rsid w:val="00DF3E6F"/>
    <w:rsid w:val="00DF42A2"/>
    <w:rsid w:val="00DF643C"/>
    <w:rsid w:val="00E0466E"/>
    <w:rsid w:val="00E11E33"/>
    <w:rsid w:val="00E14837"/>
    <w:rsid w:val="00E21DE3"/>
    <w:rsid w:val="00E230D4"/>
    <w:rsid w:val="00E32B8F"/>
    <w:rsid w:val="00E32F1F"/>
    <w:rsid w:val="00E34538"/>
    <w:rsid w:val="00E42970"/>
    <w:rsid w:val="00E43876"/>
    <w:rsid w:val="00E43972"/>
    <w:rsid w:val="00E442ED"/>
    <w:rsid w:val="00E5000C"/>
    <w:rsid w:val="00E53670"/>
    <w:rsid w:val="00E5486A"/>
    <w:rsid w:val="00E6082C"/>
    <w:rsid w:val="00E61C78"/>
    <w:rsid w:val="00E63273"/>
    <w:rsid w:val="00E710CB"/>
    <w:rsid w:val="00E76826"/>
    <w:rsid w:val="00E77C25"/>
    <w:rsid w:val="00E81641"/>
    <w:rsid w:val="00E81C3B"/>
    <w:rsid w:val="00E823B7"/>
    <w:rsid w:val="00E82437"/>
    <w:rsid w:val="00E858D1"/>
    <w:rsid w:val="00E9110F"/>
    <w:rsid w:val="00E9499D"/>
    <w:rsid w:val="00EA1BFE"/>
    <w:rsid w:val="00EB4A0F"/>
    <w:rsid w:val="00EB5EE6"/>
    <w:rsid w:val="00ED476B"/>
    <w:rsid w:val="00ED5C7D"/>
    <w:rsid w:val="00EE1F64"/>
    <w:rsid w:val="00EE6C04"/>
    <w:rsid w:val="00EF2CCE"/>
    <w:rsid w:val="00F033D2"/>
    <w:rsid w:val="00F04311"/>
    <w:rsid w:val="00F07F4E"/>
    <w:rsid w:val="00F126C7"/>
    <w:rsid w:val="00F13155"/>
    <w:rsid w:val="00F170BC"/>
    <w:rsid w:val="00F230E9"/>
    <w:rsid w:val="00F36BB0"/>
    <w:rsid w:val="00F476EF"/>
    <w:rsid w:val="00F518E0"/>
    <w:rsid w:val="00F602D8"/>
    <w:rsid w:val="00F62252"/>
    <w:rsid w:val="00F62707"/>
    <w:rsid w:val="00F71822"/>
    <w:rsid w:val="00F723B2"/>
    <w:rsid w:val="00F72B0F"/>
    <w:rsid w:val="00F73457"/>
    <w:rsid w:val="00F770D8"/>
    <w:rsid w:val="00F811F3"/>
    <w:rsid w:val="00F83284"/>
    <w:rsid w:val="00F861C2"/>
    <w:rsid w:val="00F86952"/>
    <w:rsid w:val="00F8705F"/>
    <w:rsid w:val="00F94B9F"/>
    <w:rsid w:val="00F94D1F"/>
    <w:rsid w:val="00F95E00"/>
    <w:rsid w:val="00F96301"/>
    <w:rsid w:val="00FA0804"/>
    <w:rsid w:val="00FA39A0"/>
    <w:rsid w:val="00FB2335"/>
    <w:rsid w:val="00FB66B1"/>
    <w:rsid w:val="00FB747A"/>
    <w:rsid w:val="00FC090C"/>
    <w:rsid w:val="00FC1262"/>
    <w:rsid w:val="00FC7AB9"/>
    <w:rsid w:val="00FD4AE1"/>
    <w:rsid w:val="00FD4BDE"/>
    <w:rsid w:val="00FE1C11"/>
    <w:rsid w:val="00FE2696"/>
    <w:rsid w:val="00FE31C7"/>
    <w:rsid w:val="00FE40BA"/>
    <w:rsid w:val="00FE52E0"/>
    <w:rsid w:val="00FF4C5C"/>
    <w:rsid w:val="00FF54B8"/>
    <w:rsid w:val="00FF7043"/>
    <w:rsid w:val="0215C394"/>
    <w:rsid w:val="0D13F927"/>
    <w:rsid w:val="0D5D8A54"/>
    <w:rsid w:val="104B99E9"/>
    <w:rsid w:val="11CE0EC9"/>
    <w:rsid w:val="16A1B310"/>
    <w:rsid w:val="1718E5FB"/>
    <w:rsid w:val="17D0872E"/>
    <w:rsid w:val="196C458B"/>
    <w:rsid w:val="1A6DD906"/>
    <w:rsid w:val="2698885A"/>
    <w:rsid w:val="27B5A4F3"/>
    <w:rsid w:val="27E89A90"/>
    <w:rsid w:val="29F76522"/>
    <w:rsid w:val="2ECAD645"/>
    <w:rsid w:val="3A760EE7"/>
    <w:rsid w:val="3E44FF9C"/>
    <w:rsid w:val="4AFE474C"/>
    <w:rsid w:val="4BCACE39"/>
    <w:rsid w:val="566AD047"/>
    <w:rsid w:val="584B6A2B"/>
    <w:rsid w:val="5E2DCE6D"/>
    <w:rsid w:val="6BF668F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E3D7326A-8A10-4C5D-8F41-9254E65EE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538"/>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7805D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2Car">
    <w:name w:val="Título 2 Car"/>
    <w:basedOn w:val="Fuentedeprrafopredeter"/>
    <w:link w:val="Ttulo2"/>
    <w:uiPriority w:val="9"/>
    <w:rsid w:val="007805D9"/>
    <w:rPr>
      <w:rFonts w:asciiTheme="majorHAnsi" w:eastAsiaTheme="majorEastAsia" w:hAnsiTheme="majorHAnsi" w:cstheme="majorBidi"/>
      <w:color w:val="365F91" w:themeColor="accent1" w:themeShade="BF"/>
      <w:sz w:val="26"/>
      <w:szCs w:val="26"/>
      <w:lang w:eastAsia="en-US"/>
    </w:rPr>
  </w:style>
  <w:style w:type="paragraph" w:styleId="TDC2">
    <w:name w:val="toc 2"/>
    <w:basedOn w:val="Normal"/>
    <w:next w:val="Normal"/>
    <w:autoRedefine/>
    <w:uiPriority w:val="39"/>
    <w:unhideWhenUsed/>
    <w:rsid w:val="007805D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88463">
      <w:bodyDiv w:val="1"/>
      <w:marLeft w:val="0"/>
      <w:marRight w:val="0"/>
      <w:marTop w:val="0"/>
      <w:marBottom w:val="0"/>
      <w:divBdr>
        <w:top w:val="none" w:sz="0" w:space="0" w:color="auto"/>
        <w:left w:val="none" w:sz="0" w:space="0" w:color="auto"/>
        <w:bottom w:val="none" w:sz="0" w:space="0" w:color="auto"/>
        <w:right w:val="none" w:sz="0" w:space="0" w:color="auto"/>
      </w:divBdr>
      <w:divsChild>
        <w:div w:id="32073631">
          <w:marLeft w:val="0"/>
          <w:marRight w:val="0"/>
          <w:marTop w:val="0"/>
          <w:marBottom w:val="0"/>
          <w:divBdr>
            <w:top w:val="none" w:sz="0" w:space="0" w:color="auto"/>
            <w:left w:val="none" w:sz="0" w:space="0" w:color="auto"/>
            <w:bottom w:val="none" w:sz="0" w:space="0" w:color="auto"/>
            <w:right w:val="none" w:sz="0" w:space="0" w:color="auto"/>
          </w:divBdr>
        </w:div>
        <w:div w:id="343753679">
          <w:marLeft w:val="0"/>
          <w:marRight w:val="0"/>
          <w:marTop w:val="0"/>
          <w:marBottom w:val="0"/>
          <w:divBdr>
            <w:top w:val="none" w:sz="0" w:space="0" w:color="auto"/>
            <w:left w:val="none" w:sz="0" w:space="0" w:color="auto"/>
            <w:bottom w:val="none" w:sz="0" w:space="0" w:color="auto"/>
            <w:right w:val="none" w:sz="0" w:space="0" w:color="auto"/>
          </w:divBdr>
        </w:div>
        <w:div w:id="381485864">
          <w:marLeft w:val="0"/>
          <w:marRight w:val="0"/>
          <w:marTop w:val="0"/>
          <w:marBottom w:val="0"/>
          <w:divBdr>
            <w:top w:val="none" w:sz="0" w:space="0" w:color="auto"/>
            <w:left w:val="none" w:sz="0" w:space="0" w:color="auto"/>
            <w:bottom w:val="none" w:sz="0" w:space="0" w:color="auto"/>
            <w:right w:val="none" w:sz="0" w:space="0" w:color="auto"/>
          </w:divBdr>
        </w:div>
        <w:div w:id="632180659">
          <w:marLeft w:val="0"/>
          <w:marRight w:val="0"/>
          <w:marTop w:val="0"/>
          <w:marBottom w:val="0"/>
          <w:divBdr>
            <w:top w:val="none" w:sz="0" w:space="0" w:color="auto"/>
            <w:left w:val="none" w:sz="0" w:space="0" w:color="auto"/>
            <w:bottom w:val="none" w:sz="0" w:space="0" w:color="auto"/>
            <w:right w:val="none" w:sz="0" w:space="0" w:color="auto"/>
          </w:divBdr>
        </w:div>
        <w:div w:id="633288654">
          <w:marLeft w:val="0"/>
          <w:marRight w:val="0"/>
          <w:marTop w:val="0"/>
          <w:marBottom w:val="0"/>
          <w:divBdr>
            <w:top w:val="none" w:sz="0" w:space="0" w:color="auto"/>
            <w:left w:val="none" w:sz="0" w:space="0" w:color="auto"/>
            <w:bottom w:val="none" w:sz="0" w:space="0" w:color="auto"/>
            <w:right w:val="none" w:sz="0" w:space="0" w:color="auto"/>
          </w:divBdr>
        </w:div>
        <w:div w:id="739330624">
          <w:marLeft w:val="0"/>
          <w:marRight w:val="0"/>
          <w:marTop w:val="0"/>
          <w:marBottom w:val="0"/>
          <w:divBdr>
            <w:top w:val="none" w:sz="0" w:space="0" w:color="auto"/>
            <w:left w:val="none" w:sz="0" w:space="0" w:color="auto"/>
            <w:bottom w:val="none" w:sz="0" w:space="0" w:color="auto"/>
            <w:right w:val="none" w:sz="0" w:space="0" w:color="auto"/>
          </w:divBdr>
        </w:div>
        <w:div w:id="1153717983">
          <w:marLeft w:val="0"/>
          <w:marRight w:val="0"/>
          <w:marTop w:val="0"/>
          <w:marBottom w:val="0"/>
          <w:divBdr>
            <w:top w:val="none" w:sz="0" w:space="0" w:color="auto"/>
            <w:left w:val="none" w:sz="0" w:space="0" w:color="auto"/>
            <w:bottom w:val="none" w:sz="0" w:space="0" w:color="auto"/>
            <w:right w:val="none" w:sz="0" w:space="0" w:color="auto"/>
          </w:divBdr>
        </w:div>
        <w:div w:id="1163937806">
          <w:marLeft w:val="0"/>
          <w:marRight w:val="0"/>
          <w:marTop w:val="0"/>
          <w:marBottom w:val="0"/>
          <w:divBdr>
            <w:top w:val="none" w:sz="0" w:space="0" w:color="auto"/>
            <w:left w:val="none" w:sz="0" w:space="0" w:color="auto"/>
            <w:bottom w:val="none" w:sz="0" w:space="0" w:color="auto"/>
            <w:right w:val="none" w:sz="0" w:space="0" w:color="auto"/>
          </w:divBdr>
        </w:div>
        <w:div w:id="1295217696">
          <w:marLeft w:val="0"/>
          <w:marRight w:val="0"/>
          <w:marTop w:val="0"/>
          <w:marBottom w:val="0"/>
          <w:divBdr>
            <w:top w:val="none" w:sz="0" w:space="0" w:color="auto"/>
            <w:left w:val="none" w:sz="0" w:space="0" w:color="auto"/>
            <w:bottom w:val="none" w:sz="0" w:space="0" w:color="auto"/>
            <w:right w:val="none" w:sz="0" w:space="0" w:color="auto"/>
          </w:divBdr>
        </w:div>
        <w:div w:id="1506625501">
          <w:marLeft w:val="0"/>
          <w:marRight w:val="0"/>
          <w:marTop w:val="0"/>
          <w:marBottom w:val="0"/>
          <w:divBdr>
            <w:top w:val="none" w:sz="0" w:space="0" w:color="auto"/>
            <w:left w:val="none" w:sz="0" w:space="0" w:color="auto"/>
            <w:bottom w:val="none" w:sz="0" w:space="0" w:color="auto"/>
            <w:right w:val="none" w:sz="0" w:space="0" w:color="auto"/>
          </w:divBdr>
        </w:div>
        <w:div w:id="1649280763">
          <w:marLeft w:val="0"/>
          <w:marRight w:val="0"/>
          <w:marTop w:val="0"/>
          <w:marBottom w:val="0"/>
          <w:divBdr>
            <w:top w:val="none" w:sz="0" w:space="0" w:color="auto"/>
            <w:left w:val="none" w:sz="0" w:space="0" w:color="auto"/>
            <w:bottom w:val="none" w:sz="0" w:space="0" w:color="auto"/>
            <w:right w:val="none" w:sz="0" w:space="0" w:color="auto"/>
          </w:divBdr>
        </w:div>
        <w:div w:id="1661424864">
          <w:marLeft w:val="0"/>
          <w:marRight w:val="0"/>
          <w:marTop w:val="0"/>
          <w:marBottom w:val="0"/>
          <w:divBdr>
            <w:top w:val="none" w:sz="0" w:space="0" w:color="auto"/>
            <w:left w:val="none" w:sz="0" w:space="0" w:color="auto"/>
            <w:bottom w:val="none" w:sz="0" w:space="0" w:color="auto"/>
            <w:right w:val="none" w:sz="0" w:space="0" w:color="auto"/>
          </w:divBdr>
        </w:div>
        <w:div w:id="1806194274">
          <w:marLeft w:val="0"/>
          <w:marRight w:val="0"/>
          <w:marTop w:val="0"/>
          <w:marBottom w:val="0"/>
          <w:divBdr>
            <w:top w:val="none" w:sz="0" w:space="0" w:color="auto"/>
            <w:left w:val="none" w:sz="0" w:space="0" w:color="auto"/>
            <w:bottom w:val="none" w:sz="0" w:space="0" w:color="auto"/>
            <w:right w:val="none" w:sz="0" w:space="0" w:color="auto"/>
          </w:divBdr>
        </w:div>
        <w:div w:id="1853640026">
          <w:marLeft w:val="0"/>
          <w:marRight w:val="0"/>
          <w:marTop w:val="0"/>
          <w:marBottom w:val="0"/>
          <w:divBdr>
            <w:top w:val="none" w:sz="0" w:space="0" w:color="auto"/>
            <w:left w:val="none" w:sz="0" w:space="0" w:color="auto"/>
            <w:bottom w:val="none" w:sz="0" w:space="0" w:color="auto"/>
            <w:right w:val="none" w:sz="0" w:space="0" w:color="auto"/>
          </w:divBdr>
        </w:div>
        <w:div w:id="1911116358">
          <w:marLeft w:val="0"/>
          <w:marRight w:val="0"/>
          <w:marTop w:val="0"/>
          <w:marBottom w:val="0"/>
          <w:divBdr>
            <w:top w:val="none" w:sz="0" w:space="0" w:color="auto"/>
            <w:left w:val="none" w:sz="0" w:space="0" w:color="auto"/>
            <w:bottom w:val="none" w:sz="0" w:space="0" w:color="auto"/>
            <w:right w:val="none" w:sz="0" w:space="0" w:color="auto"/>
          </w:divBdr>
        </w:div>
        <w:div w:id="2119062673">
          <w:marLeft w:val="0"/>
          <w:marRight w:val="0"/>
          <w:marTop w:val="0"/>
          <w:marBottom w:val="0"/>
          <w:divBdr>
            <w:top w:val="none" w:sz="0" w:space="0" w:color="auto"/>
            <w:left w:val="none" w:sz="0" w:space="0" w:color="auto"/>
            <w:bottom w:val="none" w:sz="0" w:space="0" w:color="auto"/>
            <w:right w:val="none" w:sz="0" w:space="0" w:color="auto"/>
          </w:divBdr>
        </w:div>
      </w:divsChild>
    </w:div>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869613688">
      <w:bodyDiv w:val="1"/>
      <w:marLeft w:val="0"/>
      <w:marRight w:val="0"/>
      <w:marTop w:val="0"/>
      <w:marBottom w:val="0"/>
      <w:divBdr>
        <w:top w:val="none" w:sz="0" w:space="0" w:color="auto"/>
        <w:left w:val="none" w:sz="0" w:space="0" w:color="auto"/>
        <w:bottom w:val="none" w:sz="0" w:space="0" w:color="auto"/>
        <w:right w:val="none" w:sz="0" w:space="0" w:color="auto"/>
      </w:divBdr>
      <w:divsChild>
        <w:div w:id="416286348">
          <w:marLeft w:val="0"/>
          <w:marRight w:val="0"/>
          <w:marTop w:val="0"/>
          <w:marBottom w:val="0"/>
          <w:divBdr>
            <w:top w:val="none" w:sz="0" w:space="0" w:color="auto"/>
            <w:left w:val="none" w:sz="0" w:space="0" w:color="auto"/>
            <w:bottom w:val="none" w:sz="0" w:space="0" w:color="auto"/>
            <w:right w:val="none" w:sz="0" w:space="0" w:color="auto"/>
          </w:divBdr>
        </w:div>
        <w:div w:id="417480727">
          <w:marLeft w:val="0"/>
          <w:marRight w:val="0"/>
          <w:marTop w:val="0"/>
          <w:marBottom w:val="0"/>
          <w:divBdr>
            <w:top w:val="none" w:sz="0" w:space="0" w:color="auto"/>
            <w:left w:val="none" w:sz="0" w:space="0" w:color="auto"/>
            <w:bottom w:val="none" w:sz="0" w:space="0" w:color="auto"/>
            <w:right w:val="none" w:sz="0" w:space="0" w:color="auto"/>
          </w:divBdr>
        </w:div>
        <w:div w:id="448279988">
          <w:marLeft w:val="0"/>
          <w:marRight w:val="0"/>
          <w:marTop w:val="0"/>
          <w:marBottom w:val="0"/>
          <w:divBdr>
            <w:top w:val="none" w:sz="0" w:space="0" w:color="auto"/>
            <w:left w:val="none" w:sz="0" w:space="0" w:color="auto"/>
            <w:bottom w:val="none" w:sz="0" w:space="0" w:color="auto"/>
            <w:right w:val="none" w:sz="0" w:space="0" w:color="auto"/>
          </w:divBdr>
        </w:div>
        <w:div w:id="580457179">
          <w:marLeft w:val="0"/>
          <w:marRight w:val="0"/>
          <w:marTop w:val="0"/>
          <w:marBottom w:val="0"/>
          <w:divBdr>
            <w:top w:val="none" w:sz="0" w:space="0" w:color="auto"/>
            <w:left w:val="none" w:sz="0" w:space="0" w:color="auto"/>
            <w:bottom w:val="none" w:sz="0" w:space="0" w:color="auto"/>
            <w:right w:val="none" w:sz="0" w:space="0" w:color="auto"/>
          </w:divBdr>
        </w:div>
        <w:div w:id="658584777">
          <w:marLeft w:val="0"/>
          <w:marRight w:val="0"/>
          <w:marTop w:val="0"/>
          <w:marBottom w:val="0"/>
          <w:divBdr>
            <w:top w:val="none" w:sz="0" w:space="0" w:color="auto"/>
            <w:left w:val="none" w:sz="0" w:space="0" w:color="auto"/>
            <w:bottom w:val="none" w:sz="0" w:space="0" w:color="auto"/>
            <w:right w:val="none" w:sz="0" w:space="0" w:color="auto"/>
          </w:divBdr>
        </w:div>
        <w:div w:id="667950228">
          <w:marLeft w:val="0"/>
          <w:marRight w:val="0"/>
          <w:marTop w:val="0"/>
          <w:marBottom w:val="0"/>
          <w:divBdr>
            <w:top w:val="none" w:sz="0" w:space="0" w:color="auto"/>
            <w:left w:val="none" w:sz="0" w:space="0" w:color="auto"/>
            <w:bottom w:val="none" w:sz="0" w:space="0" w:color="auto"/>
            <w:right w:val="none" w:sz="0" w:space="0" w:color="auto"/>
          </w:divBdr>
        </w:div>
        <w:div w:id="700404256">
          <w:marLeft w:val="0"/>
          <w:marRight w:val="0"/>
          <w:marTop w:val="0"/>
          <w:marBottom w:val="0"/>
          <w:divBdr>
            <w:top w:val="none" w:sz="0" w:space="0" w:color="auto"/>
            <w:left w:val="none" w:sz="0" w:space="0" w:color="auto"/>
            <w:bottom w:val="none" w:sz="0" w:space="0" w:color="auto"/>
            <w:right w:val="none" w:sz="0" w:space="0" w:color="auto"/>
          </w:divBdr>
        </w:div>
        <w:div w:id="715201365">
          <w:marLeft w:val="0"/>
          <w:marRight w:val="0"/>
          <w:marTop w:val="0"/>
          <w:marBottom w:val="0"/>
          <w:divBdr>
            <w:top w:val="none" w:sz="0" w:space="0" w:color="auto"/>
            <w:left w:val="none" w:sz="0" w:space="0" w:color="auto"/>
            <w:bottom w:val="none" w:sz="0" w:space="0" w:color="auto"/>
            <w:right w:val="none" w:sz="0" w:space="0" w:color="auto"/>
          </w:divBdr>
        </w:div>
        <w:div w:id="933978028">
          <w:marLeft w:val="0"/>
          <w:marRight w:val="0"/>
          <w:marTop w:val="0"/>
          <w:marBottom w:val="0"/>
          <w:divBdr>
            <w:top w:val="none" w:sz="0" w:space="0" w:color="auto"/>
            <w:left w:val="none" w:sz="0" w:space="0" w:color="auto"/>
            <w:bottom w:val="none" w:sz="0" w:space="0" w:color="auto"/>
            <w:right w:val="none" w:sz="0" w:space="0" w:color="auto"/>
          </w:divBdr>
        </w:div>
        <w:div w:id="1388068381">
          <w:marLeft w:val="0"/>
          <w:marRight w:val="0"/>
          <w:marTop w:val="0"/>
          <w:marBottom w:val="0"/>
          <w:divBdr>
            <w:top w:val="none" w:sz="0" w:space="0" w:color="auto"/>
            <w:left w:val="none" w:sz="0" w:space="0" w:color="auto"/>
            <w:bottom w:val="none" w:sz="0" w:space="0" w:color="auto"/>
            <w:right w:val="none" w:sz="0" w:space="0" w:color="auto"/>
          </w:divBdr>
        </w:div>
        <w:div w:id="1508056934">
          <w:marLeft w:val="0"/>
          <w:marRight w:val="0"/>
          <w:marTop w:val="0"/>
          <w:marBottom w:val="0"/>
          <w:divBdr>
            <w:top w:val="none" w:sz="0" w:space="0" w:color="auto"/>
            <w:left w:val="none" w:sz="0" w:space="0" w:color="auto"/>
            <w:bottom w:val="none" w:sz="0" w:space="0" w:color="auto"/>
            <w:right w:val="none" w:sz="0" w:space="0" w:color="auto"/>
          </w:divBdr>
        </w:div>
        <w:div w:id="1545826546">
          <w:marLeft w:val="0"/>
          <w:marRight w:val="0"/>
          <w:marTop w:val="0"/>
          <w:marBottom w:val="0"/>
          <w:divBdr>
            <w:top w:val="none" w:sz="0" w:space="0" w:color="auto"/>
            <w:left w:val="none" w:sz="0" w:space="0" w:color="auto"/>
            <w:bottom w:val="none" w:sz="0" w:space="0" w:color="auto"/>
            <w:right w:val="none" w:sz="0" w:space="0" w:color="auto"/>
          </w:divBdr>
        </w:div>
        <w:div w:id="1602565310">
          <w:marLeft w:val="0"/>
          <w:marRight w:val="0"/>
          <w:marTop w:val="0"/>
          <w:marBottom w:val="0"/>
          <w:divBdr>
            <w:top w:val="none" w:sz="0" w:space="0" w:color="auto"/>
            <w:left w:val="none" w:sz="0" w:space="0" w:color="auto"/>
            <w:bottom w:val="none" w:sz="0" w:space="0" w:color="auto"/>
            <w:right w:val="none" w:sz="0" w:space="0" w:color="auto"/>
          </w:divBdr>
        </w:div>
        <w:div w:id="1949315353">
          <w:marLeft w:val="0"/>
          <w:marRight w:val="0"/>
          <w:marTop w:val="0"/>
          <w:marBottom w:val="0"/>
          <w:divBdr>
            <w:top w:val="none" w:sz="0" w:space="0" w:color="auto"/>
            <w:left w:val="none" w:sz="0" w:space="0" w:color="auto"/>
            <w:bottom w:val="none" w:sz="0" w:space="0" w:color="auto"/>
            <w:right w:val="none" w:sz="0" w:space="0" w:color="auto"/>
          </w:divBdr>
        </w:div>
        <w:div w:id="2000576356">
          <w:marLeft w:val="0"/>
          <w:marRight w:val="0"/>
          <w:marTop w:val="0"/>
          <w:marBottom w:val="0"/>
          <w:divBdr>
            <w:top w:val="none" w:sz="0" w:space="0" w:color="auto"/>
            <w:left w:val="none" w:sz="0" w:space="0" w:color="auto"/>
            <w:bottom w:val="none" w:sz="0" w:space="0" w:color="auto"/>
            <w:right w:val="none" w:sz="0" w:space="0" w:color="auto"/>
          </w:divBdr>
        </w:div>
        <w:div w:id="2018074031">
          <w:marLeft w:val="0"/>
          <w:marRight w:val="0"/>
          <w:marTop w:val="0"/>
          <w:marBottom w:val="0"/>
          <w:divBdr>
            <w:top w:val="none" w:sz="0" w:space="0" w:color="auto"/>
            <w:left w:val="none" w:sz="0" w:space="0" w:color="auto"/>
            <w:bottom w:val="none" w:sz="0" w:space="0" w:color="auto"/>
            <w:right w:val="none" w:sz="0" w:space="0" w:color="auto"/>
          </w:divBdr>
        </w:div>
      </w:divsChild>
    </w:div>
    <w:div w:id="1286502197">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2.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3.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cd19be7a-c161-4a1c-8410-e27e6c0313b6"/>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30</Pages>
  <Words>6516</Words>
  <Characters>35839</Characters>
  <Application>Microsoft Office Word</Application>
  <DocSecurity>0</DocSecurity>
  <Lines>298</Lines>
  <Paragraphs>84</Paragraphs>
  <ScaleCrop>false</ScaleCrop>
  <Company/>
  <LinksUpToDate>false</LinksUpToDate>
  <CharactersWithSpaces>42271</CharactersWithSpaces>
  <SharedDoc>false</SharedDoc>
  <HLinks>
    <vt:vector size="108" baseType="variant">
      <vt:variant>
        <vt:i4>1441841</vt:i4>
      </vt:variant>
      <vt:variant>
        <vt:i4>104</vt:i4>
      </vt:variant>
      <vt:variant>
        <vt:i4>0</vt:i4>
      </vt:variant>
      <vt:variant>
        <vt:i4>5</vt:i4>
      </vt:variant>
      <vt:variant>
        <vt:lpwstr/>
      </vt:variant>
      <vt:variant>
        <vt:lpwstr>_Toc183363595</vt:lpwstr>
      </vt:variant>
      <vt:variant>
        <vt:i4>1441841</vt:i4>
      </vt:variant>
      <vt:variant>
        <vt:i4>98</vt:i4>
      </vt:variant>
      <vt:variant>
        <vt:i4>0</vt:i4>
      </vt:variant>
      <vt:variant>
        <vt:i4>5</vt:i4>
      </vt:variant>
      <vt:variant>
        <vt:lpwstr/>
      </vt:variant>
      <vt:variant>
        <vt:lpwstr>_Toc183363594</vt:lpwstr>
      </vt:variant>
      <vt:variant>
        <vt:i4>1441841</vt:i4>
      </vt:variant>
      <vt:variant>
        <vt:i4>92</vt:i4>
      </vt:variant>
      <vt:variant>
        <vt:i4>0</vt:i4>
      </vt:variant>
      <vt:variant>
        <vt:i4>5</vt:i4>
      </vt:variant>
      <vt:variant>
        <vt:lpwstr/>
      </vt:variant>
      <vt:variant>
        <vt:lpwstr>_Toc183363593</vt:lpwstr>
      </vt:variant>
      <vt:variant>
        <vt:i4>1441841</vt:i4>
      </vt:variant>
      <vt:variant>
        <vt:i4>86</vt:i4>
      </vt:variant>
      <vt:variant>
        <vt:i4>0</vt:i4>
      </vt:variant>
      <vt:variant>
        <vt:i4>5</vt:i4>
      </vt:variant>
      <vt:variant>
        <vt:lpwstr/>
      </vt:variant>
      <vt:variant>
        <vt:lpwstr>_Toc183363592</vt:lpwstr>
      </vt:variant>
      <vt:variant>
        <vt:i4>1441841</vt:i4>
      </vt:variant>
      <vt:variant>
        <vt:i4>80</vt:i4>
      </vt:variant>
      <vt:variant>
        <vt:i4>0</vt:i4>
      </vt:variant>
      <vt:variant>
        <vt:i4>5</vt:i4>
      </vt:variant>
      <vt:variant>
        <vt:lpwstr/>
      </vt:variant>
      <vt:variant>
        <vt:lpwstr>_Toc183363591</vt:lpwstr>
      </vt:variant>
      <vt:variant>
        <vt:i4>1441841</vt:i4>
      </vt:variant>
      <vt:variant>
        <vt:i4>74</vt:i4>
      </vt:variant>
      <vt:variant>
        <vt:i4>0</vt:i4>
      </vt:variant>
      <vt:variant>
        <vt:i4>5</vt:i4>
      </vt:variant>
      <vt:variant>
        <vt:lpwstr/>
      </vt:variant>
      <vt:variant>
        <vt:lpwstr>_Toc183363590</vt:lpwstr>
      </vt:variant>
      <vt:variant>
        <vt:i4>1507377</vt:i4>
      </vt:variant>
      <vt:variant>
        <vt:i4>68</vt:i4>
      </vt:variant>
      <vt:variant>
        <vt:i4>0</vt:i4>
      </vt:variant>
      <vt:variant>
        <vt:i4>5</vt:i4>
      </vt:variant>
      <vt:variant>
        <vt:lpwstr/>
      </vt:variant>
      <vt:variant>
        <vt:lpwstr>_Toc183363589</vt:lpwstr>
      </vt:variant>
      <vt:variant>
        <vt:i4>1507377</vt:i4>
      </vt:variant>
      <vt:variant>
        <vt:i4>62</vt:i4>
      </vt:variant>
      <vt:variant>
        <vt:i4>0</vt:i4>
      </vt:variant>
      <vt:variant>
        <vt:i4>5</vt:i4>
      </vt:variant>
      <vt:variant>
        <vt:lpwstr/>
      </vt:variant>
      <vt:variant>
        <vt:lpwstr>_Toc183363588</vt:lpwstr>
      </vt:variant>
      <vt:variant>
        <vt:i4>1507377</vt:i4>
      </vt:variant>
      <vt:variant>
        <vt:i4>56</vt:i4>
      </vt:variant>
      <vt:variant>
        <vt:i4>0</vt:i4>
      </vt:variant>
      <vt:variant>
        <vt:i4>5</vt:i4>
      </vt:variant>
      <vt:variant>
        <vt:lpwstr/>
      </vt:variant>
      <vt:variant>
        <vt:lpwstr>_Toc183363587</vt:lpwstr>
      </vt:variant>
      <vt:variant>
        <vt:i4>1507377</vt:i4>
      </vt:variant>
      <vt:variant>
        <vt:i4>50</vt:i4>
      </vt:variant>
      <vt:variant>
        <vt:i4>0</vt:i4>
      </vt:variant>
      <vt:variant>
        <vt:i4>5</vt:i4>
      </vt:variant>
      <vt:variant>
        <vt:lpwstr/>
      </vt:variant>
      <vt:variant>
        <vt:lpwstr>_Toc183363586</vt:lpwstr>
      </vt:variant>
      <vt:variant>
        <vt:i4>1507377</vt:i4>
      </vt:variant>
      <vt:variant>
        <vt:i4>44</vt:i4>
      </vt:variant>
      <vt:variant>
        <vt:i4>0</vt:i4>
      </vt:variant>
      <vt:variant>
        <vt:i4>5</vt:i4>
      </vt:variant>
      <vt:variant>
        <vt:lpwstr/>
      </vt:variant>
      <vt:variant>
        <vt:lpwstr>_Toc183363585</vt:lpwstr>
      </vt:variant>
      <vt:variant>
        <vt:i4>1507377</vt:i4>
      </vt:variant>
      <vt:variant>
        <vt:i4>38</vt:i4>
      </vt:variant>
      <vt:variant>
        <vt:i4>0</vt:i4>
      </vt:variant>
      <vt:variant>
        <vt:i4>5</vt:i4>
      </vt:variant>
      <vt:variant>
        <vt:lpwstr/>
      </vt:variant>
      <vt:variant>
        <vt:lpwstr>_Toc183363584</vt:lpwstr>
      </vt:variant>
      <vt:variant>
        <vt:i4>1507377</vt:i4>
      </vt:variant>
      <vt:variant>
        <vt:i4>32</vt:i4>
      </vt:variant>
      <vt:variant>
        <vt:i4>0</vt:i4>
      </vt:variant>
      <vt:variant>
        <vt:i4>5</vt:i4>
      </vt:variant>
      <vt:variant>
        <vt:lpwstr/>
      </vt:variant>
      <vt:variant>
        <vt:lpwstr>_Toc183363583</vt:lpwstr>
      </vt:variant>
      <vt:variant>
        <vt:i4>1507377</vt:i4>
      </vt:variant>
      <vt:variant>
        <vt:i4>26</vt:i4>
      </vt:variant>
      <vt:variant>
        <vt:i4>0</vt:i4>
      </vt:variant>
      <vt:variant>
        <vt:i4>5</vt:i4>
      </vt:variant>
      <vt:variant>
        <vt:lpwstr/>
      </vt:variant>
      <vt:variant>
        <vt:lpwstr>_Toc183363582</vt:lpwstr>
      </vt:variant>
      <vt:variant>
        <vt:i4>1507377</vt:i4>
      </vt:variant>
      <vt:variant>
        <vt:i4>20</vt:i4>
      </vt:variant>
      <vt:variant>
        <vt:i4>0</vt:i4>
      </vt:variant>
      <vt:variant>
        <vt:i4>5</vt:i4>
      </vt:variant>
      <vt:variant>
        <vt:lpwstr/>
      </vt:variant>
      <vt:variant>
        <vt:lpwstr>_Toc183363581</vt:lpwstr>
      </vt:variant>
      <vt:variant>
        <vt:i4>1507377</vt:i4>
      </vt:variant>
      <vt:variant>
        <vt:i4>14</vt:i4>
      </vt:variant>
      <vt:variant>
        <vt:i4>0</vt:i4>
      </vt:variant>
      <vt:variant>
        <vt:i4>5</vt:i4>
      </vt:variant>
      <vt:variant>
        <vt:lpwstr/>
      </vt:variant>
      <vt:variant>
        <vt:lpwstr>_Toc183363580</vt:lpwstr>
      </vt:variant>
      <vt:variant>
        <vt:i4>1572913</vt:i4>
      </vt:variant>
      <vt:variant>
        <vt:i4>8</vt:i4>
      </vt:variant>
      <vt:variant>
        <vt:i4>0</vt:i4>
      </vt:variant>
      <vt:variant>
        <vt:i4>5</vt:i4>
      </vt:variant>
      <vt:variant>
        <vt:lpwstr/>
      </vt:variant>
      <vt:variant>
        <vt:lpwstr>_Toc183363579</vt:lpwstr>
      </vt:variant>
      <vt:variant>
        <vt:i4>1572913</vt:i4>
      </vt:variant>
      <vt:variant>
        <vt:i4>2</vt:i4>
      </vt:variant>
      <vt:variant>
        <vt:i4>0</vt:i4>
      </vt:variant>
      <vt:variant>
        <vt:i4>5</vt:i4>
      </vt:variant>
      <vt:variant>
        <vt:lpwstr/>
      </vt:variant>
      <vt:variant>
        <vt:lpwstr>_Toc183363578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Mireya Moreno Castro</cp:lastModifiedBy>
  <cp:revision>88</cp:revision>
  <dcterms:created xsi:type="dcterms:W3CDTF">2026-03-06T19:13:00Z</dcterms:created>
  <dcterms:modified xsi:type="dcterms:W3CDTF">2026-05-05T21:45:00Z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0x0101009667AAE4437C68418D28551470619F7B</vt:lpwstr>
  </property>
  <property fmtid="{D5CDD505-2E9C-101B-9397-08002B2CF9AE}" pid="3" name="MSIP_Label_fc111285-cafa-4fc9-8a9a-bd902089b24f_Enabled">
    <vt:lpwstr>true</vt:lpwstr>
  </property>
  <property fmtid="{D5CDD505-2E9C-101B-9397-08002B2CF9AE}" pid="4" name="MSIP_Label_fc111285-cafa-4fc9-8a9a-bd902089b24f_SetDate">
    <vt:lpwstr>2026-02-23T19:33:12Z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0270cfd1-1558-4375-bb43-68ca757d53d4</vt:lpwstr>
  </property>
  <property fmtid="{D5CDD505-2E9C-101B-9397-08002B2CF9AE}" pid="9" name="MSIP_Label_fc111285-cafa-4fc9-8a9a-bd902089b24f_ContentBits">
    <vt:lpwstr>0</vt:lpwstr>
  </property>
  <property fmtid="{D5CDD505-2E9C-101B-9397-08002B2CF9AE}" pid="10" name="MSIP_Label_fc111285-cafa-4fc9-8a9a-bd902089b24f_Tag">
    <vt:lpwstr>50, 0, 1, 1</vt:lpwstr>
  </property>
</Properties>
</file>